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黑体" w:hAnsi="宋体" w:eastAsia="黑体"/>
          <w:sz w:val="32"/>
        </w:rPr>
      </w:pPr>
      <w:r>
        <w:rPr>
          <w:rFonts w:hint="eastAsia" w:ascii="黑体" w:hAnsi="宋体" w:eastAsia="黑体"/>
          <w:sz w:val="32"/>
        </w:rPr>
        <w:t>建设项目基本情况</w:t>
      </w:r>
    </w:p>
    <w:tbl>
      <w:tblPr>
        <w:tblStyle w:val="31"/>
        <w:tblW w:w="928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309"/>
        <w:gridCol w:w="1516"/>
        <w:gridCol w:w="261"/>
        <w:gridCol w:w="1001"/>
        <w:gridCol w:w="101"/>
        <w:gridCol w:w="1282"/>
        <w:gridCol w:w="1557"/>
        <w:gridCol w:w="226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1309" w:type="dxa"/>
            <w:tcBorders>
              <w:tl2br w:val="nil"/>
              <w:tr2bl w:val="nil"/>
            </w:tcBorders>
            <w:vAlign w:val="center"/>
          </w:tcPr>
          <w:p>
            <w:pPr>
              <w:jc w:val="center"/>
              <w:rPr>
                <w:sz w:val="24"/>
              </w:rPr>
            </w:pPr>
            <w:r>
              <w:rPr>
                <w:rFonts w:hAnsi="宋体"/>
                <w:sz w:val="24"/>
              </w:rPr>
              <w:t>项目名称</w:t>
            </w:r>
          </w:p>
        </w:tc>
        <w:tc>
          <w:tcPr>
            <w:tcW w:w="7978" w:type="dxa"/>
            <w:gridSpan w:val="7"/>
            <w:tcBorders>
              <w:tl2br w:val="nil"/>
              <w:tr2bl w:val="nil"/>
            </w:tcBorders>
            <w:vAlign w:val="center"/>
          </w:tcPr>
          <w:p>
            <w:pPr>
              <w:jc w:val="center"/>
              <w:rPr>
                <w:rFonts w:hint="eastAsia" w:eastAsia="宋体"/>
                <w:sz w:val="24"/>
                <w:lang w:eastAsia="zh-CN"/>
              </w:rPr>
            </w:pPr>
            <w:r>
              <w:rPr>
                <w:rFonts w:hint="eastAsia" w:hAnsi="宋体"/>
                <w:sz w:val="24"/>
                <w:lang w:eastAsia="zh-CN"/>
              </w:rPr>
              <w:t>9000平方米梁板预制场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1309" w:type="dxa"/>
            <w:tcBorders>
              <w:tl2br w:val="nil"/>
              <w:tr2bl w:val="nil"/>
            </w:tcBorders>
            <w:vAlign w:val="center"/>
          </w:tcPr>
          <w:p>
            <w:pPr>
              <w:jc w:val="center"/>
              <w:rPr>
                <w:sz w:val="24"/>
              </w:rPr>
            </w:pPr>
            <w:r>
              <w:rPr>
                <w:rFonts w:hAnsi="宋体"/>
                <w:sz w:val="24"/>
              </w:rPr>
              <w:t>建设单位</w:t>
            </w:r>
          </w:p>
        </w:tc>
        <w:tc>
          <w:tcPr>
            <w:tcW w:w="7978" w:type="dxa"/>
            <w:gridSpan w:val="7"/>
            <w:tcBorders>
              <w:tl2br w:val="nil"/>
              <w:tr2bl w:val="nil"/>
            </w:tcBorders>
            <w:vAlign w:val="center"/>
          </w:tcPr>
          <w:p>
            <w:pPr>
              <w:jc w:val="center"/>
              <w:rPr>
                <w:rFonts w:hint="eastAsia" w:eastAsia="宋体"/>
                <w:sz w:val="24"/>
                <w:lang w:eastAsia="zh-CN"/>
              </w:rPr>
            </w:pPr>
            <w:r>
              <w:rPr>
                <w:rFonts w:hint="eastAsia" w:hAnsi="宋体"/>
                <w:sz w:val="24"/>
                <w:lang w:eastAsia="zh-CN"/>
              </w:rPr>
              <w:t>河南华东路桥建设有限公司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1309" w:type="dxa"/>
            <w:tcBorders>
              <w:tl2br w:val="nil"/>
              <w:tr2bl w:val="nil"/>
            </w:tcBorders>
            <w:vAlign w:val="center"/>
          </w:tcPr>
          <w:p>
            <w:pPr>
              <w:jc w:val="center"/>
              <w:rPr>
                <w:sz w:val="24"/>
              </w:rPr>
            </w:pPr>
            <w:r>
              <w:rPr>
                <w:rFonts w:hAnsi="宋体"/>
                <w:sz w:val="24"/>
              </w:rPr>
              <w:t>法人代表</w:t>
            </w:r>
          </w:p>
        </w:tc>
        <w:tc>
          <w:tcPr>
            <w:tcW w:w="2879" w:type="dxa"/>
            <w:gridSpan w:val="4"/>
            <w:tcBorders>
              <w:tl2br w:val="nil"/>
              <w:tr2bl w:val="nil"/>
            </w:tcBorders>
            <w:vAlign w:val="center"/>
          </w:tcPr>
          <w:p>
            <w:pPr>
              <w:jc w:val="center"/>
              <w:rPr>
                <w:rFonts w:hint="eastAsia" w:eastAsia="宋体"/>
                <w:sz w:val="24"/>
                <w:lang w:eastAsia="zh-CN"/>
              </w:rPr>
            </w:pPr>
            <w:r>
              <w:rPr>
                <w:rFonts w:hint="eastAsia"/>
                <w:sz w:val="24"/>
                <w:lang w:eastAsia="zh-CN"/>
              </w:rPr>
              <w:t>徐五合</w:t>
            </w:r>
          </w:p>
        </w:tc>
        <w:tc>
          <w:tcPr>
            <w:tcW w:w="1282" w:type="dxa"/>
            <w:tcBorders>
              <w:tl2br w:val="nil"/>
              <w:tr2bl w:val="nil"/>
            </w:tcBorders>
            <w:vAlign w:val="center"/>
          </w:tcPr>
          <w:p>
            <w:pPr>
              <w:jc w:val="center"/>
              <w:rPr>
                <w:color w:val="FF0000"/>
                <w:sz w:val="24"/>
              </w:rPr>
            </w:pPr>
            <w:r>
              <w:rPr>
                <w:rFonts w:hAnsi="宋体"/>
                <w:color w:val="auto"/>
                <w:sz w:val="24"/>
              </w:rPr>
              <w:t>联系人</w:t>
            </w:r>
          </w:p>
        </w:tc>
        <w:tc>
          <w:tcPr>
            <w:tcW w:w="3817" w:type="dxa"/>
            <w:gridSpan w:val="2"/>
            <w:tcBorders>
              <w:tl2br w:val="nil"/>
              <w:tr2bl w:val="nil"/>
            </w:tcBorders>
            <w:vAlign w:val="center"/>
          </w:tcPr>
          <w:p>
            <w:pPr>
              <w:jc w:val="center"/>
              <w:rPr>
                <w:rFonts w:hint="eastAsia" w:eastAsia="宋体"/>
                <w:sz w:val="24"/>
                <w:lang w:val="en-US" w:eastAsia="zh-CN"/>
              </w:rPr>
            </w:pPr>
            <w:r>
              <w:rPr>
                <w:rFonts w:hint="eastAsia"/>
                <w:sz w:val="24"/>
                <w:highlight w:val="none"/>
                <w:lang w:val="en-US" w:eastAsia="zh-CN"/>
              </w:rPr>
              <w:t>姜通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1309" w:type="dxa"/>
            <w:tcBorders>
              <w:tl2br w:val="nil"/>
              <w:tr2bl w:val="nil"/>
            </w:tcBorders>
            <w:vAlign w:val="center"/>
          </w:tcPr>
          <w:p>
            <w:pPr>
              <w:jc w:val="center"/>
              <w:rPr>
                <w:sz w:val="24"/>
              </w:rPr>
            </w:pPr>
            <w:r>
              <w:rPr>
                <w:rFonts w:hAnsi="宋体"/>
                <w:sz w:val="24"/>
              </w:rPr>
              <w:t>通讯地址</w:t>
            </w:r>
          </w:p>
        </w:tc>
        <w:tc>
          <w:tcPr>
            <w:tcW w:w="7978" w:type="dxa"/>
            <w:gridSpan w:val="7"/>
            <w:tcBorders>
              <w:tl2br w:val="nil"/>
              <w:tr2bl w:val="nil"/>
            </w:tcBorders>
            <w:vAlign w:val="center"/>
          </w:tcPr>
          <w:p>
            <w:pPr>
              <w:jc w:val="center"/>
              <w:rPr>
                <w:rFonts w:hint="eastAsia" w:eastAsia="宋体"/>
                <w:sz w:val="24"/>
                <w:lang w:eastAsia="zh-CN"/>
              </w:rPr>
            </w:pPr>
            <w:r>
              <w:rPr>
                <w:rFonts w:hint="eastAsia"/>
                <w:sz w:val="24"/>
                <w:lang w:eastAsia="zh-CN"/>
              </w:rPr>
              <w:t>济源市坡头镇高新路东侧中段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1309" w:type="dxa"/>
            <w:tcBorders>
              <w:tl2br w:val="nil"/>
              <w:tr2bl w:val="nil"/>
            </w:tcBorders>
            <w:vAlign w:val="center"/>
          </w:tcPr>
          <w:p>
            <w:pPr>
              <w:jc w:val="center"/>
              <w:rPr>
                <w:sz w:val="24"/>
              </w:rPr>
            </w:pPr>
            <w:r>
              <w:rPr>
                <w:rFonts w:hAnsi="宋体"/>
                <w:color w:val="auto"/>
                <w:sz w:val="24"/>
              </w:rPr>
              <w:t>联系电话</w:t>
            </w:r>
          </w:p>
        </w:tc>
        <w:tc>
          <w:tcPr>
            <w:tcW w:w="1777" w:type="dxa"/>
            <w:gridSpan w:val="2"/>
            <w:tcBorders>
              <w:tl2br w:val="nil"/>
              <w:tr2bl w:val="nil"/>
            </w:tcBorders>
            <w:vAlign w:val="center"/>
          </w:tcPr>
          <w:p>
            <w:pPr>
              <w:jc w:val="center"/>
              <w:rPr>
                <w:rFonts w:hint="default" w:eastAsia="宋体"/>
                <w:sz w:val="24"/>
                <w:szCs w:val="18"/>
                <w:lang w:val="en-US" w:eastAsia="zh-CN"/>
              </w:rPr>
            </w:pPr>
            <w:r>
              <w:rPr>
                <w:rFonts w:hint="eastAsia"/>
                <w:sz w:val="24"/>
                <w:szCs w:val="18"/>
                <w:lang w:val="en-US" w:eastAsia="zh-CN"/>
              </w:rPr>
              <w:t>15239713553</w:t>
            </w:r>
          </w:p>
        </w:tc>
        <w:tc>
          <w:tcPr>
            <w:tcW w:w="1102" w:type="dxa"/>
            <w:gridSpan w:val="2"/>
            <w:tcBorders>
              <w:tl2br w:val="nil"/>
              <w:tr2bl w:val="nil"/>
            </w:tcBorders>
            <w:vAlign w:val="center"/>
          </w:tcPr>
          <w:p>
            <w:pPr>
              <w:jc w:val="center"/>
              <w:rPr>
                <w:sz w:val="24"/>
              </w:rPr>
            </w:pPr>
            <w:r>
              <w:rPr>
                <w:rFonts w:hAnsi="宋体"/>
                <w:sz w:val="24"/>
              </w:rPr>
              <w:t>传</w:t>
            </w:r>
            <w:r>
              <w:rPr>
                <w:sz w:val="24"/>
              </w:rPr>
              <w:t xml:space="preserve">  </w:t>
            </w:r>
            <w:r>
              <w:rPr>
                <w:rFonts w:hAnsi="宋体"/>
                <w:sz w:val="24"/>
              </w:rPr>
              <w:t>真</w:t>
            </w:r>
          </w:p>
        </w:tc>
        <w:tc>
          <w:tcPr>
            <w:tcW w:w="1282" w:type="dxa"/>
            <w:tcBorders>
              <w:tl2br w:val="nil"/>
              <w:tr2bl w:val="nil"/>
            </w:tcBorders>
            <w:vAlign w:val="center"/>
          </w:tcPr>
          <w:p>
            <w:pPr>
              <w:jc w:val="center"/>
              <w:rPr>
                <w:sz w:val="24"/>
              </w:rPr>
            </w:pPr>
            <w:r>
              <w:rPr>
                <w:rFonts w:hint="eastAsia"/>
                <w:sz w:val="24"/>
              </w:rPr>
              <w:t>/</w:t>
            </w:r>
          </w:p>
        </w:tc>
        <w:tc>
          <w:tcPr>
            <w:tcW w:w="1557" w:type="dxa"/>
            <w:tcBorders>
              <w:tl2br w:val="nil"/>
              <w:tr2bl w:val="nil"/>
            </w:tcBorders>
            <w:vAlign w:val="center"/>
          </w:tcPr>
          <w:p>
            <w:pPr>
              <w:jc w:val="center"/>
              <w:rPr>
                <w:sz w:val="24"/>
              </w:rPr>
            </w:pPr>
            <w:r>
              <w:rPr>
                <w:rFonts w:hAnsi="宋体"/>
                <w:sz w:val="24"/>
              </w:rPr>
              <w:t>邮政编码</w:t>
            </w:r>
          </w:p>
        </w:tc>
        <w:tc>
          <w:tcPr>
            <w:tcW w:w="2260" w:type="dxa"/>
            <w:tcBorders>
              <w:tl2br w:val="nil"/>
              <w:tr2bl w:val="nil"/>
            </w:tcBorders>
            <w:vAlign w:val="center"/>
          </w:tcPr>
          <w:p>
            <w:pPr>
              <w:jc w:val="center"/>
              <w:rPr>
                <w:rFonts w:hint="default" w:eastAsia="宋体"/>
                <w:sz w:val="24"/>
                <w:lang w:val="en-US" w:eastAsia="zh-CN"/>
              </w:rPr>
            </w:pPr>
            <w:r>
              <w:rPr>
                <w:rFonts w:hint="eastAsia"/>
                <w:sz w:val="24"/>
              </w:rPr>
              <w:t>45</w:t>
            </w:r>
            <w:r>
              <w:rPr>
                <w:rFonts w:hint="eastAsia"/>
                <w:sz w:val="24"/>
                <w:lang w:val="en-US" w:eastAsia="zh-CN"/>
              </w:rPr>
              <w:t>9016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1309" w:type="dxa"/>
            <w:tcBorders>
              <w:tl2br w:val="nil"/>
              <w:tr2bl w:val="nil"/>
            </w:tcBorders>
            <w:vAlign w:val="center"/>
          </w:tcPr>
          <w:p>
            <w:pPr>
              <w:jc w:val="center"/>
              <w:rPr>
                <w:sz w:val="24"/>
              </w:rPr>
            </w:pPr>
            <w:r>
              <w:rPr>
                <w:rFonts w:hAnsi="宋体"/>
                <w:sz w:val="24"/>
              </w:rPr>
              <w:t>建设地点</w:t>
            </w:r>
          </w:p>
        </w:tc>
        <w:tc>
          <w:tcPr>
            <w:tcW w:w="7978" w:type="dxa"/>
            <w:gridSpan w:val="7"/>
            <w:tcBorders>
              <w:tl2br w:val="nil"/>
              <w:tr2bl w:val="nil"/>
            </w:tcBorders>
            <w:vAlign w:val="center"/>
          </w:tcPr>
          <w:p>
            <w:pPr>
              <w:jc w:val="center"/>
              <w:rPr>
                <w:sz w:val="24"/>
              </w:rPr>
            </w:pPr>
            <w:r>
              <w:rPr>
                <w:rFonts w:hint="eastAsia"/>
                <w:sz w:val="24"/>
                <w:lang w:eastAsia="zh-CN"/>
              </w:rPr>
              <w:t>济源市坡头镇高新路东侧中段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7" w:hRule="atLeast"/>
        </w:trPr>
        <w:tc>
          <w:tcPr>
            <w:tcW w:w="1309" w:type="dxa"/>
            <w:tcBorders>
              <w:tl2br w:val="nil"/>
              <w:tr2bl w:val="nil"/>
            </w:tcBorders>
            <w:vAlign w:val="center"/>
          </w:tcPr>
          <w:p>
            <w:pPr>
              <w:jc w:val="center"/>
              <w:rPr>
                <w:sz w:val="24"/>
              </w:rPr>
            </w:pPr>
            <w:r>
              <w:rPr>
                <w:rFonts w:hAnsi="宋体"/>
                <w:sz w:val="24"/>
              </w:rPr>
              <w:t>立项审批部门</w:t>
            </w:r>
          </w:p>
        </w:tc>
        <w:tc>
          <w:tcPr>
            <w:tcW w:w="2778" w:type="dxa"/>
            <w:gridSpan w:val="3"/>
            <w:tcBorders>
              <w:tl2br w:val="nil"/>
              <w:tr2bl w:val="nil"/>
            </w:tcBorders>
            <w:vAlign w:val="center"/>
          </w:tcPr>
          <w:p>
            <w:pPr>
              <w:jc w:val="center"/>
              <w:rPr>
                <w:sz w:val="24"/>
              </w:rPr>
            </w:pPr>
            <w:r>
              <w:rPr>
                <w:rFonts w:hint="eastAsia"/>
                <w:sz w:val="24"/>
                <w:lang w:eastAsia="zh-CN"/>
              </w:rPr>
              <w:t>济源市</w:t>
            </w:r>
            <w:r>
              <w:rPr>
                <w:rFonts w:hint="eastAsia"/>
                <w:sz w:val="24"/>
              </w:rPr>
              <w:t>发展和改革委员会</w:t>
            </w:r>
          </w:p>
        </w:tc>
        <w:tc>
          <w:tcPr>
            <w:tcW w:w="1383" w:type="dxa"/>
            <w:gridSpan w:val="2"/>
            <w:tcBorders>
              <w:tl2br w:val="nil"/>
              <w:tr2bl w:val="nil"/>
            </w:tcBorders>
            <w:vAlign w:val="center"/>
          </w:tcPr>
          <w:p>
            <w:pPr>
              <w:jc w:val="center"/>
              <w:rPr>
                <w:sz w:val="24"/>
              </w:rPr>
            </w:pPr>
            <w:r>
              <w:rPr>
                <w:rFonts w:hAnsi="宋体"/>
                <w:sz w:val="24"/>
              </w:rPr>
              <w:t>批准文号</w:t>
            </w:r>
          </w:p>
        </w:tc>
        <w:tc>
          <w:tcPr>
            <w:tcW w:w="3817" w:type="dxa"/>
            <w:gridSpan w:val="2"/>
            <w:tcBorders>
              <w:tl2br w:val="nil"/>
              <w:tr2bl w:val="nil"/>
            </w:tcBorders>
            <w:vAlign w:val="center"/>
          </w:tcPr>
          <w:p>
            <w:pPr>
              <w:jc w:val="center"/>
              <w:rPr>
                <w:rFonts w:hint="eastAsia" w:eastAsia="宋体"/>
                <w:sz w:val="24"/>
                <w:lang w:eastAsia="zh-CN"/>
              </w:rPr>
            </w:pPr>
            <w:r>
              <w:rPr>
                <w:rFonts w:hint="eastAsia"/>
                <w:sz w:val="24"/>
                <w:lang w:eastAsia="zh-CN"/>
              </w:rPr>
              <w:t>2018-419001-48-03-040687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5" w:hRule="atLeast"/>
        </w:trPr>
        <w:tc>
          <w:tcPr>
            <w:tcW w:w="1309" w:type="dxa"/>
            <w:tcBorders>
              <w:tl2br w:val="nil"/>
              <w:tr2bl w:val="nil"/>
            </w:tcBorders>
            <w:vAlign w:val="center"/>
          </w:tcPr>
          <w:p>
            <w:pPr>
              <w:jc w:val="center"/>
              <w:rPr>
                <w:sz w:val="24"/>
              </w:rPr>
            </w:pPr>
            <w:r>
              <w:rPr>
                <w:rFonts w:hAnsi="宋体"/>
                <w:sz w:val="24"/>
              </w:rPr>
              <w:t>建设性质</w:t>
            </w:r>
          </w:p>
        </w:tc>
        <w:tc>
          <w:tcPr>
            <w:tcW w:w="2778" w:type="dxa"/>
            <w:gridSpan w:val="3"/>
            <w:tcBorders>
              <w:tl2br w:val="nil"/>
              <w:tr2bl w:val="nil"/>
            </w:tcBorders>
            <w:vAlign w:val="center"/>
          </w:tcPr>
          <w:p>
            <w:pPr>
              <w:jc w:val="center"/>
              <w:rPr>
                <w:rFonts w:ascii="宋体" w:hAnsi="宋体"/>
                <w:sz w:val="24"/>
              </w:rPr>
            </w:pPr>
            <w:r>
              <w:rPr>
                <w:rFonts w:ascii="宋体" w:hAnsi="宋体"/>
                <w:sz w:val="24"/>
              </w:rPr>
              <w:t>新建■改扩建□技改□</w:t>
            </w:r>
          </w:p>
        </w:tc>
        <w:tc>
          <w:tcPr>
            <w:tcW w:w="1383" w:type="dxa"/>
            <w:gridSpan w:val="2"/>
            <w:tcBorders>
              <w:tl2br w:val="nil"/>
              <w:tr2bl w:val="nil"/>
            </w:tcBorders>
            <w:vAlign w:val="center"/>
          </w:tcPr>
          <w:p>
            <w:pPr>
              <w:jc w:val="center"/>
              <w:rPr>
                <w:rFonts w:hAnsi="宋体"/>
                <w:sz w:val="24"/>
              </w:rPr>
            </w:pPr>
            <w:r>
              <w:rPr>
                <w:rFonts w:hAnsi="宋体"/>
                <w:sz w:val="24"/>
              </w:rPr>
              <w:t>行业类别</w:t>
            </w:r>
          </w:p>
          <w:p>
            <w:pPr>
              <w:jc w:val="center"/>
              <w:rPr>
                <w:sz w:val="24"/>
              </w:rPr>
            </w:pPr>
            <w:r>
              <w:rPr>
                <w:rFonts w:hAnsi="宋体"/>
                <w:sz w:val="24"/>
              </w:rPr>
              <w:t>及代码</w:t>
            </w:r>
          </w:p>
        </w:tc>
        <w:tc>
          <w:tcPr>
            <w:tcW w:w="3817" w:type="dxa"/>
            <w:gridSpan w:val="2"/>
            <w:tcBorders>
              <w:tl2br w:val="nil"/>
              <w:tr2bl w:val="nil"/>
            </w:tcBorders>
            <w:vAlign w:val="center"/>
          </w:tcPr>
          <w:p>
            <w:pPr>
              <w:jc w:val="center"/>
              <w:rPr>
                <w:rFonts w:hint="eastAsia" w:eastAsia="宋体"/>
                <w:b/>
                <w:sz w:val="24"/>
                <w:u w:val="single"/>
                <w:lang w:eastAsia="zh-CN"/>
              </w:rPr>
            </w:pPr>
            <w:r>
              <w:rPr>
                <w:rFonts w:hint="eastAsia"/>
                <w:sz w:val="24"/>
              </w:rPr>
              <w:t>C</w:t>
            </w:r>
            <w:r>
              <w:rPr>
                <w:rFonts w:hint="eastAsia"/>
                <w:sz w:val="24"/>
                <w:lang w:val="en-US" w:eastAsia="zh-CN"/>
              </w:rPr>
              <w:t>3022</w:t>
            </w:r>
            <w:r>
              <w:rPr>
                <w:rFonts w:hint="eastAsia"/>
                <w:sz w:val="24"/>
                <w:lang w:eastAsia="zh-CN"/>
              </w:rPr>
              <w:t>砼结构构件制造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5" w:hRule="atLeast"/>
        </w:trPr>
        <w:tc>
          <w:tcPr>
            <w:tcW w:w="1309" w:type="dxa"/>
            <w:tcBorders>
              <w:tl2br w:val="nil"/>
              <w:tr2bl w:val="nil"/>
            </w:tcBorders>
            <w:vAlign w:val="center"/>
          </w:tcPr>
          <w:p>
            <w:pPr>
              <w:jc w:val="center"/>
              <w:rPr>
                <w:sz w:val="24"/>
              </w:rPr>
            </w:pPr>
            <w:r>
              <w:rPr>
                <w:rFonts w:hAnsi="宋体"/>
                <w:sz w:val="24"/>
              </w:rPr>
              <w:t>占地面积</w:t>
            </w:r>
          </w:p>
        </w:tc>
        <w:tc>
          <w:tcPr>
            <w:tcW w:w="2778" w:type="dxa"/>
            <w:gridSpan w:val="3"/>
            <w:tcBorders>
              <w:tl2br w:val="nil"/>
              <w:tr2bl w:val="nil"/>
            </w:tcBorders>
            <w:vAlign w:val="center"/>
          </w:tcPr>
          <w:p>
            <w:pPr>
              <w:jc w:val="center"/>
              <w:rPr>
                <w:sz w:val="24"/>
              </w:rPr>
            </w:pPr>
            <w:r>
              <w:rPr>
                <w:rFonts w:hint="eastAsia" w:hAnsi="宋体"/>
                <w:color w:val="000000" w:themeColor="text1"/>
                <w:sz w:val="24"/>
                <w:lang w:val="en-US" w:eastAsia="zh-CN"/>
                <w14:textFill>
                  <w14:solidFill>
                    <w14:schemeClr w14:val="tx1"/>
                  </w14:solidFill>
                </w14:textFill>
              </w:rPr>
              <w:t>9000</w:t>
            </w:r>
            <w:r>
              <w:rPr>
                <w:rFonts w:hint="eastAsia" w:hAnsi="宋体"/>
                <w:color w:val="000000" w:themeColor="text1"/>
                <w:sz w:val="24"/>
                <w14:textFill>
                  <w14:solidFill>
                    <w14:schemeClr w14:val="tx1"/>
                  </w14:solidFill>
                </w14:textFill>
              </w:rPr>
              <w:t>m</w:t>
            </w:r>
            <w:r>
              <w:rPr>
                <w:rFonts w:hint="eastAsia" w:hAnsi="宋体"/>
                <w:color w:val="000000" w:themeColor="text1"/>
                <w:sz w:val="24"/>
                <w:vertAlign w:val="superscript"/>
                <w14:textFill>
                  <w14:solidFill>
                    <w14:schemeClr w14:val="tx1"/>
                  </w14:solidFill>
                </w14:textFill>
              </w:rPr>
              <w:t>2</w:t>
            </w:r>
          </w:p>
        </w:tc>
        <w:tc>
          <w:tcPr>
            <w:tcW w:w="1383" w:type="dxa"/>
            <w:gridSpan w:val="2"/>
            <w:tcBorders>
              <w:tl2br w:val="nil"/>
              <w:tr2bl w:val="nil"/>
            </w:tcBorders>
            <w:vAlign w:val="center"/>
          </w:tcPr>
          <w:p>
            <w:pPr>
              <w:jc w:val="center"/>
              <w:rPr>
                <w:sz w:val="24"/>
              </w:rPr>
            </w:pPr>
            <w:r>
              <w:rPr>
                <w:rFonts w:hAnsi="宋体"/>
                <w:sz w:val="24"/>
              </w:rPr>
              <w:t>绿化面积</w:t>
            </w:r>
          </w:p>
          <w:p>
            <w:pPr>
              <w:jc w:val="center"/>
              <w:rPr>
                <w:sz w:val="24"/>
              </w:rPr>
            </w:pPr>
            <w:r>
              <w:rPr>
                <w:rFonts w:hAnsi="宋体"/>
                <w:sz w:val="24"/>
              </w:rPr>
              <w:t>（平方米）</w:t>
            </w:r>
          </w:p>
        </w:tc>
        <w:tc>
          <w:tcPr>
            <w:tcW w:w="3817" w:type="dxa"/>
            <w:gridSpan w:val="2"/>
            <w:tcBorders>
              <w:tl2br w:val="nil"/>
              <w:tr2bl w:val="nil"/>
            </w:tcBorders>
            <w:vAlign w:val="center"/>
          </w:tcPr>
          <w:p>
            <w:pPr>
              <w:jc w:val="center"/>
              <w:rPr>
                <w:sz w:val="24"/>
              </w:rPr>
            </w:pPr>
            <w:r>
              <w:rPr>
                <w:rFonts w:hint="eastAsia"/>
                <w:sz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90" w:hRule="atLeast"/>
        </w:trPr>
        <w:tc>
          <w:tcPr>
            <w:tcW w:w="1309" w:type="dxa"/>
            <w:tcBorders>
              <w:tl2br w:val="nil"/>
              <w:tr2bl w:val="nil"/>
            </w:tcBorders>
            <w:vAlign w:val="center"/>
          </w:tcPr>
          <w:p>
            <w:pPr>
              <w:jc w:val="center"/>
              <w:rPr>
                <w:sz w:val="24"/>
              </w:rPr>
            </w:pPr>
            <w:r>
              <w:rPr>
                <w:rFonts w:hAnsi="宋体"/>
                <w:sz w:val="24"/>
              </w:rPr>
              <w:t>总投资</w:t>
            </w:r>
            <w:r>
              <w:rPr>
                <w:rFonts w:hint="eastAsia" w:hAnsi="宋体"/>
                <w:sz w:val="24"/>
              </w:rPr>
              <w:t>(万元)</w:t>
            </w:r>
          </w:p>
        </w:tc>
        <w:tc>
          <w:tcPr>
            <w:tcW w:w="1516" w:type="dxa"/>
            <w:tcBorders>
              <w:tl2br w:val="nil"/>
              <w:tr2bl w:val="nil"/>
            </w:tcBorders>
            <w:vAlign w:val="center"/>
          </w:tcPr>
          <w:p>
            <w:pPr>
              <w:jc w:val="center"/>
              <w:rPr>
                <w:sz w:val="24"/>
              </w:rPr>
            </w:pPr>
            <w:r>
              <w:rPr>
                <w:rFonts w:hint="eastAsia"/>
                <w:sz w:val="24"/>
                <w:lang w:val="en-US" w:eastAsia="zh-CN"/>
              </w:rPr>
              <w:t>15</w:t>
            </w:r>
            <w:r>
              <w:rPr>
                <w:rFonts w:hint="eastAsia"/>
                <w:sz w:val="24"/>
              </w:rPr>
              <w:t>0</w:t>
            </w:r>
          </w:p>
        </w:tc>
        <w:tc>
          <w:tcPr>
            <w:tcW w:w="1262" w:type="dxa"/>
            <w:gridSpan w:val="2"/>
            <w:tcBorders>
              <w:tl2br w:val="nil"/>
              <w:tr2bl w:val="nil"/>
            </w:tcBorders>
            <w:vAlign w:val="center"/>
          </w:tcPr>
          <w:p>
            <w:pPr>
              <w:jc w:val="center"/>
              <w:rPr>
                <w:color w:val="auto"/>
                <w:sz w:val="24"/>
              </w:rPr>
            </w:pPr>
            <w:r>
              <w:rPr>
                <w:rFonts w:hAnsi="宋体"/>
                <w:color w:val="auto"/>
                <w:sz w:val="24"/>
              </w:rPr>
              <w:t>其中：环保投资</w:t>
            </w:r>
            <w:r>
              <w:rPr>
                <w:color w:val="auto"/>
                <w:sz w:val="24"/>
              </w:rPr>
              <w:t>(</w:t>
            </w:r>
            <w:r>
              <w:rPr>
                <w:rFonts w:hAnsi="宋体"/>
                <w:color w:val="auto"/>
                <w:sz w:val="24"/>
              </w:rPr>
              <w:t>万元</w:t>
            </w:r>
            <w:r>
              <w:rPr>
                <w:color w:val="auto"/>
                <w:sz w:val="24"/>
              </w:rPr>
              <w:t>)</w:t>
            </w:r>
          </w:p>
        </w:tc>
        <w:tc>
          <w:tcPr>
            <w:tcW w:w="1383" w:type="dxa"/>
            <w:gridSpan w:val="2"/>
            <w:tcBorders>
              <w:tl2br w:val="nil"/>
              <w:tr2bl w:val="nil"/>
            </w:tcBorders>
            <w:vAlign w:val="center"/>
          </w:tcPr>
          <w:p>
            <w:pPr>
              <w:jc w:val="center"/>
              <w:rPr>
                <w:rFonts w:hint="default" w:eastAsia="宋体"/>
                <w:bCs/>
                <w:color w:val="auto"/>
                <w:sz w:val="24"/>
                <w:lang w:val="en-US" w:eastAsia="zh-CN"/>
              </w:rPr>
            </w:pPr>
            <w:r>
              <w:rPr>
                <w:rFonts w:hint="eastAsia"/>
                <w:bCs/>
                <w:color w:val="auto"/>
                <w:sz w:val="24"/>
                <w:highlight w:val="none"/>
                <w:lang w:val="en-US" w:eastAsia="zh-CN"/>
              </w:rPr>
              <w:t>13</w:t>
            </w:r>
          </w:p>
        </w:tc>
        <w:tc>
          <w:tcPr>
            <w:tcW w:w="1557" w:type="dxa"/>
            <w:tcBorders>
              <w:tl2br w:val="nil"/>
              <w:tr2bl w:val="nil"/>
            </w:tcBorders>
            <w:vAlign w:val="center"/>
          </w:tcPr>
          <w:p>
            <w:pPr>
              <w:jc w:val="center"/>
              <w:rPr>
                <w:color w:val="auto"/>
                <w:sz w:val="24"/>
              </w:rPr>
            </w:pPr>
            <w:r>
              <w:rPr>
                <w:color w:val="auto"/>
                <w:sz w:val="24"/>
              </w:rPr>
              <w:t>环保投资占总投资比例</w:t>
            </w:r>
          </w:p>
        </w:tc>
        <w:tc>
          <w:tcPr>
            <w:tcW w:w="2260" w:type="dxa"/>
            <w:tcBorders>
              <w:tl2br w:val="nil"/>
              <w:tr2bl w:val="nil"/>
            </w:tcBorders>
            <w:vAlign w:val="center"/>
          </w:tcPr>
          <w:p>
            <w:pPr>
              <w:jc w:val="center"/>
              <w:rPr>
                <w:bCs/>
                <w:color w:val="auto"/>
                <w:sz w:val="24"/>
              </w:rPr>
            </w:pPr>
            <w:r>
              <w:rPr>
                <w:rFonts w:hint="eastAsia"/>
                <w:bCs/>
                <w:color w:val="auto"/>
                <w:sz w:val="24"/>
                <w:highlight w:val="none"/>
                <w:lang w:val="en-US" w:eastAsia="zh-CN"/>
              </w:rPr>
              <w:t>8.67</w:t>
            </w:r>
            <w:r>
              <w:rPr>
                <w:rFonts w:hint="eastAsia"/>
                <w:bCs/>
                <w:color w:val="auto"/>
                <w:sz w:val="24"/>
                <w:highlight w:val="non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5" w:hRule="atLeast"/>
        </w:trPr>
        <w:tc>
          <w:tcPr>
            <w:tcW w:w="1309" w:type="dxa"/>
            <w:tcBorders>
              <w:tl2br w:val="nil"/>
              <w:tr2bl w:val="nil"/>
            </w:tcBorders>
            <w:vAlign w:val="center"/>
          </w:tcPr>
          <w:p>
            <w:pPr>
              <w:jc w:val="center"/>
              <w:rPr>
                <w:sz w:val="24"/>
              </w:rPr>
            </w:pPr>
            <w:r>
              <w:rPr>
                <w:rFonts w:hAnsi="宋体"/>
                <w:sz w:val="24"/>
              </w:rPr>
              <w:t>评价经费</w:t>
            </w:r>
          </w:p>
          <w:p>
            <w:pPr>
              <w:jc w:val="center"/>
              <w:rPr>
                <w:sz w:val="24"/>
              </w:rPr>
            </w:pPr>
            <w:r>
              <w:rPr>
                <w:rFonts w:hAnsi="宋体"/>
                <w:sz w:val="24"/>
              </w:rPr>
              <w:t>（万元）</w:t>
            </w:r>
          </w:p>
        </w:tc>
        <w:tc>
          <w:tcPr>
            <w:tcW w:w="1516" w:type="dxa"/>
            <w:tcBorders>
              <w:tl2br w:val="nil"/>
              <w:tr2bl w:val="nil"/>
            </w:tcBorders>
            <w:vAlign w:val="center"/>
          </w:tcPr>
          <w:p>
            <w:pPr>
              <w:jc w:val="center"/>
              <w:rPr>
                <w:sz w:val="24"/>
              </w:rPr>
            </w:pPr>
          </w:p>
        </w:tc>
        <w:tc>
          <w:tcPr>
            <w:tcW w:w="1262" w:type="dxa"/>
            <w:gridSpan w:val="2"/>
            <w:tcBorders>
              <w:tl2br w:val="nil"/>
              <w:tr2bl w:val="nil"/>
            </w:tcBorders>
            <w:vAlign w:val="center"/>
          </w:tcPr>
          <w:p>
            <w:pPr>
              <w:jc w:val="center"/>
              <w:rPr>
                <w:sz w:val="24"/>
              </w:rPr>
            </w:pPr>
            <w:r>
              <w:rPr>
                <w:rFonts w:hAnsi="宋体"/>
                <w:sz w:val="24"/>
              </w:rPr>
              <w:t>投产日期</w:t>
            </w:r>
          </w:p>
        </w:tc>
        <w:tc>
          <w:tcPr>
            <w:tcW w:w="5200" w:type="dxa"/>
            <w:gridSpan w:val="4"/>
            <w:tcBorders>
              <w:tl2br w:val="nil"/>
              <w:tr2bl w:val="nil"/>
            </w:tcBorders>
            <w:vAlign w:val="center"/>
          </w:tcPr>
          <w:p>
            <w:pPr>
              <w:wordWrap w:val="0"/>
              <w:jc w:val="center"/>
              <w:rPr>
                <w:rFonts w:hint="default" w:eastAsia="宋体"/>
                <w:sz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9287" w:type="dxa"/>
            <w:gridSpan w:val="8"/>
            <w:tcBorders>
              <w:tl2br w:val="nil"/>
              <w:tr2bl w:val="nil"/>
            </w:tcBorders>
          </w:tcPr>
          <w:p>
            <w:pPr>
              <w:spacing w:before="156" w:beforeLines="50" w:line="360" w:lineRule="auto"/>
              <w:rPr>
                <w:b/>
                <w:bCs/>
                <w:sz w:val="24"/>
              </w:rPr>
            </w:pPr>
            <w:r>
              <w:rPr>
                <w:b/>
                <w:sz w:val="24"/>
              </w:rPr>
              <w:t>工程内容及规模：</w:t>
            </w:r>
          </w:p>
          <w:p>
            <w:pPr>
              <w:pStyle w:val="8"/>
              <w:spacing w:line="360" w:lineRule="auto"/>
              <w:ind w:firstLine="482" w:firstLineChars="200"/>
              <w:rPr>
                <w:b/>
              </w:rPr>
            </w:pPr>
            <w:r>
              <w:rPr>
                <w:rFonts w:hint="eastAsia"/>
                <w:b/>
              </w:rPr>
              <w:t>一</w:t>
            </w:r>
            <w:r>
              <w:rPr>
                <w:rFonts w:hint="eastAsia"/>
                <w:b/>
                <w:lang w:eastAsia="zh-CN"/>
              </w:rPr>
              <w:t>、</w:t>
            </w:r>
            <w:r>
              <w:rPr>
                <w:b/>
              </w:rPr>
              <w:t>项目</w:t>
            </w:r>
            <w:r>
              <w:rPr>
                <w:rFonts w:hint="eastAsia"/>
                <w:b/>
              </w:rPr>
              <w:t>由来</w:t>
            </w:r>
          </w:p>
          <w:p>
            <w:pPr>
              <w:spacing w:line="360" w:lineRule="auto"/>
              <w:ind w:firstLine="480" w:firstLineChars="200"/>
              <w:rPr>
                <w:rFonts w:hint="eastAsia"/>
                <w:sz w:val="24"/>
                <w:lang w:eastAsia="zh-CN"/>
              </w:rPr>
            </w:pPr>
            <w:r>
              <w:rPr>
                <w:rFonts w:hint="eastAsia"/>
                <w:sz w:val="24"/>
                <w:lang w:eastAsia="zh-CN"/>
              </w:rPr>
              <w:t>济源北岸新区南依滔滔黄河，北依巍巍王屋山自然环境优美。交通区位优越，北靠济运高速、南邻连霍高速、东接二广高速、西连济阳高速，处于郑州、洛阳、晋城二小时交通圈内。拟建黄河西霞湖滨湖景观大道是济源市小浪底北岸新区的一条重要景观道路。滨湖景观大道起点位于恋水花园码头西侧，与省道</w:t>
            </w:r>
            <w:r>
              <w:rPr>
                <w:rFonts w:hint="eastAsia"/>
                <w:sz w:val="24"/>
                <w:lang w:val="en-US" w:eastAsia="zh-CN"/>
              </w:rPr>
              <w:t>243相接，终点位于坡头镇区西霞湖路南段附近。</w:t>
            </w:r>
            <w:r>
              <w:rPr>
                <w:rFonts w:hint="eastAsia" w:hAnsi="宋体"/>
                <w:sz w:val="24"/>
                <w:lang w:eastAsia="zh-CN"/>
              </w:rPr>
              <w:t>河南华东路桥建设有限公司9000平方米梁板预制场选址</w:t>
            </w:r>
            <w:r>
              <w:rPr>
                <w:rFonts w:hint="eastAsia"/>
                <w:sz w:val="24"/>
                <w:lang w:val="en-US" w:eastAsia="zh-CN"/>
              </w:rPr>
              <w:t>位于</w:t>
            </w:r>
            <w:r>
              <w:rPr>
                <w:rFonts w:hint="eastAsia"/>
                <w:sz w:val="24"/>
                <w:lang w:eastAsia="zh-CN"/>
              </w:rPr>
              <w:t>济源市坡头镇高新路东侧中段，主要</w:t>
            </w:r>
            <w:r>
              <w:rPr>
                <w:rFonts w:hint="eastAsia"/>
                <w:sz w:val="24"/>
                <w:lang w:val="en-US" w:eastAsia="zh-CN"/>
              </w:rPr>
              <w:t>为滨湖景观大道桥梁梁板预制场地。</w:t>
            </w:r>
          </w:p>
          <w:p>
            <w:pPr>
              <w:spacing w:line="360" w:lineRule="auto"/>
              <w:ind w:firstLine="480" w:firstLineChars="200"/>
              <w:rPr>
                <w:sz w:val="24"/>
              </w:rPr>
            </w:pPr>
            <w:r>
              <w:rPr>
                <w:rFonts w:hint="eastAsia"/>
                <w:sz w:val="24"/>
                <w:lang w:eastAsia="zh-CN"/>
              </w:rPr>
              <w:t>河南华东路桥建设有限公司9000平方米梁板预制场项目</w:t>
            </w:r>
            <w:r>
              <w:rPr>
                <w:rFonts w:hint="eastAsia"/>
                <w:sz w:val="24"/>
              </w:rPr>
              <w:t>已于2018年</w:t>
            </w:r>
            <w:r>
              <w:rPr>
                <w:rFonts w:hint="eastAsia"/>
                <w:sz w:val="24"/>
                <w:lang w:val="en-US" w:eastAsia="zh-CN"/>
              </w:rPr>
              <w:t>6</w:t>
            </w:r>
            <w:r>
              <w:rPr>
                <w:rFonts w:hint="eastAsia"/>
                <w:sz w:val="24"/>
              </w:rPr>
              <w:t>月</w:t>
            </w:r>
            <w:r>
              <w:rPr>
                <w:rFonts w:hint="eastAsia"/>
                <w:sz w:val="24"/>
                <w:lang w:val="en-US" w:eastAsia="zh-CN"/>
              </w:rPr>
              <w:t>27</w:t>
            </w:r>
            <w:r>
              <w:rPr>
                <w:rFonts w:hint="eastAsia"/>
                <w:sz w:val="24"/>
              </w:rPr>
              <w:t>日在</w:t>
            </w:r>
            <w:r>
              <w:rPr>
                <w:rFonts w:hint="eastAsia"/>
                <w:sz w:val="24"/>
                <w:lang w:eastAsia="zh-CN"/>
              </w:rPr>
              <w:t>济源</w:t>
            </w:r>
            <w:r>
              <w:rPr>
                <w:rFonts w:hint="eastAsia"/>
                <w:sz w:val="24"/>
              </w:rPr>
              <w:t>市发展和改革委员会备案，项目代码为：</w:t>
            </w:r>
            <w:r>
              <w:rPr>
                <w:rFonts w:hint="eastAsia"/>
                <w:sz w:val="24"/>
                <w:lang w:eastAsia="zh-CN"/>
              </w:rPr>
              <w:t>2018-419001-48-03-040687</w:t>
            </w:r>
            <w:r>
              <w:rPr>
                <w:rFonts w:hint="eastAsia"/>
                <w:sz w:val="24"/>
              </w:rPr>
              <w:t>。</w:t>
            </w:r>
          </w:p>
          <w:p>
            <w:pPr>
              <w:spacing w:line="360" w:lineRule="auto"/>
              <w:ind w:firstLine="480" w:firstLineChars="200"/>
              <w:rPr>
                <w:rFonts w:hAnsi="宋体"/>
                <w:sz w:val="24"/>
              </w:rPr>
            </w:pPr>
            <w:r>
              <w:rPr>
                <w:rFonts w:hint="eastAsia" w:hAnsi="宋体"/>
                <w:bCs/>
                <w:sz w:val="24"/>
              </w:rPr>
              <w:t>查阅《国民经济行业分类》（</w:t>
            </w:r>
            <w:r>
              <w:rPr>
                <w:rFonts w:hAnsi="宋体"/>
                <w:bCs/>
                <w:sz w:val="24"/>
              </w:rPr>
              <w:t>GB/T 4754-2017</w:t>
            </w:r>
            <w:r>
              <w:rPr>
                <w:rFonts w:hint="eastAsia" w:hAnsi="宋体"/>
                <w:bCs/>
                <w:sz w:val="24"/>
              </w:rPr>
              <w:t>）（按第1号修改单修订），本项目属于“</w:t>
            </w:r>
            <w:r>
              <w:rPr>
                <w:rFonts w:hint="eastAsia"/>
                <w:sz w:val="24"/>
              </w:rPr>
              <w:t>C</w:t>
            </w:r>
            <w:r>
              <w:rPr>
                <w:rFonts w:hint="eastAsia"/>
                <w:sz w:val="24"/>
                <w:lang w:val="en-US" w:eastAsia="zh-CN"/>
              </w:rPr>
              <w:t>3022</w:t>
            </w:r>
            <w:r>
              <w:rPr>
                <w:rFonts w:hint="eastAsia"/>
                <w:sz w:val="24"/>
                <w:lang w:eastAsia="zh-CN"/>
              </w:rPr>
              <w:t>砼结构构件制造</w:t>
            </w:r>
            <w:r>
              <w:rPr>
                <w:rFonts w:hint="eastAsia" w:hAnsi="宋体"/>
                <w:bCs/>
                <w:sz w:val="24"/>
              </w:rPr>
              <w:t>”。</w:t>
            </w:r>
            <w:r>
              <w:rPr>
                <w:rFonts w:hint="eastAsia"/>
                <w:spacing w:val="2"/>
                <w:sz w:val="24"/>
                <w:szCs w:val="24"/>
              </w:rPr>
              <w:t>经查阅《产业结构调整指导目录（201</w:t>
            </w:r>
            <w:r>
              <w:rPr>
                <w:rFonts w:hint="eastAsia"/>
                <w:spacing w:val="2"/>
                <w:sz w:val="24"/>
                <w:szCs w:val="24"/>
                <w:lang w:val="en-US" w:eastAsia="zh-CN"/>
              </w:rPr>
              <w:t>9</w:t>
            </w:r>
            <w:r>
              <w:rPr>
                <w:rFonts w:hint="eastAsia"/>
                <w:spacing w:val="2"/>
                <w:sz w:val="24"/>
                <w:szCs w:val="24"/>
              </w:rPr>
              <w:t>年本）》，本项目不属于鼓励类、淘汰类和限制类项目，为允许类项目，且项目所用设备中无限制类或淘汰类设备，符合国家产业政策</w:t>
            </w:r>
            <w:r>
              <w:rPr>
                <w:rFonts w:hint="eastAsia" w:hAnsi="宋体"/>
                <w:sz w:val="24"/>
              </w:rPr>
              <w:t>。</w:t>
            </w:r>
          </w:p>
          <w:p>
            <w:pPr>
              <w:spacing w:line="360" w:lineRule="auto"/>
              <w:ind w:firstLine="480" w:firstLineChars="200"/>
              <w:rPr>
                <w:rFonts w:hAnsi="宋体"/>
                <w:sz w:val="24"/>
              </w:rPr>
            </w:pPr>
            <w:r>
              <w:rPr>
                <w:rFonts w:hAnsi="宋体"/>
                <w:bCs/>
                <w:sz w:val="24"/>
              </w:rPr>
              <w:t>根据《中华人民共和国环境保护法》、《中华人民共和国环境影响评价法》和</w:t>
            </w:r>
            <w:r>
              <w:rPr>
                <w:sz w:val="24"/>
              </w:rPr>
              <w:t>《建设项目环境保护管理条例》</w:t>
            </w:r>
            <w:r>
              <w:rPr>
                <w:rFonts w:hint="eastAsia"/>
                <w:sz w:val="24"/>
              </w:rPr>
              <w:t>（</w:t>
            </w:r>
            <w:r>
              <w:rPr>
                <w:sz w:val="24"/>
              </w:rPr>
              <w:t>国务院令第682号</w:t>
            </w:r>
            <w:r>
              <w:rPr>
                <w:rFonts w:hint="eastAsia"/>
                <w:sz w:val="24"/>
              </w:rPr>
              <w:t>）</w:t>
            </w:r>
            <w:r>
              <w:rPr>
                <w:rFonts w:hAnsi="宋体"/>
                <w:bCs/>
                <w:sz w:val="24"/>
              </w:rPr>
              <w:t>的要求</w:t>
            </w:r>
            <w:r>
              <w:rPr>
                <w:rFonts w:hint="eastAsia" w:hAnsi="宋体"/>
                <w:bCs/>
                <w:sz w:val="24"/>
              </w:rPr>
              <w:t>，</w:t>
            </w:r>
            <w:r>
              <w:rPr>
                <w:rFonts w:hint="eastAsia" w:hAnsi="宋体"/>
                <w:bCs/>
                <w:sz w:val="24"/>
                <w:lang w:eastAsia="zh-CN"/>
              </w:rPr>
              <w:t>河南华东路桥建设有限公司9000平方米梁板预制场项目</w:t>
            </w:r>
            <w:r>
              <w:rPr>
                <w:rFonts w:hint="eastAsia" w:hAnsi="宋体"/>
                <w:bCs/>
                <w:sz w:val="24"/>
              </w:rPr>
              <w:t>应进行环境影响评价。根据《建设项目环境影响评价分类管理名录》（环境保护部令第44号）及其2018年修改单，</w:t>
            </w:r>
            <w:r>
              <w:rPr>
                <w:rFonts w:hint="eastAsia" w:hAnsi="宋体"/>
                <w:sz w:val="24"/>
              </w:rPr>
              <w:t>本项目属于</w:t>
            </w:r>
            <w:r>
              <w:rPr>
                <w:rFonts w:hint="eastAsia"/>
                <w:spacing w:val="2"/>
                <w:sz w:val="24"/>
                <w:szCs w:val="24"/>
              </w:rPr>
              <w:t>“</w:t>
            </w:r>
            <w:r>
              <w:rPr>
                <w:rFonts w:hint="eastAsia"/>
                <w:spacing w:val="2"/>
                <w:sz w:val="24"/>
                <w:szCs w:val="24"/>
                <w:lang w:eastAsia="zh-CN"/>
              </w:rPr>
              <w:t>十九</w:t>
            </w:r>
            <w:r>
              <w:rPr>
                <w:rFonts w:hint="eastAsia"/>
                <w:spacing w:val="2"/>
                <w:sz w:val="24"/>
                <w:szCs w:val="24"/>
              </w:rPr>
              <w:t>、废</w:t>
            </w:r>
            <w:r>
              <w:rPr>
                <w:rFonts w:hint="eastAsia"/>
                <w:spacing w:val="2"/>
                <w:sz w:val="24"/>
                <w:szCs w:val="24"/>
                <w:lang w:eastAsia="zh-CN"/>
              </w:rPr>
              <w:t>金属矿物制品业，</w:t>
            </w:r>
            <w:r>
              <w:rPr>
                <w:rFonts w:hint="eastAsia"/>
                <w:spacing w:val="2"/>
                <w:sz w:val="24"/>
                <w:szCs w:val="24"/>
                <w:lang w:val="en-US" w:eastAsia="zh-CN"/>
              </w:rPr>
              <w:t>50</w:t>
            </w:r>
            <w:r>
              <w:rPr>
                <w:rFonts w:hint="eastAsia"/>
                <w:spacing w:val="2"/>
                <w:sz w:val="24"/>
                <w:szCs w:val="24"/>
                <w:lang w:eastAsia="zh-CN"/>
              </w:rPr>
              <w:t>、砼结构构件制造、商品混凝土加工</w:t>
            </w:r>
            <w:r>
              <w:rPr>
                <w:rFonts w:hint="eastAsia"/>
                <w:sz w:val="24"/>
              </w:rPr>
              <w:t>”</w:t>
            </w:r>
            <w:r>
              <w:rPr>
                <w:rFonts w:hint="eastAsia" w:hAnsi="宋体"/>
                <w:sz w:val="24"/>
              </w:rPr>
              <w:t>，应编制环境影响报告表。</w:t>
            </w:r>
          </w:p>
          <w:p>
            <w:pPr>
              <w:spacing w:line="360" w:lineRule="auto"/>
              <w:ind w:firstLine="480" w:firstLineChars="200"/>
              <w:rPr>
                <w:rFonts w:hAnsi="宋体"/>
                <w:bCs/>
                <w:sz w:val="24"/>
              </w:rPr>
            </w:pPr>
            <w:r>
              <w:rPr>
                <w:rFonts w:hint="eastAsia" w:hAnsi="宋体"/>
                <w:bCs/>
                <w:sz w:val="24"/>
              </w:rPr>
              <w:t>受建设单位委托（委托书见附件1），</w:t>
            </w:r>
            <w:r>
              <w:rPr>
                <w:rFonts w:hint="eastAsia" w:hAnsi="宋体"/>
                <w:bCs/>
                <w:sz w:val="24"/>
                <w:lang w:eastAsia="zh-CN"/>
              </w:rPr>
              <w:t>我</w:t>
            </w:r>
            <w:r>
              <w:rPr>
                <w:rFonts w:hint="eastAsia" w:hAnsi="宋体"/>
                <w:bCs/>
                <w:sz w:val="24"/>
              </w:rPr>
              <w:t>公司承担了该项目的环境影响评价工作，在现场勘察、资料分析和专家咨询的基础上，遵循国家环境保护法律法规，贯彻执行达标排放、总量控制的原则，本着客观、公正、科学、规范的要求，编制完成了该项目环境影响报告表。</w:t>
            </w:r>
          </w:p>
          <w:p>
            <w:pPr>
              <w:pStyle w:val="8"/>
              <w:spacing w:line="360" w:lineRule="auto"/>
              <w:ind w:firstLine="482" w:firstLineChars="200"/>
              <w:rPr>
                <w:rFonts w:hAnsi="宋体"/>
                <w:b/>
              </w:rPr>
            </w:pPr>
            <w:r>
              <w:rPr>
                <w:rFonts w:hint="eastAsia" w:hAnsi="宋体"/>
                <w:b/>
                <w:lang w:eastAsia="zh-CN"/>
              </w:rPr>
              <w:t>二</w:t>
            </w:r>
            <w:r>
              <w:rPr>
                <w:rFonts w:hint="eastAsia" w:hAnsi="宋体"/>
                <w:b/>
              </w:rPr>
              <w:t>、工程概况</w:t>
            </w:r>
          </w:p>
          <w:p>
            <w:pPr>
              <w:pStyle w:val="8"/>
              <w:spacing w:line="360" w:lineRule="auto"/>
              <w:ind w:firstLine="482" w:firstLineChars="200"/>
              <w:rPr>
                <w:b/>
                <w:szCs w:val="24"/>
              </w:rPr>
            </w:pPr>
            <w:r>
              <w:rPr>
                <w:b/>
                <w:szCs w:val="24"/>
              </w:rPr>
              <w:t>1</w:t>
            </w:r>
            <w:r>
              <w:rPr>
                <w:rFonts w:hint="eastAsia"/>
                <w:b/>
                <w:szCs w:val="24"/>
                <w:lang w:eastAsia="zh-CN"/>
              </w:rPr>
              <w:t>.</w:t>
            </w:r>
            <w:r>
              <w:rPr>
                <w:b/>
                <w:szCs w:val="24"/>
              </w:rPr>
              <w:t>项目基本内容</w:t>
            </w:r>
          </w:p>
          <w:p>
            <w:pPr>
              <w:spacing w:line="240" w:lineRule="auto"/>
              <w:jc w:val="center"/>
              <w:rPr>
                <w:rFonts w:hint="eastAsia" w:ascii="黑体" w:hAnsi="黑体" w:eastAsia="黑体" w:cs="黑体"/>
                <w:b w:val="0"/>
                <w:bCs/>
                <w:sz w:val="24"/>
              </w:rPr>
            </w:pPr>
            <w:r>
              <w:rPr>
                <w:rFonts w:hint="eastAsia" w:ascii="黑体" w:hAnsi="黑体" w:eastAsia="黑体" w:cs="黑体"/>
                <w:b w:val="0"/>
                <w:bCs/>
                <w:sz w:val="24"/>
              </w:rPr>
              <w:t>表</w:t>
            </w:r>
            <w:r>
              <w:rPr>
                <w:rFonts w:hint="eastAsia" w:ascii="黑体" w:hAnsi="黑体" w:eastAsia="黑体" w:cs="黑体"/>
                <w:b w:val="0"/>
                <w:bCs/>
                <w:sz w:val="24"/>
                <w:lang w:val="en-US" w:eastAsia="zh-CN"/>
              </w:rPr>
              <w:t>1</w:t>
            </w:r>
            <w:r>
              <w:rPr>
                <w:rFonts w:hint="eastAsia" w:ascii="黑体" w:hAnsi="黑体" w:eastAsia="黑体" w:cs="黑体"/>
                <w:b w:val="0"/>
                <w:bCs/>
                <w:sz w:val="24"/>
              </w:rPr>
              <w:t xml:space="preserve">  项目基本情况一览表</w:t>
            </w:r>
          </w:p>
          <w:tbl>
            <w:tblPr>
              <w:tblStyle w:val="31"/>
              <w:tblW w:w="9041"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108" w:type="dxa"/>
                <w:bottom w:w="0" w:type="dxa"/>
                <w:right w:w="108" w:type="dxa"/>
              </w:tblCellMar>
            </w:tblPr>
            <w:tblGrid>
              <w:gridCol w:w="732"/>
              <w:gridCol w:w="1212"/>
              <w:gridCol w:w="7097"/>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序号</w:t>
                  </w:r>
                </w:p>
              </w:tc>
              <w:tc>
                <w:tcPr>
                  <w:tcW w:w="1212" w:type="dxa"/>
                  <w:tcBorders>
                    <w:tl2br w:val="nil"/>
                    <w:tr2bl w:val="nil"/>
                  </w:tcBorders>
                  <w:vAlign w:val="center"/>
                </w:tcPr>
                <w:p>
                  <w:pPr>
                    <w:widowControl/>
                    <w:jc w:val="center"/>
                    <w:rPr>
                      <w:szCs w:val="21"/>
                    </w:rPr>
                  </w:pPr>
                  <w:r>
                    <w:rPr>
                      <w:szCs w:val="21"/>
                    </w:rPr>
                    <w:t>项目</w:t>
                  </w:r>
                </w:p>
              </w:tc>
              <w:tc>
                <w:tcPr>
                  <w:tcW w:w="7097" w:type="dxa"/>
                  <w:tcBorders>
                    <w:tl2br w:val="nil"/>
                    <w:tr2bl w:val="nil"/>
                  </w:tcBorders>
                  <w:vAlign w:val="center"/>
                </w:tcPr>
                <w:p>
                  <w:pPr>
                    <w:widowControl/>
                    <w:jc w:val="center"/>
                    <w:rPr>
                      <w:szCs w:val="21"/>
                    </w:rPr>
                  </w:pPr>
                  <w:r>
                    <w:rPr>
                      <w:szCs w:val="21"/>
                    </w:rPr>
                    <w:t>内容</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1</w:t>
                  </w:r>
                </w:p>
              </w:tc>
              <w:tc>
                <w:tcPr>
                  <w:tcW w:w="1212" w:type="dxa"/>
                  <w:tcBorders>
                    <w:tl2br w:val="nil"/>
                    <w:tr2bl w:val="nil"/>
                  </w:tcBorders>
                  <w:vAlign w:val="center"/>
                </w:tcPr>
                <w:p>
                  <w:pPr>
                    <w:widowControl/>
                    <w:jc w:val="center"/>
                    <w:rPr>
                      <w:szCs w:val="21"/>
                    </w:rPr>
                  </w:pPr>
                  <w:r>
                    <w:rPr>
                      <w:szCs w:val="21"/>
                    </w:rPr>
                    <w:t>项目名称</w:t>
                  </w:r>
                </w:p>
              </w:tc>
              <w:tc>
                <w:tcPr>
                  <w:tcW w:w="7097" w:type="dxa"/>
                  <w:tcBorders>
                    <w:tl2br w:val="nil"/>
                    <w:tr2bl w:val="nil"/>
                  </w:tcBorders>
                  <w:vAlign w:val="center"/>
                </w:tcPr>
                <w:p>
                  <w:pPr>
                    <w:widowControl/>
                    <w:jc w:val="center"/>
                    <w:rPr>
                      <w:rFonts w:hint="eastAsia" w:eastAsia="宋体"/>
                      <w:szCs w:val="21"/>
                      <w:lang w:eastAsia="zh-CN"/>
                    </w:rPr>
                  </w:pPr>
                  <w:r>
                    <w:rPr>
                      <w:rFonts w:hint="eastAsia" w:hAnsi="宋体"/>
                      <w:szCs w:val="21"/>
                      <w:lang w:eastAsia="zh-CN"/>
                    </w:rPr>
                    <w:t>9000平方米梁板预制场</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2</w:t>
                  </w:r>
                </w:p>
              </w:tc>
              <w:tc>
                <w:tcPr>
                  <w:tcW w:w="1212" w:type="dxa"/>
                  <w:tcBorders>
                    <w:tl2br w:val="nil"/>
                    <w:tr2bl w:val="nil"/>
                  </w:tcBorders>
                  <w:vAlign w:val="center"/>
                </w:tcPr>
                <w:p>
                  <w:pPr>
                    <w:widowControl/>
                    <w:jc w:val="center"/>
                    <w:rPr>
                      <w:szCs w:val="21"/>
                    </w:rPr>
                  </w:pPr>
                  <w:r>
                    <w:rPr>
                      <w:szCs w:val="21"/>
                    </w:rPr>
                    <w:t>建设单位</w:t>
                  </w:r>
                </w:p>
              </w:tc>
              <w:tc>
                <w:tcPr>
                  <w:tcW w:w="7097" w:type="dxa"/>
                  <w:tcBorders>
                    <w:tl2br w:val="nil"/>
                    <w:tr2bl w:val="nil"/>
                  </w:tcBorders>
                  <w:vAlign w:val="center"/>
                </w:tcPr>
                <w:p>
                  <w:pPr>
                    <w:widowControl/>
                    <w:jc w:val="center"/>
                    <w:rPr>
                      <w:rFonts w:hint="eastAsia" w:eastAsia="宋体"/>
                      <w:szCs w:val="21"/>
                      <w:lang w:eastAsia="zh-CN"/>
                    </w:rPr>
                  </w:pPr>
                  <w:r>
                    <w:rPr>
                      <w:rFonts w:hint="eastAsia" w:hAnsi="宋体"/>
                      <w:szCs w:val="21"/>
                      <w:lang w:eastAsia="zh-CN"/>
                    </w:rPr>
                    <w:t>河南华东路桥建设有限公司</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3</w:t>
                  </w:r>
                </w:p>
              </w:tc>
              <w:tc>
                <w:tcPr>
                  <w:tcW w:w="1212" w:type="dxa"/>
                  <w:tcBorders>
                    <w:tl2br w:val="nil"/>
                    <w:tr2bl w:val="nil"/>
                  </w:tcBorders>
                  <w:vAlign w:val="center"/>
                </w:tcPr>
                <w:p>
                  <w:pPr>
                    <w:widowControl/>
                    <w:jc w:val="center"/>
                    <w:rPr>
                      <w:szCs w:val="21"/>
                    </w:rPr>
                  </w:pPr>
                  <w:r>
                    <w:rPr>
                      <w:szCs w:val="21"/>
                    </w:rPr>
                    <w:t>建设性质</w:t>
                  </w:r>
                </w:p>
              </w:tc>
              <w:tc>
                <w:tcPr>
                  <w:tcW w:w="7097" w:type="dxa"/>
                  <w:tcBorders>
                    <w:tl2br w:val="nil"/>
                    <w:tr2bl w:val="nil"/>
                  </w:tcBorders>
                  <w:vAlign w:val="center"/>
                </w:tcPr>
                <w:p>
                  <w:pPr>
                    <w:widowControl/>
                    <w:jc w:val="center"/>
                    <w:rPr>
                      <w:szCs w:val="21"/>
                    </w:rPr>
                  </w:pPr>
                  <w:r>
                    <w:rPr>
                      <w:rFonts w:hint="eastAsia"/>
                      <w:szCs w:val="21"/>
                      <w:lang w:eastAsia="zh-CN"/>
                    </w:rPr>
                    <w:t>新</w:t>
                  </w:r>
                  <w:r>
                    <w:rPr>
                      <w:rFonts w:hint="eastAsia"/>
                      <w:szCs w:val="21"/>
                    </w:rPr>
                    <w:t>建</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4</w:t>
                  </w:r>
                </w:p>
              </w:tc>
              <w:tc>
                <w:tcPr>
                  <w:tcW w:w="1212" w:type="dxa"/>
                  <w:tcBorders>
                    <w:tl2br w:val="nil"/>
                    <w:tr2bl w:val="nil"/>
                  </w:tcBorders>
                  <w:vAlign w:val="center"/>
                </w:tcPr>
                <w:p>
                  <w:pPr>
                    <w:widowControl/>
                    <w:jc w:val="center"/>
                    <w:rPr>
                      <w:szCs w:val="21"/>
                    </w:rPr>
                  </w:pPr>
                  <w:r>
                    <w:rPr>
                      <w:szCs w:val="21"/>
                    </w:rPr>
                    <w:t>建设地点</w:t>
                  </w:r>
                </w:p>
              </w:tc>
              <w:tc>
                <w:tcPr>
                  <w:tcW w:w="7097" w:type="dxa"/>
                  <w:tcBorders>
                    <w:tl2br w:val="nil"/>
                    <w:tr2bl w:val="nil"/>
                  </w:tcBorders>
                  <w:vAlign w:val="center"/>
                </w:tcPr>
                <w:p>
                  <w:pPr>
                    <w:widowControl/>
                    <w:jc w:val="center"/>
                    <w:rPr>
                      <w:rFonts w:hint="eastAsia" w:eastAsia="宋体"/>
                      <w:szCs w:val="21"/>
                      <w:lang w:eastAsia="zh-CN"/>
                    </w:rPr>
                  </w:pPr>
                  <w:r>
                    <w:rPr>
                      <w:rFonts w:hint="eastAsia"/>
                      <w:szCs w:val="21"/>
                      <w:lang w:eastAsia="zh-CN"/>
                    </w:rPr>
                    <w:t>济源市坡头镇高新路东侧中段</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5</w:t>
                  </w:r>
                </w:p>
              </w:tc>
              <w:tc>
                <w:tcPr>
                  <w:tcW w:w="1212" w:type="dxa"/>
                  <w:tcBorders>
                    <w:tl2br w:val="nil"/>
                    <w:tr2bl w:val="nil"/>
                  </w:tcBorders>
                  <w:vAlign w:val="center"/>
                </w:tcPr>
                <w:p>
                  <w:pPr>
                    <w:widowControl/>
                    <w:jc w:val="center"/>
                    <w:rPr>
                      <w:szCs w:val="21"/>
                    </w:rPr>
                  </w:pPr>
                  <w:r>
                    <w:rPr>
                      <w:szCs w:val="21"/>
                    </w:rPr>
                    <w:t>工程投资</w:t>
                  </w:r>
                </w:p>
              </w:tc>
              <w:tc>
                <w:tcPr>
                  <w:tcW w:w="7097" w:type="dxa"/>
                  <w:tcBorders>
                    <w:tl2br w:val="nil"/>
                    <w:tr2bl w:val="nil"/>
                  </w:tcBorders>
                  <w:vAlign w:val="center"/>
                </w:tcPr>
                <w:p>
                  <w:pPr>
                    <w:widowControl/>
                    <w:jc w:val="center"/>
                    <w:rPr>
                      <w:szCs w:val="21"/>
                    </w:rPr>
                  </w:pPr>
                  <w:r>
                    <w:rPr>
                      <w:szCs w:val="21"/>
                    </w:rPr>
                    <w:t>总投资</w:t>
                  </w:r>
                  <w:r>
                    <w:rPr>
                      <w:rFonts w:hint="eastAsia"/>
                      <w:color w:val="auto"/>
                      <w:szCs w:val="21"/>
                      <w:lang w:val="en-US" w:eastAsia="zh-CN"/>
                    </w:rPr>
                    <w:t>15</w:t>
                  </w:r>
                  <w:r>
                    <w:rPr>
                      <w:rFonts w:hint="eastAsia"/>
                      <w:color w:val="auto"/>
                      <w:szCs w:val="21"/>
                    </w:rPr>
                    <w:t>0</w:t>
                  </w:r>
                  <w:r>
                    <w:rPr>
                      <w:color w:val="auto"/>
                      <w:szCs w:val="21"/>
                    </w:rPr>
                    <w:t>万元，</w:t>
                  </w:r>
                  <w:r>
                    <w:rPr>
                      <w:color w:val="auto"/>
                      <w:szCs w:val="21"/>
                      <w:highlight w:val="none"/>
                    </w:rPr>
                    <w:t>环保投资</w:t>
                  </w:r>
                  <w:r>
                    <w:rPr>
                      <w:rFonts w:hint="eastAsia"/>
                      <w:color w:val="auto"/>
                      <w:szCs w:val="21"/>
                      <w:highlight w:val="none"/>
                      <w:lang w:val="en-US" w:eastAsia="zh-CN"/>
                    </w:rPr>
                    <w:t>13</w:t>
                  </w:r>
                  <w:r>
                    <w:rPr>
                      <w:color w:val="auto"/>
                      <w:szCs w:val="21"/>
                      <w:highlight w:val="none"/>
                    </w:rPr>
                    <w:t>万元</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rFonts w:hint="eastAsia"/>
                      <w:szCs w:val="21"/>
                    </w:rPr>
                    <w:t>6</w:t>
                  </w:r>
                </w:p>
              </w:tc>
              <w:tc>
                <w:tcPr>
                  <w:tcW w:w="1212" w:type="dxa"/>
                  <w:tcBorders>
                    <w:tl2br w:val="nil"/>
                    <w:tr2bl w:val="nil"/>
                  </w:tcBorders>
                  <w:vAlign w:val="center"/>
                </w:tcPr>
                <w:p>
                  <w:pPr>
                    <w:widowControl/>
                    <w:jc w:val="center"/>
                    <w:rPr>
                      <w:szCs w:val="21"/>
                    </w:rPr>
                  </w:pPr>
                  <w:r>
                    <w:rPr>
                      <w:szCs w:val="21"/>
                    </w:rPr>
                    <w:t>建设内容</w:t>
                  </w:r>
                </w:p>
              </w:tc>
              <w:tc>
                <w:tcPr>
                  <w:tcW w:w="7097" w:type="dxa"/>
                  <w:tcBorders>
                    <w:tl2br w:val="nil"/>
                    <w:tr2bl w:val="nil"/>
                  </w:tcBorders>
                  <w:vAlign w:val="center"/>
                </w:tcPr>
                <w:p>
                  <w:pPr>
                    <w:widowControl/>
                    <w:jc w:val="center"/>
                    <w:rPr>
                      <w:szCs w:val="21"/>
                    </w:rPr>
                  </w:pPr>
                  <w:r>
                    <w:rPr>
                      <w:rFonts w:hint="eastAsia" w:hAnsi="宋体"/>
                      <w:color w:val="auto"/>
                      <w:szCs w:val="21"/>
                    </w:rPr>
                    <w:t>总占地面积</w:t>
                  </w:r>
                  <w:r>
                    <w:rPr>
                      <w:rFonts w:hint="eastAsia" w:hAnsi="宋体"/>
                      <w:color w:val="auto"/>
                      <w:szCs w:val="21"/>
                      <w:lang w:val="en-US" w:eastAsia="zh-CN"/>
                    </w:rPr>
                    <w:t>9000</w:t>
                  </w:r>
                  <w:r>
                    <w:rPr>
                      <w:rFonts w:hint="eastAsia" w:hAnsi="宋体"/>
                      <w:color w:val="auto"/>
                      <w:szCs w:val="21"/>
                    </w:rPr>
                    <w:t>m</w:t>
                  </w:r>
                  <w:r>
                    <w:rPr>
                      <w:rFonts w:hint="eastAsia" w:hAnsi="宋体"/>
                      <w:color w:val="auto"/>
                      <w:szCs w:val="21"/>
                      <w:vertAlign w:val="superscript"/>
                    </w:rPr>
                    <w:t>2</w:t>
                  </w:r>
                  <w:r>
                    <w:rPr>
                      <w:rFonts w:hint="eastAsia" w:hAnsi="宋体"/>
                      <w:color w:val="auto"/>
                      <w:szCs w:val="21"/>
                    </w:rPr>
                    <w:t>，</w:t>
                  </w:r>
                  <w:r>
                    <w:rPr>
                      <w:rFonts w:hint="eastAsia"/>
                      <w:color w:val="auto"/>
                      <w:lang w:val="en-GB"/>
                    </w:rPr>
                    <w:t>设有</w:t>
                  </w:r>
                  <w:r>
                    <w:rPr>
                      <w:color w:val="auto"/>
                      <w:lang w:val="en-GB"/>
                    </w:rPr>
                    <w:t>办公区、生产区、仓储区</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7</w:t>
                  </w:r>
                </w:p>
              </w:tc>
              <w:tc>
                <w:tcPr>
                  <w:tcW w:w="1212" w:type="dxa"/>
                  <w:tcBorders>
                    <w:tl2br w:val="nil"/>
                    <w:tr2bl w:val="nil"/>
                  </w:tcBorders>
                  <w:vAlign w:val="center"/>
                </w:tcPr>
                <w:p>
                  <w:pPr>
                    <w:widowControl/>
                    <w:jc w:val="center"/>
                    <w:rPr>
                      <w:szCs w:val="21"/>
                    </w:rPr>
                  </w:pPr>
                  <w:r>
                    <w:rPr>
                      <w:szCs w:val="21"/>
                    </w:rPr>
                    <w:t>建设规模</w:t>
                  </w:r>
                </w:p>
              </w:tc>
              <w:tc>
                <w:tcPr>
                  <w:tcW w:w="7097" w:type="dxa"/>
                  <w:tcBorders>
                    <w:tl2br w:val="nil"/>
                    <w:tr2bl w:val="nil"/>
                  </w:tcBorders>
                  <w:vAlign w:val="center"/>
                </w:tcPr>
                <w:p>
                  <w:pPr>
                    <w:jc w:val="center"/>
                    <w:rPr>
                      <w:sz w:val="21"/>
                      <w:szCs w:val="21"/>
                    </w:rPr>
                  </w:pPr>
                  <w:r>
                    <w:rPr>
                      <w:rFonts w:hint="eastAsia" w:hAnsi="宋体"/>
                      <w:color w:val="auto"/>
                      <w:szCs w:val="21"/>
                      <w:highlight w:val="none"/>
                      <w:lang w:val="en-US" w:eastAsia="zh-CN"/>
                    </w:rPr>
                    <w:t>预制梁场运营期为2年，共生产预制件188片，共有40m箱梁预制台座2个；25m箱梁预制台座共2个，20米空心板预制台座2个</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8</w:t>
                  </w:r>
                </w:p>
              </w:tc>
              <w:tc>
                <w:tcPr>
                  <w:tcW w:w="1212" w:type="dxa"/>
                  <w:tcBorders>
                    <w:tl2br w:val="nil"/>
                    <w:tr2bl w:val="nil"/>
                  </w:tcBorders>
                  <w:vAlign w:val="center"/>
                </w:tcPr>
                <w:p>
                  <w:pPr>
                    <w:widowControl/>
                    <w:jc w:val="center"/>
                    <w:rPr>
                      <w:szCs w:val="21"/>
                    </w:rPr>
                  </w:pPr>
                  <w:r>
                    <w:rPr>
                      <w:szCs w:val="21"/>
                    </w:rPr>
                    <w:t>劳动定员</w:t>
                  </w:r>
                </w:p>
              </w:tc>
              <w:tc>
                <w:tcPr>
                  <w:tcW w:w="7097" w:type="dxa"/>
                  <w:tcBorders>
                    <w:tl2br w:val="nil"/>
                    <w:tr2bl w:val="nil"/>
                  </w:tcBorders>
                  <w:vAlign w:val="center"/>
                </w:tcPr>
                <w:p>
                  <w:pPr>
                    <w:widowControl/>
                    <w:jc w:val="center"/>
                    <w:rPr>
                      <w:rFonts w:hint="default" w:eastAsia="宋体"/>
                      <w:szCs w:val="21"/>
                      <w:lang w:val="en-US" w:eastAsia="zh-CN"/>
                    </w:rPr>
                  </w:pPr>
                  <w:r>
                    <w:rPr>
                      <w:rFonts w:hint="eastAsia" w:hAnsi="宋体"/>
                      <w:kern w:val="0"/>
                      <w:szCs w:val="21"/>
                      <w:highlight w:val="none"/>
                      <w:lang w:eastAsia="zh-CN"/>
                    </w:rPr>
                    <w:t>本项目劳动定员</w:t>
                  </w:r>
                  <w:r>
                    <w:rPr>
                      <w:rFonts w:hint="eastAsia" w:hAnsi="宋体"/>
                      <w:color w:val="auto"/>
                      <w:kern w:val="0"/>
                      <w:szCs w:val="21"/>
                      <w:highlight w:val="none"/>
                      <w:lang w:val="en-US" w:eastAsia="zh-CN"/>
                    </w:rPr>
                    <w:t>25人</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32" w:type="dxa"/>
                  <w:tcBorders>
                    <w:tl2br w:val="nil"/>
                    <w:tr2bl w:val="nil"/>
                  </w:tcBorders>
                  <w:vAlign w:val="center"/>
                </w:tcPr>
                <w:p>
                  <w:pPr>
                    <w:widowControl/>
                    <w:jc w:val="center"/>
                    <w:rPr>
                      <w:szCs w:val="21"/>
                    </w:rPr>
                  </w:pPr>
                  <w:r>
                    <w:rPr>
                      <w:szCs w:val="21"/>
                    </w:rPr>
                    <w:t>9</w:t>
                  </w:r>
                </w:p>
              </w:tc>
              <w:tc>
                <w:tcPr>
                  <w:tcW w:w="1212" w:type="dxa"/>
                  <w:tcBorders>
                    <w:tl2br w:val="nil"/>
                    <w:tr2bl w:val="nil"/>
                  </w:tcBorders>
                  <w:vAlign w:val="center"/>
                </w:tcPr>
                <w:p>
                  <w:pPr>
                    <w:widowControl/>
                    <w:jc w:val="center"/>
                    <w:rPr>
                      <w:szCs w:val="21"/>
                    </w:rPr>
                  </w:pPr>
                  <w:r>
                    <w:rPr>
                      <w:szCs w:val="21"/>
                    </w:rPr>
                    <w:t>工作制度</w:t>
                  </w:r>
                </w:p>
              </w:tc>
              <w:tc>
                <w:tcPr>
                  <w:tcW w:w="7097" w:type="dxa"/>
                  <w:tcBorders>
                    <w:tl2br w:val="nil"/>
                    <w:tr2bl w:val="nil"/>
                  </w:tcBorders>
                  <w:vAlign w:val="center"/>
                </w:tcPr>
                <w:p>
                  <w:pPr>
                    <w:widowControl/>
                    <w:jc w:val="center"/>
                    <w:rPr>
                      <w:szCs w:val="21"/>
                    </w:rPr>
                  </w:pPr>
                  <w:r>
                    <w:rPr>
                      <w:szCs w:val="21"/>
                      <w:highlight w:val="none"/>
                    </w:rPr>
                    <w:t>每年300天，</w:t>
                  </w:r>
                  <w:r>
                    <w:rPr>
                      <w:rFonts w:hint="eastAsia"/>
                      <w:color w:val="auto"/>
                      <w:szCs w:val="21"/>
                      <w:highlight w:val="none"/>
                      <w:lang w:eastAsia="zh-CN"/>
                    </w:rPr>
                    <w:t>单班制</w:t>
                  </w:r>
                  <w:r>
                    <w:rPr>
                      <w:color w:val="auto"/>
                      <w:szCs w:val="21"/>
                      <w:highlight w:val="none"/>
                    </w:rPr>
                    <w:t>，</w:t>
                  </w:r>
                  <w:r>
                    <w:rPr>
                      <w:szCs w:val="21"/>
                      <w:highlight w:val="none"/>
                    </w:rPr>
                    <w:t>每班8h</w:t>
                  </w:r>
                </w:p>
              </w:tc>
            </w:tr>
          </w:tbl>
          <w:p>
            <w:pPr>
              <w:pStyle w:val="8"/>
              <w:spacing w:line="240" w:lineRule="exact"/>
              <w:ind w:firstLine="480" w:firstLineChars="200"/>
            </w:pPr>
          </w:p>
          <w:p>
            <w:pPr>
              <w:pStyle w:val="8"/>
              <w:spacing w:line="360" w:lineRule="auto"/>
              <w:ind w:firstLine="465"/>
              <w:rPr>
                <w:b/>
                <w:kern w:val="2"/>
                <w:szCs w:val="24"/>
              </w:rPr>
            </w:pPr>
            <w:r>
              <w:rPr>
                <w:b/>
                <w:kern w:val="2"/>
                <w:szCs w:val="24"/>
              </w:rPr>
              <w:t>2</w:t>
            </w:r>
            <w:r>
              <w:rPr>
                <w:rFonts w:hint="eastAsia"/>
                <w:b/>
                <w:kern w:val="2"/>
                <w:szCs w:val="24"/>
                <w:lang w:eastAsia="zh-CN"/>
              </w:rPr>
              <w:t>.</w:t>
            </w:r>
            <w:r>
              <w:rPr>
                <w:b/>
                <w:kern w:val="2"/>
                <w:szCs w:val="24"/>
              </w:rPr>
              <w:t>厂区建设</w:t>
            </w:r>
          </w:p>
          <w:p>
            <w:pPr>
              <w:pStyle w:val="8"/>
              <w:spacing w:line="360" w:lineRule="auto"/>
              <w:ind w:firstLine="465"/>
              <w:rPr>
                <w:kern w:val="2"/>
                <w:szCs w:val="24"/>
              </w:rPr>
            </w:pPr>
            <w:r>
              <w:rPr>
                <w:rFonts w:hint="eastAsia" w:hAnsi="宋体"/>
                <w:szCs w:val="21"/>
              </w:rPr>
              <w:t>本项目</w:t>
            </w:r>
            <w:r>
              <w:rPr>
                <w:rFonts w:hint="eastAsia" w:hAnsi="宋体"/>
                <w:szCs w:val="21"/>
                <w:lang w:eastAsia="zh-CN"/>
              </w:rPr>
              <w:t>租赁济源市坡头村土地进行建设</w:t>
            </w:r>
            <w:r>
              <w:rPr>
                <w:rFonts w:hint="eastAsia" w:hAnsi="宋体"/>
                <w:color w:val="auto"/>
                <w:szCs w:val="21"/>
              </w:rPr>
              <w:t>，</w:t>
            </w:r>
            <w:r>
              <w:rPr>
                <w:rFonts w:hint="eastAsia" w:hAnsi="宋体"/>
                <w:color w:val="auto"/>
                <w:szCs w:val="21"/>
                <w:lang w:eastAsia="zh-CN"/>
              </w:rPr>
              <w:t>厂区</w:t>
            </w:r>
            <w:r>
              <w:rPr>
                <w:rFonts w:hint="eastAsia"/>
                <w:color w:val="auto"/>
                <w:lang w:val="en-GB"/>
              </w:rPr>
              <w:t>设有</w:t>
            </w:r>
            <w:r>
              <w:rPr>
                <w:color w:val="auto"/>
                <w:lang w:val="en-GB"/>
              </w:rPr>
              <w:t>办公区、生产区、仓储区</w:t>
            </w:r>
            <w:r>
              <w:rPr>
                <w:rFonts w:hint="eastAsia"/>
                <w:color w:val="auto"/>
                <w:kern w:val="2"/>
                <w:szCs w:val="24"/>
              </w:rPr>
              <w:t>，</w:t>
            </w:r>
            <w:r>
              <w:rPr>
                <w:kern w:val="2"/>
                <w:szCs w:val="24"/>
              </w:rPr>
              <w:t>厂区平面布置图见附图</w:t>
            </w:r>
            <w:r>
              <w:rPr>
                <w:rFonts w:hint="eastAsia"/>
                <w:kern w:val="2"/>
                <w:szCs w:val="24"/>
                <w:lang w:val="en-US" w:eastAsia="zh-CN"/>
              </w:rPr>
              <w:t>3</w:t>
            </w:r>
            <w:r>
              <w:rPr>
                <w:rFonts w:hint="eastAsia"/>
                <w:kern w:val="2"/>
                <w:szCs w:val="24"/>
                <w:lang w:eastAsia="zh-CN"/>
              </w:rPr>
              <w:t>，</w:t>
            </w:r>
            <w:r>
              <w:rPr>
                <w:rFonts w:hint="eastAsia"/>
                <w:kern w:val="2"/>
                <w:szCs w:val="24"/>
              </w:rPr>
              <w:t>厂区</w:t>
            </w:r>
            <w:r>
              <w:rPr>
                <w:kern w:val="2"/>
                <w:szCs w:val="24"/>
              </w:rPr>
              <w:t>主要构筑物见表</w:t>
            </w:r>
            <w:r>
              <w:rPr>
                <w:rFonts w:hint="eastAsia"/>
                <w:kern w:val="2"/>
                <w:szCs w:val="24"/>
                <w:lang w:val="en-US" w:eastAsia="zh-CN"/>
              </w:rPr>
              <w:t>2</w:t>
            </w:r>
            <w:r>
              <w:rPr>
                <w:kern w:val="2"/>
                <w:szCs w:val="24"/>
              </w:rPr>
              <w:t>。</w:t>
            </w:r>
          </w:p>
          <w:p>
            <w:pPr>
              <w:spacing w:line="240" w:lineRule="auto"/>
              <w:jc w:val="center"/>
              <w:rPr>
                <w:rFonts w:hint="eastAsia" w:ascii="黑体" w:hAnsi="黑体" w:eastAsia="黑体" w:cs="黑体"/>
                <w:b w:val="0"/>
                <w:bCs/>
                <w:color w:val="auto"/>
                <w:sz w:val="24"/>
              </w:rPr>
            </w:pPr>
            <w:r>
              <w:rPr>
                <w:rFonts w:hint="eastAsia" w:ascii="黑体" w:hAnsi="黑体" w:eastAsia="黑体" w:cs="黑体"/>
                <w:b w:val="0"/>
                <w:bCs/>
                <w:color w:val="auto"/>
                <w:sz w:val="24"/>
              </w:rPr>
              <w:t>表</w:t>
            </w:r>
            <w:r>
              <w:rPr>
                <w:rFonts w:hint="eastAsia" w:ascii="黑体" w:hAnsi="黑体" w:eastAsia="黑体" w:cs="黑体"/>
                <w:b w:val="0"/>
                <w:bCs/>
                <w:color w:val="auto"/>
                <w:sz w:val="24"/>
                <w:lang w:val="en-US" w:eastAsia="zh-CN"/>
              </w:rPr>
              <w:t xml:space="preserve">2 </w:t>
            </w:r>
            <w:r>
              <w:rPr>
                <w:rFonts w:hint="eastAsia" w:ascii="黑体" w:hAnsi="黑体" w:eastAsia="黑体" w:cs="黑体"/>
                <w:b w:val="0"/>
                <w:bCs/>
                <w:color w:val="auto"/>
                <w:sz w:val="24"/>
              </w:rPr>
              <w:t xml:space="preserve"> 厂区主要构筑物</w:t>
            </w:r>
          </w:p>
          <w:tbl>
            <w:tblPr>
              <w:tblStyle w:val="31"/>
              <w:tblW w:w="9041"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108" w:type="dxa"/>
                <w:bottom w:w="0" w:type="dxa"/>
                <w:right w:w="108" w:type="dxa"/>
              </w:tblCellMar>
            </w:tblPr>
            <w:tblGrid>
              <w:gridCol w:w="703"/>
              <w:gridCol w:w="1501"/>
              <w:gridCol w:w="5570"/>
              <w:gridCol w:w="1267"/>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tcBorders>
                    <w:tl2br w:val="nil"/>
                    <w:tr2bl w:val="nil"/>
                  </w:tcBorders>
                  <w:vAlign w:val="center"/>
                </w:tcPr>
                <w:p>
                  <w:pPr>
                    <w:jc w:val="center"/>
                    <w:rPr>
                      <w:szCs w:val="21"/>
                    </w:rPr>
                  </w:pPr>
                  <w:r>
                    <w:rPr>
                      <w:szCs w:val="21"/>
                    </w:rPr>
                    <w:t>类别</w:t>
                  </w:r>
                </w:p>
              </w:tc>
              <w:tc>
                <w:tcPr>
                  <w:tcW w:w="1501" w:type="dxa"/>
                  <w:tcBorders>
                    <w:tl2br w:val="nil"/>
                    <w:tr2bl w:val="nil"/>
                  </w:tcBorders>
                  <w:vAlign w:val="center"/>
                </w:tcPr>
                <w:p>
                  <w:pPr>
                    <w:jc w:val="center"/>
                    <w:rPr>
                      <w:szCs w:val="21"/>
                    </w:rPr>
                  </w:pPr>
                  <w:r>
                    <w:rPr>
                      <w:szCs w:val="21"/>
                    </w:rPr>
                    <w:t>工程组成</w:t>
                  </w:r>
                </w:p>
              </w:tc>
              <w:tc>
                <w:tcPr>
                  <w:tcW w:w="5570" w:type="dxa"/>
                  <w:tcBorders>
                    <w:tl2br w:val="nil"/>
                    <w:tr2bl w:val="nil"/>
                  </w:tcBorders>
                  <w:vAlign w:val="center"/>
                </w:tcPr>
                <w:p>
                  <w:pPr>
                    <w:jc w:val="center"/>
                    <w:rPr>
                      <w:szCs w:val="21"/>
                    </w:rPr>
                  </w:pPr>
                  <w:r>
                    <w:rPr>
                      <w:szCs w:val="21"/>
                    </w:rPr>
                    <w:t>建设内容及规模</w:t>
                  </w:r>
                </w:p>
              </w:tc>
              <w:tc>
                <w:tcPr>
                  <w:tcW w:w="1267" w:type="dxa"/>
                  <w:tcBorders>
                    <w:tl2br w:val="nil"/>
                    <w:tr2bl w:val="nil"/>
                  </w:tcBorders>
                  <w:vAlign w:val="center"/>
                </w:tcPr>
                <w:p>
                  <w:pPr>
                    <w:jc w:val="center"/>
                    <w:rPr>
                      <w:szCs w:val="21"/>
                    </w:rPr>
                  </w:pPr>
                  <w:r>
                    <w:rPr>
                      <w:rFonts w:hint="eastAsia"/>
                      <w:szCs w:val="21"/>
                    </w:rPr>
                    <w:t>备注</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tcBorders>
                    <w:tl2br w:val="nil"/>
                    <w:tr2bl w:val="nil"/>
                  </w:tcBorders>
                  <w:vAlign w:val="center"/>
                </w:tcPr>
                <w:p>
                  <w:pPr>
                    <w:widowControl/>
                    <w:jc w:val="center"/>
                    <w:rPr>
                      <w:szCs w:val="21"/>
                    </w:rPr>
                  </w:pPr>
                  <w:r>
                    <w:rPr>
                      <w:szCs w:val="21"/>
                    </w:rPr>
                    <w:t>主体工程</w:t>
                  </w:r>
                </w:p>
              </w:tc>
              <w:tc>
                <w:tcPr>
                  <w:tcW w:w="1501" w:type="dxa"/>
                  <w:tcBorders>
                    <w:tl2br w:val="nil"/>
                    <w:tr2bl w:val="nil"/>
                  </w:tcBorders>
                  <w:vAlign w:val="center"/>
                </w:tcPr>
                <w:p>
                  <w:pPr>
                    <w:widowControl/>
                    <w:jc w:val="center"/>
                    <w:rPr>
                      <w:color w:val="auto"/>
                      <w:szCs w:val="21"/>
                      <w:highlight w:val="none"/>
                    </w:rPr>
                  </w:pPr>
                  <w:r>
                    <w:rPr>
                      <w:rFonts w:hint="eastAsia"/>
                      <w:color w:val="auto"/>
                      <w:szCs w:val="21"/>
                      <w:highlight w:val="none"/>
                      <w:lang w:eastAsia="zh-CN"/>
                    </w:rPr>
                    <w:t>钢筋加工区</w:t>
                  </w:r>
                </w:p>
              </w:tc>
              <w:tc>
                <w:tcPr>
                  <w:tcW w:w="5570" w:type="dxa"/>
                  <w:tcBorders>
                    <w:tl2br w:val="nil"/>
                    <w:tr2bl w:val="nil"/>
                  </w:tcBorders>
                  <w:vAlign w:val="center"/>
                </w:tcPr>
                <w:p>
                  <w:pPr>
                    <w:widowControl/>
                    <w:jc w:val="left"/>
                    <w:rPr>
                      <w:rFonts w:hint="eastAsia" w:eastAsia="宋体"/>
                      <w:color w:val="auto"/>
                      <w:szCs w:val="21"/>
                      <w:highlight w:val="none"/>
                      <w:lang w:eastAsia="zh-CN"/>
                    </w:rPr>
                  </w:pPr>
                  <w:r>
                    <w:rPr>
                      <w:rFonts w:hint="eastAsia"/>
                      <w:color w:val="auto"/>
                      <w:szCs w:val="21"/>
                      <w:highlight w:val="none"/>
                      <w:lang w:val="en-US" w:eastAsia="zh-CN"/>
                    </w:rPr>
                    <w:t>40m</w:t>
                  </w:r>
                  <w:r>
                    <w:rPr>
                      <w:rFonts w:hint="default" w:ascii="Arial" w:hAnsi="Arial" w:cs="Arial"/>
                      <w:color w:val="auto"/>
                      <w:szCs w:val="21"/>
                      <w:highlight w:val="none"/>
                      <w:lang w:val="en-US" w:eastAsia="zh-CN"/>
                    </w:rPr>
                    <w:t>×</w:t>
                  </w:r>
                  <w:r>
                    <w:rPr>
                      <w:rFonts w:hint="eastAsia"/>
                      <w:color w:val="auto"/>
                      <w:szCs w:val="21"/>
                      <w:highlight w:val="none"/>
                      <w:lang w:val="en-US" w:eastAsia="zh-CN"/>
                    </w:rPr>
                    <w:t>16m</w:t>
                  </w:r>
                  <w:r>
                    <w:rPr>
                      <w:rFonts w:hint="eastAsia"/>
                      <w:color w:val="auto"/>
                      <w:szCs w:val="21"/>
                      <w:highlight w:val="none"/>
                    </w:rPr>
                    <w:t>，</w:t>
                  </w:r>
                  <w:r>
                    <w:rPr>
                      <w:rFonts w:hint="eastAsia"/>
                      <w:color w:val="auto"/>
                      <w:szCs w:val="21"/>
                      <w:highlight w:val="none"/>
                      <w:lang w:eastAsia="zh-CN"/>
                    </w:rPr>
                    <w:t>位于厂区东北部，主要进行钢筋的调直、弯曲、裁剪、焊接等工作</w:t>
                  </w:r>
                </w:p>
              </w:tc>
              <w:tc>
                <w:tcPr>
                  <w:tcW w:w="1267" w:type="dxa"/>
                  <w:tcBorders>
                    <w:tl2br w:val="nil"/>
                    <w:tr2bl w:val="nil"/>
                  </w:tcBorders>
                  <w:vAlign w:val="center"/>
                </w:tcPr>
                <w:p>
                  <w:pPr>
                    <w:widowControl/>
                    <w:jc w:val="center"/>
                    <w:rPr>
                      <w:rFonts w:hint="eastAsia" w:eastAsia="宋体"/>
                      <w:color w:val="auto"/>
                      <w:szCs w:val="21"/>
                      <w:highlight w:val="none"/>
                      <w:lang w:eastAsia="zh-CN"/>
                    </w:rPr>
                  </w:pPr>
                  <w:r>
                    <w:rPr>
                      <w:rFonts w:hint="eastAsia"/>
                      <w:color w:val="auto"/>
                      <w:szCs w:val="21"/>
                      <w:highlight w:val="none"/>
                    </w:rPr>
                    <w:t>现有</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03" w:type="dxa"/>
                  <w:tcBorders>
                    <w:tl2br w:val="nil"/>
                    <w:tr2bl w:val="nil"/>
                  </w:tcBorders>
                  <w:vAlign w:val="center"/>
                </w:tcPr>
                <w:p>
                  <w:pPr>
                    <w:widowControl/>
                    <w:jc w:val="center"/>
                    <w:rPr>
                      <w:szCs w:val="21"/>
                    </w:rPr>
                  </w:pPr>
                  <w:r>
                    <w:rPr>
                      <w:szCs w:val="21"/>
                    </w:rPr>
                    <w:t>辅助工程</w:t>
                  </w:r>
                </w:p>
              </w:tc>
              <w:tc>
                <w:tcPr>
                  <w:tcW w:w="1501" w:type="dxa"/>
                  <w:tcBorders>
                    <w:tl2br w:val="nil"/>
                    <w:tr2bl w:val="nil"/>
                  </w:tcBorders>
                  <w:vAlign w:val="center"/>
                </w:tcPr>
                <w:p>
                  <w:pPr>
                    <w:jc w:val="center"/>
                    <w:rPr>
                      <w:rFonts w:hint="eastAsia" w:eastAsia="宋体"/>
                      <w:color w:val="auto"/>
                      <w:szCs w:val="21"/>
                      <w:lang w:eastAsia="zh-CN"/>
                    </w:rPr>
                  </w:pPr>
                  <w:r>
                    <w:rPr>
                      <w:color w:val="auto"/>
                      <w:szCs w:val="21"/>
                    </w:rPr>
                    <w:t>办公</w:t>
                  </w:r>
                  <w:r>
                    <w:rPr>
                      <w:rFonts w:hint="eastAsia"/>
                      <w:color w:val="auto"/>
                      <w:szCs w:val="21"/>
                      <w:lang w:eastAsia="zh-CN"/>
                    </w:rPr>
                    <w:t>楼</w:t>
                  </w:r>
                </w:p>
              </w:tc>
              <w:tc>
                <w:tcPr>
                  <w:tcW w:w="5570" w:type="dxa"/>
                  <w:tcBorders>
                    <w:tl2br w:val="nil"/>
                    <w:tr2bl w:val="nil"/>
                  </w:tcBorders>
                  <w:vAlign w:val="center"/>
                </w:tcPr>
                <w:p>
                  <w:pPr>
                    <w:widowControl/>
                    <w:jc w:val="left"/>
                    <w:rPr>
                      <w:color w:val="auto"/>
                      <w:szCs w:val="21"/>
                    </w:rPr>
                  </w:pPr>
                  <w:r>
                    <w:rPr>
                      <w:rFonts w:hint="eastAsia"/>
                      <w:color w:val="auto"/>
                      <w:szCs w:val="21"/>
                      <w:lang w:val="en-US" w:eastAsia="zh-CN"/>
                    </w:rPr>
                    <w:t>2F，25m</w:t>
                  </w:r>
                  <w:r>
                    <w:rPr>
                      <w:rFonts w:hint="default" w:ascii="Arial" w:hAnsi="Arial" w:cs="Arial"/>
                      <w:color w:val="auto"/>
                      <w:szCs w:val="21"/>
                      <w:lang w:val="en-US" w:eastAsia="zh-CN"/>
                    </w:rPr>
                    <w:t>×</w:t>
                  </w:r>
                  <w:r>
                    <w:rPr>
                      <w:rFonts w:hint="eastAsia"/>
                      <w:color w:val="auto"/>
                      <w:szCs w:val="21"/>
                      <w:lang w:val="en-US" w:eastAsia="zh-CN"/>
                    </w:rPr>
                    <w:t>9m</w:t>
                  </w:r>
                  <w:r>
                    <w:rPr>
                      <w:rFonts w:hint="eastAsia"/>
                      <w:color w:val="auto"/>
                      <w:szCs w:val="21"/>
                    </w:rPr>
                    <w:t>，</w:t>
                  </w:r>
                  <w:r>
                    <w:rPr>
                      <w:color w:val="auto"/>
                      <w:szCs w:val="21"/>
                    </w:rPr>
                    <w:t>位于</w:t>
                  </w:r>
                  <w:r>
                    <w:rPr>
                      <w:rFonts w:hint="eastAsia"/>
                      <w:color w:val="auto"/>
                      <w:szCs w:val="21"/>
                      <w:lang w:eastAsia="zh-CN"/>
                    </w:rPr>
                    <w:t>厂区东南部</w:t>
                  </w:r>
                  <w:r>
                    <w:rPr>
                      <w:rFonts w:hint="eastAsia"/>
                      <w:color w:val="auto"/>
                      <w:szCs w:val="21"/>
                    </w:rPr>
                    <w:t>，用于厂区人员办公</w:t>
                  </w:r>
                </w:p>
              </w:tc>
              <w:tc>
                <w:tcPr>
                  <w:tcW w:w="1267" w:type="dxa"/>
                  <w:tcBorders>
                    <w:tl2br w:val="nil"/>
                    <w:tr2bl w:val="nil"/>
                  </w:tcBorders>
                  <w:vAlign w:val="center"/>
                </w:tcPr>
                <w:p>
                  <w:pPr>
                    <w:widowControl/>
                    <w:jc w:val="center"/>
                    <w:rPr>
                      <w:rFonts w:hint="eastAsia" w:eastAsia="宋体"/>
                      <w:color w:val="auto"/>
                      <w:szCs w:val="21"/>
                      <w:lang w:eastAsia="zh-CN"/>
                    </w:rPr>
                  </w:pPr>
                  <w:r>
                    <w:rPr>
                      <w:rFonts w:hint="eastAsia"/>
                      <w:color w:val="auto"/>
                      <w:szCs w:val="21"/>
                      <w:lang w:eastAsia="zh-CN"/>
                    </w:rPr>
                    <w:t>现有</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tcBorders>
                    <w:tl2br w:val="nil"/>
                    <w:tr2bl w:val="nil"/>
                  </w:tcBorders>
                  <w:vAlign w:val="center"/>
                </w:tcPr>
                <w:p>
                  <w:pPr>
                    <w:widowControl/>
                    <w:jc w:val="center"/>
                    <w:rPr>
                      <w:szCs w:val="21"/>
                    </w:rPr>
                  </w:pPr>
                  <w:r>
                    <w:rPr>
                      <w:szCs w:val="21"/>
                    </w:rPr>
                    <w:t>储运工程</w:t>
                  </w:r>
                </w:p>
              </w:tc>
              <w:tc>
                <w:tcPr>
                  <w:tcW w:w="1501" w:type="dxa"/>
                  <w:tcBorders>
                    <w:tl2br w:val="nil"/>
                    <w:tr2bl w:val="nil"/>
                  </w:tcBorders>
                  <w:vAlign w:val="center"/>
                </w:tcPr>
                <w:p>
                  <w:pPr>
                    <w:widowControl/>
                    <w:jc w:val="center"/>
                    <w:rPr>
                      <w:rFonts w:hint="eastAsia" w:eastAsia="宋体"/>
                      <w:color w:val="auto"/>
                      <w:szCs w:val="21"/>
                      <w:highlight w:val="none"/>
                      <w:lang w:eastAsia="zh-CN"/>
                    </w:rPr>
                  </w:pPr>
                  <w:r>
                    <w:rPr>
                      <w:rFonts w:hint="eastAsia"/>
                      <w:color w:val="auto"/>
                      <w:szCs w:val="21"/>
                      <w:highlight w:val="none"/>
                      <w:lang w:eastAsia="zh-CN"/>
                    </w:rPr>
                    <w:t>仓储区</w:t>
                  </w:r>
                </w:p>
              </w:tc>
              <w:tc>
                <w:tcPr>
                  <w:tcW w:w="5570" w:type="dxa"/>
                  <w:tcBorders>
                    <w:tl2br w:val="nil"/>
                    <w:tr2bl w:val="nil"/>
                  </w:tcBorders>
                  <w:vAlign w:val="center"/>
                </w:tcPr>
                <w:p>
                  <w:pPr>
                    <w:widowControl/>
                    <w:jc w:val="left"/>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预制梁贮存于厂区西北和厂区西南部</w:t>
                  </w:r>
                </w:p>
              </w:tc>
              <w:tc>
                <w:tcPr>
                  <w:tcW w:w="1267" w:type="dxa"/>
                  <w:tcBorders>
                    <w:tl2br w:val="nil"/>
                    <w:tr2bl w:val="nil"/>
                  </w:tcBorders>
                  <w:vAlign w:val="center"/>
                </w:tcPr>
                <w:p>
                  <w:pPr>
                    <w:widowControl/>
                    <w:jc w:val="center"/>
                    <w:rPr>
                      <w:rFonts w:hint="eastAsia" w:eastAsia="宋体"/>
                      <w:color w:val="auto"/>
                      <w:szCs w:val="21"/>
                      <w:lang w:eastAsia="zh-CN"/>
                    </w:rPr>
                  </w:pPr>
                  <w:r>
                    <w:rPr>
                      <w:rFonts w:hint="eastAsia"/>
                      <w:color w:val="auto"/>
                      <w:szCs w:val="21"/>
                      <w:lang w:val="en-US" w:eastAsia="zh-CN"/>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vMerge w:val="restart"/>
                  <w:tcBorders>
                    <w:tl2br w:val="nil"/>
                    <w:tr2bl w:val="nil"/>
                  </w:tcBorders>
                  <w:vAlign w:val="center"/>
                </w:tcPr>
                <w:p>
                  <w:pPr>
                    <w:widowControl/>
                    <w:jc w:val="center"/>
                    <w:rPr>
                      <w:szCs w:val="21"/>
                    </w:rPr>
                  </w:pPr>
                  <w:r>
                    <w:rPr>
                      <w:szCs w:val="21"/>
                    </w:rPr>
                    <w:t>公用工程</w:t>
                  </w:r>
                </w:p>
              </w:tc>
              <w:tc>
                <w:tcPr>
                  <w:tcW w:w="1501" w:type="dxa"/>
                  <w:tcBorders>
                    <w:tl2br w:val="nil"/>
                    <w:tr2bl w:val="nil"/>
                  </w:tcBorders>
                  <w:vAlign w:val="center"/>
                </w:tcPr>
                <w:p>
                  <w:pPr>
                    <w:widowControl/>
                    <w:jc w:val="center"/>
                    <w:rPr>
                      <w:color w:val="auto"/>
                      <w:szCs w:val="21"/>
                    </w:rPr>
                  </w:pPr>
                  <w:r>
                    <w:rPr>
                      <w:color w:val="auto"/>
                      <w:szCs w:val="21"/>
                    </w:rPr>
                    <w:t>供水</w:t>
                  </w:r>
                </w:p>
              </w:tc>
              <w:tc>
                <w:tcPr>
                  <w:tcW w:w="5570" w:type="dxa"/>
                  <w:tcBorders>
                    <w:tl2br w:val="nil"/>
                    <w:tr2bl w:val="nil"/>
                  </w:tcBorders>
                  <w:vAlign w:val="center"/>
                </w:tcPr>
                <w:p>
                  <w:pPr>
                    <w:widowControl/>
                    <w:jc w:val="left"/>
                    <w:rPr>
                      <w:color w:val="auto"/>
                      <w:szCs w:val="21"/>
                    </w:rPr>
                  </w:pPr>
                  <w:r>
                    <w:rPr>
                      <w:color w:val="auto"/>
                      <w:szCs w:val="21"/>
                    </w:rPr>
                    <w:t>由</w:t>
                  </w:r>
                  <w:r>
                    <w:rPr>
                      <w:rFonts w:hint="eastAsia"/>
                      <w:color w:val="auto"/>
                      <w:szCs w:val="21"/>
                      <w:lang w:eastAsia="zh-CN"/>
                    </w:rPr>
                    <w:t>坡头</w:t>
                  </w:r>
                  <w:r>
                    <w:rPr>
                      <w:rFonts w:hint="eastAsia"/>
                      <w:color w:val="auto"/>
                      <w:szCs w:val="21"/>
                    </w:rPr>
                    <w:t>村</w:t>
                  </w:r>
                  <w:r>
                    <w:rPr>
                      <w:color w:val="auto"/>
                      <w:szCs w:val="21"/>
                    </w:rPr>
                    <w:t>统一供给</w:t>
                  </w:r>
                </w:p>
              </w:tc>
              <w:tc>
                <w:tcPr>
                  <w:tcW w:w="1267" w:type="dxa"/>
                  <w:tcBorders>
                    <w:tl2br w:val="nil"/>
                    <w:tr2bl w:val="nil"/>
                  </w:tcBorders>
                  <w:vAlign w:val="center"/>
                </w:tcPr>
                <w:p>
                  <w:pPr>
                    <w:widowControl/>
                    <w:jc w:val="center"/>
                    <w:rPr>
                      <w:szCs w:val="21"/>
                    </w:rPr>
                  </w:pPr>
                  <w:r>
                    <w:rPr>
                      <w:rFonts w:hint="eastAsia"/>
                      <w:szCs w:val="21"/>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vMerge w:val="continue"/>
                  <w:tcBorders>
                    <w:tl2br w:val="nil"/>
                    <w:tr2bl w:val="nil"/>
                  </w:tcBorders>
                  <w:vAlign w:val="center"/>
                </w:tcPr>
                <w:p>
                  <w:pPr>
                    <w:widowControl/>
                    <w:jc w:val="center"/>
                    <w:rPr>
                      <w:szCs w:val="21"/>
                    </w:rPr>
                  </w:pPr>
                </w:p>
              </w:tc>
              <w:tc>
                <w:tcPr>
                  <w:tcW w:w="1501" w:type="dxa"/>
                  <w:tcBorders>
                    <w:tl2br w:val="nil"/>
                    <w:tr2bl w:val="nil"/>
                  </w:tcBorders>
                  <w:vAlign w:val="center"/>
                </w:tcPr>
                <w:p>
                  <w:pPr>
                    <w:widowControl/>
                    <w:jc w:val="center"/>
                    <w:rPr>
                      <w:color w:val="auto"/>
                      <w:szCs w:val="21"/>
                    </w:rPr>
                  </w:pPr>
                  <w:r>
                    <w:rPr>
                      <w:color w:val="auto"/>
                      <w:szCs w:val="21"/>
                    </w:rPr>
                    <w:t>供电</w:t>
                  </w:r>
                </w:p>
              </w:tc>
              <w:tc>
                <w:tcPr>
                  <w:tcW w:w="5570" w:type="dxa"/>
                  <w:tcBorders>
                    <w:tl2br w:val="nil"/>
                    <w:tr2bl w:val="nil"/>
                  </w:tcBorders>
                  <w:vAlign w:val="center"/>
                </w:tcPr>
                <w:p>
                  <w:pPr>
                    <w:jc w:val="left"/>
                    <w:rPr>
                      <w:color w:val="auto"/>
                      <w:szCs w:val="21"/>
                    </w:rPr>
                  </w:pPr>
                  <w:r>
                    <w:rPr>
                      <w:color w:val="auto"/>
                      <w:szCs w:val="21"/>
                    </w:rPr>
                    <w:t>由</w:t>
                  </w:r>
                  <w:r>
                    <w:rPr>
                      <w:rFonts w:hint="eastAsia"/>
                      <w:color w:val="auto"/>
                      <w:szCs w:val="21"/>
                      <w:lang w:eastAsia="zh-CN"/>
                    </w:rPr>
                    <w:t>坡头</w:t>
                  </w:r>
                  <w:r>
                    <w:rPr>
                      <w:rFonts w:hint="eastAsia"/>
                      <w:color w:val="auto"/>
                      <w:szCs w:val="21"/>
                    </w:rPr>
                    <w:t>村</w:t>
                  </w:r>
                  <w:r>
                    <w:rPr>
                      <w:color w:val="auto"/>
                      <w:szCs w:val="21"/>
                    </w:rPr>
                    <w:t>统一供给</w:t>
                  </w:r>
                </w:p>
              </w:tc>
              <w:tc>
                <w:tcPr>
                  <w:tcW w:w="1267" w:type="dxa"/>
                  <w:tcBorders>
                    <w:tl2br w:val="nil"/>
                    <w:tr2bl w:val="nil"/>
                  </w:tcBorders>
                  <w:vAlign w:val="center"/>
                </w:tcPr>
                <w:p>
                  <w:pPr>
                    <w:jc w:val="center"/>
                    <w:rPr>
                      <w:szCs w:val="21"/>
                    </w:rPr>
                  </w:pPr>
                  <w:r>
                    <w:rPr>
                      <w:rFonts w:hint="eastAsia"/>
                      <w:szCs w:val="21"/>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vMerge w:val="restart"/>
                  <w:tcBorders>
                    <w:tl2br w:val="nil"/>
                    <w:tr2bl w:val="nil"/>
                  </w:tcBorders>
                  <w:vAlign w:val="center"/>
                </w:tcPr>
                <w:p>
                  <w:pPr>
                    <w:widowControl/>
                    <w:jc w:val="center"/>
                    <w:rPr>
                      <w:szCs w:val="21"/>
                    </w:rPr>
                  </w:pPr>
                  <w:r>
                    <w:rPr>
                      <w:rFonts w:hint="eastAsia"/>
                      <w:szCs w:val="21"/>
                    </w:rPr>
                    <w:t>环保工程</w:t>
                  </w:r>
                </w:p>
              </w:tc>
              <w:tc>
                <w:tcPr>
                  <w:tcW w:w="1501" w:type="dxa"/>
                  <w:tcBorders>
                    <w:tl2br w:val="nil"/>
                    <w:tr2bl w:val="nil"/>
                  </w:tcBorders>
                  <w:vAlign w:val="center"/>
                </w:tcPr>
                <w:p>
                  <w:pPr>
                    <w:widowControl/>
                    <w:adjustRightInd w:val="0"/>
                    <w:snapToGrid w:val="0"/>
                    <w:jc w:val="center"/>
                    <w:rPr>
                      <w:color w:val="auto"/>
                      <w:kern w:val="0"/>
                      <w:szCs w:val="21"/>
                    </w:rPr>
                  </w:pPr>
                  <w:r>
                    <w:rPr>
                      <w:rFonts w:hint="eastAsia"/>
                      <w:color w:val="auto"/>
                      <w:kern w:val="0"/>
                      <w:szCs w:val="21"/>
                    </w:rPr>
                    <w:t>废气</w:t>
                  </w:r>
                </w:p>
              </w:tc>
              <w:tc>
                <w:tcPr>
                  <w:tcW w:w="5570" w:type="dxa"/>
                  <w:tcBorders>
                    <w:tl2br w:val="nil"/>
                    <w:tr2bl w:val="nil"/>
                  </w:tcBorders>
                  <w:vAlign w:val="center"/>
                </w:tcPr>
                <w:p>
                  <w:pPr>
                    <w:widowControl/>
                    <w:adjustRightInd w:val="0"/>
                    <w:snapToGrid w:val="0"/>
                    <w:jc w:val="left"/>
                    <w:rPr>
                      <w:rFonts w:hint="default" w:ascii="Times New Roman" w:hAnsi="Times New Roman" w:eastAsia="宋体" w:cs="Times New Roman"/>
                      <w:color w:val="auto"/>
                      <w:kern w:val="0"/>
                      <w:sz w:val="21"/>
                      <w:szCs w:val="21"/>
                      <w:lang w:val="en-US" w:eastAsia="zh-CN" w:bidi="ar-SA"/>
                    </w:rPr>
                  </w:pPr>
                  <w:r>
                    <w:rPr>
                      <w:rFonts w:hint="eastAsia"/>
                      <w:bCs/>
                      <w:snapToGrid w:val="0"/>
                      <w:color w:val="auto"/>
                      <w:kern w:val="0"/>
                      <w:sz w:val="21"/>
                      <w:szCs w:val="21"/>
                      <w:lang w:val="en-US" w:eastAsia="zh-CN"/>
                    </w:rPr>
                    <w:t>6台焊烟净化器</w:t>
                  </w:r>
                </w:p>
              </w:tc>
              <w:tc>
                <w:tcPr>
                  <w:tcW w:w="1267" w:type="dxa"/>
                  <w:tcBorders>
                    <w:tl2br w:val="nil"/>
                    <w:tr2bl w:val="nil"/>
                  </w:tcBorders>
                  <w:vAlign w:val="center"/>
                </w:tcPr>
                <w:p>
                  <w:pPr>
                    <w:widowControl/>
                    <w:jc w:val="center"/>
                    <w:rPr>
                      <w:rFonts w:hint="eastAsia" w:eastAsia="宋体"/>
                      <w:szCs w:val="21"/>
                      <w:lang w:val="en-US" w:eastAsia="zh-CN"/>
                    </w:rPr>
                  </w:pPr>
                  <w:r>
                    <w:rPr>
                      <w:rFonts w:hint="eastAsia"/>
                      <w:szCs w:val="21"/>
                      <w:lang w:val="en-US" w:eastAsia="zh-CN"/>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vMerge w:val="continue"/>
                  <w:tcBorders>
                    <w:tl2br w:val="nil"/>
                    <w:tr2bl w:val="nil"/>
                  </w:tcBorders>
                  <w:vAlign w:val="center"/>
                </w:tcPr>
                <w:p>
                  <w:pPr>
                    <w:widowControl/>
                    <w:jc w:val="center"/>
                    <w:rPr>
                      <w:szCs w:val="21"/>
                    </w:rPr>
                  </w:pPr>
                </w:p>
              </w:tc>
              <w:tc>
                <w:tcPr>
                  <w:tcW w:w="1501" w:type="dxa"/>
                  <w:tcBorders>
                    <w:tl2br w:val="nil"/>
                    <w:tr2bl w:val="nil"/>
                  </w:tcBorders>
                  <w:vAlign w:val="center"/>
                </w:tcPr>
                <w:p>
                  <w:pPr>
                    <w:widowControl/>
                    <w:jc w:val="center"/>
                    <w:rPr>
                      <w:color w:val="auto"/>
                      <w:szCs w:val="21"/>
                    </w:rPr>
                  </w:pPr>
                  <w:r>
                    <w:rPr>
                      <w:rFonts w:hint="eastAsia"/>
                      <w:color w:val="auto"/>
                      <w:szCs w:val="21"/>
                    </w:rPr>
                    <w:t>废水</w:t>
                  </w:r>
                </w:p>
              </w:tc>
              <w:tc>
                <w:tcPr>
                  <w:tcW w:w="5570" w:type="dxa"/>
                  <w:tcBorders>
                    <w:tl2br w:val="nil"/>
                    <w:tr2bl w:val="nil"/>
                  </w:tcBorders>
                  <w:vAlign w:val="center"/>
                </w:tcPr>
                <w:p>
                  <w:pPr>
                    <w:widowControl/>
                    <w:jc w:val="left"/>
                    <w:rPr>
                      <w:rFonts w:hint="eastAsia" w:eastAsia="宋体"/>
                      <w:color w:val="auto"/>
                      <w:szCs w:val="21"/>
                      <w:lang w:val="en-US" w:eastAsia="zh-CN"/>
                    </w:rPr>
                  </w:pPr>
                  <w:r>
                    <w:rPr>
                      <w:rFonts w:hint="eastAsia"/>
                      <w:color w:val="auto"/>
                      <w:sz w:val="21"/>
                      <w:szCs w:val="21"/>
                    </w:rPr>
                    <w:t>生活污水经厂区内</w:t>
                  </w:r>
                  <w:r>
                    <w:rPr>
                      <w:rFonts w:hint="eastAsia"/>
                      <w:color w:val="auto"/>
                      <w:sz w:val="21"/>
                      <w:szCs w:val="21"/>
                      <w:lang w:eastAsia="zh-CN"/>
                    </w:rPr>
                    <w:t>现</w:t>
                  </w:r>
                  <w:r>
                    <w:rPr>
                      <w:rFonts w:hint="eastAsia"/>
                      <w:color w:val="auto"/>
                      <w:sz w:val="21"/>
                      <w:szCs w:val="21"/>
                    </w:rPr>
                    <w:t>有</w:t>
                  </w:r>
                  <w:r>
                    <w:rPr>
                      <w:rFonts w:hint="eastAsia"/>
                      <w:color w:val="auto"/>
                      <w:sz w:val="21"/>
                      <w:szCs w:val="21"/>
                      <w:lang w:eastAsia="zh-CN"/>
                    </w:rPr>
                    <w:t>三格式</w:t>
                  </w:r>
                  <w:r>
                    <w:rPr>
                      <w:rFonts w:hint="eastAsia"/>
                      <w:color w:val="auto"/>
                      <w:sz w:val="21"/>
                      <w:szCs w:val="21"/>
                    </w:rPr>
                    <w:t>化粪池处理后，</w:t>
                  </w:r>
                  <w:r>
                    <w:rPr>
                      <w:rFonts w:hint="eastAsia"/>
                      <w:bCs/>
                      <w:color w:val="auto"/>
                      <w:sz w:val="21"/>
                      <w:szCs w:val="21"/>
                    </w:rPr>
                    <w:t>由专业服务队伍采用专业抽粪车辆定期对粪水、粪渣进行收集、有效利用和无害化处理</w:t>
                  </w:r>
                  <w:r>
                    <w:rPr>
                      <w:rFonts w:hint="eastAsia"/>
                      <w:bCs/>
                      <w:color w:val="auto"/>
                      <w:sz w:val="21"/>
                      <w:szCs w:val="21"/>
                      <w:lang w:eastAsia="zh-CN"/>
                    </w:rPr>
                    <w:t>；车辆清洗废水</w:t>
                  </w:r>
                  <w:r>
                    <w:rPr>
                      <w:rFonts w:hint="eastAsia" w:ascii="宋体" w:hAnsi="宋体" w:eastAsia="宋体" w:cs="宋体"/>
                      <w:color w:val="auto"/>
                      <w:kern w:val="0"/>
                      <w:sz w:val="21"/>
                      <w:szCs w:val="21"/>
                      <w:lang w:val="en-US" w:eastAsia="zh-CN" w:bidi="ar"/>
                    </w:rPr>
                    <w:t>经</w:t>
                  </w:r>
                  <w:r>
                    <w:rPr>
                      <w:rFonts w:hint="eastAsia" w:ascii="宋体" w:hAnsi="宋体" w:cs="宋体"/>
                      <w:color w:val="auto"/>
                      <w:kern w:val="0"/>
                      <w:sz w:val="21"/>
                      <w:szCs w:val="21"/>
                      <w:lang w:val="en-US" w:eastAsia="zh-CN" w:bidi="ar"/>
                    </w:rPr>
                    <w:t>三级</w:t>
                  </w:r>
                  <w:r>
                    <w:rPr>
                      <w:rFonts w:hint="eastAsia" w:ascii="宋体" w:hAnsi="宋体" w:eastAsia="宋体" w:cs="宋体"/>
                      <w:color w:val="auto"/>
                      <w:kern w:val="0"/>
                      <w:sz w:val="21"/>
                      <w:szCs w:val="21"/>
                      <w:lang w:val="en-US" w:eastAsia="zh-CN" w:bidi="ar"/>
                    </w:rPr>
                    <w:t>沉淀池沉淀后用作</w:t>
                  </w:r>
                  <w:r>
                    <w:rPr>
                      <w:rFonts w:hint="eastAsia" w:ascii="宋体" w:hAnsi="宋体" w:cs="宋体"/>
                      <w:color w:val="auto"/>
                      <w:kern w:val="0"/>
                      <w:sz w:val="21"/>
                      <w:szCs w:val="21"/>
                      <w:lang w:val="en-US" w:eastAsia="zh-CN" w:bidi="ar"/>
                    </w:rPr>
                    <w:t>道路洒水抑尘</w:t>
                  </w:r>
                </w:p>
              </w:tc>
              <w:tc>
                <w:tcPr>
                  <w:tcW w:w="1267" w:type="dxa"/>
                  <w:tcBorders>
                    <w:tl2br w:val="nil"/>
                    <w:tr2bl w:val="nil"/>
                  </w:tcBorders>
                  <w:vAlign w:val="center"/>
                </w:tcPr>
                <w:p>
                  <w:pPr>
                    <w:widowControl/>
                    <w:jc w:val="center"/>
                    <w:rPr>
                      <w:szCs w:val="21"/>
                    </w:rPr>
                  </w:pPr>
                  <w:r>
                    <w:rPr>
                      <w:rFonts w:hint="eastAsia"/>
                      <w:szCs w:val="21"/>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vMerge w:val="continue"/>
                  <w:tcBorders>
                    <w:tl2br w:val="nil"/>
                    <w:tr2bl w:val="nil"/>
                  </w:tcBorders>
                  <w:vAlign w:val="center"/>
                </w:tcPr>
                <w:p>
                  <w:pPr>
                    <w:widowControl/>
                    <w:jc w:val="center"/>
                    <w:rPr>
                      <w:szCs w:val="21"/>
                    </w:rPr>
                  </w:pPr>
                </w:p>
              </w:tc>
              <w:tc>
                <w:tcPr>
                  <w:tcW w:w="1501" w:type="dxa"/>
                  <w:tcBorders>
                    <w:tl2br w:val="nil"/>
                    <w:tr2bl w:val="nil"/>
                  </w:tcBorders>
                  <w:vAlign w:val="center"/>
                </w:tcPr>
                <w:p>
                  <w:pPr>
                    <w:widowControl/>
                    <w:jc w:val="center"/>
                    <w:rPr>
                      <w:color w:val="auto"/>
                      <w:sz w:val="21"/>
                      <w:szCs w:val="21"/>
                    </w:rPr>
                  </w:pPr>
                  <w:r>
                    <w:rPr>
                      <w:rFonts w:hint="eastAsia"/>
                      <w:color w:val="auto"/>
                      <w:sz w:val="21"/>
                      <w:szCs w:val="21"/>
                    </w:rPr>
                    <w:t>固废</w:t>
                  </w:r>
                </w:p>
              </w:tc>
              <w:tc>
                <w:tcPr>
                  <w:tcW w:w="5570" w:type="dxa"/>
                  <w:tcBorders>
                    <w:tl2br w:val="nil"/>
                    <w:tr2bl w:val="nil"/>
                  </w:tcBorders>
                  <w:vAlign w:val="center"/>
                </w:tcPr>
                <w:p>
                  <w:pPr>
                    <w:jc w:val="left"/>
                    <w:rPr>
                      <w:color w:val="auto"/>
                      <w:sz w:val="21"/>
                      <w:szCs w:val="21"/>
                    </w:rPr>
                  </w:pPr>
                  <w:r>
                    <w:rPr>
                      <w:rFonts w:hint="eastAsia"/>
                      <w:color w:val="auto"/>
                      <w:sz w:val="21"/>
                      <w:szCs w:val="21"/>
                    </w:rPr>
                    <w:t>生活垃圾交由环卫部门统一清运，</w:t>
                  </w:r>
                  <w:r>
                    <w:rPr>
                      <w:rFonts w:hint="eastAsia"/>
                      <w:color w:val="auto"/>
                      <w:sz w:val="21"/>
                      <w:szCs w:val="21"/>
                      <w:lang w:eastAsia="zh-CN"/>
                    </w:rPr>
                    <w:t>废边角料收集后</w:t>
                  </w:r>
                  <w:r>
                    <w:rPr>
                      <w:rFonts w:hint="eastAsia"/>
                      <w:color w:val="auto"/>
                      <w:sz w:val="21"/>
                      <w:szCs w:val="21"/>
                    </w:rPr>
                    <w:t>出售给专门的回收公司进行综合利用</w:t>
                  </w:r>
                </w:p>
              </w:tc>
              <w:tc>
                <w:tcPr>
                  <w:tcW w:w="1267" w:type="dxa"/>
                  <w:tcBorders>
                    <w:tl2br w:val="nil"/>
                    <w:tr2bl w:val="nil"/>
                  </w:tcBorders>
                  <w:vAlign w:val="center"/>
                </w:tcPr>
                <w:p>
                  <w:pPr>
                    <w:jc w:val="center"/>
                    <w:rPr>
                      <w:szCs w:val="21"/>
                    </w:rPr>
                  </w:pPr>
                  <w:r>
                    <w:rPr>
                      <w:rFonts w:hint="eastAsia"/>
                      <w:szCs w:val="21"/>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703" w:type="dxa"/>
                  <w:vMerge w:val="continue"/>
                  <w:tcBorders>
                    <w:tl2br w:val="nil"/>
                    <w:tr2bl w:val="nil"/>
                  </w:tcBorders>
                  <w:vAlign w:val="center"/>
                </w:tcPr>
                <w:p>
                  <w:pPr>
                    <w:widowControl/>
                    <w:jc w:val="center"/>
                    <w:rPr>
                      <w:color w:val="auto"/>
                      <w:szCs w:val="21"/>
                    </w:rPr>
                  </w:pPr>
                </w:p>
              </w:tc>
              <w:tc>
                <w:tcPr>
                  <w:tcW w:w="1501" w:type="dxa"/>
                  <w:tcBorders>
                    <w:tl2br w:val="nil"/>
                    <w:tr2bl w:val="nil"/>
                  </w:tcBorders>
                  <w:vAlign w:val="center"/>
                </w:tcPr>
                <w:p>
                  <w:pPr>
                    <w:widowControl/>
                    <w:jc w:val="center"/>
                    <w:rPr>
                      <w:color w:val="auto"/>
                      <w:szCs w:val="21"/>
                    </w:rPr>
                  </w:pPr>
                  <w:r>
                    <w:rPr>
                      <w:rFonts w:hint="eastAsia"/>
                      <w:color w:val="auto"/>
                      <w:szCs w:val="21"/>
                    </w:rPr>
                    <w:t>噪声</w:t>
                  </w:r>
                </w:p>
              </w:tc>
              <w:tc>
                <w:tcPr>
                  <w:tcW w:w="5570" w:type="dxa"/>
                  <w:tcBorders>
                    <w:tl2br w:val="nil"/>
                    <w:tr2bl w:val="nil"/>
                  </w:tcBorders>
                  <w:vAlign w:val="center"/>
                </w:tcPr>
                <w:p>
                  <w:pPr>
                    <w:jc w:val="left"/>
                    <w:rPr>
                      <w:color w:val="auto"/>
                      <w:szCs w:val="21"/>
                    </w:rPr>
                  </w:pPr>
                  <w:r>
                    <w:rPr>
                      <w:rFonts w:hint="eastAsia"/>
                      <w:snapToGrid w:val="0"/>
                      <w:color w:val="auto"/>
                      <w:kern w:val="0"/>
                      <w:szCs w:val="21"/>
                    </w:rPr>
                    <w:t>基础减振、隔声</w:t>
                  </w:r>
                </w:p>
              </w:tc>
              <w:tc>
                <w:tcPr>
                  <w:tcW w:w="1267" w:type="dxa"/>
                  <w:tcBorders>
                    <w:tl2br w:val="nil"/>
                    <w:tr2bl w:val="nil"/>
                  </w:tcBorders>
                  <w:vAlign w:val="center"/>
                </w:tcPr>
                <w:p>
                  <w:pPr>
                    <w:jc w:val="center"/>
                    <w:rPr>
                      <w:snapToGrid w:val="0"/>
                      <w:color w:val="auto"/>
                      <w:kern w:val="0"/>
                      <w:szCs w:val="21"/>
                    </w:rPr>
                  </w:pPr>
                  <w:r>
                    <w:rPr>
                      <w:rFonts w:hint="eastAsia"/>
                      <w:snapToGrid w:val="0"/>
                      <w:color w:val="auto"/>
                      <w:kern w:val="0"/>
                      <w:szCs w:val="21"/>
                    </w:rPr>
                    <w:t>/</w:t>
                  </w:r>
                </w:p>
              </w:tc>
            </w:tr>
          </w:tbl>
          <w:p>
            <w:pPr>
              <w:autoSpaceDE w:val="0"/>
              <w:autoSpaceDN w:val="0"/>
              <w:adjustRightInd w:val="0"/>
              <w:spacing w:line="240" w:lineRule="exact"/>
              <w:jc w:val="center"/>
              <w:rPr>
                <w:b/>
                <w:sz w:val="24"/>
              </w:rPr>
            </w:pPr>
          </w:p>
          <w:p>
            <w:pPr>
              <w:pStyle w:val="8"/>
              <w:spacing w:line="360" w:lineRule="auto"/>
              <w:ind w:firstLine="482" w:firstLineChars="200"/>
              <w:rPr>
                <w:rFonts w:hAnsi="宋体"/>
                <w:b/>
              </w:rPr>
            </w:pPr>
            <w:r>
              <w:rPr>
                <w:rFonts w:hint="eastAsia" w:hAnsi="宋体"/>
                <w:b/>
              </w:rPr>
              <w:t>3</w:t>
            </w:r>
            <w:r>
              <w:rPr>
                <w:rFonts w:hint="eastAsia" w:hAnsi="宋体"/>
                <w:b/>
                <w:lang w:eastAsia="zh-CN"/>
              </w:rPr>
              <w:t>.</w:t>
            </w:r>
            <w:r>
              <w:rPr>
                <w:rFonts w:hint="eastAsia" w:hAnsi="宋体"/>
                <w:b/>
              </w:rPr>
              <w:t>产品方案</w:t>
            </w:r>
          </w:p>
          <w:p>
            <w:pPr>
              <w:spacing w:line="360" w:lineRule="auto"/>
              <w:ind w:firstLine="480" w:firstLineChars="200"/>
              <w:jc w:val="left"/>
              <w:rPr>
                <w:sz w:val="24"/>
              </w:rPr>
            </w:pPr>
            <w:r>
              <w:rPr>
                <w:sz w:val="24"/>
              </w:rPr>
              <w:t>本项目</w:t>
            </w:r>
            <w:r>
              <w:rPr>
                <w:rFonts w:hint="eastAsia"/>
                <w:sz w:val="24"/>
                <w:lang w:eastAsia="zh-CN"/>
              </w:rPr>
              <w:t>运营期限为</w:t>
            </w:r>
            <w:r>
              <w:rPr>
                <w:rFonts w:hint="eastAsia"/>
                <w:sz w:val="24"/>
                <w:lang w:val="en-US" w:eastAsia="zh-CN"/>
              </w:rPr>
              <w:t>2年，</w:t>
            </w:r>
            <w:r>
              <w:rPr>
                <w:sz w:val="24"/>
              </w:rPr>
              <w:t>产品规模见表</w:t>
            </w:r>
            <w:r>
              <w:rPr>
                <w:rFonts w:hint="eastAsia"/>
                <w:sz w:val="24"/>
                <w:lang w:val="en-US" w:eastAsia="zh-CN"/>
              </w:rPr>
              <w:t>3</w:t>
            </w:r>
            <w:r>
              <w:rPr>
                <w:rFonts w:hint="eastAsia"/>
                <w:sz w:val="24"/>
              </w:rPr>
              <w:t>。</w:t>
            </w:r>
          </w:p>
          <w:p>
            <w:pPr>
              <w:spacing w:line="240" w:lineRule="auto"/>
              <w:jc w:val="center"/>
              <w:rPr>
                <w:rFonts w:hint="eastAsia" w:ascii="黑体" w:hAnsi="黑体" w:eastAsia="黑体" w:cs="黑体"/>
                <w:b w:val="0"/>
                <w:bCs/>
                <w:sz w:val="24"/>
              </w:rPr>
            </w:pPr>
            <w:r>
              <w:rPr>
                <w:rFonts w:hint="eastAsia" w:ascii="黑体" w:hAnsi="黑体" w:eastAsia="黑体" w:cs="黑体"/>
                <w:b w:val="0"/>
                <w:bCs/>
                <w:sz w:val="24"/>
              </w:rPr>
              <w:t>表</w:t>
            </w:r>
            <w:r>
              <w:rPr>
                <w:rFonts w:hint="eastAsia" w:ascii="黑体" w:hAnsi="黑体" w:eastAsia="黑体" w:cs="黑体"/>
                <w:b w:val="0"/>
                <w:bCs/>
                <w:sz w:val="24"/>
                <w:lang w:val="en-US" w:eastAsia="zh-CN"/>
              </w:rPr>
              <w:t>3</w:t>
            </w:r>
            <w:r>
              <w:rPr>
                <w:rFonts w:hint="eastAsia" w:ascii="黑体" w:hAnsi="黑体" w:eastAsia="黑体" w:cs="黑体"/>
                <w:b w:val="0"/>
                <w:bCs/>
                <w:sz w:val="24"/>
              </w:rPr>
              <w:t xml:space="preserve">  产品种类及规模一览表</w:t>
            </w:r>
          </w:p>
          <w:tbl>
            <w:tblPr>
              <w:tblStyle w:val="31"/>
              <w:tblW w:w="4998"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57" w:type="dxa"/>
                <w:left w:w="108" w:type="dxa"/>
                <w:bottom w:w="57" w:type="dxa"/>
                <w:right w:w="108" w:type="dxa"/>
              </w:tblCellMar>
            </w:tblPr>
            <w:tblGrid>
              <w:gridCol w:w="3237"/>
              <w:gridCol w:w="2328"/>
              <w:gridCol w:w="1752"/>
              <w:gridCol w:w="1750"/>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785" w:type="pct"/>
                  <w:tcBorders>
                    <w:tl2br w:val="nil"/>
                    <w:tr2bl w:val="nil"/>
                  </w:tcBorders>
                  <w:noWrap w:val="0"/>
                  <w:vAlign w:val="center"/>
                </w:tcPr>
                <w:p>
                  <w:pPr>
                    <w:widowControl/>
                    <w:jc w:val="center"/>
                    <w:rPr>
                      <w:rFonts w:hint="eastAsia"/>
                      <w:color w:val="auto"/>
                      <w:szCs w:val="21"/>
                    </w:rPr>
                  </w:pPr>
                  <w:r>
                    <w:rPr>
                      <w:rFonts w:hint="eastAsia" w:ascii="宋体" w:hAnsi="宋体" w:cs="宋体"/>
                      <w:kern w:val="0"/>
                      <w:sz w:val="24"/>
                    </w:rPr>
                    <w:t>梁板类型</w:t>
                  </w:r>
                </w:p>
              </w:tc>
              <w:tc>
                <w:tcPr>
                  <w:tcW w:w="1284" w:type="pct"/>
                  <w:tcBorders>
                    <w:tl2br w:val="nil"/>
                    <w:tr2bl w:val="nil"/>
                  </w:tcBorders>
                  <w:noWrap w:val="0"/>
                  <w:vAlign w:val="center"/>
                </w:tcPr>
                <w:p>
                  <w:pPr>
                    <w:widowControl/>
                    <w:jc w:val="center"/>
                    <w:rPr>
                      <w:rFonts w:hint="eastAsia" w:eastAsia="宋体"/>
                      <w:color w:val="auto"/>
                      <w:szCs w:val="21"/>
                      <w:lang w:val="en-US" w:eastAsia="zh-CN"/>
                    </w:rPr>
                  </w:pPr>
                  <w:r>
                    <w:rPr>
                      <w:rFonts w:hint="eastAsia"/>
                      <w:color w:val="auto"/>
                      <w:szCs w:val="21"/>
                      <w:lang w:val="en-US" w:eastAsia="zh-CN"/>
                    </w:rPr>
                    <w:t>年产量</w:t>
                  </w:r>
                </w:p>
              </w:tc>
              <w:tc>
                <w:tcPr>
                  <w:tcW w:w="1750" w:type="dxa"/>
                  <w:tcBorders>
                    <w:tl2br w:val="nil"/>
                    <w:tr2bl w:val="nil"/>
                  </w:tcBorders>
                  <w:noWrap w:val="0"/>
                  <w:vAlign w:val="center"/>
                </w:tcPr>
                <w:p>
                  <w:pPr>
                    <w:widowControl/>
                    <w:jc w:val="center"/>
                    <w:rPr>
                      <w:rFonts w:hint="eastAsia"/>
                      <w:color w:val="auto"/>
                      <w:szCs w:val="21"/>
                      <w:lang w:val="en-US" w:eastAsia="zh-CN"/>
                    </w:rPr>
                  </w:pPr>
                  <w:r>
                    <w:rPr>
                      <w:rFonts w:hint="eastAsia"/>
                      <w:color w:val="auto"/>
                      <w:szCs w:val="21"/>
                      <w:lang w:val="en-US" w:eastAsia="zh-CN"/>
                    </w:rPr>
                    <w:t>运营期总产量</w:t>
                  </w:r>
                </w:p>
              </w:tc>
              <w:tc>
                <w:tcPr>
                  <w:tcW w:w="965" w:type="pct"/>
                  <w:tcBorders>
                    <w:tl2br w:val="nil"/>
                    <w:tr2bl w:val="nil"/>
                  </w:tcBorders>
                  <w:noWrap w:val="0"/>
                  <w:vAlign w:val="center"/>
                </w:tcPr>
                <w:p>
                  <w:pPr>
                    <w:widowControl/>
                    <w:jc w:val="center"/>
                    <w:rPr>
                      <w:rFonts w:hint="eastAsia" w:eastAsia="宋体"/>
                      <w:color w:val="auto"/>
                      <w:szCs w:val="21"/>
                      <w:lang w:eastAsia="zh-CN"/>
                    </w:rPr>
                  </w:pPr>
                  <w:r>
                    <w:rPr>
                      <w:rFonts w:hint="eastAsia"/>
                      <w:color w:val="auto"/>
                      <w:szCs w:val="21"/>
                      <w:lang w:eastAsia="zh-CN"/>
                    </w:rPr>
                    <w:t>备注</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785" w:type="pct"/>
                  <w:tcBorders>
                    <w:tl2br w:val="nil"/>
                    <w:tr2bl w:val="nil"/>
                  </w:tcBorders>
                  <w:noWrap w:val="0"/>
                  <w:vAlign w:val="center"/>
                </w:tcPr>
                <w:p>
                  <w:pPr>
                    <w:widowControl/>
                    <w:jc w:val="center"/>
                    <w:rPr>
                      <w:rFonts w:hint="eastAsia" w:eastAsia="宋体"/>
                      <w:color w:val="auto"/>
                      <w:szCs w:val="21"/>
                      <w:lang w:eastAsia="zh-CN"/>
                    </w:rPr>
                  </w:pPr>
                  <w:r>
                    <w:rPr>
                      <w:rFonts w:hint="eastAsia"/>
                      <w:color w:val="auto"/>
                      <w:szCs w:val="21"/>
                      <w:lang w:eastAsia="zh-CN"/>
                    </w:rPr>
                    <w:t>空心板</w:t>
                  </w:r>
                </w:p>
              </w:tc>
              <w:tc>
                <w:tcPr>
                  <w:tcW w:w="1284" w:type="pct"/>
                  <w:tcBorders>
                    <w:tl2br w:val="nil"/>
                    <w:tr2bl w:val="nil"/>
                  </w:tcBorders>
                  <w:noWrap w:val="0"/>
                  <w:vAlign w:val="center"/>
                </w:tcPr>
                <w:p>
                  <w:pPr>
                    <w:widowControl/>
                    <w:jc w:val="center"/>
                    <w:rPr>
                      <w:rFonts w:hint="default" w:eastAsia="宋体"/>
                      <w:color w:val="auto"/>
                      <w:szCs w:val="21"/>
                      <w:lang w:val="en-US" w:eastAsia="zh-CN"/>
                    </w:rPr>
                  </w:pPr>
                  <w:r>
                    <w:rPr>
                      <w:rFonts w:hint="eastAsia"/>
                      <w:color w:val="auto"/>
                      <w:szCs w:val="21"/>
                      <w:lang w:val="en-US" w:eastAsia="zh-CN"/>
                    </w:rPr>
                    <w:t>60片/a</w:t>
                  </w:r>
                </w:p>
              </w:tc>
              <w:tc>
                <w:tcPr>
                  <w:tcW w:w="1750" w:type="dxa"/>
                  <w:tcBorders>
                    <w:tl2br w:val="nil"/>
                    <w:tr2bl w:val="nil"/>
                  </w:tcBorders>
                  <w:noWrap w:val="0"/>
                  <w:vAlign w:val="center"/>
                </w:tcPr>
                <w:p>
                  <w:pPr>
                    <w:widowControl/>
                    <w:jc w:val="center"/>
                    <w:rPr>
                      <w:rFonts w:hint="eastAsia"/>
                      <w:color w:val="auto"/>
                      <w:szCs w:val="21"/>
                      <w:lang w:val="en-US" w:eastAsia="zh-CN"/>
                    </w:rPr>
                  </w:pPr>
                  <w:r>
                    <w:rPr>
                      <w:rFonts w:hint="eastAsia"/>
                      <w:color w:val="auto"/>
                      <w:szCs w:val="21"/>
                      <w:lang w:val="en-US" w:eastAsia="zh-CN"/>
                    </w:rPr>
                    <w:t>120片</w:t>
                  </w:r>
                </w:p>
              </w:tc>
              <w:tc>
                <w:tcPr>
                  <w:tcW w:w="965" w:type="pct"/>
                  <w:tcBorders>
                    <w:tl2br w:val="nil"/>
                    <w:tr2bl w:val="nil"/>
                  </w:tcBorders>
                  <w:noWrap w:val="0"/>
                  <w:vAlign w:val="center"/>
                </w:tcPr>
                <w:p>
                  <w:pPr>
                    <w:widowControl/>
                    <w:jc w:val="center"/>
                    <w:rPr>
                      <w:rFonts w:hint="default" w:eastAsia="宋体"/>
                      <w:color w:val="auto"/>
                      <w:szCs w:val="21"/>
                      <w:lang w:val="en-US" w:eastAsia="zh-CN"/>
                    </w:rPr>
                  </w:pPr>
                  <w:r>
                    <w:rPr>
                      <w:rFonts w:hint="eastAsia"/>
                      <w:color w:val="auto"/>
                      <w:szCs w:val="21"/>
                      <w:lang w:val="en-US" w:eastAsia="zh-CN"/>
                    </w:rPr>
                    <w:t>20m</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785" w:type="pct"/>
                  <w:vMerge w:val="restart"/>
                  <w:tcBorders>
                    <w:tl2br w:val="nil"/>
                    <w:tr2bl w:val="nil"/>
                  </w:tcBorders>
                  <w:noWrap w:val="0"/>
                  <w:vAlign w:val="center"/>
                </w:tcPr>
                <w:p>
                  <w:pPr>
                    <w:widowControl/>
                    <w:jc w:val="center"/>
                    <w:rPr>
                      <w:rFonts w:hint="eastAsia" w:eastAsia="宋体"/>
                      <w:color w:val="auto"/>
                      <w:szCs w:val="21"/>
                      <w:lang w:eastAsia="zh-CN"/>
                    </w:rPr>
                  </w:pPr>
                  <w:r>
                    <w:rPr>
                      <w:rFonts w:hint="eastAsia"/>
                      <w:color w:val="auto"/>
                      <w:szCs w:val="21"/>
                      <w:lang w:eastAsia="zh-CN"/>
                    </w:rPr>
                    <w:t>箱梁</w:t>
                  </w:r>
                </w:p>
              </w:tc>
              <w:tc>
                <w:tcPr>
                  <w:tcW w:w="1284" w:type="pct"/>
                  <w:tcBorders>
                    <w:tl2br w:val="nil"/>
                    <w:tr2bl w:val="nil"/>
                  </w:tcBorders>
                  <w:noWrap w:val="0"/>
                  <w:vAlign w:val="center"/>
                </w:tcPr>
                <w:p>
                  <w:pPr>
                    <w:widowControl/>
                    <w:jc w:val="center"/>
                    <w:rPr>
                      <w:rFonts w:hint="default" w:eastAsia="宋体"/>
                      <w:color w:val="auto"/>
                      <w:szCs w:val="21"/>
                      <w:lang w:val="en-US" w:eastAsia="zh-CN"/>
                    </w:rPr>
                  </w:pPr>
                  <w:r>
                    <w:rPr>
                      <w:rFonts w:hint="eastAsia"/>
                      <w:color w:val="auto"/>
                      <w:szCs w:val="21"/>
                      <w:lang w:val="en-US" w:eastAsia="zh-CN"/>
                    </w:rPr>
                    <w:t>28片/a</w:t>
                  </w:r>
                </w:p>
              </w:tc>
              <w:tc>
                <w:tcPr>
                  <w:tcW w:w="1750" w:type="dxa"/>
                  <w:tcBorders>
                    <w:tl2br w:val="nil"/>
                    <w:tr2bl w:val="nil"/>
                  </w:tcBorders>
                  <w:noWrap w:val="0"/>
                  <w:vAlign w:val="center"/>
                </w:tcPr>
                <w:p>
                  <w:pPr>
                    <w:widowControl/>
                    <w:jc w:val="center"/>
                    <w:rPr>
                      <w:rFonts w:hint="eastAsia"/>
                      <w:color w:val="auto"/>
                      <w:szCs w:val="21"/>
                      <w:lang w:val="en-US" w:eastAsia="zh-CN"/>
                    </w:rPr>
                  </w:pPr>
                  <w:r>
                    <w:rPr>
                      <w:rFonts w:hint="eastAsia"/>
                      <w:color w:val="auto"/>
                      <w:szCs w:val="21"/>
                      <w:lang w:val="en-US" w:eastAsia="zh-CN"/>
                    </w:rPr>
                    <w:t>56片</w:t>
                  </w:r>
                </w:p>
              </w:tc>
              <w:tc>
                <w:tcPr>
                  <w:tcW w:w="965" w:type="pct"/>
                  <w:tcBorders>
                    <w:tl2br w:val="nil"/>
                    <w:tr2bl w:val="nil"/>
                  </w:tcBorders>
                  <w:noWrap w:val="0"/>
                  <w:vAlign w:val="center"/>
                </w:tcPr>
                <w:p>
                  <w:pPr>
                    <w:widowControl/>
                    <w:jc w:val="center"/>
                    <w:rPr>
                      <w:rFonts w:hint="default" w:eastAsia="宋体"/>
                      <w:color w:val="auto"/>
                      <w:szCs w:val="21"/>
                      <w:lang w:val="en-US" w:eastAsia="zh-CN"/>
                    </w:rPr>
                  </w:pPr>
                  <w:r>
                    <w:rPr>
                      <w:rFonts w:hint="eastAsia"/>
                      <w:color w:val="auto"/>
                      <w:szCs w:val="21"/>
                      <w:lang w:val="en-US" w:eastAsia="zh-CN"/>
                    </w:rPr>
                    <w:t>25m</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785" w:type="pct"/>
                  <w:vMerge w:val="continue"/>
                  <w:tcBorders>
                    <w:tl2br w:val="nil"/>
                    <w:tr2bl w:val="nil"/>
                  </w:tcBorders>
                  <w:noWrap w:val="0"/>
                  <w:vAlign w:val="center"/>
                </w:tcPr>
                <w:p>
                  <w:pPr>
                    <w:widowControl/>
                    <w:jc w:val="center"/>
                    <w:rPr>
                      <w:rFonts w:hint="eastAsia"/>
                      <w:color w:val="auto"/>
                      <w:szCs w:val="21"/>
                    </w:rPr>
                  </w:pPr>
                </w:p>
              </w:tc>
              <w:tc>
                <w:tcPr>
                  <w:tcW w:w="1284" w:type="pct"/>
                  <w:tcBorders>
                    <w:tl2br w:val="nil"/>
                    <w:tr2bl w:val="nil"/>
                  </w:tcBorders>
                  <w:noWrap w:val="0"/>
                  <w:vAlign w:val="center"/>
                </w:tcPr>
                <w:p>
                  <w:pPr>
                    <w:widowControl/>
                    <w:jc w:val="center"/>
                    <w:rPr>
                      <w:rFonts w:hint="default" w:eastAsia="宋体"/>
                      <w:color w:val="auto"/>
                      <w:szCs w:val="21"/>
                      <w:lang w:val="en-US" w:eastAsia="zh-CN"/>
                    </w:rPr>
                  </w:pPr>
                  <w:r>
                    <w:rPr>
                      <w:rFonts w:hint="eastAsia"/>
                      <w:color w:val="auto"/>
                      <w:szCs w:val="21"/>
                      <w:lang w:val="en-US" w:eastAsia="zh-CN"/>
                    </w:rPr>
                    <w:t>6片/a</w:t>
                  </w:r>
                </w:p>
              </w:tc>
              <w:tc>
                <w:tcPr>
                  <w:tcW w:w="1750" w:type="dxa"/>
                  <w:tcBorders>
                    <w:tl2br w:val="nil"/>
                    <w:tr2bl w:val="nil"/>
                  </w:tcBorders>
                  <w:noWrap w:val="0"/>
                  <w:vAlign w:val="center"/>
                </w:tcPr>
                <w:p>
                  <w:pPr>
                    <w:widowControl/>
                    <w:jc w:val="center"/>
                    <w:rPr>
                      <w:rFonts w:hint="eastAsia"/>
                      <w:color w:val="auto"/>
                      <w:szCs w:val="21"/>
                      <w:lang w:val="en-US" w:eastAsia="zh-CN"/>
                    </w:rPr>
                  </w:pPr>
                  <w:r>
                    <w:rPr>
                      <w:rFonts w:hint="eastAsia"/>
                      <w:color w:val="auto"/>
                      <w:szCs w:val="21"/>
                      <w:lang w:val="en-US" w:eastAsia="zh-CN"/>
                    </w:rPr>
                    <w:t>12片</w:t>
                  </w:r>
                </w:p>
              </w:tc>
              <w:tc>
                <w:tcPr>
                  <w:tcW w:w="965" w:type="pct"/>
                  <w:tcBorders>
                    <w:tl2br w:val="nil"/>
                    <w:tr2bl w:val="nil"/>
                  </w:tcBorders>
                  <w:noWrap w:val="0"/>
                  <w:vAlign w:val="center"/>
                </w:tcPr>
                <w:p>
                  <w:pPr>
                    <w:widowControl/>
                    <w:jc w:val="center"/>
                    <w:rPr>
                      <w:rFonts w:hint="default" w:eastAsia="宋体"/>
                      <w:color w:val="auto"/>
                      <w:szCs w:val="21"/>
                      <w:lang w:val="en-US" w:eastAsia="zh-CN"/>
                    </w:rPr>
                  </w:pPr>
                  <w:r>
                    <w:rPr>
                      <w:rFonts w:hint="eastAsia"/>
                      <w:color w:val="auto"/>
                      <w:szCs w:val="21"/>
                      <w:lang w:val="en-US" w:eastAsia="zh-CN"/>
                    </w:rPr>
                    <w:t>40m</w:t>
                  </w:r>
                </w:p>
              </w:tc>
            </w:tr>
          </w:tbl>
          <w:p>
            <w:pPr>
              <w:pStyle w:val="38"/>
              <w:rPr>
                <w:rFonts w:hint="eastAsia"/>
              </w:rPr>
            </w:pPr>
          </w:p>
          <w:p>
            <w:pPr>
              <w:ind w:firstLine="482" w:firstLineChars="200"/>
              <w:rPr>
                <w:b/>
                <w:sz w:val="24"/>
              </w:rPr>
            </w:pPr>
            <w:r>
              <w:rPr>
                <w:rFonts w:hint="eastAsia"/>
                <w:b/>
                <w:sz w:val="24"/>
              </w:rPr>
              <w:t>4</w:t>
            </w:r>
            <w:r>
              <w:rPr>
                <w:rFonts w:hint="eastAsia"/>
                <w:b/>
                <w:sz w:val="24"/>
                <w:lang w:eastAsia="zh-CN"/>
              </w:rPr>
              <w:t>.</w:t>
            </w:r>
            <w:r>
              <w:rPr>
                <w:b/>
                <w:sz w:val="24"/>
              </w:rPr>
              <w:t>主要原辅材料</w:t>
            </w:r>
            <w:r>
              <w:rPr>
                <w:rFonts w:hint="eastAsia"/>
                <w:b/>
                <w:sz w:val="24"/>
              </w:rPr>
              <w:t>及能源</w:t>
            </w:r>
            <w:r>
              <w:rPr>
                <w:b/>
                <w:sz w:val="24"/>
              </w:rPr>
              <w:t>消耗</w:t>
            </w:r>
          </w:p>
          <w:p>
            <w:pPr>
              <w:spacing w:line="360" w:lineRule="auto"/>
              <w:ind w:firstLine="480" w:firstLineChars="200"/>
              <w:rPr>
                <w:rFonts w:hint="eastAsia"/>
                <w:spacing w:val="2"/>
                <w:sz w:val="24"/>
                <w:szCs w:val="24"/>
              </w:rPr>
            </w:pPr>
            <w:r>
              <w:rPr>
                <w:rFonts w:hint="eastAsia" w:hAnsi="宋体"/>
                <w:sz w:val="24"/>
              </w:rPr>
              <w:t>项目所需的原辅材料及能源消耗见表</w:t>
            </w:r>
            <w:r>
              <w:rPr>
                <w:rFonts w:hint="eastAsia"/>
                <w:spacing w:val="2"/>
                <w:sz w:val="24"/>
                <w:szCs w:val="24"/>
                <w:lang w:val="en-US" w:eastAsia="zh-CN"/>
              </w:rPr>
              <w:t>4</w:t>
            </w:r>
            <w:r>
              <w:rPr>
                <w:rFonts w:hint="eastAsia"/>
                <w:spacing w:val="2"/>
                <w:sz w:val="24"/>
                <w:szCs w:val="24"/>
              </w:rPr>
              <w:t>。</w:t>
            </w:r>
          </w:p>
          <w:p>
            <w:pPr>
              <w:spacing w:line="240" w:lineRule="auto"/>
              <w:jc w:val="center"/>
              <w:rPr>
                <w:rFonts w:hint="eastAsia" w:ascii="黑体" w:hAnsi="黑体" w:eastAsia="黑体" w:cs="黑体"/>
                <w:b w:val="0"/>
                <w:bCs/>
                <w:sz w:val="24"/>
                <w:highlight w:val="none"/>
              </w:rPr>
            </w:pPr>
            <w:r>
              <w:rPr>
                <w:rFonts w:hint="eastAsia" w:ascii="黑体" w:hAnsi="黑体" w:eastAsia="黑体" w:cs="黑体"/>
                <w:b w:val="0"/>
                <w:bCs/>
                <w:sz w:val="24"/>
                <w:highlight w:val="none"/>
              </w:rPr>
              <w:t>表</w:t>
            </w:r>
            <w:r>
              <w:rPr>
                <w:rFonts w:hint="eastAsia" w:ascii="黑体" w:hAnsi="黑体" w:eastAsia="黑体" w:cs="黑体"/>
                <w:b w:val="0"/>
                <w:bCs/>
                <w:sz w:val="24"/>
                <w:highlight w:val="none"/>
                <w:lang w:val="en-US" w:eastAsia="zh-CN"/>
              </w:rPr>
              <w:t xml:space="preserve">4 </w:t>
            </w:r>
            <w:r>
              <w:rPr>
                <w:rFonts w:hint="eastAsia" w:ascii="黑体" w:hAnsi="黑体" w:eastAsia="黑体" w:cs="黑体"/>
                <w:b w:val="0"/>
                <w:bCs/>
                <w:sz w:val="24"/>
                <w:highlight w:val="none"/>
              </w:rPr>
              <w:t xml:space="preserve"> 主要原辅材料及能源消耗一览表</w:t>
            </w:r>
          </w:p>
          <w:tbl>
            <w:tblPr>
              <w:tblStyle w:val="31"/>
              <w:tblW w:w="4999"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57" w:type="dxa"/>
                <w:left w:w="108" w:type="dxa"/>
                <w:bottom w:w="57" w:type="dxa"/>
                <w:right w:w="108" w:type="dxa"/>
              </w:tblCellMar>
            </w:tblPr>
            <w:tblGrid>
              <w:gridCol w:w="2121"/>
              <w:gridCol w:w="1740"/>
              <w:gridCol w:w="3036"/>
              <w:gridCol w:w="2172"/>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169" w:type="pct"/>
                  <w:tcBorders>
                    <w:tl2br w:val="nil"/>
                    <w:tr2bl w:val="nil"/>
                  </w:tcBorders>
                  <w:noWrap w:val="0"/>
                  <w:vAlign w:val="center"/>
                </w:tcPr>
                <w:p>
                  <w:pPr>
                    <w:spacing w:line="240" w:lineRule="auto"/>
                    <w:jc w:val="center"/>
                    <w:rPr>
                      <w:rFonts w:hint="eastAsia"/>
                      <w:bCs/>
                      <w:sz w:val="21"/>
                      <w:szCs w:val="21"/>
                    </w:rPr>
                  </w:pPr>
                  <w:r>
                    <w:rPr>
                      <w:rFonts w:hint="eastAsia"/>
                      <w:bCs/>
                      <w:sz w:val="21"/>
                      <w:szCs w:val="21"/>
                    </w:rPr>
                    <w:t>类别</w:t>
                  </w:r>
                </w:p>
              </w:tc>
              <w:tc>
                <w:tcPr>
                  <w:tcW w:w="959" w:type="pct"/>
                  <w:tcBorders>
                    <w:tl2br w:val="nil"/>
                    <w:tr2bl w:val="nil"/>
                  </w:tcBorders>
                  <w:noWrap w:val="0"/>
                  <w:vAlign w:val="center"/>
                </w:tcPr>
                <w:p>
                  <w:pPr>
                    <w:adjustRightInd w:val="0"/>
                    <w:snapToGrid w:val="0"/>
                    <w:spacing w:line="240" w:lineRule="auto"/>
                    <w:jc w:val="center"/>
                    <w:rPr>
                      <w:rFonts w:hint="eastAsia"/>
                      <w:bCs/>
                      <w:sz w:val="21"/>
                      <w:szCs w:val="21"/>
                    </w:rPr>
                  </w:pPr>
                  <w:r>
                    <w:rPr>
                      <w:rFonts w:hint="eastAsia"/>
                      <w:bCs/>
                      <w:sz w:val="21"/>
                      <w:szCs w:val="21"/>
                    </w:rPr>
                    <w:t>名称</w:t>
                  </w:r>
                </w:p>
              </w:tc>
              <w:tc>
                <w:tcPr>
                  <w:tcW w:w="1673" w:type="pct"/>
                  <w:tcBorders>
                    <w:tl2br w:val="nil"/>
                    <w:tr2bl w:val="nil"/>
                  </w:tcBorders>
                  <w:noWrap w:val="0"/>
                  <w:vAlign w:val="center"/>
                </w:tcPr>
                <w:p>
                  <w:pPr>
                    <w:spacing w:line="240" w:lineRule="auto"/>
                    <w:jc w:val="center"/>
                    <w:rPr>
                      <w:rFonts w:hint="eastAsia"/>
                      <w:bCs/>
                      <w:sz w:val="21"/>
                      <w:szCs w:val="21"/>
                    </w:rPr>
                  </w:pPr>
                  <w:r>
                    <w:rPr>
                      <w:rFonts w:hint="eastAsia"/>
                      <w:bCs/>
                      <w:sz w:val="21"/>
                      <w:szCs w:val="21"/>
                    </w:rPr>
                    <w:t>单位</w:t>
                  </w:r>
                </w:p>
              </w:tc>
              <w:tc>
                <w:tcPr>
                  <w:tcW w:w="1197" w:type="pct"/>
                  <w:tcBorders>
                    <w:tl2br w:val="nil"/>
                    <w:tr2bl w:val="nil"/>
                  </w:tcBorders>
                  <w:noWrap w:val="0"/>
                  <w:vAlign w:val="center"/>
                </w:tcPr>
                <w:p>
                  <w:pPr>
                    <w:adjustRightInd w:val="0"/>
                    <w:snapToGrid w:val="0"/>
                    <w:spacing w:line="240" w:lineRule="auto"/>
                    <w:jc w:val="center"/>
                    <w:rPr>
                      <w:rFonts w:hint="eastAsia"/>
                      <w:bCs/>
                      <w:sz w:val="21"/>
                      <w:szCs w:val="21"/>
                    </w:rPr>
                  </w:pPr>
                  <w:r>
                    <w:rPr>
                      <w:rFonts w:hint="eastAsia"/>
                      <w:bCs/>
                      <w:sz w:val="21"/>
                      <w:szCs w:val="21"/>
                    </w:rPr>
                    <w:t>年消耗量</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169" w:type="pct"/>
                  <w:vMerge w:val="restart"/>
                  <w:tcBorders>
                    <w:tl2br w:val="nil"/>
                    <w:tr2bl w:val="nil"/>
                  </w:tcBorders>
                  <w:noWrap w:val="0"/>
                  <w:vAlign w:val="center"/>
                </w:tcPr>
                <w:p>
                  <w:pPr>
                    <w:spacing w:line="240" w:lineRule="auto"/>
                    <w:jc w:val="center"/>
                    <w:rPr>
                      <w:rFonts w:hint="eastAsia"/>
                      <w:bCs/>
                      <w:sz w:val="21"/>
                      <w:szCs w:val="21"/>
                    </w:rPr>
                  </w:pPr>
                  <w:r>
                    <w:rPr>
                      <w:rFonts w:hint="eastAsia"/>
                      <w:bCs/>
                      <w:sz w:val="21"/>
                      <w:szCs w:val="21"/>
                    </w:rPr>
                    <w:t>原料</w:t>
                  </w:r>
                </w:p>
              </w:tc>
              <w:tc>
                <w:tcPr>
                  <w:tcW w:w="959" w:type="pct"/>
                  <w:tcBorders>
                    <w:tl2br w:val="nil"/>
                    <w:tr2bl w:val="nil"/>
                  </w:tcBorders>
                  <w:noWrap w:val="0"/>
                  <w:vAlign w:val="center"/>
                </w:tcPr>
                <w:p>
                  <w:pPr>
                    <w:adjustRightInd w:val="0"/>
                    <w:snapToGrid w:val="0"/>
                    <w:spacing w:line="240" w:lineRule="auto"/>
                    <w:jc w:val="center"/>
                    <w:rPr>
                      <w:rFonts w:hint="eastAsia" w:eastAsia="宋体"/>
                      <w:bCs/>
                      <w:sz w:val="21"/>
                      <w:szCs w:val="21"/>
                      <w:lang w:eastAsia="zh-CN"/>
                    </w:rPr>
                  </w:pPr>
                  <w:r>
                    <w:rPr>
                      <w:rFonts w:hint="eastAsia"/>
                      <w:bCs/>
                      <w:sz w:val="21"/>
                      <w:szCs w:val="21"/>
                      <w:lang w:eastAsia="zh-CN"/>
                    </w:rPr>
                    <w:t>钢筋</w:t>
                  </w:r>
                </w:p>
              </w:tc>
              <w:tc>
                <w:tcPr>
                  <w:tcW w:w="1673" w:type="pct"/>
                  <w:tcBorders>
                    <w:tl2br w:val="nil"/>
                    <w:tr2bl w:val="nil"/>
                  </w:tcBorders>
                  <w:noWrap w:val="0"/>
                  <w:vAlign w:val="center"/>
                </w:tcPr>
                <w:p>
                  <w:pPr>
                    <w:spacing w:line="240" w:lineRule="auto"/>
                    <w:jc w:val="center"/>
                    <w:rPr>
                      <w:rFonts w:hint="eastAsia"/>
                      <w:bCs/>
                      <w:sz w:val="21"/>
                      <w:szCs w:val="21"/>
                    </w:rPr>
                  </w:pPr>
                  <w:r>
                    <w:rPr>
                      <w:rFonts w:hint="eastAsia"/>
                      <w:bCs/>
                      <w:sz w:val="21"/>
                      <w:szCs w:val="21"/>
                    </w:rPr>
                    <w:t>t/a</w:t>
                  </w:r>
                </w:p>
              </w:tc>
              <w:tc>
                <w:tcPr>
                  <w:tcW w:w="1197" w:type="pct"/>
                  <w:tcBorders>
                    <w:tl2br w:val="nil"/>
                    <w:tr2bl w:val="nil"/>
                  </w:tcBorders>
                  <w:noWrap w:val="0"/>
                  <w:vAlign w:val="center"/>
                </w:tcPr>
                <w:p>
                  <w:pPr>
                    <w:adjustRightInd w:val="0"/>
                    <w:snapToGrid w:val="0"/>
                    <w:spacing w:line="240" w:lineRule="auto"/>
                    <w:jc w:val="center"/>
                    <w:rPr>
                      <w:rFonts w:hint="default" w:eastAsia="宋体"/>
                      <w:bCs/>
                      <w:sz w:val="21"/>
                      <w:szCs w:val="21"/>
                      <w:lang w:val="en-US" w:eastAsia="zh-CN"/>
                    </w:rPr>
                  </w:pPr>
                  <w:r>
                    <w:rPr>
                      <w:rFonts w:hint="eastAsia"/>
                      <w:bCs/>
                      <w:sz w:val="21"/>
                      <w:szCs w:val="21"/>
                      <w:lang w:val="en-US" w:eastAsia="zh-CN"/>
                    </w:rPr>
                    <w:t>1500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169" w:type="pct"/>
                  <w:vMerge w:val="continue"/>
                  <w:tcBorders>
                    <w:tl2br w:val="nil"/>
                    <w:tr2bl w:val="nil"/>
                  </w:tcBorders>
                  <w:noWrap w:val="0"/>
                  <w:vAlign w:val="center"/>
                </w:tcPr>
                <w:p>
                  <w:pPr>
                    <w:spacing w:line="240" w:lineRule="auto"/>
                    <w:ind w:firstLine="105" w:firstLineChars="50"/>
                    <w:jc w:val="center"/>
                    <w:rPr>
                      <w:rFonts w:hint="eastAsia"/>
                      <w:bCs/>
                      <w:sz w:val="21"/>
                      <w:szCs w:val="21"/>
                    </w:rPr>
                  </w:pPr>
                </w:p>
              </w:tc>
              <w:tc>
                <w:tcPr>
                  <w:tcW w:w="959" w:type="pct"/>
                  <w:tcBorders>
                    <w:tl2br w:val="nil"/>
                    <w:tr2bl w:val="nil"/>
                  </w:tcBorders>
                  <w:noWrap w:val="0"/>
                  <w:vAlign w:val="center"/>
                </w:tcPr>
                <w:p>
                  <w:pPr>
                    <w:adjustRightInd w:val="0"/>
                    <w:snapToGrid w:val="0"/>
                    <w:spacing w:line="240" w:lineRule="auto"/>
                    <w:jc w:val="center"/>
                    <w:rPr>
                      <w:rFonts w:hint="eastAsia" w:eastAsia="宋体"/>
                      <w:bCs/>
                      <w:sz w:val="21"/>
                      <w:szCs w:val="21"/>
                      <w:lang w:eastAsia="zh-CN"/>
                    </w:rPr>
                  </w:pPr>
                  <w:r>
                    <w:rPr>
                      <w:rFonts w:hint="eastAsia"/>
                      <w:bCs/>
                      <w:sz w:val="21"/>
                      <w:szCs w:val="21"/>
                      <w:lang w:eastAsia="zh-CN"/>
                    </w:rPr>
                    <w:t>混凝土</w:t>
                  </w:r>
                </w:p>
              </w:tc>
              <w:tc>
                <w:tcPr>
                  <w:tcW w:w="1673" w:type="pct"/>
                  <w:tcBorders>
                    <w:tl2br w:val="nil"/>
                    <w:tr2bl w:val="nil"/>
                  </w:tcBorders>
                  <w:noWrap w:val="0"/>
                  <w:vAlign w:val="center"/>
                </w:tcPr>
                <w:p>
                  <w:pPr>
                    <w:spacing w:line="240" w:lineRule="auto"/>
                    <w:jc w:val="center"/>
                    <w:rPr>
                      <w:rFonts w:hint="eastAsia"/>
                      <w:bCs/>
                      <w:sz w:val="21"/>
                      <w:szCs w:val="21"/>
                    </w:rPr>
                  </w:pPr>
                  <w:r>
                    <w:rPr>
                      <w:rFonts w:hint="eastAsia"/>
                      <w:bCs/>
                      <w:sz w:val="21"/>
                      <w:szCs w:val="21"/>
                      <w:lang w:val="en-US" w:eastAsia="zh-CN"/>
                    </w:rPr>
                    <w:t>m</w:t>
                  </w:r>
                  <w:r>
                    <w:rPr>
                      <w:rFonts w:hint="eastAsia"/>
                      <w:bCs/>
                      <w:sz w:val="21"/>
                      <w:szCs w:val="21"/>
                      <w:vertAlign w:val="superscript"/>
                      <w:lang w:val="en-US" w:eastAsia="zh-CN"/>
                    </w:rPr>
                    <w:t>3</w:t>
                  </w:r>
                  <w:r>
                    <w:rPr>
                      <w:rFonts w:hint="eastAsia"/>
                      <w:bCs/>
                      <w:sz w:val="21"/>
                      <w:szCs w:val="21"/>
                    </w:rPr>
                    <w:t>/a</w:t>
                  </w:r>
                </w:p>
              </w:tc>
              <w:tc>
                <w:tcPr>
                  <w:tcW w:w="1197" w:type="pct"/>
                  <w:tcBorders>
                    <w:tl2br w:val="nil"/>
                    <w:tr2bl w:val="nil"/>
                  </w:tcBorders>
                  <w:noWrap w:val="0"/>
                  <w:vAlign w:val="center"/>
                </w:tcPr>
                <w:p>
                  <w:pPr>
                    <w:adjustRightInd w:val="0"/>
                    <w:snapToGrid w:val="0"/>
                    <w:spacing w:line="240" w:lineRule="auto"/>
                    <w:jc w:val="center"/>
                    <w:rPr>
                      <w:rFonts w:hint="default" w:eastAsia="宋体"/>
                      <w:bCs/>
                      <w:sz w:val="21"/>
                      <w:szCs w:val="21"/>
                      <w:lang w:val="en-US" w:eastAsia="zh-CN"/>
                    </w:rPr>
                  </w:pPr>
                  <w:r>
                    <w:rPr>
                      <w:rFonts w:hint="eastAsia"/>
                      <w:bCs/>
                      <w:sz w:val="21"/>
                      <w:szCs w:val="21"/>
                      <w:lang w:val="en-US" w:eastAsia="zh-CN"/>
                    </w:rPr>
                    <w:t>3760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169" w:type="pct"/>
                  <w:vMerge w:val="restart"/>
                  <w:tcBorders>
                    <w:tl2br w:val="nil"/>
                    <w:tr2bl w:val="nil"/>
                  </w:tcBorders>
                  <w:noWrap w:val="0"/>
                  <w:vAlign w:val="center"/>
                </w:tcPr>
                <w:p>
                  <w:pPr>
                    <w:spacing w:line="240" w:lineRule="auto"/>
                    <w:jc w:val="center"/>
                    <w:rPr>
                      <w:rFonts w:hint="eastAsia"/>
                      <w:bCs/>
                      <w:sz w:val="21"/>
                      <w:szCs w:val="21"/>
                    </w:rPr>
                  </w:pPr>
                  <w:r>
                    <w:rPr>
                      <w:rFonts w:hint="eastAsia"/>
                      <w:bCs/>
                      <w:sz w:val="21"/>
                      <w:szCs w:val="21"/>
                    </w:rPr>
                    <w:t>能源</w:t>
                  </w:r>
                </w:p>
              </w:tc>
              <w:tc>
                <w:tcPr>
                  <w:tcW w:w="959" w:type="pct"/>
                  <w:tcBorders>
                    <w:tl2br w:val="nil"/>
                    <w:tr2bl w:val="nil"/>
                  </w:tcBorders>
                  <w:noWrap w:val="0"/>
                  <w:vAlign w:val="center"/>
                </w:tcPr>
                <w:p>
                  <w:pPr>
                    <w:adjustRightInd w:val="0"/>
                    <w:snapToGrid w:val="0"/>
                    <w:spacing w:line="240" w:lineRule="auto"/>
                    <w:jc w:val="center"/>
                    <w:rPr>
                      <w:rFonts w:hint="eastAsia"/>
                      <w:bCs/>
                      <w:sz w:val="21"/>
                      <w:szCs w:val="21"/>
                    </w:rPr>
                  </w:pPr>
                  <w:r>
                    <w:rPr>
                      <w:rFonts w:hint="eastAsia"/>
                      <w:bCs/>
                      <w:sz w:val="21"/>
                      <w:szCs w:val="21"/>
                    </w:rPr>
                    <w:t>水</w:t>
                  </w:r>
                </w:p>
              </w:tc>
              <w:tc>
                <w:tcPr>
                  <w:tcW w:w="1673" w:type="pct"/>
                  <w:tcBorders>
                    <w:tl2br w:val="nil"/>
                    <w:tr2bl w:val="nil"/>
                  </w:tcBorders>
                  <w:noWrap w:val="0"/>
                  <w:vAlign w:val="center"/>
                </w:tcPr>
                <w:p>
                  <w:pPr>
                    <w:spacing w:line="240" w:lineRule="auto"/>
                    <w:jc w:val="center"/>
                    <w:rPr>
                      <w:rFonts w:hint="eastAsia"/>
                      <w:bCs/>
                      <w:color w:val="auto"/>
                      <w:sz w:val="21"/>
                      <w:szCs w:val="21"/>
                    </w:rPr>
                  </w:pPr>
                  <w:r>
                    <w:rPr>
                      <w:rFonts w:hint="eastAsia"/>
                      <w:bCs/>
                      <w:color w:val="auto"/>
                      <w:sz w:val="21"/>
                      <w:szCs w:val="21"/>
                      <w:lang w:val="en-US" w:eastAsia="zh-CN"/>
                    </w:rPr>
                    <w:t>m</w:t>
                  </w:r>
                  <w:r>
                    <w:rPr>
                      <w:rFonts w:hint="eastAsia"/>
                      <w:bCs/>
                      <w:color w:val="auto"/>
                      <w:sz w:val="21"/>
                      <w:szCs w:val="21"/>
                      <w:vertAlign w:val="superscript"/>
                      <w:lang w:val="en-US" w:eastAsia="zh-CN"/>
                    </w:rPr>
                    <w:t>3</w:t>
                  </w:r>
                  <w:r>
                    <w:rPr>
                      <w:rFonts w:hint="eastAsia"/>
                      <w:bCs/>
                      <w:color w:val="auto"/>
                      <w:sz w:val="21"/>
                      <w:szCs w:val="21"/>
                    </w:rPr>
                    <w:t>/a</w:t>
                  </w:r>
                </w:p>
              </w:tc>
              <w:tc>
                <w:tcPr>
                  <w:tcW w:w="1197" w:type="pct"/>
                  <w:tcBorders>
                    <w:tl2br w:val="nil"/>
                    <w:tr2bl w:val="nil"/>
                  </w:tcBorders>
                  <w:noWrap w:val="0"/>
                  <w:vAlign w:val="center"/>
                </w:tcPr>
                <w:p>
                  <w:pPr>
                    <w:adjustRightInd w:val="0"/>
                    <w:snapToGrid w:val="0"/>
                    <w:spacing w:line="240" w:lineRule="auto"/>
                    <w:jc w:val="center"/>
                    <w:rPr>
                      <w:rFonts w:hint="default" w:eastAsia="宋体"/>
                      <w:bCs/>
                      <w:color w:val="auto"/>
                      <w:sz w:val="21"/>
                      <w:szCs w:val="21"/>
                      <w:lang w:val="en-US" w:eastAsia="zh-CN"/>
                    </w:rPr>
                  </w:pPr>
                  <w:r>
                    <w:rPr>
                      <w:rFonts w:hint="eastAsia"/>
                      <w:bCs/>
                      <w:color w:val="auto"/>
                      <w:sz w:val="21"/>
                      <w:szCs w:val="21"/>
                      <w:lang w:val="en-US" w:eastAsia="zh-CN"/>
                    </w:rPr>
                    <w:t>400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169" w:type="pct"/>
                  <w:vMerge w:val="continue"/>
                  <w:tcBorders>
                    <w:tl2br w:val="nil"/>
                    <w:tr2bl w:val="nil"/>
                  </w:tcBorders>
                  <w:noWrap w:val="0"/>
                  <w:vAlign w:val="center"/>
                </w:tcPr>
                <w:p>
                  <w:pPr>
                    <w:spacing w:line="240" w:lineRule="auto"/>
                    <w:ind w:firstLine="525" w:firstLineChars="250"/>
                    <w:jc w:val="center"/>
                    <w:rPr>
                      <w:rFonts w:hint="eastAsia"/>
                      <w:bCs/>
                      <w:sz w:val="21"/>
                      <w:szCs w:val="21"/>
                    </w:rPr>
                  </w:pPr>
                </w:p>
              </w:tc>
              <w:tc>
                <w:tcPr>
                  <w:tcW w:w="959" w:type="pct"/>
                  <w:tcBorders>
                    <w:tl2br w:val="nil"/>
                    <w:tr2bl w:val="nil"/>
                  </w:tcBorders>
                  <w:noWrap w:val="0"/>
                  <w:vAlign w:val="center"/>
                </w:tcPr>
                <w:p>
                  <w:pPr>
                    <w:adjustRightInd w:val="0"/>
                    <w:snapToGrid w:val="0"/>
                    <w:spacing w:line="240" w:lineRule="auto"/>
                    <w:jc w:val="center"/>
                    <w:rPr>
                      <w:rFonts w:hint="eastAsia"/>
                      <w:bCs/>
                      <w:sz w:val="21"/>
                      <w:szCs w:val="21"/>
                    </w:rPr>
                  </w:pPr>
                  <w:r>
                    <w:rPr>
                      <w:rFonts w:hint="eastAsia"/>
                      <w:bCs/>
                      <w:sz w:val="21"/>
                      <w:szCs w:val="21"/>
                    </w:rPr>
                    <w:t>电</w:t>
                  </w:r>
                </w:p>
              </w:tc>
              <w:tc>
                <w:tcPr>
                  <w:tcW w:w="1673" w:type="pct"/>
                  <w:tcBorders>
                    <w:tl2br w:val="nil"/>
                    <w:tr2bl w:val="nil"/>
                  </w:tcBorders>
                  <w:noWrap w:val="0"/>
                  <w:vAlign w:val="center"/>
                </w:tcPr>
                <w:p>
                  <w:pPr>
                    <w:spacing w:line="240" w:lineRule="auto"/>
                    <w:jc w:val="center"/>
                    <w:rPr>
                      <w:rFonts w:hint="eastAsia"/>
                      <w:bCs/>
                      <w:color w:val="auto"/>
                      <w:sz w:val="21"/>
                      <w:szCs w:val="21"/>
                    </w:rPr>
                  </w:pPr>
                  <w:r>
                    <w:rPr>
                      <w:rFonts w:hint="eastAsia"/>
                      <w:bCs/>
                      <w:color w:val="auto"/>
                      <w:sz w:val="21"/>
                      <w:szCs w:val="21"/>
                    </w:rPr>
                    <w:t>Kw</w:t>
                  </w:r>
                  <w:r>
                    <w:rPr>
                      <w:color w:val="auto"/>
                      <w:sz w:val="21"/>
                      <w:szCs w:val="21"/>
                    </w:rPr>
                    <w:t>·</w:t>
                  </w:r>
                  <w:r>
                    <w:rPr>
                      <w:rFonts w:hint="eastAsia"/>
                      <w:bCs/>
                      <w:color w:val="auto"/>
                      <w:sz w:val="21"/>
                      <w:szCs w:val="21"/>
                    </w:rPr>
                    <w:t>h/a</w:t>
                  </w:r>
                </w:p>
              </w:tc>
              <w:tc>
                <w:tcPr>
                  <w:tcW w:w="1197" w:type="pct"/>
                  <w:tcBorders>
                    <w:tl2br w:val="nil"/>
                    <w:tr2bl w:val="nil"/>
                  </w:tcBorders>
                  <w:noWrap w:val="0"/>
                  <w:vAlign w:val="center"/>
                </w:tcPr>
                <w:p>
                  <w:pPr>
                    <w:adjustRightInd w:val="0"/>
                    <w:snapToGrid w:val="0"/>
                    <w:spacing w:line="240" w:lineRule="auto"/>
                    <w:jc w:val="center"/>
                    <w:rPr>
                      <w:rFonts w:hint="eastAsia"/>
                      <w:bCs/>
                      <w:color w:val="auto"/>
                      <w:sz w:val="21"/>
                      <w:szCs w:val="21"/>
                    </w:rPr>
                  </w:pPr>
                  <w:r>
                    <w:rPr>
                      <w:rFonts w:hint="eastAsia"/>
                      <w:bCs/>
                      <w:color w:val="auto"/>
                      <w:sz w:val="21"/>
                      <w:szCs w:val="21"/>
                      <w:lang w:val="en-US" w:eastAsia="zh-CN"/>
                    </w:rPr>
                    <w:t>8</w:t>
                  </w:r>
                  <w:r>
                    <w:rPr>
                      <w:rFonts w:hint="eastAsia"/>
                      <w:bCs/>
                      <w:color w:val="auto"/>
                      <w:sz w:val="21"/>
                      <w:szCs w:val="21"/>
                    </w:rPr>
                    <w:t>0万</w:t>
                  </w:r>
                </w:p>
              </w:tc>
            </w:tr>
          </w:tbl>
          <w:p>
            <w:pPr>
              <w:keepNext w:val="0"/>
              <w:keepLines w:val="0"/>
              <w:pageBreakBefore w:val="0"/>
              <w:widowControl w:val="0"/>
              <w:kinsoku/>
              <w:wordWrap/>
              <w:overflowPunct/>
              <w:topLinePunct w:val="0"/>
              <w:autoSpaceDE/>
              <w:autoSpaceDN/>
              <w:bidi w:val="0"/>
              <w:adjustRightInd w:val="0"/>
              <w:snapToGrid w:val="0"/>
              <w:spacing w:line="240" w:lineRule="exact"/>
              <w:ind w:firstLine="454"/>
              <w:textAlignment w:val="auto"/>
              <w:rPr>
                <w:rFonts w:hint="eastAsia"/>
                <w:bCs/>
                <w:sz w:val="24"/>
              </w:rPr>
            </w:pPr>
          </w:p>
          <w:p>
            <w:pPr>
              <w:autoSpaceDE w:val="0"/>
              <w:autoSpaceDN w:val="0"/>
              <w:adjustRightInd w:val="0"/>
              <w:spacing w:line="360" w:lineRule="auto"/>
              <w:ind w:firstLine="482" w:firstLineChars="200"/>
              <w:rPr>
                <w:b/>
                <w:sz w:val="24"/>
              </w:rPr>
            </w:pPr>
            <w:r>
              <w:rPr>
                <w:rFonts w:hint="eastAsia"/>
                <w:b/>
                <w:sz w:val="24"/>
              </w:rPr>
              <w:t>5</w:t>
            </w:r>
            <w:r>
              <w:rPr>
                <w:rFonts w:hint="eastAsia"/>
                <w:b/>
                <w:sz w:val="24"/>
                <w:lang w:eastAsia="zh-CN"/>
              </w:rPr>
              <w:t>.</w:t>
            </w:r>
            <w:r>
              <w:rPr>
                <w:rFonts w:hint="eastAsia"/>
                <w:b/>
                <w:sz w:val="24"/>
              </w:rPr>
              <w:t>主要设备</w:t>
            </w:r>
          </w:p>
          <w:p>
            <w:pPr>
              <w:adjustRightInd w:val="0"/>
              <w:snapToGrid w:val="0"/>
              <w:spacing w:line="360" w:lineRule="auto"/>
              <w:ind w:firstLine="456"/>
              <w:rPr>
                <w:rFonts w:hint="eastAsia" w:hAnsi="宋体"/>
                <w:sz w:val="24"/>
              </w:rPr>
            </w:pPr>
            <w:r>
              <w:rPr>
                <w:rFonts w:hAnsi="宋体"/>
                <w:sz w:val="24"/>
              </w:rPr>
              <w:t>项目主要设备见表</w:t>
            </w:r>
            <w:r>
              <w:rPr>
                <w:rFonts w:hint="eastAsia" w:hAnsi="宋体"/>
                <w:sz w:val="24"/>
                <w:lang w:val="en-US" w:eastAsia="zh-CN"/>
              </w:rPr>
              <w:t>5</w:t>
            </w:r>
            <w:r>
              <w:rPr>
                <w:rFonts w:hAnsi="宋体"/>
                <w:sz w:val="24"/>
              </w:rPr>
              <w:t>。</w:t>
            </w:r>
          </w:p>
          <w:p>
            <w:pPr>
              <w:spacing w:line="240" w:lineRule="auto"/>
              <w:jc w:val="center"/>
              <w:rPr>
                <w:rFonts w:hint="eastAsia" w:ascii="黑体" w:hAnsi="黑体" w:eastAsia="黑体" w:cs="黑体"/>
                <w:b w:val="0"/>
                <w:bCs/>
                <w:sz w:val="24"/>
              </w:rPr>
            </w:pPr>
            <w:r>
              <w:rPr>
                <w:rFonts w:hint="eastAsia" w:ascii="黑体" w:hAnsi="黑体" w:eastAsia="黑体" w:cs="黑体"/>
                <w:b w:val="0"/>
                <w:bCs/>
                <w:sz w:val="24"/>
              </w:rPr>
              <w:t>表</w:t>
            </w:r>
            <w:r>
              <w:rPr>
                <w:rFonts w:hint="eastAsia" w:ascii="黑体" w:hAnsi="黑体" w:eastAsia="黑体" w:cs="黑体"/>
                <w:b w:val="0"/>
                <w:bCs/>
                <w:sz w:val="24"/>
                <w:lang w:val="en-US" w:eastAsia="zh-CN"/>
              </w:rPr>
              <w:t>5</w:t>
            </w:r>
            <w:r>
              <w:rPr>
                <w:rFonts w:hint="eastAsia" w:ascii="黑体" w:hAnsi="黑体" w:eastAsia="黑体" w:cs="黑体"/>
                <w:b w:val="0"/>
                <w:bCs/>
                <w:sz w:val="24"/>
              </w:rPr>
              <w:t xml:space="preserve">  项目主要设备一览表</w:t>
            </w:r>
          </w:p>
          <w:tbl>
            <w:tblPr>
              <w:tblStyle w:val="31"/>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999"/>
              <w:gridCol w:w="2982"/>
              <w:gridCol w:w="2671"/>
              <w:gridCol w:w="241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序号</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名称</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规格型号</w:t>
                  </w:r>
                </w:p>
              </w:tc>
              <w:tc>
                <w:tcPr>
                  <w:tcW w:w="1331" w:type="pct"/>
                  <w:tcBorders>
                    <w:tl2br w:val="nil"/>
                    <w:tr2bl w:val="nil"/>
                  </w:tcBorders>
                  <w:noWrap w:val="0"/>
                  <w:vAlign w:val="center"/>
                </w:tcPr>
                <w:p>
                  <w:pPr>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rPr>
                    <w:t>数量</w:t>
                  </w:r>
                  <w:r>
                    <w:rPr>
                      <w:rFonts w:hint="eastAsia" w:ascii="Times New Roman" w:hAnsi="Times New Roman" w:cs="Times New Roman"/>
                      <w:sz w:val="21"/>
                      <w:szCs w:val="21"/>
                      <w:lang w:val="en-US" w:eastAsia="zh-CN"/>
                    </w:rPr>
                    <w:t>（台/套）</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龙门吊</w:t>
                  </w:r>
                </w:p>
              </w:tc>
              <w:tc>
                <w:tcPr>
                  <w:tcW w:w="1472" w:type="pct"/>
                  <w:tcBorders>
                    <w:tl2br w:val="nil"/>
                    <w:tr2bl w:val="nil"/>
                  </w:tcBorders>
                  <w:noWrap w:val="0"/>
                  <w:vAlign w:val="center"/>
                </w:tcPr>
                <w:p>
                  <w:pPr>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80</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lang w:val="en-US" w:eastAsia="zh-CN"/>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lang w:eastAsia="zh-CN"/>
                    </w:rPr>
                    <w:t>龙门吊</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bCs/>
                      <w:sz w:val="21"/>
                      <w:szCs w:val="21"/>
                      <w:lang w:val="en-US" w:eastAsia="zh-CN"/>
                    </w:rPr>
                    <w:t>50</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lang w:val="en-US" w:eastAsia="zh-CN"/>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3</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运梁台车</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100t</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4</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全自动加热蒸养机</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ZH-38型</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5</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弯曲机</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bCs/>
                      <w:sz w:val="21"/>
                      <w:szCs w:val="21"/>
                    </w:rPr>
                    <w:t>SW-400</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6</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切断机</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GQ40</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7</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调直机</w:t>
                  </w:r>
                </w:p>
              </w:tc>
              <w:tc>
                <w:tcPr>
                  <w:tcW w:w="1472" w:type="pct"/>
                  <w:tcBorders>
                    <w:tl2br w:val="nil"/>
                    <w:tr2bl w:val="nil"/>
                  </w:tcBorders>
                  <w:noWrap w:val="0"/>
                  <w:vAlign w:val="center"/>
                </w:tcPr>
                <w:p>
                  <w:pPr>
                    <w:spacing w:line="240" w:lineRule="auto"/>
                    <w:jc w:val="center"/>
                    <w:rPr>
                      <w:rFonts w:hint="eastAsia"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8</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电焊机</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BX-500</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9</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氧焊</w:t>
                  </w:r>
                </w:p>
              </w:tc>
              <w:tc>
                <w:tcPr>
                  <w:tcW w:w="1472" w:type="pct"/>
                  <w:tcBorders>
                    <w:tl2br w:val="nil"/>
                    <w:tr2bl w:val="nil"/>
                  </w:tcBorders>
                  <w:noWrap w:val="0"/>
                  <w:vAlign w:val="center"/>
                </w:tcPr>
                <w:p>
                  <w:pPr>
                    <w:spacing w:line="240" w:lineRule="auto"/>
                    <w:jc w:val="center"/>
                    <w:rPr>
                      <w:rFonts w:hint="eastAsia"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10</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150KW发电机</w:t>
                  </w:r>
                </w:p>
              </w:tc>
              <w:tc>
                <w:tcPr>
                  <w:tcW w:w="1472" w:type="pct"/>
                  <w:tcBorders>
                    <w:tl2br w:val="nil"/>
                    <w:tr2bl w:val="nil"/>
                  </w:tcBorders>
                  <w:noWrap w:val="0"/>
                  <w:vAlign w:val="center"/>
                </w:tcPr>
                <w:p>
                  <w:pPr>
                    <w:spacing w:line="240" w:lineRule="auto"/>
                    <w:jc w:val="center"/>
                    <w:rPr>
                      <w:rFonts w:hint="eastAsia"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11</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空气压缩机</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W2.6/5-J</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12</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波纹管机</w:t>
                  </w:r>
                </w:p>
              </w:tc>
              <w:tc>
                <w:tcPr>
                  <w:tcW w:w="1472" w:type="pct"/>
                  <w:tcBorders>
                    <w:tl2br w:val="nil"/>
                    <w:tr2bl w:val="nil"/>
                  </w:tcBorders>
                  <w:noWrap w:val="0"/>
                  <w:vAlign w:val="center"/>
                </w:tcPr>
                <w:p>
                  <w:pPr>
                    <w:spacing w:line="240" w:lineRule="auto"/>
                    <w:jc w:val="center"/>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13</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数控张拉机</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LJ-ZBL1</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14</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数控压浆机</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LJ-YJA1</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15</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附着式振捣器</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ZF</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16</w:t>
                  </w:r>
                </w:p>
              </w:tc>
              <w:tc>
                <w:tcPr>
                  <w:tcW w:w="1644"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插入式振捣器</w:t>
                  </w:r>
                </w:p>
              </w:tc>
              <w:tc>
                <w:tcPr>
                  <w:tcW w:w="1472" w:type="pct"/>
                  <w:tcBorders>
                    <w:tl2br w:val="nil"/>
                    <w:tr2bl w:val="nil"/>
                  </w:tcBorders>
                  <w:noWrap w:val="0"/>
                  <w:vAlign w:val="center"/>
                </w:tcPr>
                <w:p>
                  <w:pPr>
                    <w:spacing w:line="240" w:lineRule="auto"/>
                    <w:jc w:val="center"/>
                    <w:rPr>
                      <w:rFonts w:hint="default" w:ascii="Times New Roman" w:hAnsi="Times New Roman" w:cs="Times New Roman"/>
                      <w:bCs/>
                      <w:sz w:val="21"/>
                      <w:szCs w:val="21"/>
                    </w:rPr>
                  </w:pPr>
                  <w:r>
                    <w:rPr>
                      <w:rFonts w:hint="default" w:ascii="Times New Roman" w:hAnsi="Times New Roman" w:cs="Times New Roman"/>
                      <w:bCs/>
                      <w:sz w:val="21"/>
                      <w:szCs w:val="21"/>
                    </w:rPr>
                    <w:t>ZND（30、50）</w:t>
                  </w:r>
                </w:p>
              </w:tc>
              <w:tc>
                <w:tcPr>
                  <w:tcW w:w="1331" w:type="pct"/>
                  <w:tcBorders>
                    <w:tl2br w:val="nil"/>
                    <w:tr2bl w:val="nil"/>
                  </w:tcBorders>
                  <w:noWrap w:val="0"/>
                  <w:vAlign w:val="center"/>
                </w:tcPr>
                <w:p>
                  <w:pPr>
                    <w:spacing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51" w:type="pct"/>
                  <w:tcBorders>
                    <w:tl2br w:val="nil"/>
                    <w:tr2bl w:val="nil"/>
                  </w:tcBorders>
                  <w:noWrap w:val="0"/>
                  <w:vAlign w:val="center"/>
                </w:tcPr>
                <w:p>
                  <w:pPr>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17</w:t>
                  </w:r>
                </w:p>
              </w:tc>
              <w:tc>
                <w:tcPr>
                  <w:tcW w:w="1644" w:type="pct"/>
                  <w:tcBorders>
                    <w:tl2br w:val="nil"/>
                    <w:tr2bl w:val="nil"/>
                  </w:tcBorders>
                  <w:noWrap w:val="0"/>
                  <w:vAlign w:val="center"/>
                </w:tcPr>
                <w:p>
                  <w:pPr>
                    <w:spacing w:line="240" w:lineRule="auto"/>
                    <w:jc w:val="center"/>
                    <w:rPr>
                      <w:rFonts w:hint="default" w:ascii="Times New Roman" w:hAnsi="Times New Roman" w:eastAsia="宋体" w:cs="Times New Roman"/>
                      <w:sz w:val="21"/>
                      <w:szCs w:val="21"/>
                      <w:lang w:eastAsia="zh-CN"/>
                    </w:rPr>
                  </w:pPr>
                  <w:r>
                    <w:rPr>
                      <w:rFonts w:hint="default" w:ascii="Times New Roman" w:hAnsi="Times New Roman" w:cs="Times New Roman"/>
                      <w:sz w:val="21"/>
                      <w:szCs w:val="21"/>
                    </w:rPr>
                    <w:t>恒压供水系统</w:t>
                  </w:r>
                </w:p>
              </w:tc>
              <w:tc>
                <w:tcPr>
                  <w:tcW w:w="1472" w:type="pct"/>
                  <w:tcBorders>
                    <w:tl2br w:val="nil"/>
                    <w:tr2bl w:val="nil"/>
                  </w:tcBorders>
                  <w:noWrap w:val="0"/>
                  <w:vAlign w:val="center"/>
                </w:tcPr>
                <w:p>
                  <w:pPr>
                    <w:spacing w:line="240" w:lineRule="auto"/>
                    <w:jc w:val="center"/>
                    <w:rPr>
                      <w:rFonts w:hint="default" w:ascii="Times New Roman" w:hAnsi="Times New Roman" w:eastAsia="宋体" w:cs="Times New Roman"/>
                      <w:bCs/>
                      <w:sz w:val="21"/>
                      <w:szCs w:val="21"/>
                      <w:lang w:val="en-US" w:eastAsia="zh-CN"/>
                    </w:rPr>
                  </w:pPr>
                  <w:r>
                    <w:rPr>
                      <w:rFonts w:hint="default" w:ascii="Times New Roman" w:hAnsi="Times New Roman" w:cs="Times New Roman"/>
                      <w:sz w:val="21"/>
                      <w:szCs w:val="21"/>
                    </w:rPr>
                    <w:t>4.8KW</w:t>
                  </w:r>
                </w:p>
              </w:tc>
              <w:tc>
                <w:tcPr>
                  <w:tcW w:w="1331" w:type="pct"/>
                  <w:tcBorders>
                    <w:tl2br w:val="nil"/>
                    <w:tr2bl w:val="nil"/>
                  </w:tcBorders>
                  <w:noWrap w:val="0"/>
                  <w:vAlign w:val="center"/>
                </w:tcPr>
                <w:p>
                  <w:pPr>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rPr>
                    <w:t>1</w:t>
                  </w:r>
                </w:p>
              </w:tc>
            </w:tr>
          </w:tbl>
          <w:p>
            <w:pPr>
              <w:pStyle w:val="8"/>
              <w:keepNext w:val="0"/>
              <w:keepLines w:val="0"/>
              <w:pageBreakBefore w:val="0"/>
              <w:widowControl/>
              <w:kinsoku/>
              <w:wordWrap/>
              <w:overflowPunct/>
              <w:topLinePunct w:val="0"/>
              <w:autoSpaceDE/>
              <w:autoSpaceDN/>
              <w:bidi w:val="0"/>
              <w:adjustRightInd/>
              <w:snapToGrid/>
              <w:spacing w:line="240" w:lineRule="exact"/>
              <w:ind w:firstLine="420"/>
              <w:jc w:val="both"/>
              <w:textAlignment w:val="auto"/>
              <w:rPr>
                <w:rFonts w:eastAsiaTheme="minorEastAsia"/>
                <w:color w:val="auto"/>
              </w:rPr>
            </w:pPr>
          </w:p>
          <w:p>
            <w:pPr>
              <w:pStyle w:val="8"/>
              <w:spacing w:line="360" w:lineRule="auto"/>
              <w:jc w:val="both"/>
              <w:rPr>
                <w:kern w:val="2"/>
                <w:szCs w:val="24"/>
              </w:rPr>
            </w:pPr>
            <w:r>
              <w:rPr>
                <w:rFonts w:eastAsiaTheme="minorEastAsia"/>
                <w:color w:val="auto"/>
              </w:rPr>
              <w:t>经查阅以上设备</w:t>
            </w:r>
            <w:r>
              <w:rPr>
                <w:rFonts w:hint="eastAsia" w:eastAsiaTheme="minorEastAsia"/>
                <w:color w:val="auto"/>
                <w:lang w:eastAsia="zh-CN"/>
              </w:rPr>
              <w:t>、工艺</w:t>
            </w:r>
            <w:r>
              <w:rPr>
                <w:rFonts w:eastAsiaTheme="minorEastAsia"/>
                <w:color w:val="auto"/>
              </w:rPr>
              <w:t>在《产业结构调整指导目录（201</w:t>
            </w:r>
            <w:r>
              <w:rPr>
                <w:rFonts w:hint="eastAsia" w:eastAsiaTheme="minorEastAsia"/>
                <w:color w:val="auto"/>
                <w:lang w:val="en-US" w:eastAsia="zh-CN"/>
              </w:rPr>
              <w:t>9</w:t>
            </w:r>
            <w:r>
              <w:rPr>
                <w:rFonts w:eastAsiaTheme="minorEastAsia"/>
                <w:color w:val="auto"/>
              </w:rPr>
              <w:t>年本）》中未涉及，未被列入《高耗能落后机电设备（产品）淘汰目录（第一批）、（第二批）、（第三批）、（第四批）》，本项目所用有型号的设备均不在淘汰目录内，本项目无型号的设备环评要求不得使用淘汰的设备。</w:t>
            </w:r>
          </w:p>
          <w:p>
            <w:pPr>
              <w:pStyle w:val="8"/>
              <w:spacing w:line="360" w:lineRule="auto"/>
              <w:ind w:firstLine="465"/>
              <w:rPr>
                <w:b/>
                <w:kern w:val="2"/>
                <w:szCs w:val="24"/>
              </w:rPr>
            </w:pPr>
            <w:r>
              <w:rPr>
                <w:rFonts w:hint="eastAsia"/>
                <w:b/>
                <w:kern w:val="2"/>
                <w:szCs w:val="24"/>
              </w:rPr>
              <w:t>6</w:t>
            </w:r>
            <w:r>
              <w:rPr>
                <w:rFonts w:hint="eastAsia"/>
                <w:b/>
                <w:kern w:val="2"/>
                <w:szCs w:val="24"/>
                <w:lang w:eastAsia="zh-CN"/>
              </w:rPr>
              <w:t>.</w:t>
            </w:r>
            <w:r>
              <w:rPr>
                <w:b/>
                <w:kern w:val="2"/>
                <w:szCs w:val="24"/>
              </w:rPr>
              <w:t>劳动定员及工作制度</w:t>
            </w:r>
          </w:p>
          <w:p>
            <w:pPr>
              <w:pStyle w:val="8"/>
              <w:spacing w:line="360" w:lineRule="auto"/>
              <w:ind w:firstLine="465"/>
              <w:rPr>
                <w:color w:val="auto"/>
                <w:kern w:val="2"/>
                <w:szCs w:val="24"/>
              </w:rPr>
            </w:pPr>
            <w:r>
              <w:rPr>
                <w:rFonts w:hint="eastAsia"/>
                <w:color w:val="auto"/>
                <w:sz w:val="24"/>
                <w:szCs w:val="24"/>
              </w:rPr>
              <w:t>本项目劳动定员</w:t>
            </w:r>
            <w:r>
              <w:rPr>
                <w:rFonts w:hint="eastAsia"/>
                <w:color w:val="auto"/>
                <w:sz w:val="24"/>
                <w:szCs w:val="24"/>
                <w:lang w:val="en-US" w:eastAsia="zh-CN"/>
              </w:rPr>
              <w:t>25</w:t>
            </w:r>
            <w:r>
              <w:rPr>
                <w:color w:val="auto"/>
                <w:sz w:val="24"/>
                <w:szCs w:val="24"/>
              </w:rPr>
              <w:t>人，</w:t>
            </w:r>
            <w:r>
              <w:rPr>
                <w:rFonts w:hint="eastAsia"/>
                <w:color w:val="auto"/>
                <w:sz w:val="24"/>
                <w:szCs w:val="24"/>
              </w:rPr>
              <w:t>均不在厂内</w:t>
            </w:r>
            <w:r>
              <w:rPr>
                <w:rFonts w:hint="eastAsia"/>
                <w:color w:val="auto"/>
                <w:sz w:val="24"/>
                <w:szCs w:val="24"/>
                <w:lang w:eastAsia="zh-CN"/>
              </w:rPr>
              <w:t>住</w:t>
            </w:r>
            <w:r>
              <w:rPr>
                <w:rFonts w:hint="eastAsia"/>
                <w:color w:val="auto"/>
                <w:sz w:val="24"/>
                <w:szCs w:val="24"/>
              </w:rPr>
              <w:t>宿。</w:t>
            </w:r>
            <w:r>
              <w:rPr>
                <w:color w:val="auto"/>
                <w:sz w:val="24"/>
                <w:szCs w:val="24"/>
              </w:rPr>
              <w:t>年工作日</w:t>
            </w:r>
            <w:r>
              <w:rPr>
                <w:rFonts w:hint="eastAsia"/>
                <w:color w:val="auto"/>
                <w:sz w:val="24"/>
                <w:szCs w:val="24"/>
              </w:rPr>
              <w:t>300</w:t>
            </w:r>
            <w:r>
              <w:rPr>
                <w:color w:val="auto"/>
                <w:sz w:val="24"/>
                <w:szCs w:val="24"/>
              </w:rPr>
              <w:t>天</w:t>
            </w:r>
            <w:r>
              <w:rPr>
                <w:rFonts w:hint="eastAsia"/>
                <w:color w:val="auto"/>
                <w:sz w:val="24"/>
                <w:szCs w:val="24"/>
              </w:rPr>
              <w:t>，</w:t>
            </w:r>
            <w:r>
              <w:rPr>
                <w:rFonts w:hint="eastAsia"/>
                <w:color w:val="auto"/>
                <w:sz w:val="24"/>
                <w:szCs w:val="24"/>
                <w:lang w:eastAsia="zh-CN"/>
              </w:rPr>
              <w:t>单</w:t>
            </w:r>
            <w:r>
              <w:rPr>
                <w:rFonts w:hint="eastAsia"/>
                <w:color w:val="auto"/>
                <w:sz w:val="24"/>
                <w:szCs w:val="24"/>
              </w:rPr>
              <w:t>班制，每班8小时</w:t>
            </w:r>
            <w:r>
              <w:rPr>
                <w:color w:val="auto"/>
                <w:kern w:val="2"/>
                <w:szCs w:val="24"/>
              </w:rPr>
              <w:t>。</w:t>
            </w:r>
          </w:p>
          <w:p>
            <w:pPr>
              <w:pStyle w:val="8"/>
              <w:spacing w:line="360" w:lineRule="auto"/>
              <w:ind w:firstLine="465"/>
              <w:rPr>
                <w:b/>
                <w:color w:val="auto"/>
                <w:kern w:val="2"/>
                <w:szCs w:val="24"/>
              </w:rPr>
            </w:pPr>
            <w:r>
              <w:rPr>
                <w:rFonts w:hint="eastAsia"/>
                <w:b/>
                <w:color w:val="auto"/>
                <w:kern w:val="2"/>
                <w:szCs w:val="24"/>
              </w:rPr>
              <w:t>7</w:t>
            </w:r>
            <w:r>
              <w:rPr>
                <w:rFonts w:hint="eastAsia"/>
                <w:b/>
                <w:color w:val="auto"/>
                <w:kern w:val="2"/>
                <w:szCs w:val="24"/>
                <w:lang w:eastAsia="zh-CN"/>
              </w:rPr>
              <w:t>.</w:t>
            </w:r>
            <w:r>
              <w:rPr>
                <w:b/>
                <w:color w:val="auto"/>
                <w:kern w:val="2"/>
                <w:szCs w:val="24"/>
              </w:rPr>
              <w:t>公用工程</w:t>
            </w:r>
          </w:p>
          <w:p>
            <w:pPr>
              <w:pStyle w:val="8"/>
              <w:spacing w:line="360" w:lineRule="auto"/>
              <w:ind w:firstLine="465"/>
              <w:rPr>
                <w:color w:val="auto"/>
                <w:kern w:val="2"/>
                <w:sz w:val="24"/>
                <w:szCs w:val="24"/>
              </w:rPr>
            </w:pPr>
            <w:r>
              <w:rPr>
                <w:color w:val="auto"/>
                <w:kern w:val="2"/>
                <w:sz w:val="24"/>
                <w:szCs w:val="24"/>
              </w:rPr>
              <w:t>（1）给水</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color w:val="auto"/>
                <w:sz w:val="24"/>
                <w:szCs w:val="24"/>
                <w:lang w:eastAsia="zh-CN"/>
              </w:rPr>
            </w:pPr>
            <w:r>
              <w:rPr>
                <w:rFonts w:hint="eastAsia"/>
                <w:color w:val="auto"/>
                <w:sz w:val="24"/>
                <w:szCs w:val="24"/>
                <w:lang w:val="en-US" w:eastAsia="zh-CN"/>
              </w:rPr>
              <w:t>项目劳</w:t>
            </w:r>
            <w:r>
              <w:rPr>
                <w:rFonts w:hint="eastAsia"/>
                <w:color w:val="auto"/>
                <w:sz w:val="24"/>
                <w:szCs w:val="24"/>
              </w:rPr>
              <w:t>动定员</w:t>
            </w:r>
            <w:r>
              <w:rPr>
                <w:rFonts w:hint="eastAsia"/>
                <w:color w:val="auto"/>
                <w:sz w:val="24"/>
                <w:szCs w:val="24"/>
                <w:lang w:val="en-US" w:eastAsia="zh-CN"/>
              </w:rPr>
              <w:t>25</w:t>
            </w:r>
            <w:r>
              <w:rPr>
                <w:rFonts w:hint="eastAsia"/>
                <w:color w:val="auto"/>
                <w:sz w:val="24"/>
                <w:szCs w:val="24"/>
              </w:rPr>
              <w:t>人</w:t>
            </w:r>
            <w:r>
              <w:rPr>
                <w:color w:val="auto"/>
                <w:sz w:val="24"/>
                <w:szCs w:val="24"/>
              </w:rPr>
              <w:t>，</w:t>
            </w:r>
            <w:r>
              <w:rPr>
                <w:rFonts w:hint="eastAsia"/>
                <w:color w:val="auto"/>
                <w:sz w:val="24"/>
                <w:szCs w:val="24"/>
              </w:rPr>
              <w:t>均不在厂内</w:t>
            </w:r>
            <w:r>
              <w:rPr>
                <w:rFonts w:hint="eastAsia"/>
                <w:color w:val="auto"/>
                <w:sz w:val="24"/>
                <w:szCs w:val="24"/>
                <w:lang w:eastAsia="zh-CN"/>
              </w:rPr>
              <w:t>住</w:t>
            </w:r>
            <w:r>
              <w:rPr>
                <w:rFonts w:hint="eastAsia"/>
                <w:color w:val="auto"/>
                <w:sz w:val="24"/>
                <w:szCs w:val="24"/>
              </w:rPr>
              <w:t>宿</w:t>
            </w:r>
            <w:r>
              <w:rPr>
                <w:rFonts w:hint="eastAsia"/>
                <w:color w:val="auto"/>
                <w:sz w:val="24"/>
                <w:szCs w:val="24"/>
                <w:lang w:eastAsia="zh-CN"/>
              </w:rPr>
              <w:t>。</w:t>
            </w:r>
            <w:r>
              <w:rPr>
                <w:rFonts w:hint="eastAsia"/>
                <w:color w:val="auto"/>
                <w:sz w:val="24"/>
                <w:szCs w:val="24"/>
              </w:rPr>
              <w:t>根</w:t>
            </w:r>
            <w:r>
              <w:rPr>
                <w:color w:val="auto"/>
                <w:sz w:val="24"/>
                <w:szCs w:val="24"/>
              </w:rPr>
              <w:t>据《河南省地方标准用水定额》（DB41T385-2014），按照每人每天用水定额</w:t>
            </w:r>
            <w:r>
              <w:rPr>
                <w:rFonts w:hint="eastAsia"/>
                <w:color w:val="auto"/>
                <w:sz w:val="24"/>
                <w:szCs w:val="24"/>
                <w:lang w:val="en-US" w:eastAsia="zh-CN"/>
              </w:rPr>
              <w:t>4</w:t>
            </w:r>
            <w:r>
              <w:rPr>
                <w:color w:val="auto"/>
                <w:sz w:val="24"/>
                <w:szCs w:val="24"/>
              </w:rPr>
              <w:t>0L，</w:t>
            </w:r>
            <w:r>
              <w:rPr>
                <w:rFonts w:hint="eastAsia"/>
                <w:color w:val="auto"/>
                <w:sz w:val="24"/>
                <w:szCs w:val="24"/>
                <w:lang w:eastAsia="zh-CN"/>
              </w:rPr>
              <w:t>职工生活用水量为</w:t>
            </w:r>
            <w:r>
              <w:rPr>
                <w:rFonts w:hint="eastAsia"/>
                <w:color w:val="auto"/>
                <w:sz w:val="24"/>
                <w:szCs w:val="24"/>
                <w:lang w:val="en-US" w:eastAsia="zh-CN"/>
              </w:rPr>
              <w:t>1</w:t>
            </w:r>
            <w:r>
              <w:rPr>
                <w:color w:val="auto"/>
                <w:sz w:val="24"/>
                <w:szCs w:val="24"/>
              </w:rPr>
              <w:t>m</w:t>
            </w:r>
            <w:r>
              <w:rPr>
                <w:color w:val="auto"/>
                <w:sz w:val="24"/>
                <w:szCs w:val="24"/>
                <w:vertAlign w:val="superscript"/>
              </w:rPr>
              <w:t>3</w:t>
            </w:r>
            <w:r>
              <w:rPr>
                <w:color w:val="auto"/>
                <w:sz w:val="24"/>
                <w:szCs w:val="24"/>
              </w:rPr>
              <w:t>/d（</w:t>
            </w:r>
            <w:r>
              <w:rPr>
                <w:rFonts w:hint="eastAsia"/>
                <w:color w:val="auto"/>
                <w:sz w:val="24"/>
                <w:szCs w:val="24"/>
                <w:lang w:val="en-US" w:eastAsia="zh-CN"/>
              </w:rPr>
              <w:t>300</w:t>
            </w:r>
            <w:r>
              <w:rPr>
                <w:rFonts w:hint="eastAsia"/>
                <w:color w:val="auto"/>
                <w:sz w:val="24"/>
                <w:szCs w:val="24"/>
              </w:rPr>
              <w:t>m</w:t>
            </w:r>
            <w:r>
              <w:rPr>
                <w:rFonts w:hint="eastAsia"/>
                <w:color w:val="auto"/>
                <w:sz w:val="24"/>
                <w:szCs w:val="24"/>
                <w:vertAlign w:val="superscript"/>
              </w:rPr>
              <w:t>3</w:t>
            </w:r>
            <w:r>
              <w:rPr>
                <w:rFonts w:hint="eastAsia"/>
                <w:color w:val="auto"/>
                <w:sz w:val="24"/>
                <w:szCs w:val="24"/>
              </w:rPr>
              <w:t>/a</w:t>
            </w:r>
            <w:r>
              <w:rPr>
                <w:color w:val="auto"/>
                <w:sz w:val="24"/>
                <w:szCs w:val="24"/>
              </w:rPr>
              <w:t>）</w:t>
            </w:r>
            <w:r>
              <w:rPr>
                <w:rFonts w:hint="eastAsia"/>
                <w:color w:val="auto"/>
                <w:sz w:val="24"/>
                <w:szCs w:val="24"/>
                <w:lang w:eastAsia="zh-CN"/>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根据《建筑给水排水设计规范》（</w:t>
            </w:r>
            <w:r>
              <w:rPr>
                <w:rFonts w:hint="default" w:ascii="Times New Roman" w:hAnsi="Times New Roman" w:eastAsia="宋体" w:cs="Times New Roman"/>
                <w:color w:val="000000"/>
                <w:kern w:val="0"/>
                <w:sz w:val="24"/>
                <w:szCs w:val="24"/>
                <w:lang w:val="en-US" w:eastAsia="zh-CN" w:bidi="ar"/>
              </w:rPr>
              <w:t>GB50015-2009</w:t>
            </w:r>
            <w:r>
              <w:rPr>
                <w:rFonts w:hint="eastAsia" w:ascii="宋体" w:hAnsi="宋体" w:eastAsia="宋体" w:cs="宋体"/>
                <w:color w:val="000000"/>
                <w:kern w:val="0"/>
                <w:sz w:val="24"/>
                <w:szCs w:val="24"/>
                <w:lang w:val="en-US" w:eastAsia="zh-CN" w:bidi="ar"/>
              </w:rPr>
              <w:t>）中汽车冲洗用水定额，用水量为</w:t>
            </w:r>
            <w:r>
              <w:rPr>
                <w:rFonts w:hint="default" w:ascii="Times New Roman" w:hAnsi="Times New Roman" w:eastAsia="宋体" w:cs="Times New Roman"/>
                <w:color w:val="000000"/>
                <w:kern w:val="0"/>
                <w:sz w:val="24"/>
                <w:szCs w:val="24"/>
                <w:lang w:val="en-US" w:eastAsia="zh-CN" w:bidi="ar"/>
              </w:rPr>
              <w:t>80</w:t>
            </w:r>
            <w:r>
              <w:rPr>
                <w:rFonts w:hint="eastAsia" w:ascii="宋体" w:hAnsi="宋体" w:eastAsia="宋体" w:cs="宋体"/>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120L/</w:t>
            </w:r>
            <w:r>
              <w:rPr>
                <w:rFonts w:hint="eastAsia" w:ascii="宋体" w:hAnsi="宋体" w:eastAsia="宋体" w:cs="宋体"/>
                <w:color w:val="000000"/>
                <w:kern w:val="0"/>
                <w:sz w:val="24"/>
                <w:szCs w:val="24"/>
                <w:lang w:val="en-US" w:eastAsia="zh-CN" w:bidi="ar"/>
              </w:rPr>
              <w:t>辆</w:t>
            </w:r>
            <w:r>
              <w:rPr>
                <w:rFonts w:hint="default" w:ascii="Times New Roman" w:hAnsi="Times New Roman" w:eastAsia="宋体" w:cs="Times New Roman"/>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次，本次评价取平均值</w:t>
            </w:r>
            <w:r>
              <w:rPr>
                <w:rFonts w:hint="default" w:ascii="Times New Roman" w:hAnsi="Times New Roman" w:eastAsia="宋体" w:cs="Times New Roman"/>
                <w:color w:val="000000"/>
                <w:kern w:val="0"/>
                <w:sz w:val="24"/>
                <w:szCs w:val="24"/>
                <w:lang w:val="en-US" w:eastAsia="zh-CN" w:bidi="ar"/>
              </w:rPr>
              <w:t>100L/</w:t>
            </w:r>
            <w:r>
              <w:rPr>
                <w:rFonts w:hint="eastAsia" w:ascii="宋体" w:hAnsi="宋体" w:eastAsia="宋体" w:cs="宋体"/>
                <w:color w:val="000000"/>
                <w:kern w:val="0"/>
                <w:sz w:val="24"/>
                <w:szCs w:val="24"/>
                <w:lang w:val="en-US" w:eastAsia="zh-CN" w:bidi="ar"/>
              </w:rPr>
              <w:t>辆</w:t>
            </w:r>
            <w:r>
              <w:rPr>
                <w:rFonts w:hint="default" w:ascii="Times New Roman" w:hAnsi="Times New Roman" w:eastAsia="宋体" w:cs="Times New Roman"/>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次。本项目全年共计</w:t>
            </w:r>
            <w:r>
              <w:rPr>
                <w:rFonts w:hint="eastAsia" w:cs="Times New Roman"/>
                <w:color w:val="000000"/>
                <w:kern w:val="0"/>
                <w:sz w:val="24"/>
                <w:szCs w:val="24"/>
                <w:lang w:val="en-US" w:eastAsia="zh-CN" w:bidi="ar"/>
              </w:rPr>
              <w:t>100</w:t>
            </w:r>
            <w:r>
              <w:rPr>
                <w:rFonts w:hint="default" w:ascii="Times New Roman" w:hAnsi="Times New Roman" w:eastAsia="宋体" w:cs="Times New Roman"/>
                <w:color w:val="000000"/>
                <w:kern w:val="0"/>
                <w:sz w:val="24"/>
                <w:szCs w:val="24"/>
                <w:lang w:val="en-US" w:eastAsia="zh-CN" w:bidi="ar"/>
              </w:rPr>
              <w:t>0</w:t>
            </w:r>
            <w:r>
              <w:rPr>
                <w:rFonts w:hint="eastAsia" w:ascii="宋体" w:hAnsi="宋体" w:eastAsia="宋体" w:cs="宋体"/>
                <w:color w:val="000000"/>
                <w:kern w:val="0"/>
                <w:sz w:val="24"/>
                <w:szCs w:val="24"/>
                <w:lang w:val="en-US" w:eastAsia="zh-CN" w:bidi="ar"/>
              </w:rPr>
              <w:t>辆次，则项目车辆冲洗用水为</w:t>
            </w:r>
            <w:r>
              <w:rPr>
                <w:rFonts w:hint="eastAsia" w:cs="Times New Roman"/>
                <w:color w:val="000000"/>
                <w:kern w:val="0"/>
                <w:sz w:val="24"/>
                <w:szCs w:val="24"/>
                <w:lang w:val="en-US" w:eastAsia="zh-CN" w:bidi="ar"/>
              </w:rPr>
              <w:t>100</w:t>
            </w:r>
            <w:r>
              <w:rPr>
                <w:rFonts w:hint="default" w:ascii="Times New Roman" w:hAnsi="Times New Roman" w:eastAsia="宋体" w:cs="Times New Roman"/>
                <w:color w:val="000000"/>
                <w:kern w:val="0"/>
                <w:sz w:val="24"/>
                <w:szCs w:val="24"/>
                <w:lang w:val="en-US" w:eastAsia="zh-CN" w:bidi="ar"/>
              </w:rPr>
              <w:t>m</w:t>
            </w:r>
            <w:r>
              <w:rPr>
                <w:rFonts w:hint="default" w:ascii="Times New Roman" w:hAnsi="Times New Roman" w:eastAsia="宋体" w:cs="Times New Roman"/>
                <w:color w:val="000000"/>
                <w:kern w:val="0"/>
                <w:sz w:val="24"/>
                <w:szCs w:val="24"/>
                <w:vertAlign w:val="superscript"/>
                <w:lang w:val="en-US" w:eastAsia="zh-CN" w:bidi="ar"/>
              </w:rPr>
              <w:t>3</w:t>
            </w:r>
            <w:r>
              <w:rPr>
                <w:rFonts w:hint="default" w:ascii="Times New Roman" w:hAnsi="Times New Roman" w:eastAsia="宋体" w:cs="Times New Roman"/>
                <w:color w:val="000000"/>
                <w:kern w:val="0"/>
                <w:sz w:val="24"/>
                <w:szCs w:val="24"/>
                <w:lang w:val="en-US" w:eastAsia="zh-CN" w:bidi="ar"/>
              </w:rPr>
              <w:t>/a</w:t>
            </w:r>
            <w:r>
              <w:rPr>
                <w:rFonts w:hint="eastAsia" w:ascii="宋体" w:hAnsi="宋体" w:eastAsia="宋体" w:cs="宋体"/>
                <w:color w:val="000000"/>
                <w:kern w:val="0"/>
                <w:sz w:val="24"/>
                <w:szCs w:val="24"/>
                <w:lang w:val="en-US" w:eastAsia="zh-CN" w:bidi="ar"/>
              </w:rPr>
              <w:t>（</w:t>
            </w:r>
            <w:r>
              <w:rPr>
                <w:rFonts w:hint="eastAsia" w:cs="Times New Roman"/>
                <w:color w:val="000000"/>
                <w:kern w:val="0"/>
                <w:sz w:val="24"/>
                <w:szCs w:val="24"/>
                <w:lang w:val="en-US" w:eastAsia="zh-CN" w:bidi="ar"/>
              </w:rPr>
              <w:t>0.33</w:t>
            </w:r>
            <w:r>
              <w:rPr>
                <w:rFonts w:hint="default" w:ascii="Times New Roman" w:hAnsi="Times New Roman" w:eastAsia="宋体" w:cs="Times New Roman"/>
                <w:color w:val="000000"/>
                <w:kern w:val="0"/>
                <w:sz w:val="24"/>
                <w:szCs w:val="24"/>
                <w:lang w:val="en-US" w:eastAsia="zh-CN" w:bidi="ar"/>
              </w:rPr>
              <w:t>m</w:t>
            </w:r>
            <w:r>
              <w:rPr>
                <w:rFonts w:hint="default" w:ascii="Times New Roman" w:hAnsi="Times New Roman" w:eastAsia="宋体" w:cs="Times New Roman"/>
                <w:color w:val="000000"/>
                <w:kern w:val="0"/>
                <w:sz w:val="24"/>
                <w:szCs w:val="24"/>
                <w:vertAlign w:val="superscript"/>
                <w:lang w:val="en-US" w:eastAsia="zh-CN" w:bidi="ar"/>
              </w:rPr>
              <w:t>3</w:t>
            </w:r>
            <w:r>
              <w:rPr>
                <w:rFonts w:hint="default" w:ascii="Times New Roman" w:hAnsi="Times New Roman" w:eastAsia="宋体" w:cs="Times New Roman"/>
                <w:color w:val="000000"/>
                <w:kern w:val="0"/>
                <w:sz w:val="24"/>
                <w:szCs w:val="24"/>
                <w:lang w:val="en-US" w:eastAsia="zh-CN" w:bidi="ar"/>
              </w:rPr>
              <w:t>/d</w:t>
            </w:r>
            <w:r>
              <w:rPr>
                <w:rFonts w:hint="eastAsia" w:ascii="宋体" w:hAnsi="宋体" w:eastAsia="宋体" w:cs="宋体"/>
                <w:color w:val="000000"/>
                <w:kern w:val="0"/>
                <w:sz w:val="24"/>
                <w:szCs w:val="24"/>
                <w:lang w:val="en-US" w:eastAsia="zh-CN" w:bidi="ar"/>
              </w:rPr>
              <w:t>）</w:t>
            </w:r>
            <w:r>
              <w:rPr>
                <w:rFonts w:hint="eastAsia" w:ascii="宋体" w:hAnsi="宋体" w:cs="宋体"/>
                <w:color w:val="000000"/>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lang w:val="en-US" w:eastAsia="zh-CN" w:bidi="ar"/>
              </w:rPr>
            </w:pPr>
            <w:r>
              <w:rPr>
                <w:rFonts w:hint="eastAsia"/>
                <w:color w:val="auto"/>
                <w:sz w:val="24"/>
                <w:szCs w:val="24"/>
                <w:lang w:eastAsia="zh-CN"/>
              </w:rPr>
              <w:t>本项目年用水量为</w:t>
            </w:r>
            <w:r>
              <w:rPr>
                <w:rFonts w:hint="eastAsia"/>
                <w:color w:val="auto"/>
                <w:sz w:val="24"/>
                <w:szCs w:val="24"/>
                <w:lang w:val="en-US" w:eastAsia="zh-CN"/>
              </w:rPr>
              <w:t>400</w:t>
            </w:r>
            <w:r>
              <w:rPr>
                <w:rFonts w:hint="eastAsia"/>
                <w:color w:val="auto"/>
                <w:sz w:val="24"/>
                <w:szCs w:val="24"/>
              </w:rPr>
              <w:t>m</w:t>
            </w:r>
            <w:r>
              <w:rPr>
                <w:rFonts w:hint="eastAsia"/>
                <w:color w:val="auto"/>
                <w:sz w:val="24"/>
                <w:szCs w:val="24"/>
                <w:vertAlign w:val="superscript"/>
              </w:rPr>
              <w:t>3</w:t>
            </w:r>
            <w:r>
              <w:rPr>
                <w:rFonts w:hint="eastAsia"/>
                <w:color w:val="auto"/>
                <w:sz w:val="24"/>
                <w:szCs w:val="24"/>
                <w:vertAlign w:val="baseline"/>
                <w:lang w:eastAsia="zh-CN"/>
              </w:rPr>
              <w:t>，</w:t>
            </w:r>
            <w:r>
              <w:rPr>
                <w:color w:val="auto"/>
                <w:sz w:val="24"/>
                <w:szCs w:val="24"/>
              </w:rPr>
              <w:t>由</w:t>
            </w:r>
            <w:r>
              <w:rPr>
                <w:rFonts w:hint="eastAsia"/>
                <w:color w:val="auto"/>
                <w:sz w:val="24"/>
                <w:szCs w:val="24"/>
                <w:lang w:eastAsia="zh-CN"/>
              </w:rPr>
              <w:t>坡头村</w:t>
            </w:r>
            <w:r>
              <w:rPr>
                <w:color w:val="auto"/>
                <w:sz w:val="24"/>
                <w:szCs w:val="24"/>
              </w:rPr>
              <w:t>统一供给</w:t>
            </w:r>
            <w:r>
              <w:rPr>
                <w:color w:val="auto"/>
                <w:kern w:val="2"/>
                <w:sz w:val="24"/>
                <w:szCs w:val="24"/>
              </w:rPr>
              <w:t>，供水能满足项目需求。</w:t>
            </w:r>
          </w:p>
          <w:p>
            <w:pPr>
              <w:pStyle w:val="8"/>
              <w:spacing w:line="360" w:lineRule="auto"/>
              <w:ind w:firstLine="465"/>
              <w:rPr>
                <w:color w:val="auto"/>
                <w:kern w:val="2"/>
                <w:szCs w:val="24"/>
              </w:rPr>
            </w:pPr>
            <w:r>
              <w:rPr>
                <w:color w:val="auto"/>
                <w:kern w:val="2"/>
                <w:szCs w:val="24"/>
              </w:rPr>
              <w:t>（2）排水</w:t>
            </w:r>
          </w:p>
          <w:p>
            <w:pPr>
              <w:spacing w:line="360" w:lineRule="auto"/>
              <w:ind w:firstLine="480" w:firstLineChars="200"/>
              <w:rPr>
                <w:rFonts w:hint="eastAsia"/>
                <w:color w:val="auto"/>
                <w:sz w:val="24"/>
                <w:szCs w:val="24"/>
              </w:rPr>
            </w:pPr>
            <w:r>
              <w:rPr>
                <w:rFonts w:hint="eastAsia"/>
                <w:color w:val="auto"/>
                <w:sz w:val="24"/>
              </w:rPr>
              <w:t>本项目</w:t>
            </w:r>
            <w:r>
              <w:rPr>
                <w:rFonts w:hint="eastAsia"/>
                <w:color w:val="auto"/>
                <w:sz w:val="24"/>
                <w:lang w:eastAsia="zh-CN"/>
              </w:rPr>
              <w:t>生活污水产生量为</w:t>
            </w:r>
            <w:r>
              <w:rPr>
                <w:rFonts w:hint="eastAsia"/>
                <w:color w:val="auto"/>
                <w:sz w:val="24"/>
                <w:szCs w:val="24"/>
              </w:rPr>
              <w:t>0.</w:t>
            </w:r>
            <w:r>
              <w:rPr>
                <w:rFonts w:hint="eastAsia"/>
                <w:color w:val="auto"/>
                <w:sz w:val="24"/>
                <w:szCs w:val="24"/>
                <w:lang w:val="en-US" w:eastAsia="zh-CN"/>
              </w:rPr>
              <w:t>8</w:t>
            </w:r>
            <w:r>
              <w:rPr>
                <w:color w:val="auto"/>
                <w:sz w:val="24"/>
                <w:szCs w:val="24"/>
              </w:rPr>
              <w:t>m</w:t>
            </w:r>
            <w:r>
              <w:rPr>
                <w:color w:val="auto"/>
                <w:sz w:val="24"/>
                <w:szCs w:val="24"/>
                <w:vertAlign w:val="superscript"/>
              </w:rPr>
              <w:t>3</w:t>
            </w:r>
            <w:r>
              <w:rPr>
                <w:color w:val="auto"/>
                <w:sz w:val="24"/>
                <w:szCs w:val="24"/>
              </w:rPr>
              <w:t>/d（</w:t>
            </w:r>
            <w:r>
              <w:rPr>
                <w:rFonts w:hint="eastAsia"/>
                <w:color w:val="auto"/>
                <w:sz w:val="24"/>
                <w:szCs w:val="24"/>
                <w:lang w:val="en-US" w:eastAsia="zh-CN"/>
              </w:rPr>
              <w:t>240</w:t>
            </w:r>
            <w:r>
              <w:rPr>
                <w:rFonts w:hint="eastAsia"/>
                <w:color w:val="auto"/>
                <w:sz w:val="24"/>
                <w:szCs w:val="24"/>
              </w:rPr>
              <w:t>m</w:t>
            </w:r>
            <w:r>
              <w:rPr>
                <w:rFonts w:hint="eastAsia"/>
                <w:color w:val="auto"/>
                <w:sz w:val="24"/>
                <w:szCs w:val="24"/>
                <w:vertAlign w:val="superscript"/>
              </w:rPr>
              <w:t>3</w:t>
            </w:r>
            <w:r>
              <w:rPr>
                <w:rFonts w:hint="eastAsia"/>
                <w:color w:val="auto"/>
                <w:sz w:val="24"/>
                <w:szCs w:val="24"/>
              </w:rPr>
              <w:t>/a</w:t>
            </w:r>
            <w:r>
              <w:rPr>
                <w:color w:val="auto"/>
                <w:sz w:val="24"/>
                <w:szCs w:val="24"/>
              </w:rPr>
              <w:t>）</w:t>
            </w:r>
            <w:r>
              <w:rPr>
                <w:rFonts w:hint="eastAsia"/>
                <w:color w:val="auto"/>
                <w:sz w:val="24"/>
                <w:szCs w:val="24"/>
              </w:rPr>
              <w:t>，</w:t>
            </w:r>
            <w:r>
              <w:rPr>
                <w:rFonts w:hint="eastAsia"/>
                <w:bCs/>
                <w:color w:val="auto"/>
                <w:sz w:val="24"/>
                <w:szCs w:val="24"/>
              </w:rPr>
              <w:t>经厂区内</w:t>
            </w:r>
            <w:r>
              <w:rPr>
                <w:rFonts w:hint="eastAsia"/>
                <w:bCs/>
                <w:color w:val="auto"/>
                <w:sz w:val="24"/>
                <w:szCs w:val="24"/>
                <w:lang w:eastAsia="zh-CN"/>
              </w:rPr>
              <w:t>现</w:t>
            </w:r>
            <w:r>
              <w:rPr>
                <w:rFonts w:hint="eastAsia"/>
                <w:bCs/>
                <w:color w:val="auto"/>
                <w:sz w:val="24"/>
                <w:szCs w:val="24"/>
              </w:rPr>
              <w:t>有</w:t>
            </w:r>
            <w:r>
              <w:rPr>
                <w:rFonts w:hint="eastAsia"/>
                <w:bCs/>
                <w:color w:val="auto"/>
                <w:sz w:val="24"/>
                <w:szCs w:val="24"/>
                <w:lang w:eastAsia="zh-CN"/>
              </w:rPr>
              <w:t>三格式</w:t>
            </w:r>
            <w:r>
              <w:rPr>
                <w:rFonts w:hint="eastAsia"/>
                <w:bCs/>
                <w:color w:val="auto"/>
                <w:sz w:val="24"/>
                <w:szCs w:val="24"/>
              </w:rPr>
              <w:t>化粪池处理后</w:t>
            </w:r>
            <w:r>
              <w:rPr>
                <w:rFonts w:hint="eastAsia"/>
                <w:bCs/>
                <w:color w:val="auto"/>
                <w:sz w:val="24"/>
                <w:szCs w:val="24"/>
                <w:lang w:eastAsia="zh-CN"/>
              </w:rPr>
              <w:t>，</w:t>
            </w:r>
            <w:r>
              <w:rPr>
                <w:rFonts w:hint="eastAsia"/>
                <w:bCs/>
                <w:sz w:val="24"/>
                <w:szCs w:val="24"/>
              </w:rPr>
              <w:t>由专业服务队伍采用专业抽粪车辆定期对粪水、粪渣进行收集、有效利用和无害化处理</w:t>
            </w:r>
            <w:r>
              <w:rPr>
                <w:rFonts w:hint="eastAsia"/>
                <w:color w:val="auto"/>
                <w:sz w:val="24"/>
                <w:szCs w:val="24"/>
              </w:rPr>
              <w:t>。</w:t>
            </w:r>
          </w:p>
          <w:p>
            <w:pPr>
              <w:pStyle w:val="8"/>
              <w:spacing w:line="360" w:lineRule="auto"/>
              <w:ind w:firstLine="465"/>
              <w:rPr>
                <w:rFonts w:ascii="Times New Roman" w:hAnsi="Times New Roman" w:cs="Times New Roman"/>
                <w:color w:val="auto"/>
                <w:kern w:val="2"/>
                <w:szCs w:val="24"/>
              </w:rPr>
            </w:pPr>
            <w:r>
              <w:rPr>
                <w:rFonts w:hint="eastAsia" w:ascii="宋体" w:hAnsi="宋体" w:cs="宋体"/>
                <w:color w:val="000000"/>
                <w:kern w:val="0"/>
                <w:sz w:val="24"/>
                <w:szCs w:val="24"/>
                <w:lang w:val="en-US" w:eastAsia="zh-CN" w:bidi="ar"/>
              </w:rPr>
              <w:t>车辆</w:t>
            </w:r>
            <w:r>
              <w:rPr>
                <w:rFonts w:hint="eastAsia" w:ascii="宋体" w:hAnsi="宋体" w:eastAsia="宋体" w:cs="宋体"/>
                <w:color w:val="000000"/>
                <w:kern w:val="0"/>
                <w:sz w:val="24"/>
                <w:szCs w:val="24"/>
                <w:lang w:val="en-US" w:eastAsia="zh-CN" w:bidi="ar"/>
              </w:rPr>
              <w:t>废水产生量为</w:t>
            </w:r>
            <w:r>
              <w:rPr>
                <w:rFonts w:hint="eastAsia" w:ascii="宋体" w:hAnsi="宋体" w:cs="宋体"/>
                <w:color w:val="000000"/>
                <w:kern w:val="0"/>
                <w:sz w:val="24"/>
                <w:szCs w:val="24"/>
                <w:lang w:val="en-US" w:eastAsia="zh-CN" w:bidi="ar"/>
              </w:rPr>
              <w:t>90</w:t>
            </w:r>
            <w:r>
              <w:rPr>
                <w:rFonts w:hint="default" w:ascii="Times New Roman" w:hAnsi="Times New Roman" w:eastAsia="宋体" w:cs="Times New Roman"/>
                <w:color w:val="000000"/>
                <w:kern w:val="0"/>
                <w:sz w:val="24"/>
                <w:szCs w:val="24"/>
                <w:lang w:val="en-US" w:eastAsia="zh-CN" w:bidi="ar"/>
              </w:rPr>
              <w:t>m</w:t>
            </w:r>
            <w:r>
              <w:rPr>
                <w:rFonts w:hint="default" w:ascii="Times New Roman" w:hAnsi="Times New Roman" w:eastAsia="宋体" w:cs="Times New Roman"/>
                <w:color w:val="000000"/>
                <w:kern w:val="0"/>
                <w:sz w:val="24"/>
                <w:szCs w:val="24"/>
                <w:vertAlign w:val="superscript"/>
                <w:lang w:val="en-US" w:eastAsia="zh-CN" w:bidi="ar"/>
              </w:rPr>
              <w:t>3</w:t>
            </w:r>
            <w:r>
              <w:rPr>
                <w:rFonts w:hint="default" w:ascii="Times New Roman" w:hAnsi="Times New Roman" w:eastAsia="宋体" w:cs="Times New Roman"/>
                <w:color w:val="000000"/>
                <w:kern w:val="0"/>
                <w:sz w:val="24"/>
                <w:szCs w:val="24"/>
                <w:lang w:val="en-US" w:eastAsia="zh-CN" w:bidi="ar"/>
              </w:rPr>
              <w:t>/a</w:t>
            </w:r>
            <w:r>
              <w:rPr>
                <w:rFonts w:hint="eastAsia" w:ascii="宋体" w:hAnsi="宋体" w:eastAsia="宋体" w:cs="宋体"/>
                <w:color w:val="000000"/>
                <w:kern w:val="0"/>
                <w:sz w:val="24"/>
                <w:szCs w:val="24"/>
                <w:lang w:val="en-US" w:eastAsia="zh-CN" w:bidi="ar"/>
              </w:rPr>
              <w:t>（</w:t>
            </w:r>
            <w:r>
              <w:rPr>
                <w:rFonts w:hint="eastAsia" w:cs="Times New Roman"/>
                <w:color w:val="000000"/>
                <w:kern w:val="0"/>
                <w:sz w:val="24"/>
                <w:szCs w:val="24"/>
                <w:lang w:val="en-US" w:eastAsia="zh-CN" w:bidi="ar"/>
              </w:rPr>
              <w:t>0.3</w:t>
            </w:r>
            <w:r>
              <w:rPr>
                <w:rFonts w:hint="default" w:ascii="Times New Roman" w:hAnsi="Times New Roman" w:eastAsia="宋体" w:cs="Times New Roman"/>
                <w:color w:val="000000"/>
                <w:kern w:val="0"/>
                <w:sz w:val="24"/>
                <w:szCs w:val="24"/>
                <w:lang w:val="en-US" w:eastAsia="zh-CN" w:bidi="ar"/>
              </w:rPr>
              <w:t>m</w:t>
            </w:r>
            <w:r>
              <w:rPr>
                <w:rFonts w:hint="default" w:ascii="Times New Roman" w:hAnsi="Times New Roman" w:eastAsia="宋体" w:cs="Times New Roman"/>
                <w:color w:val="000000"/>
                <w:kern w:val="0"/>
                <w:sz w:val="24"/>
                <w:szCs w:val="24"/>
                <w:vertAlign w:val="superscript"/>
                <w:lang w:val="en-US" w:eastAsia="zh-CN" w:bidi="ar"/>
              </w:rPr>
              <w:t>3</w:t>
            </w:r>
            <w:r>
              <w:rPr>
                <w:rFonts w:hint="default" w:ascii="Times New Roman" w:hAnsi="Times New Roman" w:eastAsia="宋体" w:cs="Times New Roman"/>
                <w:color w:val="000000"/>
                <w:kern w:val="0"/>
                <w:sz w:val="24"/>
                <w:szCs w:val="24"/>
                <w:lang w:val="en-US" w:eastAsia="zh-CN" w:bidi="ar"/>
              </w:rPr>
              <w:t>/d</w:t>
            </w:r>
            <w:r>
              <w:rPr>
                <w:rFonts w:hint="eastAsia" w:ascii="宋体" w:hAnsi="宋体" w:eastAsia="宋体" w:cs="宋体"/>
                <w:color w:val="000000"/>
                <w:kern w:val="0"/>
                <w:sz w:val="24"/>
                <w:szCs w:val="24"/>
                <w:lang w:val="en-US" w:eastAsia="zh-CN" w:bidi="ar"/>
              </w:rPr>
              <w:t>），经</w:t>
            </w:r>
            <w:r>
              <w:rPr>
                <w:rFonts w:hint="eastAsia" w:ascii="宋体" w:hAnsi="宋体" w:cs="宋体"/>
                <w:color w:val="000000"/>
                <w:kern w:val="0"/>
                <w:sz w:val="24"/>
                <w:szCs w:val="24"/>
                <w:lang w:val="en-US" w:eastAsia="zh-CN" w:bidi="ar"/>
              </w:rPr>
              <w:t>三级</w:t>
            </w:r>
            <w:r>
              <w:rPr>
                <w:rFonts w:hint="eastAsia" w:ascii="Times New Roman" w:hAnsi="Times New Roman" w:cs="Times New Roman"/>
                <w:color w:val="auto"/>
                <w:kern w:val="2"/>
                <w:szCs w:val="24"/>
                <w:lang w:val="en-US" w:eastAsia="zh-CN"/>
              </w:rPr>
              <w:t>沉淀池沉淀后用作道路洒水抑尘。</w:t>
            </w:r>
          </w:p>
          <w:p>
            <w:pPr>
              <w:pStyle w:val="8"/>
              <w:spacing w:line="360" w:lineRule="auto"/>
              <w:ind w:firstLine="465"/>
              <w:rPr>
                <w:rFonts w:ascii="Times New Roman" w:hAnsi="Times New Roman" w:cs="Times New Roman"/>
                <w:color w:val="auto"/>
                <w:kern w:val="2"/>
                <w:szCs w:val="24"/>
              </w:rPr>
            </w:pPr>
            <w:r>
              <w:rPr>
                <w:rFonts w:ascii="Times New Roman" w:hAnsi="Times New Roman" w:cs="Times New Roman"/>
                <w:color w:val="auto"/>
                <w:kern w:val="2"/>
                <w:szCs w:val="24"/>
              </w:rPr>
              <w:t>（3）供电</w:t>
            </w:r>
          </w:p>
          <w:p>
            <w:pPr>
              <w:pStyle w:val="8"/>
              <w:spacing w:line="360" w:lineRule="auto"/>
              <w:ind w:firstLine="465"/>
              <w:rPr>
                <w:kern w:val="2"/>
                <w:szCs w:val="24"/>
              </w:rPr>
            </w:pPr>
            <w:r>
              <w:rPr>
                <w:rFonts w:hint="eastAsia" w:ascii="Times New Roman" w:hAnsi="Times New Roman" w:cs="Times New Roman"/>
                <w:color w:val="auto"/>
                <w:kern w:val="2"/>
                <w:szCs w:val="24"/>
              </w:rPr>
              <w:t>项目年用电</w:t>
            </w:r>
            <w:r>
              <w:rPr>
                <w:rFonts w:hint="eastAsia"/>
                <w:sz w:val="24"/>
                <w:szCs w:val="24"/>
              </w:rPr>
              <w:t>量约80</w:t>
            </w:r>
            <w:r>
              <w:rPr>
                <w:sz w:val="24"/>
                <w:szCs w:val="24"/>
              </w:rPr>
              <w:t>万</w:t>
            </w:r>
            <w:r>
              <w:rPr>
                <w:rFonts w:hint="eastAsia"/>
                <w:bCs/>
                <w:sz w:val="24"/>
                <w:szCs w:val="24"/>
              </w:rPr>
              <w:t>Kw</w:t>
            </w:r>
            <w:r>
              <w:rPr>
                <w:sz w:val="24"/>
                <w:szCs w:val="24"/>
              </w:rPr>
              <w:t>·</w:t>
            </w:r>
            <w:r>
              <w:rPr>
                <w:rFonts w:hint="eastAsia"/>
                <w:bCs/>
                <w:sz w:val="24"/>
                <w:szCs w:val="24"/>
              </w:rPr>
              <w:t>h</w:t>
            </w:r>
            <w:r>
              <w:rPr>
                <w:rFonts w:hint="eastAsia"/>
                <w:sz w:val="24"/>
                <w:szCs w:val="24"/>
              </w:rPr>
              <w:t>，由</w:t>
            </w:r>
            <w:r>
              <w:rPr>
                <w:rFonts w:hint="eastAsia"/>
                <w:color w:val="auto"/>
                <w:sz w:val="24"/>
                <w:szCs w:val="24"/>
                <w:lang w:eastAsia="zh-CN"/>
              </w:rPr>
              <w:t>坡头</w:t>
            </w:r>
            <w:r>
              <w:rPr>
                <w:rFonts w:hint="eastAsia"/>
                <w:sz w:val="24"/>
                <w:szCs w:val="24"/>
                <w:lang w:eastAsia="zh-CN"/>
              </w:rPr>
              <w:t>村</w:t>
            </w:r>
            <w:r>
              <w:rPr>
                <w:rFonts w:hint="eastAsia"/>
                <w:sz w:val="24"/>
                <w:szCs w:val="24"/>
              </w:rPr>
              <w:t>集中供电，可以满足项目生产及生活需要</w:t>
            </w:r>
            <w:r>
              <w:rPr>
                <w:color w:val="auto"/>
                <w:kern w:val="2"/>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9287" w:type="dxa"/>
            <w:gridSpan w:val="8"/>
            <w:tcBorders>
              <w:tl2br w:val="nil"/>
              <w:tr2bl w:val="nil"/>
            </w:tcBorders>
          </w:tcPr>
          <w:p>
            <w:pPr>
              <w:spacing w:before="156" w:beforeLines="50" w:line="360" w:lineRule="auto"/>
              <w:rPr>
                <w:b/>
                <w:sz w:val="24"/>
              </w:rPr>
            </w:pPr>
            <w:r>
              <w:rPr>
                <w:b/>
                <w:sz w:val="24"/>
              </w:rPr>
              <w:t>与项目有关的现有污染情况及主要环境问题</w:t>
            </w:r>
          </w:p>
          <w:p>
            <w:pPr>
              <w:adjustRightInd w:val="0"/>
              <w:snapToGrid w:val="0"/>
              <w:spacing w:line="360" w:lineRule="auto"/>
              <w:ind w:firstLine="480" w:firstLineChars="200"/>
              <w:rPr>
                <w:rFonts w:hint="eastAsia" w:hAnsi="宋体"/>
                <w:sz w:val="24"/>
                <w:szCs w:val="24"/>
              </w:rPr>
            </w:pPr>
            <w:r>
              <w:rPr>
                <w:rFonts w:hint="eastAsia" w:hAnsi="宋体"/>
                <w:sz w:val="24"/>
                <w:szCs w:val="24"/>
                <w:lang w:eastAsia="zh-CN"/>
              </w:rPr>
              <w:t>本</w:t>
            </w:r>
            <w:r>
              <w:rPr>
                <w:rFonts w:hint="eastAsia" w:hAnsi="宋体"/>
                <w:sz w:val="24"/>
                <w:szCs w:val="24"/>
              </w:rPr>
              <w:t>项目</w:t>
            </w:r>
            <w:r>
              <w:rPr>
                <w:rFonts w:hint="eastAsia" w:hAnsi="宋体"/>
                <w:sz w:val="24"/>
                <w:szCs w:val="24"/>
                <w:lang w:eastAsia="zh-CN"/>
              </w:rPr>
              <w:t>为</w:t>
            </w:r>
            <w:r>
              <w:rPr>
                <w:rFonts w:hint="eastAsia" w:hAnsi="宋体"/>
                <w:sz w:val="24"/>
                <w:szCs w:val="24"/>
              </w:rPr>
              <w:t>新建，</w:t>
            </w:r>
            <w:r>
              <w:rPr>
                <w:rFonts w:hint="eastAsia" w:hAnsi="宋体"/>
                <w:sz w:val="24"/>
                <w:szCs w:val="24"/>
                <w:lang w:eastAsia="zh-CN"/>
              </w:rPr>
              <w:t>经过现场勘察，</w:t>
            </w:r>
            <w:r>
              <w:rPr>
                <w:rFonts w:hint="eastAsia"/>
                <w:kern w:val="0"/>
                <w:sz w:val="24"/>
                <w:szCs w:val="24"/>
              </w:rPr>
              <w:t>本项目租赁</w:t>
            </w:r>
            <w:r>
              <w:rPr>
                <w:rFonts w:hint="eastAsia"/>
                <w:kern w:val="0"/>
                <w:sz w:val="24"/>
                <w:szCs w:val="24"/>
                <w:lang w:eastAsia="zh-CN"/>
              </w:rPr>
              <w:t>坡头村场地进行建设</w:t>
            </w:r>
            <w:r>
              <w:rPr>
                <w:rFonts w:hint="eastAsia" w:hAnsi="宋体"/>
                <w:sz w:val="24"/>
                <w:szCs w:val="24"/>
                <w:lang w:eastAsia="zh-CN"/>
              </w:rPr>
              <w:t>，</w:t>
            </w:r>
            <w:r>
              <w:rPr>
                <w:rFonts w:hint="eastAsia"/>
                <w:bCs/>
                <w:sz w:val="24"/>
              </w:rPr>
              <w:t>本项目</w:t>
            </w:r>
            <w:r>
              <w:rPr>
                <w:rFonts w:hint="eastAsia"/>
                <w:bCs/>
                <w:sz w:val="24"/>
                <w:lang w:eastAsia="zh-CN"/>
              </w:rPr>
              <w:t>生产</w:t>
            </w:r>
            <w:r>
              <w:rPr>
                <w:rFonts w:hint="eastAsia"/>
                <w:bCs/>
                <w:sz w:val="24"/>
              </w:rPr>
              <w:t>设备尚未安装，不存在与项目有关的原有污染情况及主要环境问题</w:t>
            </w:r>
            <w:r>
              <w:rPr>
                <w:rFonts w:hint="eastAsia" w:hAnsi="宋体"/>
                <w:sz w:val="24"/>
                <w:szCs w:val="24"/>
              </w:rPr>
              <w:t>。</w:t>
            </w: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hAnsi="宋体"/>
                <w:sz w:val="24"/>
                <w:szCs w:val="24"/>
              </w:rPr>
            </w:pPr>
          </w:p>
          <w:p>
            <w:pPr>
              <w:pStyle w:val="2"/>
              <w:rPr>
                <w:rFonts w:hint="eastAsia" w:hAnsi="宋体"/>
                <w:sz w:val="24"/>
                <w:szCs w:val="24"/>
              </w:rPr>
            </w:pPr>
          </w:p>
          <w:p>
            <w:pPr>
              <w:rPr>
                <w:rFonts w:hint="eastAsia"/>
              </w:rPr>
            </w:pPr>
          </w:p>
          <w:p>
            <w:pPr>
              <w:adjustRightInd w:val="0"/>
              <w:snapToGrid w:val="0"/>
              <w:spacing w:line="360" w:lineRule="auto"/>
              <w:ind w:firstLine="480" w:firstLineChars="200"/>
              <w:rPr>
                <w:rFonts w:hint="eastAsia" w:eastAsia="宋体"/>
                <w:lang w:val="en-US" w:eastAsia="zh-CN"/>
              </w:rPr>
            </w:pPr>
            <w:r>
              <w:rPr>
                <w:rFonts w:hint="eastAsia" w:hAnsi="宋体"/>
                <w:sz w:val="24"/>
                <w:szCs w:val="24"/>
                <w:lang w:val="en-US" w:eastAsia="zh-CN"/>
              </w:rPr>
              <w:t xml:space="preserve"> </w:t>
            </w:r>
          </w:p>
        </w:tc>
      </w:tr>
    </w:tbl>
    <w:p>
      <w:pPr>
        <w:adjustRightInd w:val="0"/>
        <w:snapToGrid w:val="0"/>
        <w:spacing w:after="93" w:afterLines="30"/>
        <w:rPr>
          <w:rFonts w:ascii="黑体" w:eastAsia="黑体"/>
          <w:sz w:val="32"/>
        </w:rPr>
      </w:pPr>
      <w:r>
        <w:rPr>
          <w:rFonts w:hint="eastAsia" w:ascii="黑体" w:hAnsi="宋体" w:eastAsia="黑体"/>
          <w:sz w:val="32"/>
        </w:rPr>
        <w:t>建设项目所在地自然环境社会环境简况</w:t>
      </w:r>
    </w:p>
    <w:tbl>
      <w:tblPr>
        <w:tblStyle w:val="31"/>
        <w:tblW w:w="9060"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060"/>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3309" w:hRule="atLeast"/>
          <w:jc w:val="center"/>
        </w:trPr>
        <w:tc>
          <w:tcPr>
            <w:tcW w:w="9060" w:type="dxa"/>
            <w:tcBorders>
              <w:tl2br w:val="nil"/>
              <w:tr2bl w:val="nil"/>
            </w:tcBorders>
          </w:tcPr>
          <w:p>
            <w:pPr>
              <w:spacing w:line="360" w:lineRule="auto"/>
              <w:rPr>
                <w:b/>
                <w:spacing w:val="-6"/>
                <w:sz w:val="28"/>
                <w:szCs w:val="28"/>
              </w:rPr>
            </w:pPr>
            <w:r>
              <w:rPr>
                <w:b/>
                <w:spacing w:val="-6"/>
                <w:sz w:val="28"/>
                <w:szCs w:val="28"/>
              </w:rPr>
              <w:t>自然环境简况（地形、地貌、地质、气候、气象、水文、植被、生物多样性等）：</w:t>
            </w:r>
          </w:p>
          <w:p>
            <w:pPr>
              <w:spacing w:line="336" w:lineRule="auto"/>
              <w:ind w:left="457"/>
              <w:rPr>
                <w:b/>
                <w:sz w:val="24"/>
              </w:rPr>
            </w:pPr>
            <w:r>
              <w:rPr>
                <w:rFonts w:hint="eastAsia"/>
                <w:b/>
                <w:sz w:val="24"/>
              </w:rPr>
              <w:t>1</w:t>
            </w:r>
            <w:r>
              <w:rPr>
                <w:rFonts w:hint="eastAsia"/>
                <w:b/>
                <w:sz w:val="24"/>
                <w:lang w:val="en-US" w:eastAsia="zh-CN"/>
              </w:rPr>
              <w:t>.</w:t>
            </w:r>
            <w:r>
              <w:rPr>
                <w:b/>
                <w:sz w:val="24"/>
              </w:rPr>
              <w:t>地理位置</w:t>
            </w:r>
          </w:p>
          <w:p>
            <w:pPr>
              <w:spacing w:line="360" w:lineRule="auto"/>
              <w:ind w:firstLine="480" w:firstLineChars="200"/>
              <w:rPr>
                <w:rFonts w:hint="eastAsia"/>
                <w:color w:val="auto"/>
                <w:sz w:val="24"/>
              </w:rPr>
            </w:pPr>
            <w:r>
              <w:rPr>
                <w:rFonts w:hint="eastAsia"/>
                <w:sz w:val="24"/>
              </w:rPr>
              <w:t>济源市位于河南省的西北部，地处北纬</w:t>
            </w:r>
            <w:r>
              <w:rPr>
                <w:sz w:val="24"/>
              </w:rPr>
              <w:t>34°53′～35°17′</w:t>
            </w:r>
            <w:r>
              <w:rPr>
                <w:rFonts w:hint="eastAsia"/>
                <w:sz w:val="24"/>
              </w:rPr>
              <w:t>，东经</w:t>
            </w:r>
            <w:r>
              <w:rPr>
                <w:sz w:val="24"/>
              </w:rPr>
              <w:t>112°01′～112°46′</w:t>
            </w:r>
            <w:r>
              <w:rPr>
                <w:rFonts w:hint="eastAsia"/>
                <w:sz w:val="24"/>
              </w:rPr>
              <w:t>之间。济源市北依太行，与山西省的阳城县、晋城市毗邻；南临黄河，与古都洛阳市的孟津县、新安县隔河相望；西踞王屋，与山西省运城市的垣曲县接壤；东接华北，与焦作市的孟州、沁阳市相连，有“豫西北门户”之称。五龙口镇地处山西与河南两省交界地带，是山西进入中原的重要出口，晋煤外运、南货北进的重要通道，境内S306、</w:t>
            </w:r>
            <w:r>
              <w:rPr>
                <w:rFonts w:hint="eastAsia"/>
                <w:color w:val="auto"/>
                <w:sz w:val="24"/>
              </w:rPr>
              <w:t>焦柳线横穿东西，G207、二广高速公路纵贯南北。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hAnsi="宋体"/>
                <w:color w:val="auto"/>
                <w:kern w:val="0"/>
                <w:sz w:val="24"/>
                <w:szCs w:val="24"/>
              </w:rPr>
            </w:pPr>
            <w:r>
              <w:rPr>
                <w:rFonts w:hint="eastAsia"/>
                <w:color w:val="auto"/>
                <w:sz w:val="24"/>
              </w:rPr>
              <w:t>本项目位于</w:t>
            </w:r>
            <w:r>
              <w:rPr>
                <w:rFonts w:hint="eastAsia"/>
                <w:bCs/>
                <w:color w:val="auto"/>
                <w:sz w:val="24"/>
                <w:lang w:eastAsia="zh-CN"/>
              </w:rPr>
              <w:t>济源市坡头镇高新路东侧中段，根据现场勘察，本项目南侧和东侧为农田，北侧为济源市小浪底无纺布有限公司，西侧为道路，隔道路为坡头村，距离本项目最近的敏感点为西</w:t>
            </w:r>
            <w:r>
              <w:rPr>
                <w:rFonts w:hint="eastAsia"/>
                <w:bCs/>
                <w:color w:val="auto"/>
                <w:sz w:val="24"/>
                <w:lang w:val="en-US" w:eastAsia="zh-CN"/>
              </w:rPr>
              <w:t>35m的坡头村</w:t>
            </w:r>
            <w:r>
              <w:rPr>
                <w:rFonts w:hint="eastAsia"/>
                <w:color w:val="auto"/>
                <w:sz w:val="24"/>
              </w:rPr>
              <w:t>。</w:t>
            </w:r>
            <w:r>
              <w:rPr>
                <w:rFonts w:hint="eastAsia"/>
                <w:color w:val="auto"/>
                <w:sz w:val="24"/>
                <w:lang w:eastAsia="zh-CN"/>
              </w:rPr>
              <w:t>本</w:t>
            </w:r>
            <w:r>
              <w:rPr>
                <w:rFonts w:hint="eastAsia" w:hAnsi="宋体"/>
                <w:color w:val="auto"/>
                <w:kern w:val="0"/>
                <w:sz w:val="24"/>
                <w:szCs w:val="24"/>
              </w:rPr>
              <w:t>项目</w:t>
            </w:r>
            <w:r>
              <w:rPr>
                <w:rFonts w:hint="eastAsia" w:hAnsi="宋体"/>
                <w:color w:val="auto"/>
                <w:kern w:val="0"/>
                <w:sz w:val="24"/>
                <w:szCs w:val="24"/>
                <w:lang w:eastAsia="zh-CN"/>
              </w:rPr>
              <w:t>周围环境敏感点见</w:t>
            </w:r>
            <w:r>
              <w:rPr>
                <w:rFonts w:hint="eastAsia" w:hAnsi="宋体"/>
                <w:color w:val="auto"/>
                <w:kern w:val="0"/>
                <w:sz w:val="24"/>
                <w:szCs w:val="24"/>
              </w:rPr>
              <w:t>图</w:t>
            </w:r>
            <w:r>
              <w:rPr>
                <w:rFonts w:hint="eastAsia" w:hAnsi="宋体"/>
                <w:color w:val="auto"/>
                <w:kern w:val="0"/>
                <w:sz w:val="24"/>
                <w:szCs w:val="24"/>
                <w:lang w:val="en-US" w:eastAsia="zh-CN"/>
              </w:rPr>
              <w:t>1</w:t>
            </w:r>
            <w:r>
              <w:rPr>
                <w:rFonts w:hint="eastAsia" w:hAnsi="宋体"/>
                <w:color w:val="auto"/>
                <w:kern w:val="0"/>
                <w:sz w:val="24"/>
                <w:szCs w:val="24"/>
              </w:rPr>
              <w:t>。</w:t>
            </w:r>
          </w:p>
          <w:p>
            <w:pPr>
              <w:pStyle w:val="38"/>
              <w:jc w:val="center"/>
              <w:rPr>
                <w:rFonts w:hint="eastAsia" w:hAnsi="宋体"/>
                <w:color w:val="auto"/>
                <w:kern w:val="0"/>
                <w:sz w:val="24"/>
                <w:szCs w:val="24"/>
              </w:rPr>
            </w:pPr>
            <w:r>
              <w:rPr>
                <w:sz w:val="24"/>
              </w:rPr>
              <mc:AlternateContent>
                <mc:Choice Requires="wpg">
                  <w:drawing>
                    <wp:anchor distT="0" distB="0" distL="114300" distR="114300" simplePos="0" relativeHeight="516322304" behindDoc="0" locked="0" layoutInCell="1" allowOverlap="1">
                      <wp:simplePos x="0" y="0"/>
                      <wp:positionH relativeFrom="column">
                        <wp:posOffset>829945</wp:posOffset>
                      </wp:positionH>
                      <wp:positionV relativeFrom="paragraph">
                        <wp:posOffset>97790</wp:posOffset>
                      </wp:positionV>
                      <wp:extent cx="3523615" cy="3162300"/>
                      <wp:effectExtent l="12700" t="12700" r="0" b="25400"/>
                      <wp:wrapNone/>
                      <wp:docPr id="27" name="组合 27"/>
                      <wp:cNvGraphicFramePr/>
                      <a:graphic xmlns:a="http://schemas.openxmlformats.org/drawingml/2006/main">
                        <a:graphicData uri="http://schemas.microsoft.com/office/word/2010/wordprocessingGroup">
                          <wpg:wgp>
                            <wpg:cNvGrpSpPr/>
                            <wpg:grpSpPr>
                              <a:xfrm>
                                <a:off x="0" y="0"/>
                                <a:ext cx="3523615" cy="3162300"/>
                                <a:chOff x="6045" y="76782"/>
                                <a:chExt cx="5549" cy="4980"/>
                              </a:xfrm>
                            </wpg:grpSpPr>
                            <wps:wsp>
                              <wps:cNvPr id="18" name="任意多边形 18"/>
                              <wps:cNvSpPr/>
                              <wps:spPr>
                                <a:xfrm>
                                  <a:off x="6045" y="76782"/>
                                  <a:ext cx="1763" cy="4980"/>
                                </a:xfrm>
                                <a:custGeom>
                                  <a:avLst/>
                                  <a:gdLst>
                                    <a:gd name="connsiteX0" fmla="*/ 538 w 1763"/>
                                    <a:gd name="connsiteY0" fmla="*/ 4980 h 4980"/>
                                    <a:gd name="connsiteX1" fmla="*/ 1763 w 1763"/>
                                    <a:gd name="connsiteY1" fmla="*/ 0 h 4980"/>
                                    <a:gd name="connsiteX2" fmla="*/ 0 w 1763"/>
                                    <a:gd name="connsiteY2" fmla="*/ 15 h 4980"/>
                                    <a:gd name="connsiteX3" fmla="*/ 31 w 1763"/>
                                    <a:gd name="connsiteY3" fmla="*/ 4964 h 4980"/>
                                    <a:gd name="connsiteX4" fmla="*/ 538 w 1763"/>
                                    <a:gd name="connsiteY4" fmla="*/ 4980 h 498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63" h="4980">
                                      <a:moveTo>
                                        <a:pt x="538" y="4980"/>
                                      </a:moveTo>
                                      <a:lnTo>
                                        <a:pt x="1763" y="0"/>
                                      </a:lnTo>
                                      <a:lnTo>
                                        <a:pt x="0" y="15"/>
                                      </a:lnTo>
                                      <a:lnTo>
                                        <a:pt x="31" y="4964"/>
                                      </a:lnTo>
                                      <a:lnTo>
                                        <a:pt x="538" y="4980"/>
                                      </a:lnTo>
                                      <a:close/>
                                    </a:path>
                                  </a:pathLst>
                                </a:custGeom>
                                <a:noFill/>
                                <a:ln>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wps:wsp>
                            <wps:wsp>
                              <wps:cNvPr id="19" name="任意多边形 19"/>
                              <wps:cNvSpPr/>
                              <wps:spPr>
                                <a:xfrm>
                                  <a:off x="7350" y="78952"/>
                                  <a:ext cx="2573" cy="2212"/>
                                </a:xfrm>
                                <a:custGeom>
                                  <a:avLst/>
                                  <a:gdLst>
                                    <a:gd name="connisteX0" fmla="*/ 257175 w 1633855"/>
                                    <a:gd name="connsiteY0" fmla="*/ 187960 h 1404620"/>
                                    <a:gd name="connisteX1" fmla="*/ 514350 w 1633855"/>
                                    <a:gd name="connsiteY1" fmla="*/ 271145 h 1404620"/>
                                    <a:gd name="connisteX2" fmla="*/ 583565 w 1633855"/>
                                    <a:gd name="connsiteY2" fmla="*/ 0 h 1404620"/>
                                    <a:gd name="connisteX3" fmla="*/ 1633855 w 1633855"/>
                                    <a:gd name="connsiteY3" fmla="*/ 222885 h 1404620"/>
                                    <a:gd name="connisteX4" fmla="*/ 1355725 w 1633855"/>
                                    <a:gd name="connsiteY4" fmla="*/ 1404620 h 1404620"/>
                                    <a:gd name="connisteX5" fmla="*/ 0 w 1633855"/>
                                    <a:gd name="connsiteY5" fmla="*/ 1077595 h 1404620"/>
                                    <a:gd name="connisteX6" fmla="*/ 257175 w 1633855"/>
                                    <a:gd name="connsiteY6" fmla="*/ 187960 h 1404620"/>
                                  </a:gdLst>
                                  <a:ahLst/>
                                  <a:cxnLst>
                                    <a:cxn ang="0">
                                      <a:pos x="connisteX0" y="connsiteY0"/>
                                    </a:cxn>
                                    <a:cxn ang="0">
                                      <a:pos x="connisteX1" y="connsiteY1"/>
                                    </a:cxn>
                                    <a:cxn ang="0">
                                      <a:pos x="connisteX2" y="connsiteY2"/>
                                    </a:cxn>
                                    <a:cxn ang="0">
                                      <a:pos x="connisteX3" y="connsiteY3"/>
                                    </a:cxn>
                                    <a:cxn ang="0">
                                      <a:pos x="connisteX4" y="connsiteY4"/>
                                    </a:cxn>
                                    <a:cxn ang="0">
                                      <a:pos x="connisteX5" y="connsiteY5"/>
                                    </a:cxn>
                                    <a:cxn ang="0">
                                      <a:pos x="connisteX6" y="connsiteY6"/>
                                    </a:cxn>
                                  </a:cxnLst>
                                  <a:rect l="l" t="t" r="r" b="b"/>
                                  <a:pathLst>
                                    <a:path w="1633855" h="1404620">
                                      <a:moveTo>
                                        <a:pt x="257175" y="187960"/>
                                      </a:moveTo>
                                      <a:lnTo>
                                        <a:pt x="514350" y="271145"/>
                                      </a:lnTo>
                                      <a:lnTo>
                                        <a:pt x="583565" y="0"/>
                                      </a:lnTo>
                                      <a:lnTo>
                                        <a:pt x="1633855" y="222885"/>
                                      </a:lnTo>
                                      <a:lnTo>
                                        <a:pt x="1355725" y="1404620"/>
                                      </a:lnTo>
                                      <a:lnTo>
                                        <a:pt x="0" y="1077595"/>
                                      </a:lnTo>
                                      <a:lnTo>
                                        <a:pt x="257175" y="187960"/>
                                      </a:lnTo>
                                      <a:close/>
                                    </a:path>
                                  </a:pathLst>
                                </a:cu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wps:wsp>
                            <wps:wsp>
                              <wps:cNvPr id="20" name="直接箭头连接符 20"/>
                              <wps:cNvCnPr/>
                              <wps:spPr>
                                <a:xfrm flipH="1" flipV="1">
                                  <a:off x="7065" y="79861"/>
                                  <a:ext cx="460" cy="131"/>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22" name="文本框 22"/>
                              <wps:cNvSpPr txBox="1"/>
                              <wps:spPr>
                                <a:xfrm>
                                  <a:off x="7020" y="79411"/>
                                  <a:ext cx="1050" cy="50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color w:val="auto"/>
                                        <w:lang w:val="en-US" w:eastAsia="zh-CN"/>
                                      </w:rPr>
                                    </w:pPr>
                                    <w:r>
                                      <w:rPr>
                                        <w:rFonts w:hint="eastAsia"/>
                                        <w:color w:val="auto"/>
                                        <w:lang w:val="en-US" w:eastAsia="zh-CN"/>
                                      </w:rPr>
                                      <w:t>35m</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 name="文本框 23"/>
                              <wps:cNvSpPr txBox="1"/>
                              <wps:spPr>
                                <a:xfrm>
                                  <a:off x="9012" y="77965"/>
                                  <a:ext cx="2078" cy="72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default"/>
                                        <w:lang w:val="en-US" w:eastAsia="zh-CN"/>
                                      </w:rPr>
                                    </w:pPr>
                                    <w:r>
                                      <w:rPr>
                                        <w:rFonts w:hint="eastAsia"/>
                                        <w:bCs/>
                                        <w:color w:val="auto"/>
                                        <w:sz w:val="24"/>
                                        <w:lang w:eastAsia="zh-CN"/>
                                      </w:rPr>
                                      <w:t>济源市小浪底无纺布有限公司</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4" name="文本框 24"/>
                              <wps:cNvSpPr txBox="1"/>
                              <wps:spPr>
                                <a:xfrm>
                                  <a:off x="7566" y="81216"/>
                                  <a:ext cx="1050" cy="50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color w:val="auto"/>
                                        <w:lang w:val="en-US" w:eastAsia="zh-CN"/>
                                      </w:rPr>
                                    </w:pPr>
                                    <w:r>
                                      <w:rPr>
                                        <w:rFonts w:hint="eastAsia"/>
                                        <w:color w:val="auto"/>
                                        <w:lang w:val="en-US" w:eastAsia="zh-CN"/>
                                      </w:rPr>
                                      <w:t>农田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5" name="文本框 25"/>
                              <wps:cNvSpPr txBox="1"/>
                              <wps:spPr>
                                <a:xfrm>
                                  <a:off x="7906" y="79782"/>
                                  <a:ext cx="1050" cy="50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color w:val="FF0000"/>
                                        <w:lang w:val="en-US" w:eastAsia="zh-CN"/>
                                      </w:rPr>
                                    </w:pPr>
                                    <w:r>
                                      <w:rPr>
                                        <w:rFonts w:hint="eastAsia"/>
                                        <w:color w:val="FF0000"/>
                                        <w:lang w:val="en-US" w:eastAsia="zh-CN"/>
                                      </w:rPr>
                                      <w:t>本项目</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6" name="文本框 26"/>
                              <wps:cNvSpPr txBox="1"/>
                              <wps:spPr>
                                <a:xfrm>
                                  <a:off x="10544" y="80373"/>
                                  <a:ext cx="1050" cy="50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color w:val="auto"/>
                                        <w:lang w:val="en-US" w:eastAsia="zh-CN"/>
                                      </w:rPr>
                                    </w:pPr>
                                    <w:r>
                                      <w:rPr>
                                        <w:rFonts w:hint="eastAsia"/>
                                        <w:color w:val="auto"/>
                                        <w:lang w:val="en-US" w:eastAsia="zh-CN"/>
                                      </w:rPr>
                                      <w:t>农田</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margin-left:65.35pt;margin-top:7.7pt;height:249pt;width:277.45pt;z-index:516322304;mso-width-relative:page;mso-height-relative:page;" coordorigin="6045,76782" coordsize="5549,4980" o:gfxdata="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">
                      <o:lock v:ext="edit" aspectratio="f"/>
                      <v:shape id="_x0000_s1026" o:spid="_x0000_s1026" o:spt="100" style="position:absolute;left:6045;top:76782;height:4980;width:1763;" filled="f" stroked="t" coordsize="1763,4980" o:gfxdata="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WSsAL4A&#10;AADbAAAADwAAAAAAAAABACAAAAAiAAAAZHJzL2Rvd25yZXYueG1sUEsBAhQAFAAAAAgAh07iQDMv&#10;BZ47AAAAOQAAABAAAAAAAAAAAQAgAAAADQEAAGRycy9zaGFwZXhtbC54bWxQSwUGAAAAAAYABgBb&#10;AQAAtwMAAAAA&#10;" path="m538,4980l1763,0,0,15,31,4964,538,4980xe">
                        <v:path o:connectlocs="538,4980;1763,0;0,15;31,4964;538,4980" o:connectangles="0,0,0,0,0"/>
                        <v:fill on="f" focussize="0,0"/>
                        <v:stroke weight="2pt" color="#FFFF00 [3204]" joinstyle="round"/>
                        <v:imagedata o:title=""/>
                        <o:lock v:ext="edit" aspectratio="f"/>
                      </v:shape>
                      <v:shape id="_x0000_s1026" o:spid="_x0000_s1026" o:spt="100" style="position:absolute;left:7350;top:78952;height:2212;width:2573;" filled="f" stroked="t" coordsize="1633855,1404620" o:gfxdata="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ghsrbsAAADb&#10;AAAADwAAAAAAAAABACAAAAAiAAAAZHJzL2Rvd25yZXYueG1sUEsBAhQAFAAAAAgAh07iQDMvBZ47&#10;AAAAOQAAABAAAAAAAAAAAQAgAAAACgEAAGRycy9zaGFwZXhtbC54bWxQSwUGAAAAAAYABgBbAQAA&#10;tAMAAAAA&#10;" path="m257175,187960l514350,271145,583565,0,1633855,222885,1355725,1404620,0,1077595,257175,187960xe">
                        <v:path o:connectlocs="405,296;810,427;919,0;2573,351;2135,2212;0,1697;405,296" o:connectangles="0,0,0,0,0,0,0"/>
                        <v:fill on="f" focussize="0,0"/>
                        <v:stroke weight="2pt" color="#FF0000 [3204]" joinstyle="round"/>
                        <v:imagedata o:title=""/>
                        <o:lock v:ext="edit" aspectratio="f"/>
                      </v:shape>
                      <v:shape id="_x0000_s1026" o:spid="_x0000_s1026" o:spt="32" type="#_x0000_t32" style="position:absolute;left:7065;top:79861;flip:x y;height:131;width:460;" filled="f" stroked="t" coordsize="21600,21600" o:gfxdata="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ZLY97sAAADb&#10;AAAADwAAAAAAAAABACAAAAAiAAAAZHJzL2Rvd25yZXYueG1sUEsBAhQAFAAAAAgAh07iQDMvBZ47&#10;AAAAOQAAABAAAAAAAAAAAQAgAAAACgEAAGRycy9zaGFwZXhtbC54bWxQSwUGAAAAAAYABgBbAQAA&#10;tAMAAAAA&#10;">
                        <v:fill on="f" focussize="0,0"/>
                        <v:stroke color="#000000 [3213]" joinstyle="round" endarrow="open"/>
                        <v:imagedata o:title=""/>
                        <o:lock v:ext="edit" aspectratio="f"/>
                      </v:shape>
                      <v:shape id="_x0000_s1026" o:spid="_x0000_s1026" o:spt="202" type="#_x0000_t202" style="position:absolute;left:7020;top:79411;height:506;width:1050;" filled="f" stroked="f" coordsize="21600,21600" o:gfxdata="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rWuNG/&#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rPr>
                                  <w:rFonts w:hint="default" w:eastAsia="宋体"/>
                                  <w:color w:val="auto"/>
                                  <w:lang w:val="en-US" w:eastAsia="zh-CN"/>
                                </w:rPr>
                              </w:pPr>
                              <w:r>
                                <w:rPr>
                                  <w:rFonts w:hint="eastAsia"/>
                                  <w:color w:val="auto"/>
                                  <w:lang w:val="en-US" w:eastAsia="zh-CN"/>
                                </w:rPr>
                                <w:t>35m</w:t>
                              </w:r>
                            </w:p>
                          </w:txbxContent>
                        </v:textbox>
                      </v:shape>
                      <v:shape id="_x0000_s1026" o:spid="_x0000_s1026" o:spt="202" type="#_x0000_t202" style="position:absolute;left:9012;top:77965;height:724;width:2078;" filled="f" stroked="f" coordsize="21600,21600" o:gfxdata="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ZodS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jc w:val="center"/>
                                <w:rPr>
                                  <w:rFonts w:hint="default"/>
                                  <w:lang w:val="en-US" w:eastAsia="zh-CN"/>
                                </w:rPr>
                              </w:pPr>
                              <w:r>
                                <w:rPr>
                                  <w:rFonts w:hint="eastAsia"/>
                                  <w:bCs/>
                                  <w:color w:val="auto"/>
                                  <w:sz w:val="24"/>
                                  <w:lang w:eastAsia="zh-CN"/>
                                </w:rPr>
                                <w:t>济源市小浪底无纺布有限公司</w:t>
                              </w:r>
                            </w:p>
                          </w:txbxContent>
                        </v:textbox>
                      </v:shape>
                      <v:shape id="_x0000_s1026" o:spid="_x0000_s1026" o:spt="202" type="#_x0000_t202" style="position:absolute;left:7566;top:81216;height:506;width:1050;" filled="f" stroked="f" coordsize="21600,21600" o:gfxdata="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nOFP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eastAsia="宋体"/>
                                  <w:color w:val="auto"/>
                                  <w:lang w:val="en-US" w:eastAsia="zh-CN"/>
                                </w:rPr>
                              </w:pPr>
                              <w:r>
                                <w:rPr>
                                  <w:rFonts w:hint="eastAsia"/>
                                  <w:color w:val="auto"/>
                                  <w:lang w:val="en-US" w:eastAsia="zh-CN"/>
                                </w:rPr>
                                <w:t>农田</w:t>
                              </w:r>
                            </w:p>
                          </w:txbxContent>
                        </v:textbox>
                      </v:shape>
                      <v:shape id="_x0000_s1026" o:spid="_x0000_s1026" o:spt="202" type="#_x0000_t202" style="position:absolute;left:7906;top:79782;height:506;width:1050;" filled="f" stroked="f" coordsize="21600,21600" o:gfxdata="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T8gp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eastAsia" w:eastAsia="宋体"/>
                                  <w:color w:val="FF0000"/>
                                  <w:lang w:val="en-US" w:eastAsia="zh-CN"/>
                                </w:rPr>
                              </w:pPr>
                              <w:r>
                                <w:rPr>
                                  <w:rFonts w:hint="eastAsia"/>
                                  <w:color w:val="FF0000"/>
                                  <w:lang w:val="en-US" w:eastAsia="zh-CN"/>
                                </w:rPr>
                                <w:t>本项目</w:t>
                              </w:r>
                            </w:p>
                          </w:txbxContent>
                        </v:textbox>
                      </v:shape>
                      <v:shape id="_x0000_s1026" o:spid="_x0000_s1026" o:spt="202" type="#_x0000_t202" style="position:absolute;left:10544;top:80373;height:506;width:1050;" filled="f" stroked="f" coordsize="21600,21600" o:gfxdata="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l7b7S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pPr>
                                <w:rPr>
                                  <w:rFonts w:hint="default" w:eastAsia="宋体"/>
                                  <w:color w:val="auto"/>
                                  <w:lang w:val="en-US" w:eastAsia="zh-CN"/>
                                </w:rPr>
                              </w:pPr>
                              <w:r>
                                <w:rPr>
                                  <w:rFonts w:hint="eastAsia"/>
                                  <w:color w:val="auto"/>
                                  <w:lang w:val="en-US" w:eastAsia="zh-CN"/>
                                </w:rPr>
                                <w:t>农田</w:t>
                              </w:r>
                            </w:p>
                          </w:txbxContent>
                        </v:textbox>
                      </v:shape>
                    </v:group>
                  </w:pict>
                </mc:Fallback>
              </mc:AlternateContent>
            </w:r>
            <w:r>
              <w:rPr>
                <w:sz w:val="24"/>
              </w:rPr>
              <mc:AlternateContent>
                <mc:Choice Requires="wps">
                  <w:drawing>
                    <wp:anchor distT="0" distB="0" distL="114300" distR="114300" simplePos="0" relativeHeight="516321280" behindDoc="0" locked="0" layoutInCell="1" allowOverlap="1">
                      <wp:simplePos x="0" y="0"/>
                      <wp:positionH relativeFrom="column">
                        <wp:posOffset>990600</wp:posOffset>
                      </wp:positionH>
                      <wp:positionV relativeFrom="paragraph">
                        <wp:posOffset>1156335</wp:posOffset>
                      </wp:positionV>
                      <wp:extent cx="431165" cy="904875"/>
                      <wp:effectExtent l="0" t="0" r="0" b="0"/>
                      <wp:wrapNone/>
                      <wp:docPr id="21" name="文本框 21"/>
                      <wp:cNvGraphicFramePr/>
                      <a:graphic xmlns:a="http://schemas.openxmlformats.org/drawingml/2006/main">
                        <a:graphicData uri="http://schemas.microsoft.com/office/word/2010/wordprocessingShape">
                          <wps:wsp>
                            <wps:cNvSpPr txBox="1"/>
                            <wps:spPr>
                              <a:xfrm>
                                <a:off x="3485515" y="6108065"/>
                                <a:ext cx="431165" cy="9048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color w:val="FFFF00"/>
                                      <w:lang w:eastAsia="zh-CN"/>
                                    </w:rPr>
                                  </w:pPr>
                                  <w:r>
                                    <w:rPr>
                                      <w:rFonts w:hint="eastAsia"/>
                                      <w:color w:val="FFFF00"/>
                                      <w:lang w:eastAsia="zh-CN"/>
                                    </w:rPr>
                                    <w:t>坡头村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8pt;margin-top:91.05pt;height:71.25pt;width:33.95pt;z-index:516321280;mso-width-relative:page;mso-height-relative:page;" filled="f" stroked="f" coordsize="21600,21600" o:gfxdata="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D4zkXXcAAAACwEAAA8AAAAAAAAAAQAgAAAAIgAAAGRycy9kb3ducmV2LnhtbFBL&#10;AQIUABQAAAAIAIdO4kC2//0KKwIAACUEAAAOAAAAAAAAAAEAIAAAACsBAABkcnMvZTJvRG9jLnht&#10;bFBLBQYAAAAABgAGAFkBAADIBQAAAAA=&#10;">
                      <v:fill on="f" focussize="0,0"/>
                      <v:stroke on="f" weight="0.5pt"/>
                      <v:imagedata o:title=""/>
                      <o:lock v:ext="edit" aspectratio="f"/>
                      <v:textbox>
                        <w:txbxContent>
                          <w:p>
                            <w:pPr>
                              <w:rPr>
                                <w:rFonts w:hint="eastAsia" w:eastAsia="宋体"/>
                                <w:color w:val="FFFF00"/>
                                <w:lang w:eastAsia="zh-CN"/>
                              </w:rPr>
                            </w:pPr>
                            <w:r>
                              <w:rPr>
                                <w:rFonts w:hint="eastAsia"/>
                                <w:color w:val="FFFF00"/>
                                <w:lang w:eastAsia="zh-CN"/>
                              </w:rPr>
                              <w:t>坡头村</w:t>
                            </w:r>
                          </w:p>
                        </w:txbxContent>
                      </v:textbox>
                    </v:shape>
                  </w:pict>
                </mc:Fallback>
              </mc:AlternateContent>
            </w:r>
            <w:r>
              <w:drawing>
                <wp:inline distT="0" distB="0" distL="114300" distR="114300">
                  <wp:extent cx="3890010" cy="3161030"/>
                  <wp:effectExtent l="9525" t="9525" r="24765" b="10795"/>
                  <wp:docPr id="1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pic:cNvPicPr>
                            <a:picLocks noChangeAspect="1"/>
                          </pic:cNvPicPr>
                        </pic:nvPicPr>
                        <pic:blipFill>
                          <a:blip r:embed="rId6"/>
                          <a:stretch>
                            <a:fillRect/>
                          </a:stretch>
                        </pic:blipFill>
                        <pic:spPr>
                          <a:xfrm>
                            <a:off x="0" y="0"/>
                            <a:ext cx="3890010" cy="3161030"/>
                          </a:xfrm>
                          <a:prstGeom prst="rect">
                            <a:avLst/>
                          </a:prstGeom>
                          <a:noFill/>
                          <a:ln>
                            <a:solidFill>
                              <a:schemeClr val="tx1"/>
                            </a:solidFill>
                          </a:ln>
                        </pic:spPr>
                      </pic:pic>
                    </a:graphicData>
                  </a:graphic>
                </wp:inline>
              </w:drawing>
            </w:r>
          </w:p>
          <w:p>
            <w:pPr>
              <w:pStyle w:val="38"/>
              <w:jc w:val="center"/>
              <w:rPr>
                <w:rFonts w:hint="eastAsia" w:ascii="黑体" w:hAnsi="黑体" w:eastAsia="黑体" w:cs="黑体"/>
                <w:color w:val="auto"/>
                <w:kern w:val="0"/>
                <w:sz w:val="24"/>
                <w:szCs w:val="24"/>
                <w:lang w:val="en-US" w:eastAsia="zh-CN"/>
              </w:rPr>
            </w:pPr>
            <w:r>
              <w:rPr>
                <w:rFonts w:hint="eastAsia" w:ascii="黑体" w:hAnsi="黑体" w:eastAsia="黑体" w:cs="黑体"/>
                <w:color w:val="auto"/>
                <w:kern w:val="0"/>
                <w:sz w:val="24"/>
                <w:szCs w:val="24"/>
                <w:lang w:eastAsia="zh-CN"/>
              </w:rPr>
              <w:t>图</w:t>
            </w:r>
            <w:r>
              <w:rPr>
                <w:rFonts w:hint="eastAsia" w:ascii="黑体" w:hAnsi="黑体" w:eastAsia="黑体" w:cs="黑体"/>
                <w:color w:val="auto"/>
                <w:kern w:val="0"/>
                <w:sz w:val="24"/>
                <w:szCs w:val="24"/>
                <w:lang w:val="en-US" w:eastAsia="zh-CN"/>
              </w:rPr>
              <w:t xml:space="preserve">1  </w:t>
            </w:r>
            <w:r>
              <w:rPr>
                <w:rFonts w:hint="eastAsia" w:ascii="黑体" w:hAnsi="黑体" w:eastAsia="黑体" w:cs="黑体"/>
                <w:color w:val="auto"/>
                <w:sz w:val="24"/>
                <w:szCs w:val="24"/>
                <w:lang w:val="en-US" w:eastAsia="zh-CN"/>
              </w:rPr>
              <w:t>本项目周边敏感点示意图</w:t>
            </w:r>
          </w:p>
          <w:p>
            <w:pPr>
              <w:spacing w:line="360" w:lineRule="auto"/>
              <w:ind w:firstLine="482" w:firstLineChars="200"/>
              <w:rPr>
                <w:b/>
                <w:sz w:val="24"/>
              </w:rPr>
            </w:pPr>
            <w:r>
              <w:rPr>
                <w:rFonts w:hint="eastAsia"/>
                <w:b/>
                <w:sz w:val="24"/>
              </w:rPr>
              <w:t>2</w:t>
            </w:r>
            <w:r>
              <w:rPr>
                <w:rFonts w:hint="eastAsia"/>
                <w:b/>
                <w:sz w:val="24"/>
                <w:lang w:val="en-US" w:eastAsia="zh-CN"/>
              </w:rPr>
              <w:t>.</w:t>
            </w:r>
            <w:r>
              <w:rPr>
                <w:rFonts w:hint="eastAsia"/>
                <w:b/>
                <w:sz w:val="24"/>
              </w:rPr>
              <w:t>地形、地貌</w:t>
            </w:r>
          </w:p>
          <w:p>
            <w:pPr>
              <w:snapToGrid w:val="0"/>
              <w:spacing w:line="360" w:lineRule="auto"/>
              <w:ind w:firstLine="512" w:firstLineChars="200"/>
              <w:rPr>
                <w:spacing w:val="8"/>
                <w:sz w:val="24"/>
              </w:rPr>
            </w:pPr>
            <w:r>
              <w:rPr>
                <w:rFonts w:hint="eastAsia"/>
                <w:spacing w:val="8"/>
                <w:sz w:val="24"/>
              </w:rPr>
              <w:t>济源市属华北地层区，地质构造复杂，由五个不同单元组成：北部为太行山复背斜构造；西部为中条山台凸隆起带的延伸；中东部平原地区属开封坳陷；西北部表现出地槽型构造特性；东南部显示出地台型构造特征，形成市境西北高，东南低的倾斜地势。</w:t>
            </w:r>
            <w:r>
              <w:rPr>
                <w:spacing w:val="8"/>
                <w:sz w:val="24"/>
              </w:rPr>
              <w:t>总的地势是西北高，东南低，由西北向东南方向徐徐倾斜，梯形差异明显，地貌形态复杂，由山地、丘陵与平原，其中，平原面积为231.3km</w:t>
            </w:r>
            <w:r>
              <w:rPr>
                <w:spacing w:val="8"/>
                <w:sz w:val="24"/>
                <w:vertAlign w:val="superscript"/>
              </w:rPr>
              <w:t>2</w:t>
            </w:r>
            <w:r>
              <w:rPr>
                <w:spacing w:val="8"/>
                <w:sz w:val="24"/>
              </w:rPr>
              <w:t>，占全市总面积的11.8%，土层较厚</w:t>
            </w:r>
            <w:r>
              <w:rPr>
                <w:rFonts w:hint="eastAsia"/>
                <w:spacing w:val="8"/>
                <w:sz w:val="24"/>
              </w:rPr>
              <w:t>；</w:t>
            </w:r>
            <w:r>
              <w:rPr>
                <w:spacing w:val="8"/>
                <w:sz w:val="24"/>
              </w:rPr>
              <w:t>丘陵面积为401.3km</w:t>
            </w:r>
            <w:r>
              <w:rPr>
                <w:spacing w:val="8"/>
                <w:sz w:val="24"/>
                <w:vertAlign w:val="superscript"/>
              </w:rPr>
              <w:t>2</w:t>
            </w:r>
            <w:r>
              <w:rPr>
                <w:spacing w:val="8"/>
                <w:sz w:val="24"/>
              </w:rPr>
              <w:t>，占全市总面积的20.4%。</w:t>
            </w:r>
          </w:p>
          <w:p>
            <w:pPr>
              <w:spacing w:line="336" w:lineRule="auto"/>
              <w:ind w:firstLine="512" w:firstLineChars="200"/>
              <w:rPr>
                <w:rFonts w:hint="eastAsia"/>
                <w:spacing w:val="8"/>
                <w:sz w:val="24"/>
              </w:rPr>
            </w:pPr>
            <w:r>
              <w:rPr>
                <w:spacing w:val="8"/>
                <w:sz w:val="24"/>
              </w:rPr>
              <w:t>项目周边地势平坦，地势起伏不大。</w:t>
            </w:r>
            <w:r>
              <w:rPr>
                <w:rFonts w:hint="eastAsia"/>
                <w:spacing w:val="8"/>
                <w:sz w:val="24"/>
              </w:rPr>
              <w:t xml:space="preserve"> </w:t>
            </w:r>
          </w:p>
          <w:p>
            <w:pPr>
              <w:spacing w:line="336" w:lineRule="auto"/>
              <w:ind w:firstLine="482" w:firstLineChars="200"/>
              <w:rPr>
                <w:b/>
                <w:sz w:val="24"/>
              </w:rPr>
            </w:pPr>
            <w:r>
              <w:rPr>
                <w:rFonts w:hint="eastAsia"/>
                <w:b/>
                <w:sz w:val="24"/>
              </w:rPr>
              <w:t>3</w:t>
            </w:r>
            <w:r>
              <w:rPr>
                <w:rFonts w:hint="eastAsia"/>
                <w:b/>
                <w:sz w:val="24"/>
                <w:lang w:val="en-US" w:eastAsia="zh-CN"/>
              </w:rPr>
              <w:t>.</w:t>
            </w:r>
            <w:r>
              <w:rPr>
                <w:rFonts w:hint="eastAsia"/>
                <w:b/>
                <w:sz w:val="24"/>
              </w:rPr>
              <w:t>气候、气象</w:t>
            </w:r>
          </w:p>
          <w:p>
            <w:pPr>
              <w:spacing w:line="360" w:lineRule="auto"/>
              <w:ind w:firstLine="480" w:firstLineChars="200"/>
              <w:rPr>
                <w:sz w:val="24"/>
              </w:rPr>
            </w:pPr>
            <w:r>
              <w:rPr>
                <w:rFonts w:hint="eastAsia"/>
                <w:sz w:val="24"/>
              </w:rPr>
              <w:t>济源市地处暖温带大陆性季风气候区，四季分明，由于受地形和季风影响，气候地区性差异较大。总体特点是春季干旱升温快，夏季炎热雨水多，秋季天高气爽，冬季干冷少雪。年平均日照时数</w:t>
            </w:r>
            <w:r>
              <w:rPr>
                <w:sz w:val="24"/>
              </w:rPr>
              <w:t xml:space="preserve"> 2044.2h</w:t>
            </w:r>
            <w:r>
              <w:rPr>
                <w:rFonts w:hint="eastAsia"/>
                <w:sz w:val="24"/>
              </w:rPr>
              <w:t>，年平均日照百分率</w:t>
            </w:r>
            <w:r>
              <w:rPr>
                <w:sz w:val="24"/>
              </w:rPr>
              <w:t xml:space="preserve"> 46%</w:t>
            </w:r>
            <w:r>
              <w:rPr>
                <w:rFonts w:hint="eastAsia"/>
                <w:sz w:val="24"/>
              </w:rPr>
              <w:t>；全市平均气温</w:t>
            </w:r>
            <w:r>
              <w:rPr>
                <w:sz w:val="24"/>
              </w:rPr>
              <w:t xml:space="preserve"> 14.3</w:t>
            </w:r>
            <w:r>
              <w:rPr>
                <w:rFonts w:hint="eastAsia"/>
                <w:sz w:val="24"/>
              </w:rPr>
              <w:t>℃，年平均降水量为</w:t>
            </w:r>
            <w:r>
              <w:rPr>
                <w:sz w:val="24"/>
              </w:rPr>
              <w:t xml:space="preserve"> 600.3mm</w:t>
            </w:r>
            <w:r>
              <w:rPr>
                <w:rFonts w:hint="eastAsia"/>
                <w:sz w:val="24"/>
              </w:rPr>
              <w:t>，降水多集中在夏季，降水集中月份为</w:t>
            </w:r>
            <w:r>
              <w:rPr>
                <w:sz w:val="24"/>
              </w:rPr>
              <w:t xml:space="preserve"> 7</w:t>
            </w:r>
            <w:r>
              <w:rPr>
                <w:rFonts w:hint="eastAsia"/>
                <w:sz w:val="24"/>
              </w:rPr>
              <w:t>月份，年平均蒸发量为</w:t>
            </w:r>
            <w:r>
              <w:rPr>
                <w:sz w:val="24"/>
              </w:rPr>
              <w:t xml:space="preserve"> 1611.2mm</w:t>
            </w:r>
            <w:r>
              <w:rPr>
                <w:rFonts w:hint="eastAsia"/>
                <w:sz w:val="24"/>
              </w:rPr>
              <w:t>，无霜期历年平均</w:t>
            </w:r>
            <w:r>
              <w:rPr>
                <w:sz w:val="24"/>
              </w:rPr>
              <w:t xml:space="preserve"> 213.2</w:t>
            </w:r>
            <w:r>
              <w:rPr>
                <w:rFonts w:hint="eastAsia"/>
                <w:sz w:val="24"/>
              </w:rPr>
              <w:t>天。济源市主导风向为东风，风频为</w:t>
            </w:r>
            <w:r>
              <w:rPr>
                <w:sz w:val="24"/>
              </w:rPr>
              <w:t xml:space="preserve"> 11%</w:t>
            </w:r>
            <w:r>
              <w:rPr>
                <w:rFonts w:hint="eastAsia"/>
                <w:sz w:val="24"/>
              </w:rPr>
              <w:t>，次主导风向为东北风，风频为</w:t>
            </w:r>
            <w:r>
              <w:rPr>
                <w:sz w:val="24"/>
              </w:rPr>
              <w:t xml:space="preserve"> 9%</w:t>
            </w:r>
            <w:r>
              <w:rPr>
                <w:rFonts w:hint="eastAsia"/>
                <w:sz w:val="24"/>
              </w:rPr>
              <w:t>，年平均风速</w:t>
            </w:r>
            <w:r>
              <w:rPr>
                <w:sz w:val="24"/>
              </w:rPr>
              <w:t xml:space="preserve"> 1.7m/s</w:t>
            </w:r>
            <w:r>
              <w:rPr>
                <w:rFonts w:hint="eastAsia"/>
                <w:sz w:val="24"/>
              </w:rPr>
              <w:t>。</w:t>
            </w:r>
          </w:p>
          <w:p>
            <w:pPr>
              <w:spacing w:line="360" w:lineRule="auto"/>
              <w:ind w:firstLine="482" w:firstLineChars="200"/>
              <w:rPr>
                <w:rFonts w:hint="eastAsia"/>
                <w:b/>
                <w:sz w:val="24"/>
              </w:rPr>
            </w:pPr>
            <w:r>
              <w:rPr>
                <w:rFonts w:hint="eastAsia"/>
                <w:b/>
                <w:sz w:val="24"/>
              </w:rPr>
              <w:t>4</w:t>
            </w:r>
            <w:r>
              <w:rPr>
                <w:rFonts w:hint="eastAsia"/>
                <w:b/>
                <w:sz w:val="24"/>
                <w:lang w:val="en-US" w:eastAsia="zh-CN"/>
              </w:rPr>
              <w:t>.</w:t>
            </w:r>
            <w:r>
              <w:rPr>
                <w:rFonts w:hint="eastAsia"/>
                <w:b/>
                <w:sz w:val="24"/>
              </w:rPr>
              <w:t>水文特征</w:t>
            </w:r>
          </w:p>
          <w:p>
            <w:pPr>
              <w:spacing w:line="360" w:lineRule="auto"/>
              <w:ind w:firstLine="480" w:firstLineChars="200"/>
              <w:rPr>
                <w:rFonts w:hint="eastAsia"/>
                <w:sz w:val="24"/>
              </w:rPr>
            </w:pPr>
            <w:r>
              <w:rPr>
                <w:rFonts w:hint="eastAsia"/>
                <w:sz w:val="24"/>
              </w:rPr>
              <w:t>（1）地表水环境</w:t>
            </w:r>
          </w:p>
          <w:p>
            <w:pPr>
              <w:spacing w:line="360" w:lineRule="auto"/>
              <w:ind w:firstLine="480" w:firstLineChars="200"/>
              <w:rPr>
                <w:rFonts w:hint="eastAsia"/>
                <w:sz w:val="24"/>
              </w:rPr>
            </w:pPr>
            <w:r>
              <w:rPr>
                <w:rFonts w:hint="eastAsia"/>
                <w:sz w:val="24"/>
              </w:rPr>
              <w:t>济源市属黄河流域，主要河流有黄河、沁河、蟒河、湨河、大店河、逢石河等。</w:t>
            </w:r>
          </w:p>
          <w:p>
            <w:pPr>
              <w:spacing w:line="360" w:lineRule="auto"/>
              <w:ind w:firstLine="480" w:firstLineChars="200"/>
              <w:rPr>
                <w:rFonts w:hint="eastAsia"/>
                <w:sz w:val="24"/>
              </w:rPr>
            </w:pPr>
            <w:r>
              <w:rPr>
                <w:sz w:val="24"/>
              </w:rPr>
              <w:t>蟒河发源于山西省阳城县，在窟窿山自西向东流入济源市境内，全长 130km，境内河长 46km，流域面积 612.7km</w:t>
            </w:r>
            <w:r>
              <w:rPr>
                <w:sz w:val="24"/>
                <w:vertAlign w:val="superscript"/>
              </w:rPr>
              <w:t>2</w:t>
            </w:r>
            <w:r>
              <w:rPr>
                <w:sz w:val="24"/>
              </w:rPr>
              <w:t>。据蟒河赵礼庄水文站多年资料统计，蟒河年均径流深 166mm，年均径流量 1.11 亿 m</w:t>
            </w:r>
            <w:r>
              <w:rPr>
                <w:sz w:val="24"/>
                <w:vertAlign w:val="superscript"/>
              </w:rPr>
              <w:t>3</w:t>
            </w:r>
            <w:r>
              <w:rPr>
                <w:sz w:val="24"/>
              </w:rPr>
              <w:t>，平均流量 3.52m</w:t>
            </w:r>
            <w:r>
              <w:rPr>
                <w:sz w:val="24"/>
                <w:vertAlign w:val="superscript"/>
              </w:rPr>
              <w:t>3</w:t>
            </w:r>
            <w:r>
              <w:rPr>
                <w:sz w:val="24"/>
              </w:rPr>
              <w:t>/s。蟒河进入济源市区前分为两支，北支称为北蟒河；南支称为南蟒河，也称为南河，南北蟒河流经市区后，在下游汇合。</w:t>
            </w:r>
          </w:p>
          <w:p>
            <w:pPr>
              <w:spacing w:line="360" w:lineRule="auto"/>
              <w:ind w:firstLine="480" w:firstLineChars="200"/>
              <w:rPr>
                <w:rFonts w:hint="eastAsia"/>
                <w:sz w:val="24"/>
              </w:rPr>
            </w:pPr>
            <w:r>
              <w:rPr>
                <w:rFonts w:hint="eastAsia"/>
                <w:sz w:val="24"/>
              </w:rPr>
              <w:t>沁河发源于山西省长治市沁源县霍山南麓的二郎神沟流经临汾市安泽县进入晋城市，穿过沁水、阳城和泽州三县，于河南省济源市五龙口出太行山，过沁阳至武陟县汇入黄河。沁河流域呈阔叶形，流域总面积13532km</w:t>
            </w:r>
            <w:r>
              <w:rPr>
                <w:rFonts w:hint="eastAsia"/>
                <w:sz w:val="24"/>
                <w:vertAlign w:val="superscript"/>
              </w:rPr>
              <w:t>2</w:t>
            </w:r>
            <w:r>
              <w:rPr>
                <w:rFonts w:hint="eastAsia"/>
                <w:sz w:val="24"/>
              </w:rPr>
              <w:t>，其中山西境内12304km</w:t>
            </w:r>
            <w:r>
              <w:rPr>
                <w:rFonts w:hint="eastAsia"/>
                <w:sz w:val="24"/>
                <w:vertAlign w:val="superscript"/>
              </w:rPr>
              <w:t>2</w:t>
            </w:r>
            <w:r>
              <w:rPr>
                <w:rFonts w:hint="eastAsia"/>
                <w:sz w:val="24"/>
              </w:rPr>
              <w:t>，河南境内1228km</w:t>
            </w:r>
            <w:r>
              <w:rPr>
                <w:rFonts w:hint="eastAsia"/>
                <w:sz w:val="24"/>
                <w:vertAlign w:val="superscript"/>
              </w:rPr>
              <w:t>2</w:t>
            </w:r>
            <w:r>
              <w:rPr>
                <w:rFonts w:hint="eastAsia"/>
                <w:sz w:val="24"/>
              </w:rPr>
              <w:t>；沁河干流全长485km，其中山西境内363km，河南境内122km。</w:t>
            </w:r>
          </w:p>
          <w:p>
            <w:pPr>
              <w:spacing w:line="360" w:lineRule="auto"/>
              <w:ind w:firstLine="480" w:firstLineChars="200"/>
              <w:rPr>
                <w:color w:val="FF0000"/>
                <w:sz w:val="24"/>
              </w:rPr>
            </w:pPr>
            <w:r>
              <w:rPr>
                <w:rFonts w:hint="default" w:ascii="Times New Roman" w:hAnsi="Times New Roman" w:eastAsia="宋体" w:cs="Times New Roman"/>
                <w:color w:val="000000"/>
                <w:kern w:val="0"/>
                <w:sz w:val="24"/>
                <w:szCs w:val="24"/>
                <w:lang w:val="en-US" w:eastAsia="zh-CN" w:bidi="ar"/>
              </w:rPr>
              <w:t>本项目距离最近的地表水为</w:t>
            </w:r>
            <w:r>
              <w:rPr>
                <w:rFonts w:hint="eastAsia" w:cs="Times New Roman"/>
                <w:color w:val="000000"/>
                <w:kern w:val="0"/>
                <w:sz w:val="24"/>
                <w:szCs w:val="24"/>
                <w:lang w:val="en-US" w:eastAsia="zh-CN" w:bidi="ar"/>
              </w:rPr>
              <w:t>西南550</w:t>
            </w:r>
            <w:r>
              <w:rPr>
                <w:rFonts w:hint="default" w:ascii="Times New Roman" w:hAnsi="Times New Roman" w:eastAsia="宋体" w:cs="Times New Roman"/>
                <w:color w:val="000000"/>
                <w:kern w:val="0"/>
                <w:sz w:val="24"/>
                <w:szCs w:val="24"/>
                <w:lang w:val="en-US" w:eastAsia="zh-CN" w:bidi="ar"/>
              </w:rPr>
              <w:t>m的</w:t>
            </w:r>
            <w:r>
              <w:rPr>
                <w:rFonts w:hint="eastAsia" w:cs="Times New Roman"/>
                <w:color w:val="000000"/>
                <w:kern w:val="0"/>
                <w:sz w:val="24"/>
                <w:szCs w:val="24"/>
                <w:lang w:val="en-US" w:eastAsia="zh-CN" w:bidi="ar"/>
              </w:rPr>
              <w:t>黄</w:t>
            </w:r>
            <w:r>
              <w:rPr>
                <w:rFonts w:hint="default" w:ascii="Times New Roman" w:hAnsi="Times New Roman" w:eastAsia="宋体" w:cs="Times New Roman"/>
                <w:color w:val="000000"/>
                <w:kern w:val="0"/>
                <w:sz w:val="24"/>
                <w:szCs w:val="24"/>
                <w:lang w:val="en-US" w:eastAsia="zh-CN" w:bidi="ar"/>
              </w:rPr>
              <w:t>河。</w:t>
            </w:r>
            <w:r>
              <w:rPr>
                <w:rFonts w:hint="eastAsia" w:ascii="Times New Roman" w:hAnsi="Times New Roman" w:cs="Times New Roman"/>
                <w:color w:val="000000"/>
                <w:kern w:val="0"/>
                <w:sz w:val="24"/>
                <w:szCs w:val="24"/>
                <w:lang w:val="en-US" w:eastAsia="zh-CN" w:bidi="ar"/>
              </w:rPr>
              <w:t>本项目废水不外排，不会对其产生影响。</w:t>
            </w:r>
          </w:p>
          <w:p>
            <w:pPr>
              <w:spacing w:line="360" w:lineRule="auto"/>
              <w:ind w:firstLine="480" w:firstLineChars="200"/>
              <w:rPr>
                <w:rFonts w:hint="eastAsia"/>
                <w:sz w:val="24"/>
              </w:rPr>
            </w:pPr>
            <w:r>
              <w:rPr>
                <w:rFonts w:hint="eastAsia"/>
                <w:sz w:val="24"/>
              </w:rPr>
              <w:t>（2）地下水环境</w:t>
            </w:r>
          </w:p>
          <w:p>
            <w:pPr>
              <w:spacing w:line="360" w:lineRule="auto"/>
              <w:ind w:firstLine="480" w:firstLineChars="200"/>
              <w:rPr>
                <w:rFonts w:hint="eastAsia"/>
                <w:sz w:val="24"/>
              </w:rPr>
            </w:pPr>
            <w:r>
              <w:rPr>
                <w:rFonts w:hint="eastAsia"/>
                <w:sz w:val="24"/>
              </w:rPr>
              <w:t>济源市地下水为基岩裂隙水、灰岩岩溶水和松散层孔隙水三种类型。基岩裂隙水主要靠大气降水补给，其中一部分以地表径流形式排入河道，成为河川径流；一部分变成深层地下水，或以山前侧渗形式进入山前倾斜平原。灰岩岩溶水主要接受大气降水补给和蟒河、沁河侧渗补给形成。松散层孔隙水主要受大气降水和农田灌溉补给和山前侧渗补给，其消耗项主要为开采、蒸发、径流，一部分由地表河流排泄。水洪池、虎岭以西，因片岩之类的柔性岩层隔水性较强，存水条件较好，为强富水区，地下水补给模数为10～15万m</w:t>
            </w:r>
            <w:r>
              <w:rPr>
                <w:rFonts w:hint="eastAsia"/>
                <w:sz w:val="24"/>
                <w:vertAlign w:val="superscript"/>
              </w:rPr>
              <w:t>3</w:t>
            </w:r>
            <w:r>
              <w:rPr>
                <w:rFonts w:hint="eastAsia"/>
                <w:sz w:val="24"/>
              </w:rPr>
              <w:t>/km</w:t>
            </w:r>
            <w:r>
              <w:rPr>
                <w:rFonts w:hint="eastAsia"/>
                <w:sz w:val="24"/>
                <w:vertAlign w:val="superscript"/>
              </w:rPr>
              <w:t>2</w:t>
            </w:r>
            <w:r>
              <w:rPr>
                <w:rFonts w:hint="eastAsia"/>
                <w:sz w:val="24"/>
              </w:rPr>
              <w:t>。西部浅山区由于切割强烈，岩层倾角大，大部分排泄为河川基流，为弱富水区，地下水补给模数为5～10万m</w:t>
            </w:r>
            <w:r>
              <w:rPr>
                <w:rFonts w:hint="eastAsia"/>
                <w:sz w:val="24"/>
                <w:vertAlign w:val="superscript"/>
              </w:rPr>
              <w:t>3</w:t>
            </w:r>
            <w:r>
              <w:rPr>
                <w:rFonts w:hint="eastAsia"/>
                <w:sz w:val="24"/>
              </w:rPr>
              <w:t>/km</w:t>
            </w:r>
            <w:r>
              <w:rPr>
                <w:rFonts w:hint="eastAsia"/>
                <w:sz w:val="24"/>
                <w:vertAlign w:val="superscript"/>
              </w:rPr>
              <w:t>2</w:t>
            </w:r>
            <w:r>
              <w:rPr>
                <w:rFonts w:hint="eastAsia"/>
                <w:sz w:val="24"/>
              </w:rPr>
              <w:t>。东南部黄土丘陵区由于岩性泥质成分高，裂隙发育差，仅有构造断裂水，但水量小，分布局限，土层虽厚，但缺乏较好隔水层，加以沟壑发育，排泄能力强，土壤蓄水弱，为弱富水区，地下水补给模数为10～15万m</w:t>
            </w:r>
            <w:r>
              <w:rPr>
                <w:rFonts w:hint="eastAsia"/>
                <w:sz w:val="24"/>
                <w:vertAlign w:val="superscript"/>
              </w:rPr>
              <w:t>3</w:t>
            </w:r>
            <w:r>
              <w:rPr>
                <w:rFonts w:hint="eastAsia"/>
                <w:sz w:val="24"/>
              </w:rPr>
              <w:t>/km</w:t>
            </w:r>
            <w:r>
              <w:rPr>
                <w:rFonts w:hint="eastAsia"/>
                <w:sz w:val="24"/>
                <w:vertAlign w:val="superscript"/>
              </w:rPr>
              <w:t>2</w:t>
            </w:r>
            <w:r>
              <w:rPr>
                <w:rFonts w:hint="eastAsia"/>
                <w:sz w:val="24"/>
              </w:rPr>
              <w:t>。山前边缘地带地下水位埋藏深度为10～45m，向平原中部及东部逐渐变浅，埋藏深度为0.83m。</w:t>
            </w:r>
          </w:p>
          <w:p>
            <w:pPr>
              <w:spacing w:line="360" w:lineRule="auto"/>
              <w:ind w:firstLine="482" w:firstLineChars="200"/>
              <w:rPr>
                <w:b/>
                <w:sz w:val="24"/>
              </w:rPr>
            </w:pPr>
            <w:r>
              <w:rPr>
                <w:b/>
                <w:bCs/>
                <w:sz w:val="24"/>
              </w:rPr>
              <w:t>5</w:t>
            </w:r>
            <w:r>
              <w:rPr>
                <w:rFonts w:hint="eastAsia"/>
                <w:b/>
                <w:sz w:val="24"/>
                <w:lang w:val="en-US" w:eastAsia="zh-CN"/>
              </w:rPr>
              <w:t>.</w:t>
            </w:r>
            <w:r>
              <w:rPr>
                <w:rFonts w:hint="eastAsia"/>
                <w:b/>
                <w:sz w:val="24"/>
              </w:rPr>
              <w:t>矿产资源</w:t>
            </w:r>
          </w:p>
          <w:p>
            <w:pPr>
              <w:spacing w:line="360" w:lineRule="auto"/>
              <w:ind w:firstLine="480" w:firstLineChars="200"/>
              <w:rPr>
                <w:bCs/>
                <w:sz w:val="24"/>
              </w:rPr>
            </w:pPr>
            <w:r>
              <w:rPr>
                <w:bCs/>
                <w:sz w:val="24"/>
              </w:rPr>
              <w:t>济源物华天宝，资源丰富。经多年的地质普查和勘探，已查明各种金属、非金属、能源、水气等矿藏41种，探明储量的有19种，已开发利用16种。金属矿主要有铁、铜、铅、铝、锌、金、银等；非金属矿主要有煤、石英砂、石英石、白云石、石膏等；建材原料有石灰石、高岭土、铝矾土、耐火材料、大理石等；此外还有石墨、溶剂灰岩、水泥灰岩等。其中，煤储量2.6亿吨，铁矿储量 1721 万吨，石灰岩39亿吨，耐火粘土1500万吨，铝矾土矿602万吨，石英石 100 万吨，铜4244万吨，大理石1500万m</w:t>
            </w:r>
            <w:r>
              <w:rPr>
                <w:bCs/>
                <w:sz w:val="24"/>
                <w:vertAlign w:val="superscript"/>
              </w:rPr>
              <w:t>3</w:t>
            </w:r>
            <w:r>
              <w:rPr>
                <w:bCs/>
                <w:sz w:val="24"/>
              </w:rPr>
              <w:t>左右。</w:t>
            </w:r>
          </w:p>
          <w:p>
            <w:pPr>
              <w:spacing w:line="360" w:lineRule="auto"/>
              <w:ind w:firstLine="480" w:firstLineChars="200"/>
              <w:rPr>
                <w:bCs/>
                <w:sz w:val="24"/>
              </w:rPr>
            </w:pPr>
            <w:r>
              <w:rPr>
                <w:bCs/>
                <w:sz w:val="24"/>
              </w:rPr>
              <w:t>经调查，本项目厂址不压覆矿床。</w:t>
            </w:r>
          </w:p>
          <w:p>
            <w:pPr>
              <w:adjustRightInd w:val="0"/>
              <w:snapToGrid w:val="0"/>
              <w:spacing w:line="360" w:lineRule="auto"/>
              <w:ind w:firstLine="482" w:firstLineChars="200"/>
              <w:rPr>
                <w:bCs/>
                <w:sz w:val="24"/>
              </w:rPr>
            </w:pPr>
            <w:r>
              <w:rPr>
                <w:rFonts w:hint="eastAsia"/>
                <w:b/>
                <w:sz w:val="24"/>
              </w:rPr>
              <w:t>6</w:t>
            </w:r>
            <w:r>
              <w:rPr>
                <w:rFonts w:hint="eastAsia"/>
                <w:b/>
                <w:sz w:val="24"/>
                <w:lang w:val="en-US" w:eastAsia="zh-CN"/>
              </w:rPr>
              <w:t>.</w:t>
            </w:r>
            <w:r>
              <w:rPr>
                <w:b/>
                <w:sz w:val="24"/>
                <w:szCs w:val="24"/>
              </w:rPr>
              <w:t>土壤植被</w:t>
            </w:r>
          </w:p>
          <w:p>
            <w:pPr>
              <w:adjustRightInd w:val="0"/>
              <w:snapToGrid w:val="0"/>
              <w:spacing w:line="360" w:lineRule="auto"/>
              <w:ind w:firstLine="480" w:firstLineChars="200"/>
              <w:rPr>
                <w:bCs/>
                <w:sz w:val="24"/>
              </w:rPr>
            </w:pPr>
            <w:r>
              <w:rPr>
                <w:bCs/>
                <w:sz w:val="24"/>
              </w:rPr>
              <w:t>济源市土壤分为三个土类，分布具有明显的垂直变化规律：平原主要分布红粘土，占耕地面积的57</w:t>
            </w:r>
            <w:r>
              <w:rPr>
                <w:rFonts w:hint="eastAsia"/>
                <w:bCs/>
                <w:sz w:val="24"/>
              </w:rPr>
              <w:t>%</w:t>
            </w:r>
            <w:r>
              <w:rPr>
                <w:bCs/>
                <w:sz w:val="24"/>
              </w:rPr>
              <w:t>；南部丘陵区为砂壤土，占耕地面积的11.3</w:t>
            </w:r>
            <w:r>
              <w:rPr>
                <w:rFonts w:hint="eastAsia"/>
                <w:bCs/>
                <w:sz w:val="24"/>
              </w:rPr>
              <w:t>%</w:t>
            </w:r>
            <w:r>
              <w:rPr>
                <w:bCs/>
                <w:sz w:val="24"/>
              </w:rPr>
              <w:t>；西南部山区为红土、白土和砂壤土，占耕地面积的26</w:t>
            </w:r>
            <w:r>
              <w:rPr>
                <w:rFonts w:hint="eastAsia"/>
                <w:bCs/>
                <w:sz w:val="24"/>
              </w:rPr>
              <w:t>%</w:t>
            </w:r>
            <w:r>
              <w:rPr>
                <w:bCs/>
                <w:sz w:val="24"/>
              </w:rPr>
              <w:t>；北部深山区为棕壤土和山地褐土，占耕地面积的5.7</w:t>
            </w:r>
            <w:r>
              <w:rPr>
                <w:rFonts w:hint="eastAsia"/>
                <w:bCs/>
                <w:sz w:val="24"/>
              </w:rPr>
              <w:t>%</w:t>
            </w:r>
            <w:r>
              <w:rPr>
                <w:bCs/>
                <w:sz w:val="24"/>
              </w:rPr>
              <w:t>。</w:t>
            </w:r>
          </w:p>
          <w:p>
            <w:pPr>
              <w:adjustRightInd w:val="0"/>
              <w:snapToGrid w:val="0"/>
              <w:spacing w:line="360" w:lineRule="auto"/>
              <w:ind w:firstLine="480" w:firstLineChars="200"/>
              <w:rPr>
                <w:bCs/>
                <w:sz w:val="24"/>
              </w:rPr>
            </w:pPr>
            <w:r>
              <w:rPr>
                <w:bCs/>
                <w:sz w:val="24"/>
              </w:rPr>
              <w:t>济源市自然植被较好，属落叶阔叶树和针叶树组成的多层次植被群落，植被种类繁多，拒不完全统计，有5门、162科、912种。平原区耕地条件良好，是市内粮棉油的主要产区，森林覆盖率为7.7</w:t>
            </w:r>
            <w:r>
              <w:rPr>
                <w:rFonts w:hint="eastAsia"/>
                <w:bCs/>
                <w:sz w:val="24"/>
              </w:rPr>
              <w:t>%</w:t>
            </w:r>
            <w:r>
              <w:rPr>
                <w:bCs/>
                <w:sz w:val="24"/>
              </w:rPr>
              <w:t>；太行山区为落叶栎植树片，西部除鳌背山附近有少部分原始森林外，其余多为次生栎树林的杂木林，东部石灰岩地区有少量的松柏林，其余多为杂木林和灌木丛，森林覆盖率达48%。西部浅山区为以小麦杂粮为主的二年三熟栽培植被片，这一带森林稀少，荒山荒坡多，除砚瓦河附近有少量的次生栎树林外，其余的山颠岭尖多为人工刺槐林，山坡丘顶生长着马甲刺、荆条、小枣等灌木丛，森林覆盖率达到20%，东南黄土丘陵和山前倾斜平原区皆为小麦杂粮为主的一年两熟的栽培植被片；丘陵一带多垦为农田，森林覆盖率14%。全市林地面积为81.36万亩，其中天然林44.03万亩，人工林37.33万亩。</w:t>
            </w:r>
          </w:p>
          <w:p>
            <w:pPr>
              <w:adjustRightInd w:val="0"/>
              <w:snapToGrid w:val="0"/>
              <w:spacing w:line="360" w:lineRule="auto"/>
              <w:ind w:firstLine="482" w:firstLineChars="200"/>
              <w:rPr>
                <w:b/>
                <w:bCs/>
                <w:sz w:val="24"/>
              </w:rPr>
            </w:pPr>
            <w:r>
              <w:rPr>
                <w:rFonts w:hint="eastAsia"/>
                <w:b/>
                <w:bCs/>
                <w:sz w:val="24"/>
              </w:rPr>
              <w:t>7</w:t>
            </w:r>
            <w:r>
              <w:rPr>
                <w:rFonts w:hint="eastAsia"/>
                <w:b/>
                <w:bCs/>
                <w:sz w:val="24"/>
                <w:lang w:val="en-US" w:eastAsia="zh-CN"/>
              </w:rPr>
              <w:t>.</w:t>
            </w:r>
            <w:r>
              <w:rPr>
                <w:b/>
                <w:bCs/>
                <w:sz w:val="24"/>
              </w:rPr>
              <w:t>文物、景区及自然保护区</w:t>
            </w:r>
          </w:p>
          <w:p>
            <w:pPr>
              <w:adjustRightInd w:val="0"/>
              <w:snapToGrid w:val="0"/>
              <w:spacing w:line="360" w:lineRule="auto"/>
              <w:ind w:firstLine="480" w:firstLineChars="200"/>
              <w:rPr>
                <w:bCs/>
                <w:sz w:val="24"/>
              </w:rPr>
            </w:pPr>
            <w:r>
              <w:rPr>
                <w:bCs/>
                <w:sz w:val="24"/>
              </w:rPr>
              <w:t>济源市山青水秀，境内高山、大河、丘陵、平原交相辉映，文物保护单位达64处。目前已初步形成融自然景观和人文景观为一体的王屋山国家级风景区；以黄河文化和小浪底工程为主要特色的小浪底黄河三峡景区；以寻幽探胜为主的九里沟风景区；以自然山水和猕猴观赏、地热矿泉疗养为主的五龙口风景区。</w:t>
            </w:r>
          </w:p>
          <w:p>
            <w:pPr>
              <w:adjustRightInd w:val="0"/>
              <w:snapToGrid w:val="0"/>
              <w:spacing w:line="360" w:lineRule="auto"/>
              <w:ind w:firstLine="480" w:firstLineChars="200"/>
              <w:rPr>
                <w:bCs/>
                <w:sz w:val="24"/>
              </w:rPr>
            </w:pPr>
            <w:r>
              <w:rPr>
                <w:bCs/>
                <w:sz w:val="24"/>
              </w:rPr>
              <w:t>济源市风景名胜区主要有王屋山国家风景名胜游览区、九里沟国家级风景名胜区、五龙口国家级风景名胜区、河南太行山猕猴国家级自然保护区、市区文化民俗古建筑游览区和黄河渡假游览区。</w:t>
            </w:r>
          </w:p>
          <w:p>
            <w:pPr>
              <w:adjustRightInd w:val="0"/>
              <w:snapToGrid w:val="0"/>
              <w:spacing w:line="360" w:lineRule="auto"/>
              <w:ind w:firstLine="480" w:firstLineChars="200"/>
              <w:rPr>
                <w:bCs/>
                <w:sz w:val="24"/>
              </w:rPr>
            </w:pPr>
            <w:r>
              <w:rPr>
                <w:bCs/>
                <w:sz w:val="24"/>
              </w:rPr>
              <w:t>根据调查，本项目周围1000m范围内未发现文物、景区及自然保护区。</w:t>
            </w:r>
          </w:p>
          <w:p>
            <w:pPr>
              <w:adjustRightInd w:val="0"/>
              <w:snapToGrid w:val="0"/>
              <w:spacing w:line="360" w:lineRule="auto"/>
              <w:ind w:firstLine="482" w:firstLineChars="200"/>
              <w:rPr>
                <w:rFonts w:hint="eastAsia"/>
                <w:b/>
                <w:sz w:val="24"/>
              </w:rPr>
            </w:pPr>
            <w:r>
              <w:rPr>
                <w:rFonts w:hint="eastAsia"/>
                <w:b/>
                <w:sz w:val="24"/>
                <w:lang w:val="en-US" w:eastAsia="zh-CN"/>
              </w:rPr>
              <w:t>8.</w:t>
            </w:r>
            <w:r>
              <w:rPr>
                <w:rFonts w:hint="eastAsia"/>
                <w:b/>
                <w:sz w:val="24"/>
              </w:rPr>
              <w:t>《济源市城乡总体规划（2012-2030）》</w:t>
            </w:r>
          </w:p>
          <w:p>
            <w:pPr>
              <w:pStyle w:val="14"/>
              <w:ind w:firstLine="456"/>
              <w:rPr>
                <w:rFonts w:hint="default" w:ascii="Times New Roman" w:hAnsi="Times New Roman" w:eastAsia="宋体" w:cs="Times New Roman"/>
              </w:rPr>
            </w:pPr>
            <w:r>
              <w:rPr>
                <w:rFonts w:hint="default" w:ascii="Times New Roman" w:hAnsi="Times New Roman" w:eastAsia="宋体" w:cs="Times New Roman"/>
              </w:rPr>
              <w:t>《济源市城乡总体规划（2012－2030）》本着“核心带动，全域一体；产城互动，融合发展；设施优先，共建共享；民生为本，服务均等；保育生态，优化环境；传承文化，提升品位”的战略措施，明确济源市的城市性质为中原经济区先进制造业和能源基地；历史文化名城；山水宜居旅游城市。</w:t>
            </w:r>
          </w:p>
          <w:p>
            <w:pPr>
              <w:pStyle w:val="14"/>
              <w:ind w:firstLine="456"/>
              <w:rPr>
                <w:rFonts w:hint="default" w:ascii="Times New Roman" w:hAnsi="Times New Roman" w:eastAsia="宋体" w:cs="Times New Roman"/>
              </w:rPr>
            </w:pPr>
            <w:r>
              <w:rPr>
                <w:rFonts w:hint="default" w:ascii="Times New Roman" w:hAnsi="Times New Roman" w:eastAsia="宋体" w:cs="Times New Roman"/>
              </w:rPr>
              <w:t>2012年至2030年，全市将按照“1334“的发展战略，以城乡一体化统揽经济社会发展大局，构建中心域区、城市组团、中心镇、新型社区紧密衔接、统筹发展的现代城镇空间体系。</w:t>
            </w:r>
          </w:p>
          <w:p>
            <w:pPr>
              <w:pStyle w:val="14"/>
              <w:ind w:firstLine="456"/>
              <w:rPr>
                <w:rFonts w:hint="default" w:ascii="Times New Roman" w:hAnsi="Times New Roman" w:eastAsia="宋体" w:cs="Times New Roman"/>
              </w:rPr>
            </w:pPr>
            <w:r>
              <w:rPr>
                <w:rFonts w:hint="default" w:ascii="Times New Roman" w:hAnsi="Times New Roman" w:eastAsia="宋体" w:cs="Times New Roman"/>
              </w:rPr>
              <w:t>本次规划期限为2012年至2030年，近期：2012年至2015年；中期：2016年至2020年；远期：2021年至2030年。</w:t>
            </w:r>
          </w:p>
          <w:p>
            <w:pPr>
              <w:pStyle w:val="14"/>
              <w:ind w:firstLine="456"/>
              <w:rPr>
                <w:rFonts w:hint="default" w:ascii="Times New Roman" w:hAnsi="Times New Roman" w:eastAsia="宋体" w:cs="Times New Roman"/>
              </w:rPr>
            </w:pPr>
            <w:r>
              <w:rPr>
                <w:rFonts w:hint="default" w:ascii="Times New Roman" w:hAnsi="Times New Roman" w:eastAsia="宋体" w:cs="Times New Roman"/>
              </w:rPr>
              <w:t>济源市城乡总体规划的规划区范围即济源市所辖行政区划范围，总面积1931平方公里。济源市城乡总体规划在空间层次上划分为市域、城乡一体化核心区和中心城区3个层次。其中，市域即济源市所辖行政区划范围，总面积1931平方公里；城乡一体化核心区范围包括中心城区、玉川组团、曲阳湖组团和沿黄组团；中心城区规划范围为：北至北环路，南至南环路、S309，东至207国道，西至西环路，规划控制面积80平方公里。</w:t>
            </w:r>
          </w:p>
          <w:p>
            <w:pPr>
              <w:pStyle w:val="14"/>
              <w:ind w:firstLine="456"/>
              <w:rPr>
                <w:rFonts w:hint="eastAsia"/>
              </w:rPr>
            </w:pPr>
            <w:r>
              <w:rPr>
                <w:rFonts w:hint="default" w:ascii="Times New Roman" w:hAnsi="Times New Roman" w:eastAsia="宋体" w:cs="Times New Roman"/>
              </w:rPr>
              <w:t>工业空间布局形成“三区、三园”的空间格局，即虎岭产业园区、玉川产业园区、高新技术产业园区和梨林特色产业园、邵原特色产业园、玉泉特色产业园。并确定梨林特色产业园是以镇域养殖基地、无公害水果、食用菌等特色农产品资源为依托，重点发展纺织、农副产品加工等轻型工业，打造东部镇域特色产业集群。</w:t>
            </w:r>
          </w:p>
          <w:p>
            <w:pPr>
              <w:widowControl/>
              <w:spacing w:line="360" w:lineRule="auto"/>
              <w:ind w:firstLine="480" w:firstLineChars="200"/>
              <w:rPr>
                <w:rFonts w:hint="eastAsia"/>
                <w:color w:val="FF0000"/>
                <w:sz w:val="24"/>
                <w:szCs w:val="24"/>
                <w:lang w:eastAsia="zh-CN"/>
              </w:rPr>
            </w:pPr>
            <w:r>
              <w:rPr>
                <w:rFonts w:hint="eastAsia"/>
                <w:sz w:val="24"/>
                <w:szCs w:val="24"/>
                <w:lang w:eastAsia="zh-CN"/>
              </w:rPr>
              <w:t>本</w:t>
            </w:r>
            <w:r>
              <w:rPr>
                <w:rFonts w:hint="eastAsia"/>
                <w:sz w:val="24"/>
                <w:szCs w:val="24"/>
              </w:rPr>
              <w:t>项目位于</w:t>
            </w:r>
            <w:r>
              <w:rPr>
                <w:rFonts w:hint="eastAsia"/>
                <w:sz w:val="24"/>
                <w:szCs w:val="24"/>
                <w:lang w:eastAsia="zh-CN"/>
              </w:rPr>
              <w:t>济源市坡头镇高新路东侧中段</w:t>
            </w:r>
            <w:r>
              <w:rPr>
                <w:rFonts w:hint="eastAsia"/>
                <w:color w:val="auto"/>
                <w:sz w:val="24"/>
                <w:szCs w:val="24"/>
              </w:rPr>
              <w:t>，不在济源市城乡总体规划范围内</w:t>
            </w:r>
            <w:r>
              <w:rPr>
                <w:rFonts w:hint="eastAsia"/>
                <w:color w:val="auto"/>
                <w:sz w:val="24"/>
                <w:szCs w:val="24"/>
                <w:lang w:eastAsia="zh-CN"/>
              </w:rPr>
              <w:t>。</w:t>
            </w:r>
            <w:r>
              <w:rPr>
                <w:rFonts w:hint="eastAsia"/>
                <w:color w:val="auto"/>
                <w:sz w:val="24"/>
                <w:szCs w:val="24"/>
              </w:rPr>
              <w:t>根据</w:t>
            </w:r>
            <w:r>
              <w:rPr>
                <w:rFonts w:hint="eastAsia"/>
                <w:color w:val="auto"/>
                <w:sz w:val="24"/>
                <w:szCs w:val="24"/>
                <w:lang w:eastAsia="zh-CN"/>
              </w:rPr>
              <w:t>济源市国土资源局轵城分局出具的《关于河南华东路桥建设有限公司梁板预制场项目建设临时用地的批复》（济国土轵临</w:t>
            </w:r>
            <w:r>
              <w:rPr>
                <w:rFonts w:hint="eastAsia"/>
                <w:color w:val="auto"/>
                <w:sz w:val="24"/>
                <w:szCs w:val="24"/>
                <w:lang w:val="en-US" w:eastAsia="zh-CN"/>
              </w:rPr>
              <w:t>[2019]1号</w:t>
            </w:r>
            <w:r>
              <w:rPr>
                <w:rFonts w:hint="eastAsia"/>
                <w:color w:val="auto"/>
                <w:sz w:val="24"/>
                <w:szCs w:val="24"/>
                <w:lang w:eastAsia="zh-CN"/>
              </w:rPr>
              <w:t>），本项目所用地为临时占地，企业严格按照临时用地协议约定的用途使用土地，不破坏地貌，不修建永久性建筑。临时用地期满，企业将恢复土地的原状。</w:t>
            </w:r>
          </w:p>
          <w:p>
            <w:pPr>
              <w:adjustRightInd w:val="0"/>
              <w:snapToGrid w:val="0"/>
              <w:spacing w:line="360" w:lineRule="auto"/>
              <w:ind w:firstLine="482" w:firstLineChars="200"/>
              <w:rPr>
                <w:rFonts w:hint="eastAsia"/>
                <w:b/>
                <w:bCs/>
                <w:sz w:val="24"/>
                <w:highlight w:val="none"/>
              </w:rPr>
            </w:pPr>
            <w:r>
              <w:rPr>
                <w:rFonts w:hint="eastAsia"/>
                <w:b/>
                <w:bCs/>
                <w:sz w:val="24"/>
                <w:highlight w:val="none"/>
                <w:lang w:val="en-US" w:eastAsia="zh-CN"/>
              </w:rPr>
              <w:t>9.</w:t>
            </w:r>
            <w:r>
              <w:rPr>
                <w:b/>
                <w:bCs/>
                <w:sz w:val="24"/>
                <w:highlight w:val="none"/>
              </w:rPr>
              <w:t>饮用水源保护区划</w:t>
            </w:r>
          </w:p>
          <w:p>
            <w:pPr>
              <w:adjustRightInd w:val="0"/>
              <w:snapToGrid w:val="0"/>
              <w:spacing w:line="360" w:lineRule="auto"/>
              <w:ind w:firstLine="482" w:firstLineChars="200"/>
              <w:rPr>
                <w:b/>
                <w:bCs w:val="0"/>
                <w:sz w:val="24"/>
              </w:rPr>
            </w:pPr>
            <w:r>
              <w:rPr>
                <w:rFonts w:hint="eastAsia"/>
                <w:b/>
                <w:bCs w:val="0"/>
                <w:sz w:val="24"/>
              </w:rPr>
              <w:t>（一）济源市城市集中式饮用水源保护区划</w:t>
            </w:r>
          </w:p>
          <w:p>
            <w:pPr>
              <w:adjustRightInd w:val="0"/>
              <w:snapToGrid w:val="0"/>
              <w:spacing w:line="360" w:lineRule="auto"/>
              <w:ind w:firstLine="480" w:firstLineChars="200"/>
              <w:rPr>
                <w:rFonts w:hint="eastAsia"/>
                <w:sz w:val="24"/>
              </w:rPr>
            </w:pPr>
            <w:r>
              <w:rPr>
                <w:rFonts w:hint="eastAsia"/>
                <w:sz w:val="24"/>
              </w:rPr>
              <w:t>根据《河南省人民政府关于划定调整取消部分集中式饮用水源保护区的通知》（豫政文[2019]125号），济源市城市集中式饮用水源保护区划分结果如下：</w:t>
            </w:r>
          </w:p>
          <w:p>
            <w:pPr>
              <w:adjustRightInd w:val="0"/>
              <w:snapToGrid w:val="0"/>
              <w:spacing w:line="360" w:lineRule="auto"/>
              <w:ind w:firstLine="480" w:firstLineChars="200"/>
              <w:rPr>
                <w:rFonts w:hint="eastAsia"/>
                <w:sz w:val="24"/>
              </w:rPr>
            </w:pPr>
            <w:r>
              <w:rPr>
                <w:rFonts w:hint="eastAsia"/>
                <w:sz w:val="24"/>
              </w:rPr>
              <w:t>1）小庄水源地（共14眼井）</w:t>
            </w:r>
          </w:p>
          <w:p>
            <w:pPr>
              <w:adjustRightInd w:val="0"/>
              <w:snapToGrid w:val="0"/>
              <w:spacing w:line="360" w:lineRule="auto"/>
              <w:ind w:firstLine="480" w:firstLineChars="200"/>
              <w:rPr>
                <w:rFonts w:hint="eastAsia"/>
                <w:sz w:val="24"/>
              </w:rPr>
            </w:pPr>
            <w:r>
              <w:rPr>
                <w:rFonts w:hint="eastAsia"/>
                <w:sz w:val="24"/>
              </w:rPr>
              <w:t>一级保护区：井群外包线以内及外围245米至济克路交通量观测站——丰田路（原济克路）西侧红线——济世药业公司西边界——灵山北坡脚线的区域。</w:t>
            </w:r>
          </w:p>
          <w:p>
            <w:pPr>
              <w:adjustRightInd w:val="0"/>
              <w:snapToGrid w:val="0"/>
              <w:spacing w:line="360" w:lineRule="auto"/>
              <w:ind w:firstLine="480" w:firstLineChars="200"/>
              <w:rPr>
                <w:rFonts w:hint="eastAsia"/>
                <w:sz w:val="24"/>
              </w:rPr>
            </w:pPr>
            <w:r>
              <w:rPr>
                <w:rFonts w:hint="eastAsia"/>
                <w:sz w:val="24"/>
              </w:rPr>
              <w:t>二级保护区：一级保护区外东至侯月铁路西侧红线、西至大郭富村东界——塘石村东界——洛峪新村东界、南至洛峪新村北界——灵山村北界、北至济源市第五中学南侧道路。</w:t>
            </w:r>
          </w:p>
          <w:p>
            <w:pPr>
              <w:adjustRightInd w:val="0"/>
              <w:snapToGrid w:val="0"/>
              <w:spacing w:line="360" w:lineRule="auto"/>
              <w:ind w:firstLine="480" w:firstLineChars="200"/>
              <w:rPr>
                <w:rFonts w:hint="eastAsia"/>
                <w:sz w:val="24"/>
              </w:rPr>
            </w:pPr>
            <w:r>
              <w:rPr>
                <w:rFonts w:hint="eastAsia"/>
                <w:sz w:val="24"/>
              </w:rPr>
              <w:t>准保护区：二级保护区外，东至侯月铁路西侧红线、西至克留线（道路）东侧红线、南至范寺村北界——洛峪新村西界、北至任庄煤矿南边界。</w:t>
            </w:r>
          </w:p>
          <w:p>
            <w:pPr>
              <w:adjustRightInd w:val="0"/>
              <w:snapToGrid w:val="0"/>
              <w:spacing w:line="360" w:lineRule="auto"/>
              <w:ind w:firstLine="480" w:firstLineChars="200"/>
              <w:rPr>
                <w:rFonts w:hint="eastAsia"/>
                <w:sz w:val="24"/>
              </w:rPr>
            </w:pPr>
            <w:r>
              <w:rPr>
                <w:rFonts w:hint="eastAsia"/>
                <w:sz w:val="24"/>
              </w:rPr>
              <w:t>2）柴庄水源地（共4眼井）</w:t>
            </w:r>
          </w:p>
          <w:p>
            <w:pPr>
              <w:adjustRightInd w:val="0"/>
              <w:snapToGrid w:val="0"/>
              <w:spacing w:line="360" w:lineRule="auto"/>
              <w:ind w:firstLine="480" w:firstLineChars="200"/>
              <w:rPr>
                <w:rFonts w:hint="eastAsia"/>
                <w:sz w:val="24"/>
              </w:rPr>
            </w:pPr>
            <w:r>
              <w:rPr>
                <w:rFonts w:hint="eastAsia"/>
                <w:sz w:val="24"/>
              </w:rPr>
              <w:t>一级保护区：C1取水井外围245米东至龙潭生态园中心道路旁篮球场西边界、西至西环路东侧红线的矩形区域；C2取水井外围245米东至柴庄村东侧道路、南至C2取水井南260米道路北边界的矩形区域；C3取水井外围245米东至西环路西侧红线、南至蟒河堤岸的矩形区域；C4取水井外围245米的矩形区域。</w:t>
            </w:r>
          </w:p>
          <w:p>
            <w:pPr>
              <w:adjustRightInd w:val="0"/>
              <w:snapToGrid w:val="0"/>
              <w:spacing w:line="360" w:lineRule="auto"/>
              <w:ind w:firstLine="480" w:firstLineChars="200"/>
              <w:rPr>
                <w:rFonts w:hint="eastAsia"/>
                <w:sz w:val="24"/>
              </w:rPr>
            </w:pPr>
            <w:r>
              <w:rPr>
                <w:rFonts w:hint="eastAsia"/>
                <w:sz w:val="24"/>
              </w:rPr>
              <w:t>二级保护区：一级保护区外，东至伯王庄村——南贾庄村——北潘村的“村村通”道路、西至石牛村东界、南至济邵路北侧红线——西二环道路东侧红线——北海大道西段北侧红线、北至洛峪新村北界——灵山村北界——小庄村北的区域。</w:t>
            </w:r>
          </w:p>
          <w:p>
            <w:pPr>
              <w:adjustRightInd w:val="0"/>
              <w:snapToGrid w:val="0"/>
              <w:spacing w:line="360" w:lineRule="auto"/>
              <w:ind w:firstLine="480" w:firstLineChars="200"/>
              <w:rPr>
                <w:rFonts w:hint="eastAsia"/>
                <w:sz w:val="24"/>
              </w:rPr>
            </w:pPr>
            <w:r>
              <w:rPr>
                <w:rFonts w:hint="eastAsia"/>
                <w:sz w:val="24"/>
              </w:rPr>
              <w:t>3）河口村水库</w:t>
            </w:r>
          </w:p>
          <w:p>
            <w:pPr>
              <w:adjustRightInd w:val="0"/>
              <w:snapToGrid w:val="0"/>
              <w:spacing w:line="360" w:lineRule="auto"/>
              <w:ind w:firstLine="480" w:firstLineChars="200"/>
              <w:rPr>
                <w:rFonts w:hint="eastAsia"/>
                <w:sz w:val="24"/>
              </w:rPr>
            </w:pPr>
            <w:r>
              <w:rPr>
                <w:rFonts w:hint="eastAsia"/>
                <w:sz w:val="24"/>
              </w:rPr>
              <w:t>一级保护区：水库大坝至上游830米，正常水位线（275米）以内的区域及正常水位线以外水库左右岸第一重山脊线内的区域；取水池及其下游东至溢洪道西边界、西至低位水电站东侧、南至河道护坡北边界的区域。</w:t>
            </w:r>
          </w:p>
          <w:p>
            <w:pPr>
              <w:adjustRightInd w:val="0"/>
              <w:snapToGrid w:val="0"/>
              <w:spacing w:line="360" w:lineRule="auto"/>
              <w:ind w:firstLine="480" w:firstLineChars="200"/>
              <w:rPr>
                <w:rFonts w:hint="eastAsia"/>
                <w:sz w:val="24"/>
              </w:rPr>
            </w:pPr>
            <w:r>
              <w:rPr>
                <w:rFonts w:hint="eastAsia"/>
                <w:sz w:val="24"/>
              </w:rPr>
              <w:t>二级保护区：一级保护区外至水库上游3000米正常水位线以内的区域及正常水位线以外左右岸第一重山脊线内的区域。</w:t>
            </w:r>
          </w:p>
          <w:p>
            <w:pPr>
              <w:adjustRightInd w:val="0"/>
              <w:snapToGrid w:val="0"/>
              <w:spacing w:line="360" w:lineRule="auto"/>
              <w:ind w:firstLine="480" w:firstLineChars="200"/>
              <w:rPr>
                <w:rFonts w:hint="eastAsia"/>
                <w:sz w:val="24"/>
              </w:rPr>
            </w:pPr>
            <w:r>
              <w:rPr>
                <w:rFonts w:hint="eastAsia"/>
                <w:sz w:val="24"/>
              </w:rPr>
              <w:t>准保护区：二级保护区外至水库上游4000米（圪了滩猕猴过河索桥处）正常水位线以内的区域及正常水位线以外水库左右岸第一重山脊线济源市境内内的区域。</w:t>
            </w:r>
          </w:p>
          <w:p>
            <w:pPr>
              <w:adjustRightInd w:val="0"/>
              <w:snapToGrid w:val="0"/>
              <w:spacing w:line="360" w:lineRule="auto"/>
              <w:ind w:firstLine="480" w:firstLineChars="200"/>
              <w:rPr>
                <w:bCs/>
                <w:sz w:val="24"/>
                <w:szCs w:val="24"/>
              </w:rPr>
            </w:pPr>
            <w:r>
              <w:rPr>
                <w:rFonts w:hint="eastAsia"/>
                <w:bCs/>
                <w:sz w:val="24"/>
                <w:szCs w:val="24"/>
              </w:rPr>
              <w:t>本项目位于</w:t>
            </w:r>
            <w:r>
              <w:rPr>
                <w:rFonts w:hint="eastAsia"/>
                <w:bCs/>
                <w:sz w:val="24"/>
                <w:szCs w:val="24"/>
                <w:lang w:eastAsia="zh-CN"/>
              </w:rPr>
              <w:t>济源市坡头镇高新路东侧中段</w:t>
            </w:r>
            <w:r>
              <w:rPr>
                <w:bCs/>
                <w:sz w:val="24"/>
                <w:szCs w:val="24"/>
              </w:rPr>
              <w:t>，不在</w:t>
            </w:r>
            <w:r>
              <w:rPr>
                <w:rFonts w:hint="eastAsia"/>
                <w:bCs/>
                <w:sz w:val="24"/>
                <w:szCs w:val="24"/>
              </w:rPr>
              <w:t>济源市城市集中式饮用水源</w:t>
            </w:r>
            <w:r>
              <w:rPr>
                <w:bCs/>
                <w:sz w:val="24"/>
                <w:szCs w:val="24"/>
              </w:rPr>
              <w:t>保护区范围内。</w:t>
            </w:r>
          </w:p>
          <w:p>
            <w:pPr>
              <w:adjustRightInd w:val="0"/>
              <w:snapToGrid w:val="0"/>
              <w:spacing w:line="360" w:lineRule="auto"/>
              <w:ind w:firstLine="482" w:firstLineChars="200"/>
              <w:rPr>
                <w:b/>
                <w:bCs/>
                <w:sz w:val="24"/>
                <w:szCs w:val="24"/>
              </w:rPr>
            </w:pPr>
            <w:r>
              <w:rPr>
                <w:b/>
                <w:bCs/>
                <w:sz w:val="24"/>
                <w:szCs w:val="24"/>
              </w:rPr>
              <w:t>（</w:t>
            </w:r>
            <w:r>
              <w:rPr>
                <w:rFonts w:hint="eastAsia"/>
                <w:b/>
                <w:bCs/>
                <w:sz w:val="24"/>
                <w:szCs w:val="24"/>
              </w:rPr>
              <w:t>二</w:t>
            </w:r>
            <w:r>
              <w:rPr>
                <w:b/>
                <w:bCs/>
                <w:sz w:val="24"/>
                <w:szCs w:val="24"/>
              </w:rPr>
              <w:t>）济源市乡镇级</w:t>
            </w:r>
            <w:r>
              <w:rPr>
                <w:rFonts w:hint="eastAsia"/>
                <w:b/>
                <w:bCs/>
                <w:sz w:val="24"/>
                <w:szCs w:val="24"/>
              </w:rPr>
              <w:t>集中式饮用</w:t>
            </w:r>
            <w:r>
              <w:rPr>
                <w:b/>
                <w:bCs/>
                <w:sz w:val="24"/>
                <w:szCs w:val="24"/>
              </w:rPr>
              <w:t>水源保护区划</w:t>
            </w:r>
          </w:p>
          <w:p>
            <w:pPr>
              <w:adjustRightInd w:val="0"/>
              <w:snapToGrid w:val="0"/>
              <w:spacing w:line="360" w:lineRule="auto"/>
              <w:ind w:firstLine="480" w:firstLineChars="200"/>
              <w:rPr>
                <w:sz w:val="24"/>
                <w:szCs w:val="24"/>
              </w:rPr>
            </w:pPr>
            <w:r>
              <w:rPr>
                <w:rFonts w:hint="eastAsia"/>
                <w:sz w:val="24"/>
                <w:szCs w:val="24"/>
              </w:rPr>
              <w:t>根据《河南省人民政府办公厅关于印发河南省乡镇集中式饮用水水源保护区划的通知》（豫政办〔2016〕23号），</w:t>
            </w:r>
            <w:r>
              <w:rPr>
                <w:rFonts w:hint="eastAsia"/>
                <w:sz w:val="24"/>
              </w:rPr>
              <w:t>济源市共有三个乡镇级集中式饮用水水源地。</w:t>
            </w:r>
          </w:p>
          <w:p>
            <w:pPr>
              <w:adjustRightInd w:val="0"/>
              <w:snapToGrid w:val="0"/>
              <w:spacing w:line="360" w:lineRule="auto"/>
              <w:ind w:firstLine="480" w:firstLineChars="200"/>
              <w:rPr>
                <w:sz w:val="24"/>
                <w:szCs w:val="24"/>
              </w:rPr>
            </w:pPr>
            <w:r>
              <w:rPr>
                <w:sz w:val="24"/>
                <w:szCs w:val="24"/>
              </w:rPr>
              <w:fldChar w:fldCharType="begin"/>
            </w:r>
            <w:r>
              <w:rPr>
                <w:sz w:val="24"/>
                <w:szCs w:val="24"/>
              </w:rPr>
              <w:instrText xml:space="preserve"> = 1 \* GB3 \* MERGEFORMAT </w:instrText>
            </w:r>
            <w:r>
              <w:rPr>
                <w:sz w:val="24"/>
                <w:szCs w:val="24"/>
              </w:rPr>
              <w:fldChar w:fldCharType="separate"/>
            </w:r>
            <w:r>
              <w:rPr>
                <w:sz w:val="24"/>
                <w:szCs w:val="24"/>
              </w:rPr>
              <w:t>①</w:t>
            </w:r>
            <w:r>
              <w:rPr>
                <w:sz w:val="24"/>
                <w:szCs w:val="24"/>
              </w:rPr>
              <w:fldChar w:fldCharType="end"/>
            </w:r>
            <w:r>
              <w:rPr>
                <w:sz w:val="24"/>
                <w:szCs w:val="24"/>
              </w:rPr>
              <w:t>济源市梨林镇地下水井群(共4眼井)</w:t>
            </w:r>
          </w:p>
          <w:p>
            <w:pPr>
              <w:adjustRightInd w:val="0"/>
              <w:snapToGrid w:val="0"/>
              <w:spacing w:line="360" w:lineRule="auto"/>
              <w:ind w:firstLine="480" w:firstLineChars="200"/>
              <w:rPr>
                <w:sz w:val="24"/>
                <w:szCs w:val="24"/>
              </w:rPr>
            </w:pPr>
            <w:r>
              <w:rPr>
                <w:sz w:val="24"/>
                <w:szCs w:val="24"/>
              </w:rPr>
              <w:t>一级保护区范</w:t>
            </w:r>
            <w:r>
              <w:rPr>
                <w:rFonts w:hint="eastAsia" w:ascii="宋体" w:hAnsi="宋体" w:cs="宋体"/>
                <w:sz w:val="24"/>
                <w:szCs w:val="24"/>
              </w:rPr>
              <w:t>围</w:t>
            </w:r>
            <w:r>
              <w:rPr>
                <w:rFonts w:hint="eastAsia" w:ascii="宋体" w:hAnsi="宋体" w:cs="宋体"/>
                <w:sz w:val="24"/>
                <w:szCs w:val="24"/>
                <w:lang w:val="en-US" w:eastAsia="zh-CN"/>
              </w:rPr>
              <w:t>：</w:t>
            </w:r>
            <w:r>
              <w:rPr>
                <w:rFonts w:hint="eastAsia" w:ascii="宋体" w:hAnsi="宋体" w:cs="宋体"/>
                <w:sz w:val="24"/>
                <w:szCs w:val="24"/>
              </w:rPr>
              <w:t>水</w:t>
            </w:r>
            <w:r>
              <w:rPr>
                <w:sz w:val="24"/>
                <w:szCs w:val="24"/>
              </w:rPr>
              <w:t>厂厂区及外围东670米、西670米、南480米、北至沁河中泓线的区域。</w:t>
            </w:r>
          </w:p>
          <w:p>
            <w:pPr>
              <w:adjustRightInd w:val="0"/>
              <w:snapToGrid w:val="0"/>
              <w:spacing w:line="360" w:lineRule="auto"/>
              <w:ind w:firstLine="480" w:firstLineChars="200"/>
              <w:rPr>
                <w:sz w:val="24"/>
                <w:szCs w:val="24"/>
              </w:rPr>
            </w:pPr>
            <w:r>
              <w:rPr>
                <w:sz w:val="24"/>
                <w:szCs w:val="24"/>
              </w:rPr>
              <w:fldChar w:fldCharType="begin"/>
            </w:r>
            <w:r>
              <w:rPr>
                <w:sz w:val="24"/>
                <w:szCs w:val="24"/>
              </w:rPr>
              <w:instrText xml:space="preserve"> = 2 \* GB3 \* MERGEFORMAT </w:instrText>
            </w:r>
            <w:r>
              <w:rPr>
                <w:sz w:val="24"/>
                <w:szCs w:val="24"/>
              </w:rPr>
              <w:fldChar w:fldCharType="separate"/>
            </w:r>
            <w:r>
              <w:rPr>
                <w:sz w:val="24"/>
                <w:szCs w:val="24"/>
              </w:rPr>
              <w:t>②</w:t>
            </w:r>
            <w:r>
              <w:rPr>
                <w:sz w:val="24"/>
                <w:szCs w:val="24"/>
              </w:rPr>
              <w:fldChar w:fldCharType="end"/>
            </w:r>
            <w:r>
              <w:rPr>
                <w:sz w:val="24"/>
                <w:szCs w:val="24"/>
              </w:rPr>
              <w:t>济源市王屋镇天坛山水库</w:t>
            </w:r>
          </w:p>
          <w:p>
            <w:pPr>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一级保护区范围</w:t>
            </w:r>
            <w:r>
              <w:rPr>
                <w:rFonts w:hint="eastAsia" w:ascii="宋体" w:hAnsi="宋体" w:cs="宋体"/>
                <w:sz w:val="24"/>
                <w:szCs w:val="24"/>
                <w:lang w:val="en-US" w:eastAsia="zh-CN"/>
              </w:rPr>
              <w:t>：</w:t>
            </w:r>
            <w:r>
              <w:rPr>
                <w:rFonts w:hint="eastAsia" w:ascii="宋体" w:hAnsi="宋体" w:cs="宋体"/>
                <w:sz w:val="24"/>
                <w:szCs w:val="24"/>
              </w:rPr>
              <w:t>水库正常水位线(</w:t>
            </w:r>
            <w:r>
              <w:rPr>
                <w:sz w:val="24"/>
                <w:szCs w:val="24"/>
              </w:rPr>
              <w:t>577</w:t>
            </w:r>
            <w:r>
              <w:rPr>
                <w:rFonts w:hint="eastAsia" w:ascii="宋体" w:hAnsi="宋体" w:cs="宋体"/>
                <w:sz w:val="24"/>
                <w:szCs w:val="24"/>
              </w:rPr>
              <w:t>米)以下区域及取水口南、北两侧正常水位线以上</w:t>
            </w:r>
            <w:r>
              <w:rPr>
                <w:sz w:val="24"/>
                <w:szCs w:val="24"/>
              </w:rPr>
              <w:t>200</w:t>
            </w:r>
            <w:r>
              <w:rPr>
                <w:rFonts w:hint="eastAsia" w:ascii="宋体" w:hAnsi="宋体" w:cs="宋体"/>
                <w:sz w:val="24"/>
                <w:szCs w:val="24"/>
              </w:rPr>
              <w:t>米但不超过流域分水岭的区域。</w:t>
            </w:r>
          </w:p>
          <w:p>
            <w:pPr>
              <w:adjustRightInd w:val="0"/>
              <w:snapToGrid w:val="0"/>
              <w:spacing w:line="360" w:lineRule="auto"/>
              <w:ind w:firstLine="480" w:firstLineChars="200"/>
              <w:rPr>
                <w:rFonts w:ascii="宋体" w:hAnsi="宋体" w:cs="宋体"/>
                <w:sz w:val="24"/>
                <w:szCs w:val="24"/>
              </w:rPr>
            </w:pPr>
            <w:r>
              <w:rPr>
                <w:rFonts w:hint="eastAsia" w:ascii="宋体" w:hAnsi="宋体" w:cs="宋体"/>
                <w:sz w:val="24"/>
                <w:szCs w:val="24"/>
              </w:rPr>
              <w:t>二级保护区范围</w:t>
            </w:r>
            <w:r>
              <w:rPr>
                <w:rFonts w:hint="eastAsia" w:ascii="宋体" w:hAnsi="宋体" w:cs="宋体"/>
                <w:sz w:val="24"/>
                <w:szCs w:val="24"/>
                <w:lang w:val="en-US" w:eastAsia="zh-CN"/>
              </w:rPr>
              <w:t>：</w:t>
            </w:r>
            <w:r>
              <w:rPr>
                <w:rFonts w:hint="eastAsia" w:ascii="宋体" w:hAnsi="宋体" w:cs="宋体"/>
                <w:sz w:val="24"/>
                <w:szCs w:val="24"/>
              </w:rPr>
              <w:t>一级保护区外,入库主河流上溯</w:t>
            </w:r>
            <w:r>
              <w:rPr>
                <w:sz w:val="24"/>
                <w:szCs w:val="24"/>
              </w:rPr>
              <w:t>2000</w:t>
            </w:r>
            <w:r>
              <w:rPr>
                <w:rFonts w:hint="eastAsia" w:ascii="宋体" w:hAnsi="宋体" w:cs="宋体"/>
                <w:sz w:val="24"/>
                <w:szCs w:val="24"/>
              </w:rPr>
              <w:t>米河道内及两侧分水岭内的区域。</w:t>
            </w:r>
          </w:p>
          <w:p>
            <w:pPr>
              <w:adjustRightInd w:val="0"/>
              <w:snapToGrid w:val="0"/>
              <w:spacing w:line="360" w:lineRule="auto"/>
              <w:ind w:firstLine="480" w:firstLineChars="200"/>
              <w:rPr>
                <w:sz w:val="24"/>
                <w:szCs w:val="24"/>
              </w:rPr>
            </w:pPr>
            <w:r>
              <w:rPr>
                <w:rFonts w:hint="eastAsia" w:ascii="宋体" w:hAnsi="宋体" w:cs="宋体"/>
                <w:sz w:val="24"/>
                <w:szCs w:val="24"/>
              </w:rPr>
              <w:t>准保护区范围</w:t>
            </w:r>
            <w:r>
              <w:rPr>
                <w:rFonts w:hint="eastAsia" w:ascii="宋体" w:hAnsi="宋体" w:cs="宋体"/>
                <w:sz w:val="24"/>
                <w:szCs w:val="24"/>
                <w:lang w:val="en-US" w:eastAsia="zh-CN"/>
              </w:rPr>
              <w:t>：</w:t>
            </w:r>
            <w:r>
              <w:rPr>
                <w:rFonts w:hint="eastAsia" w:ascii="宋体" w:hAnsi="宋体" w:cs="宋体"/>
                <w:sz w:val="24"/>
                <w:szCs w:val="24"/>
              </w:rPr>
              <w:t>二级保护区外,济源市境内的全部汇水区域</w:t>
            </w:r>
            <w:r>
              <w:rPr>
                <w:sz w:val="24"/>
                <w:szCs w:val="24"/>
              </w:rPr>
              <w:t>。</w:t>
            </w:r>
          </w:p>
          <w:p>
            <w:pPr>
              <w:adjustRightInd w:val="0"/>
              <w:snapToGrid w:val="0"/>
              <w:spacing w:line="360" w:lineRule="auto"/>
              <w:ind w:firstLine="480" w:firstLineChars="200"/>
              <w:rPr>
                <w:rFonts w:ascii="宋体" w:hAnsi="宋体" w:cs="宋体"/>
                <w:sz w:val="24"/>
              </w:rPr>
            </w:pPr>
            <w:r>
              <w:rPr>
                <w:sz w:val="24"/>
                <w:szCs w:val="24"/>
              </w:rPr>
              <w:fldChar w:fldCharType="begin"/>
            </w:r>
            <w:r>
              <w:rPr>
                <w:sz w:val="24"/>
                <w:szCs w:val="24"/>
              </w:rPr>
              <w:instrText xml:space="preserve"> = 3 \* GB3 \* MERGEFORMAT </w:instrText>
            </w:r>
            <w:r>
              <w:rPr>
                <w:sz w:val="24"/>
                <w:szCs w:val="24"/>
              </w:rPr>
              <w:fldChar w:fldCharType="separate"/>
            </w:r>
            <w:r>
              <w:rPr>
                <w:sz w:val="24"/>
                <w:szCs w:val="24"/>
              </w:rPr>
              <w:t>③</w:t>
            </w:r>
            <w:r>
              <w:rPr>
                <w:sz w:val="24"/>
                <w:szCs w:val="24"/>
              </w:rPr>
              <w:fldChar w:fldCharType="end"/>
            </w:r>
            <w:r>
              <w:rPr>
                <w:rFonts w:hint="eastAsia" w:ascii="宋体" w:hAnsi="宋体" w:cs="宋体"/>
                <w:sz w:val="24"/>
                <w:szCs w:val="24"/>
              </w:rPr>
              <w:t>济源</w:t>
            </w:r>
            <w:r>
              <w:rPr>
                <w:rFonts w:hint="eastAsia" w:ascii="宋体" w:hAnsi="宋体" w:cs="宋体"/>
                <w:sz w:val="24"/>
              </w:rPr>
              <w:t>市邵原镇布袋沟水库</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一级保护区范围</w:t>
            </w:r>
            <w:r>
              <w:rPr>
                <w:rFonts w:hint="eastAsia" w:ascii="宋体" w:hAnsi="宋体" w:cs="宋体"/>
                <w:sz w:val="24"/>
                <w:szCs w:val="24"/>
                <w:lang w:val="en-US" w:eastAsia="zh-CN"/>
              </w:rPr>
              <w:t>：</w:t>
            </w:r>
            <w:r>
              <w:rPr>
                <w:rFonts w:hint="eastAsia" w:ascii="宋体" w:hAnsi="宋体" w:cs="宋体"/>
                <w:sz w:val="24"/>
              </w:rPr>
              <w:t>水库正常水位线(</w:t>
            </w:r>
            <w:r>
              <w:rPr>
                <w:sz w:val="24"/>
              </w:rPr>
              <w:t>753</w:t>
            </w:r>
            <w:r>
              <w:rPr>
                <w:rFonts w:hint="eastAsia" w:ascii="宋体" w:hAnsi="宋体" w:cs="宋体"/>
                <w:sz w:val="24"/>
              </w:rPr>
              <w:t>米)以下的区域,取水口东、西两侧正常水位线以上</w:t>
            </w:r>
            <w:r>
              <w:rPr>
                <w:sz w:val="24"/>
              </w:rPr>
              <w:t>200</w:t>
            </w:r>
            <w:r>
              <w:rPr>
                <w:rFonts w:hint="eastAsia" w:ascii="宋体" w:hAnsi="宋体" w:cs="宋体"/>
                <w:sz w:val="24"/>
              </w:rPr>
              <w:t>米但不超过分水岭的区域。</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二级保护区范围</w:t>
            </w:r>
            <w:r>
              <w:rPr>
                <w:rFonts w:hint="eastAsia" w:ascii="宋体" w:hAnsi="宋体" w:cs="宋体"/>
                <w:sz w:val="24"/>
                <w:szCs w:val="24"/>
                <w:lang w:val="en-US" w:eastAsia="zh-CN"/>
              </w:rPr>
              <w:t>：</w:t>
            </w:r>
            <w:r>
              <w:rPr>
                <w:rFonts w:hint="eastAsia" w:ascii="宋体" w:hAnsi="宋体" w:cs="宋体"/>
                <w:sz w:val="24"/>
              </w:rPr>
              <w:t>一级保护区外,入库主河流上溯</w:t>
            </w:r>
            <w:r>
              <w:rPr>
                <w:sz w:val="24"/>
              </w:rPr>
              <w:t>2000</w:t>
            </w:r>
            <w:r>
              <w:rPr>
                <w:rFonts w:hint="eastAsia" w:ascii="宋体" w:hAnsi="宋体" w:cs="宋体"/>
                <w:sz w:val="24"/>
              </w:rPr>
              <w:t>米河道内及两侧分水岭内的区域。</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准保护区范围</w:t>
            </w:r>
            <w:r>
              <w:rPr>
                <w:rFonts w:hint="eastAsia" w:ascii="宋体" w:hAnsi="宋体" w:cs="宋体"/>
                <w:sz w:val="24"/>
                <w:szCs w:val="24"/>
                <w:lang w:val="en-US" w:eastAsia="zh-CN"/>
              </w:rPr>
              <w:t>：</w:t>
            </w:r>
            <w:r>
              <w:rPr>
                <w:rFonts w:hint="eastAsia" w:ascii="宋体" w:hAnsi="宋体" w:cs="宋体"/>
                <w:sz w:val="24"/>
              </w:rPr>
              <w:t>二级保护区外,济源市境内的全部汇水区域。</w:t>
            </w:r>
          </w:p>
          <w:p>
            <w:pPr>
              <w:spacing w:line="360" w:lineRule="auto"/>
              <w:ind w:firstLine="600" w:firstLineChars="250"/>
              <w:rPr>
                <w:bCs/>
                <w:sz w:val="24"/>
                <w:szCs w:val="24"/>
              </w:rPr>
            </w:pPr>
            <w:r>
              <w:rPr>
                <w:rFonts w:hint="eastAsia"/>
                <w:bCs/>
                <w:sz w:val="24"/>
                <w:szCs w:val="24"/>
              </w:rPr>
              <w:t>本项目位于</w:t>
            </w:r>
            <w:r>
              <w:rPr>
                <w:rFonts w:hint="eastAsia"/>
                <w:bCs/>
                <w:sz w:val="24"/>
                <w:szCs w:val="24"/>
                <w:lang w:eastAsia="zh-CN"/>
              </w:rPr>
              <w:t>济源市坡头镇高新路东侧中段</w:t>
            </w:r>
            <w:r>
              <w:rPr>
                <w:rFonts w:hint="eastAsia"/>
                <w:bCs/>
                <w:sz w:val="24"/>
                <w:szCs w:val="24"/>
              </w:rPr>
              <w:t>，</w:t>
            </w:r>
            <w:r>
              <w:rPr>
                <w:bCs/>
                <w:sz w:val="24"/>
                <w:szCs w:val="24"/>
              </w:rPr>
              <w:t>不在</w:t>
            </w:r>
            <w:r>
              <w:rPr>
                <w:rFonts w:hint="eastAsia"/>
                <w:bCs/>
                <w:sz w:val="24"/>
                <w:szCs w:val="24"/>
              </w:rPr>
              <w:t>济源市乡镇级集中式饮用水源</w:t>
            </w:r>
            <w:r>
              <w:rPr>
                <w:bCs/>
                <w:sz w:val="24"/>
                <w:szCs w:val="24"/>
              </w:rPr>
              <w:t>保护区范围内。</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b/>
                <w:bCs w:val="0"/>
                <w:color w:val="auto"/>
              </w:rPr>
            </w:pPr>
            <w:r>
              <w:rPr>
                <w:rFonts w:hint="eastAsia"/>
                <w:b/>
                <w:bCs w:val="0"/>
                <w:color w:val="auto"/>
                <w:sz w:val="24"/>
                <w:lang w:val="en-US" w:eastAsia="zh-CN"/>
              </w:rPr>
              <w:t>10.</w:t>
            </w:r>
            <w:r>
              <w:rPr>
                <w:rFonts w:hint="eastAsia" w:ascii="宋体" w:hAnsi="宋体" w:eastAsia="宋体" w:cs="宋体"/>
                <w:b/>
                <w:bCs w:val="0"/>
                <w:color w:val="auto"/>
                <w:kern w:val="0"/>
                <w:sz w:val="24"/>
                <w:szCs w:val="24"/>
                <w:lang w:val="en-US" w:eastAsia="zh-CN" w:bidi="ar"/>
              </w:rPr>
              <w:t>《河南省</w:t>
            </w:r>
            <w:r>
              <w:rPr>
                <w:rFonts w:hint="default" w:ascii="Times New Roman" w:hAnsi="Times New Roman" w:eastAsia="宋体" w:cs="Times New Roman"/>
                <w:b/>
                <w:bCs w:val="0"/>
                <w:color w:val="auto"/>
                <w:kern w:val="0"/>
                <w:sz w:val="24"/>
                <w:szCs w:val="24"/>
                <w:lang w:val="en-US" w:eastAsia="zh-CN" w:bidi="ar"/>
              </w:rPr>
              <w:t>2019</w:t>
            </w:r>
            <w:r>
              <w:rPr>
                <w:rFonts w:hint="eastAsia" w:ascii="宋体" w:hAnsi="宋体" w:eastAsia="宋体" w:cs="宋体"/>
                <w:b/>
                <w:bCs w:val="0"/>
                <w:color w:val="auto"/>
                <w:kern w:val="0"/>
                <w:sz w:val="24"/>
                <w:szCs w:val="24"/>
                <w:lang w:val="en-US" w:eastAsia="zh-CN" w:bidi="ar"/>
              </w:rPr>
              <w:t>年大气污染污染防治攻坚战实施方案》（豫环攻坚办</w:t>
            </w:r>
            <w:r>
              <w:rPr>
                <w:rFonts w:hint="default" w:ascii="Times New Roman" w:hAnsi="Times New Roman" w:eastAsia="宋体" w:cs="Times New Roman"/>
                <w:b/>
                <w:bCs w:val="0"/>
                <w:color w:val="auto"/>
                <w:kern w:val="0"/>
                <w:sz w:val="24"/>
                <w:szCs w:val="24"/>
                <w:lang w:val="en-US" w:eastAsia="zh-CN" w:bidi="ar"/>
              </w:rPr>
              <w:t>[2019]25</w:t>
            </w:r>
            <w:r>
              <w:rPr>
                <w:rFonts w:hint="eastAsia" w:ascii="宋体" w:hAnsi="宋体" w:eastAsia="宋体" w:cs="宋体"/>
                <w:b/>
                <w:bCs w:val="0"/>
                <w:color w:val="auto"/>
                <w:kern w:val="0"/>
                <w:sz w:val="24"/>
                <w:szCs w:val="24"/>
                <w:lang w:val="en-US" w:eastAsia="zh-CN" w:bidi="ar"/>
              </w:rPr>
              <w:t>号）</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pPr>
            <w:r>
              <w:rPr>
                <w:rFonts w:hint="default" w:ascii="Times New Roman" w:hAnsi="Times New Roman" w:eastAsia="宋体" w:cs="Times New Roman"/>
                <w:color w:val="000000"/>
                <w:kern w:val="0"/>
                <w:sz w:val="24"/>
                <w:szCs w:val="24"/>
                <w:lang w:val="en-US" w:eastAsia="zh-CN" w:bidi="ar"/>
              </w:rPr>
              <w:t>2019</w:t>
            </w:r>
            <w:r>
              <w:rPr>
                <w:rFonts w:hint="eastAsia" w:ascii="宋体" w:hAnsi="宋体" w:eastAsia="宋体" w:cs="宋体"/>
                <w:color w:val="000000"/>
                <w:kern w:val="0"/>
                <w:sz w:val="24"/>
                <w:szCs w:val="24"/>
                <w:lang w:val="en-US" w:eastAsia="zh-CN" w:bidi="ar"/>
              </w:rPr>
              <w:t>年</w:t>
            </w:r>
            <w:r>
              <w:rPr>
                <w:rFonts w:hint="default" w:ascii="Times New Roman" w:hAnsi="Times New Roman" w:eastAsia="宋体" w:cs="Times New Roman"/>
                <w:color w:val="000000"/>
                <w:kern w:val="0"/>
                <w:sz w:val="24"/>
                <w:szCs w:val="24"/>
                <w:lang w:val="en-US" w:eastAsia="zh-CN" w:bidi="ar"/>
              </w:rPr>
              <w:t>2</w:t>
            </w:r>
            <w:r>
              <w:rPr>
                <w:rFonts w:hint="eastAsia" w:ascii="宋体" w:hAnsi="宋体" w:eastAsia="宋体" w:cs="宋体"/>
                <w:color w:val="000000"/>
                <w:kern w:val="0"/>
                <w:sz w:val="24"/>
                <w:szCs w:val="24"/>
                <w:lang w:val="en-US" w:eastAsia="zh-CN" w:bidi="ar"/>
              </w:rPr>
              <w:t>月</w:t>
            </w:r>
            <w:r>
              <w:rPr>
                <w:rFonts w:hint="default" w:ascii="Times New Roman" w:hAnsi="Times New Roman" w:eastAsia="宋体" w:cs="Times New Roman"/>
                <w:color w:val="000000"/>
                <w:kern w:val="0"/>
                <w:sz w:val="24"/>
                <w:szCs w:val="24"/>
                <w:lang w:val="en-US" w:eastAsia="zh-CN" w:bidi="ar"/>
              </w:rPr>
              <w:t>27</w:t>
            </w:r>
            <w:r>
              <w:rPr>
                <w:rFonts w:hint="eastAsia" w:ascii="宋体" w:hAnsi="宋体" w:eastAsia="宋体" w:cs="宋体"/>
                <w:color w:val="000000"/>
                <w:kern w:val="0"/>
                <w:sz w:val="24"/>
                <w:szCs w:val="24"/>
                <w:lang w:val="en-US" w:eastAsia="zh-CN" w:bidi="ar"/>
              </w:rPr>
              <w:t>日，河南省污染防治攻坚站领导小组印发了《河南省</w:t>
            </w:r>
            <w:r>
              <w:rPr>
                <w:rFonts w:hint="default" w:ascii="Times New Roman" w:hAnsi="Times New Roman" w:eastAsia="宋体" w:cs="Times New Roman"/>
                <w:color w:val="000000"/>
                <w:kern w:val="0"/>
                <w:sz w:val="24"/>
                <w:szCs w:val="24"/>
                <w:lang w:val="en-US" w:eastAsia="zh-CN" w:bidi="ar"/>
              </w:rPr>
              <w:t xml:space="preserve">2019 </w:t>
            </w:r>
            <w:r>
              <w:rPr>
                <w:rFonts w:hint="eastAsia" w:ascii="宋体" w:hAnsi="宋体" w:eastAsia="宋体" w:cs="宋体"/>
                <w:color w:val="000000"/>
                <w:kern w:val="0"/>
                <w:sz w:val="24"/>
                <w:szCs w:val="24"/>
                <w:lang w:val="en-US" w:eastAsia="zh-CN" w:bidi="ar"/>
              </w:rPr>
              <w:t>年大气污染污染防治攻坚战实施方案》本项目与其中相关内容的相符性分析如下：</w:t>
            </w:r>
          </w:p>
          <w:p>
            <w:pPr>
              <w:keepNext w:val="0"/>
              <w:keepLines w:val="0"/>
              <w:widowControl/>
              <w:suppressLineNumbers w:val="0"/>
              <w:jc w:val="center"/>
            </w:pPr>
            <w:r>
              <w:rPr>
                <w:rFonts w:hint="eastAsia" w:ascii="黑体" w:hAnsi="宋体" w:eastAsia="黑体" w:cs="黑体"/>
                <w:color w:val="000000"/>
                <w:kern w:val="0"/>
                <w:sz w:val="24"/>
                <w:szCs w:val="24"/>
                <w:lang w:val="en-US" w:eastAsia="zh-CN" w:bidi="ar"/>
              </w:rPr>
              <w:t xml:space="preserve">表6  </w:t>
            </w:r>
            <w:r>
              <w:rPr>
                <w:rFonts w:ascii="黑体" w:hAnsi="宋体" w:eastAsia="黑体" w:cs="黑体"/>
                <w:color w:val="000000"/>
                <w:kern w:val="0"/>
                <w:sz w:val="24"/>
                <w:szCs w:val="24"/>
                <w:lang w:val="en-US" w:eastAsia="zh-CN" w:bidi="ar"/>
              </w:rPr>
              <w:t>与</w:t>
            </w:r>
            <w:r>
              <w:rPr>
                <w:rFonts w:hint="eastAsia" w:ascii="黑体" w:hAnsi="宋体" w:eastAsia="黑体" w:cs="黑体"/>
                <w:color w:val="000000"/>
                <w:kern w:val="0"/>
                <w:sz w:val="24"/>
                <w:szCs w:val="24"/>
                <w:lang w:val="en-US" w:eastAsia="zh-CN" w:bidi="ar"/>
              </w:rPr>
              <w:t>“</w:t>
            </w:r>
            <w:r>
              <w:rPr>
                <w:rFonts w:ascii="黑体" w:hAnsi="宋体" w:eastAsia="黑体" w:cs="黑体"/>
                <w:color w:val="000000"/>
                <w:kern w:val="0"/>
                <w:sz w:val="24"/>
                <w:szCs w:val="24"/>
                <w:lang w:val="en-US" w:eastAsia="zh-CN" w:bidi="ar"/>
              </w:rPr>
              <w:t>豫环攻坚办[2019]25号</w:t>
            </w:r>
            <w:r>
              <w:rPr>
                <w:rFonts w:hint="eastAsia" w:ascii="黑体" w:hAnsi="宋体" w:eastAsia="黑体" w:cs="黑体"/>
                <w:color w:val="000000"/>
                <w:kern w:val="0"/>
                <w:sz w:val="24"/>
                <w:szCs w:val="24"/>
                <w:lang w:val="en-US" w:eastAsia="zh-CN" w:bidi="ar"/>
              </w:rPr>
              <w:t>”</w:t>
            </w:r>
            <w:r>
              <w:rPr>
                <w:rFonts w:ascii="黑体" w:hAnsi="宋体" w:eastAsia="黑体" w:cs="黑体"/>
                <w:color w:val="000000"/>
                <w:kern w:val="0"/>
                <w:sz w:val="24"/>
                <w:szCs w:val="24"/>
                <w:lang w:val="en-US" w:eastAsia="zh-CN" w:bidi="ar"/>
              </w:rPr>
              <w:t>相符性分析一览表</w:t>
            </w:r>
          </w:p>
          <w:tbl>
            <w:tblPr>
              <w:tblStyle w:val="32"/>
              <w:tblW w:w="0" w:type="auto"/>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16"/>
              <w:gridCol w:w="4545"/>
              <w:gridCol w:w="2400"/>
              <w:gridCol w:w="87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016" w:type="dxa"/>
                  <w:tcBorders>
                    <w:tl2br w:val="nil"/>
                    <w:tr2bl w:val="nil"/>
                  </w:tcBorders>
                  <w:vAlign w:val="center"/>
                </w:tcPr>
                <w:p>
                  <w:pPr>
                    <w:spacing w:line="240" w:lineRule="auto"/>
                    <w:jc w:val="center"/>
                    <w:rPr>
                      <w:rFonts w:hint="eastAsia" w:eastAsia="宋体"/>
                      <w:sz w:val="21"/>
                      <w:szCs w:val="21"/>
                      <w:vertAlign w:val="baseline"/>
                      <w:lang w:eastAsia="zh-CN"/>
                    </w:rPr>
                  </w:pPr>
                  <w:r>
                    <w:rPr>
                      <w:rFonts w:hint="eastAsia"/>
                      <w:sz w:val="21"/>
                      <w:szCs w:val="21"/>
                      <w:vertAlign w:val="baseline"/>
                      <w:lang w:eastAsia="zh-CN"/>
                    </w:rPr>
                    <w:t>序号</w:t>
                  </w:r>
                </w:p>
              </w:tc>
              <w:tc>
                <w:tcPr>
                  <w:tcW w:w="4545" w:type="dxa"/>
                  <w:tcBorders>
                    <w:tl2br w:val="nil"/>
                    <w:tr2bl w:val="nil"/>
                  </w:tcBorders>
                  <w:vAlign w:val="center"/>
                </w:tcPr>
                <w:p>
                  <w:pPr>
                    <w:spacing w:line="240" w:lineRule="auto"/>
                    <w:jc w:val="center"/>
                    <w:rPr>
                      <w:rFonts w:hint="eastAsia" w:eastAsia="宋体"/>
                      <w:sz w:val="21"/>
                      <w:szCs w:val="21"/>
                      <w:vertAlign w:val="baseline"/>
                      <w:lang w:eastAsia="zh-CN"/>
                    </w:rPr>
                  </w:pPr>
                  <w:r>
                    <w:rPr>
                      <w:rFonts w:hint="eastAsia"/>
                      <w:sz w:val="21"/>
                      <w:szCs w:val="21"/>
                      <w:vertAlign w:val="baseline"/>
                      <w:lang w:eastAsia="zh-CN"/>
                    </w:rPr>
                    <w:t>文件要求</w:t>
                  </w:r>
                </w:p>
              </w:tc>
              <w:tc>
                <w:tcPr>
                  <w:tcW w:w="2400" w:type="dxa"/>
                  <w:tcBorders>
                    <w:tl2br w:val="nil"/>
                    <w:tr2bl w:val="nil"/>
                  </w:tcBorders>
                  <w:vAlign w:val="center"/>
                </w:tcPr>
                <w:p>
                  <w:pPr>
                    <w:keepNext w:val="0"/>
                    <w:keepLines w:val="0"/>
                    <w:widowControl/>
                    <w:suppressLineNumbers w:val="0"/>
                    <w:spacing w:line="240" w:lineRule="auto"/>
                    <w:jc w:val="center"/>
                    <w:rPr>
                      <w:rFonts w:hint="eastAsia"/>
                      <w:sz w:val="21"/>
                      <w:szCs w:val="21"/>
                      <w:vertAlign w:val="baseline"/>
                    </w:rPr>
                  </w:pPr>
                  <w:r>
                    <w:rPr>
                      <w:rFonts w:hint="eastAsia" w:ascii="宋体" w:hAnsi="宋体" w:eastAsia="宋体" w:cs="宋体"/>
                      <w:color w:val="000000"/>
                      <w:kern w:val="0"/>
                      <w:sz w:val="21"/>
                      <w:szCs w:val="21"/>
                      <w:lang w:val="en-US" w:eastAsia="zh-CN" w:bidi="ar"/>
                    </w:rPr>
                    <w:t>企业建设情况</w:t>
                  </w:r>
                  <w:r>
                    <w:rPr>
                      <w:rFonts w:hint="default" w:ascii="Times New Roman" w:hAnsi="Times New Roman" w:eastAsia="宋体" w:cs="Times New Roman"/>
                      <w:color w:val="000000"/>
                      <w:kern w:val="0"/>
                      <w:sz w:val="21"/>
                      <w:szCs w:val="21"/>
                      <w:lang w:val="en-US" w:eastAsia="zh-CN" w:bidi="ar"/>
                    </w:rPr>
                    <w:t>/</w:t>
                  </w:r>
                  <w:r>
                    <w:rPr>
                      <w:rFonts w:hint="eastAsia" w:ascii="宋体" w:hAnsi="宋体" w:eastAsia="宋体" w:cs="宋体"/>
                      <w:color w:val="000000"/>
                      <w:kern w:val="0"/>
                      <w:sz w:val="21"/>
                      <w:szCs w:val="21"/>
                      <w:lang w:val="en-US" w:eastAsia="zh-CN" w:bidi="ar"/>
                    </w:rPr>
                    <w:t>环评要求</w:t>
                  </w:r>
                </w:p>
              </w:tc>
              <w:tc>
                <w:tcPr>
                  <w:tcW w:w="873" w:type="dxa"/>
                  <w:tcBorders>
                    <w:tl2br w:val="nil"/>
                    <w:tr2bl w:val="nil"/>
                  </w:tcBorders>
                  <w:vAlign w:val="center"/>
                </w:tcPr>
                <w:p>
                  <w:pPr>
                    <w:keepNext w:val="0"/>
                    <w:keepLines w:val="0"/>
                    <w:widowControl/>
                    <w:suppressLineNumbers w:val="0"/>
                    <w:spacing w:line="240" w:lineRule="auto"/>
                    <w:jc w:val="center"/>
                    <w:rPr>
                      <w:rFonts w:hint="eastAsia"/>
                      <w:sz w:val="21"/>
                      <w:szCs w:val="21"/>
                      <w:vertAlign w:val="baseline"/>
                    </w:rPr>
                  </w:pPr>
                  <w:r>
                    <w:rPr>
                      <w:rFonts w:hint="eastAsia" w:ascii="宋体" w:hAnsi="宋体" w:eastAsia="宋体" w:cs="宋体"/>
                      <w:color w:val="000000"/>
                      <w:kern w:val="0"/>
                      <w:sz w:val="21"/>
                      <w:szCs w:val="21"/>
                      <w:lang w:val="en-US" w:eastAsia="zh-CN" w:bidi="ar"/>
                    </w:rPr>
                    <w:t>相符性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016" w:type="dxa"/>
                  <w:tcBorders>
                    <w:tl2br w:val="nil"/>
                    <w:tr2bl w:val="nil"/>
                  </w:tcBorders>
                  <w:vAlign w:val="center"/>
                </w:tcPr>
                <w:p>
                  <w:pPr>
                    <w:spacing w:line="240" w:lineRule="auto"/>
                    <w:jc w:val="center"/>
                    <w:rPr>
                      <w:rFonts w:hint="eastAsia" w:eastAsia="宋体"/>
                      <w:sz w:val="21"/>
                      <w:szCs w:val="21"/>
                      <w:vertAlign w:val="baseline"/>
                      <w:lang w:val="en-US" w:eastAsia="zh-CN"/>
                    </w:rPr>
                  </w:pPr>
                  <w:r>
                    <w:rPr>
                      <w:rFonts w:hint="eastAsia"/>
                      <w:sz w:val="21"/>
                      <w:szCs w:val="21"/>
                      <w:vertAlign w:val="baseline"/>
                      <w:lang w:val="en-US" w:eastAsia="zh-CN"/>
                    </w:rPr>
                    <w:t>1</w:t>
                  </w:r>
                </w:p>
              </w:tc>
              <w:tc>
                <w:tcPr>
                  <w:tcW w:w="4545" w:type="dxa"/>
                  <w:tcBorders>
                    <w:tl2br w:val="nil"/>
                    <w:tr2bl w:val="nil"/>
                  </w:tcBorders>
                  <w:vAlign w:val="center"/>
                </w:tcPr>
                <w:p>
                  <w:pPr>
                    <w:keepNext w:val="0"/>
                    <w:keepLines w:val="0"/>
                    <w:widowControl/>
                    <w:suppressLineNumbers w:val="0"/>
                    <w:jc w:val="center"/>
                    <w:rPr>
                      <w:rFonts w:hint="eastAsia"/>
                      <w:sz w:val="21"/>
                      <w:szCs w:val="21"/>
                      <w:vertAlign w:val="baseline"/>
                    </w:rPr>
                  </w:pPr>
                  <w:r>
                    <w:rPr>
                      <w:rFonts w:hint="eastAsia" w:ascii="宋体" w:hAnsi="宋体" w:eastAsia="宋体" w:cs="宋体"/>
                      <w:color w:val="000000"/>
                      <w:kern w:val="0"/>
                      <w:sz w:val="20"/>
                      <w:szCs w:val="20"/>
                      <w:lang w:val="en-US" w:eastAsia="zh-CN" w:bidi="ar"/>
                    </w:rPr>
                    <w:t>强化煤炭消费总量管控。坚决从源头上严把煤炭消费准入关，全省范围内原则上不再新上非电行业耗煤项目。</w:t>
                  </w:r>
                </w:p>
              </w:tc>
              <w:tc>
                <w:tcPr>
                  <w:tcW w:w="2400" w:type="dxa"/>
                  <w:tcBorders>
                    <w:tl2br w:val="nil"/>
                    <w:tr2bl w:val="nil"/>
                  </w:tcBorders>
                  <w:vAlign w:val="center"/>
                </w:tcPr>
                <w:p>
                  <w:pPr>
                    <w:keepNext w:val="0"/>
                    <w:keepLines w:val="0"/>
                    <w:widowControl/>
                    <w:suppressLineNumbers w:val="0"/>
                    <w:jc w:val="center"/>
                    <w:rPr>
                      <w:rFonts w:hint="eastAsia"/>
                      <w:sz w:val="21"/>
                      <w:szCs w:val="21"/>
                      <w:vertAlign w:val="baseline"/>
                    </w:rPr>
                  </w:pPr>
                  <w:r>
                    <w:rPr>
                      <w:rFonts w:hint="eastAsia" w:ascii="宋体" w:hAnsi="宋体" w:eastAsia="宋体" w:cs="宋体"/>
                      <w:color w:val="000000"/>
                      <w:kern w:val="0"/>
                      <w:sz w:val="20"/>
                      <w:szCs w:val="20"/>
                      <w:lang w:val="en-US" w:eastAsia="zh-CN" w:bidi="ar"/>
                    </w:rPr>
                    <w:t>本项目不新增煤炭消费</w:t>
                  </w:r>
                </w:p>
              </w:tc>
              <w:tc>
                <w:tcPr>
                  <w:tcW w:w="873" w:type="dxa"/>
                  <w:tcBorders>
                    <w:tl2br w:val="nil"/>
                    <w:tr2bl w:val="nil"/>
                  </w:tcBorders>
                  <w:vAlign w:val="center"/>
                </w:tcPr>
                <w:p>
                  <w:pPr>
                    <w:spacing w:line="240" w:lineRule="auto"/>
                    <w:jc w:val="center"/>
                    <w:rPr>
                      <w:rFonts w:hint="eastAsia" w:eastAsia="宋体"/>
                      <w:sz w:val="21"/>
                      <w:szCs w:val="21"/>
                      <w:vertAlign w:val="baseline"/>
                      <w:lang w:eastAsia="zh-CN"/>
                    </w:rPr>
                  </w:pPr>
                  <w:r>
                    <w:rPr>
                      <w:rFonts w:hint="eastAsia"/>
                      <w:sz w:val="21"/>
                      <w:szCs w:val="21"/>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016" w:type="dxa"/>
                  <w:tcBorders>
                    <w:tl2br w:val="nil"/>
                    <w:tr2bl w:val="nil"/>
                  </w:tcBorders>
                  <w:vAlign w:val="center"/>
                </w:tcPr>
                <w:p>
                  <w:pPr>
                    <w:spacing w:line="240" w:lineRule="auto"/>
                    <w:jc w:val="center"/>
                    <w:rPr>
                      <w:rFonts w:hint="eastAsia" w:eastAsia="宋体"/>
                      <w:sz w:val="21"/>
                      <w:szCs w:val="21"/>
                      <w:vertAlign w:val="baseline"/>
                      <w:lang w:val="en-US" w:eastAsia="zh-CN"/>
                    </w:rPr>
                  </w:pPr>
                  <w:r>
                    <w:rPr>
                      <w:rFonts w:hint="eastAsia"/>
                      <w:sz w:val="21"/>
                      <w:szCs w:val="21"/>
                      <w:vertAlign w:val="baseline"/>
                      <w:lang w:val="en-US" w:eastAsia="zh-CN"/>
                    </w:rPr>
                    <w:t>2</w:t>
                  </w:r>
                </w:p>
              </w:tc>
              <w:tc>
                <w:tcPr>
                  <w:tcW w:w="4545" w:type="dxa"/>
                  <w:tcBorders>
                    <w:tl2br w:val="nil"/>
                    <w:tr2bl w:val="nil"/>
                  </w:tcBorders>
                  <w:vAlign w:val="center"/>
                </w:tcPr>
                <w:p>
                  <w:pPr>
                    <w:keepNext w:val="0"/>
                    <w:keepLines w:val="0"/>
                    <w:widowControl/>
                    <w:suppressLineNumbers w:val="0"/>
                    <w:jc w:val="center"/>
                    <w:rPr>
                      <w:rFonts w:hint="eastAsia"/>
                      <w:sz w:val="21"/>
                      <w:szCs w:val="21"/>
                      <w:vertAlign w:val="baseline"/>
                    </w:rPr>
                  </w:pPr>
                  <w:r>
                    <w:rPr>
                      <w:rFonts w:hint="eastAsia" w:ascii="宋体" w:hAnsi="宋体" w:eastAsia="宋体" w:cs="宋体"/>
                      <w:color w:val="000000"/>
                      <w:kern w:val="0"/>
                      <w:sz w:val="20"/>
                      <w:szCs w:val="20"/>
                      <w:lang w:val="en-US" w:eastAsia="zh-CN" w:bidi="ar"/>
                    </w:rPr>
                    <w:t xml:space="preserve">持续开展“散乱污”企业动态清零行动。各地组织市、县乡三级力量，以“散乱污”企业及 </w:t>
                  </w:r>
                  <w:r>
                    <w:rPr>
                      <w:rFonts w:hint="default" w:ascii="Times New Roman" w:hAnsi="Times New Roman" w:eastAsia="宋体" w:cs="Times New Roman"/>
                      <w:color w:val="000000"/>
                      <w:kern w:val="0"/>
                      <w:sz w:val="20"/>
                      <w:szCs w:val="20"/>
                      <w:lang w:val="en-US" w:eastAsia="zh-CN" w:bidi="ar"/>
                    </w:rPr>
                    <w:t xml:space="preserve">10 </w:t>
                  </w:r>
                  <w:r>
                    <w:rPr>
                      <w:rFonts w:hint="eastAsia" w:ascii="宋体" w:hAnsi="宋体" w:eastAsia="宋体" w:cs="宋体"/>
                      <w:color w:val="000000"/>
                      <w:kern w:val="0"/>
                      <w:sz w:val="20"/>
                      <w:szCs w:val="20"/>
                      <w:lang w:val="en-US" w:eastAsia="zh-CN" w:bidi="ar"/>
                    </w:rPr>
                    <w:t>蒸吨</w:t>
                  </w:r>
                  <w:r>
                    <w:rPr>
                      <w:rFonts w:hint="default" w:ascii="Times New Roman" w:hAnsi="Times New Roman" w:eastAsia="宋体" w:cs="Times New Roman"/>
                      <w:color w:val="000000"/>
                      <w:kern w:val="0"/>
                      <w:sz w:val="20"/>
                      <w:szCs w:val="20"/>
                      <w:lang w:val="en-US" w:eastAsia="zh-CN" w:bidi="ar"/>
                    </w:rPr>
                    <w:t>/</w:t>
                  </w:r>
                  <w:r>
                    <w:rPr>
                      <w:rFonts w:hint="eastAsia" w:ascii="宋体" w:hAnsi="宋体" w:eastAsia="宋体" w:cs="宋体"/>
                      <w:color w:val="000000"/>
                      <w:kern w:val="0"/>
                      <w:sz w:val="20"/>
                      <w:szCs w:val="20"/>
                      <w:lang w:val="en-US" w:eastAsia="zh-CN" w:bidi="ar"/>
                    </w:rPr>
                    <w:t>时及以下燃煤小锅炉为重点，进行分批次拉网式排查，实施清单式、台账式、网格化管理，实现动态清零。</w:t>
                  </w:r>
                </w:p>
              </w:tc>
              <w:tc>
                <w:tcPr>
                  <w:tcW w:w="2400" w:type="dxa"/>
                  <w:tcBorders>
                    <w:tl2br w:val="nil"/>
                    <w:tr2bl w:val="nil"/>
                  </w:tcBorders>
                  <w:vAlign w:val="center"/>
                </w:tcPr>
                <w:p>
                  <w:pPr>
                    <w:spacing w:line="240" w:lineRule="auto"/>
                    <w:jc w:val="center"/>
                    <w:rPr>
                      <w:rFonts w:hint="eastAsia" w:eastAsia="宋体"/>
                      <w:sz w:val="21"/>
                      <w:szCs w:val="21"/>
                      <w:vertAlign w:val="baseline"/>
                      <w:lang w:eastAsia="zh-CN"/>
                    </w:rPr>
                  </w:pPr>
                  <w:r>
                    <w:rPr>
                      <w:rFonts w:hint="eastAsia"/>
                      <w:sz w:val="21"/>
                      <w:szCs w:val="21"/>
                      <w:vertAlign w:val="baseline"/>
                      <w:lang w:eastAsia="zh-CN"/>
                    </w:rPr>
                    <w:t>本项目不属于“散乱污”企业</w:t>
                  </w:r>
                </w:p>
              </w:tc>
              <w:tc>
                <w:tcPr>
                  <w:tcW w:w="873" w:type="dxa"/>
                  <w:tcBorders>
                    <w:tl2br w:val="nil"/>
                    <w:tr2bl w:val="nil"/>
                  </w:tcBorders>
                  <w:vAlign w:val="center"/>
                </w:tcPr>
                <w:p>
                  <w:pPr>
                    <w:spacing w:line="240" w:lineRule="auto"/>
                    <w:jc w:val="center"/>
                    <w:rPr>
                      <w:rFonts w:hint="eastAsia"/>
                      <w:sz w:val="21"/>
                      <w:szCs w:val="21"/>
                      <w:vertAlign w:val="baseline"/>
                    </w:rPr>
                  </w:pPr>
                  <w:r>
                    <w:rPr>
                      <w:rFonts w:hint="eastAsia"/>
                      <w:sz w:val="21"/>
                      <w:szCs w:val="21"/>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016" w:type="dxa"/>
                  <w:tcBorders>
                    <w:tl2br w:val="nil"/>
                    <w:tr2bl w:val="nil"/>
                  </w:tcBorders>
                  <w:vAlign w:val="center"/>
                </w:tcPr>
                <w:p>
                  <w:pPr>
                    <w:spacing w:line="240" w:lineRule="auto"/>
                    <w:jc w:val="center"/>
                    <w:rPr>
                      <w:rFonts w:hint="eastAsia" w:eastAsia="宋体"/>
                      <w:sz w:val="21"/>
                      <w:szCs w:val="21"/>
                      <w:vertAlign w:val="baseline"/>
                      <w:lang w:val="en-US" w:eastAsia="zh-CN"/>
                    </w:rPr>
                  </w:pPr>
                  <w:r>
                    <w:rPr>
                      <w:rFonts w:hint="eastAsia"/>
                      <w:sz w:val="21"/>
                      <w:szCs w:val="21"/>
                      <w:vertAlign w:val="baseline"/>
                      <w:lang w:val="en-US" w:eastAsia="zh-CN"/>
                    </w:rPr>
                    <w:t>3</w:t>
                  </w:r>
                </w:p>
              </w:tc>
              <w:tc>
                <w:tcPr>
                  <w:tcW w:w="4545" w:type="dxa"/>
                  <w:tcBorders>
                    <w:tl2br w:val="nil"/>
                    <w:tr2bl w:val="nil"/>
                  </w:tcBorders>
                  <w:vAlign w:val="center"/>
                </w:tcPr>
                <w:p>
                  <w:pPr>
                    <w:keepNext w:val="0"/>
                    <w:keepLines w:val="0"/>
                    <w:widowControl/>
                    <w:suppressLineNumbers w:val="0"/>
                    <w:jc w:val="center"/>
                  </w:pPr>
                  <w:r>
                    <w:rPr>
                      <w:rFonts w:hint="eastAsia" w:ascii="宋体" w:hAnsi="宋体" w:eastAsia="宋体" w:cs="宋体"/>
                      <w:color w:val="000000"/>
                      <w:kern w:val="0"/>
                      <w:sz w:val="20"/>
                      <w:szCs w:val="20"/>
                      <w:lang w:val="en-US" w:eastAsia="zh-CN" w:bidi="ar"/>
                    </w:rPr>
                    <w:t>开展工业企业无组织排放治理。</w:t>
                  </w:r>
                  <w:r>
                    <w:rPr>
                      <w:rFonts w:hint="default" w:ascii="Times New Roman" w:hAnsi="Times New Roman" w:eastAsia="宋体" w:cs="Times New Roman"/>
                      <w:color w:val="000000"/>
                      <w:kern w:val="0"/>
                      <w:sz w:val="20"/>
                      <w:szCs w:val="20"/>
                      <w:lang w:val="en-US" w:eastAsia="zh-CN" w:bidi="ar"/>
                    </w:rPr>
                    <w:t xml:space="preserve">2019 </w:t>
                  </w:r>
                  <w:r>
                    <w:rPr>
                      <w:rFonts w:hint="eastAsia" w:ascii="宋体" w:hAnsi="宋体" w:eastAsia="宋体" w:cs="宋体"/>
                      <w:color w:val="000000"/>
                      <w:kern w:val="0"/>
                      <w:sz w:val="20"/>
                      <w:szCs w:val="20"/>
                      <w:lang w:val="en-US" w:eastAsia="zh-CN" w:bidi="ar"/>
                    </w:rPr>
                    <w:t xml:space="preserve">年 </w:t>
                  </w:r>
                  <w:r>
                    <w:rPr>
                      <w:rFonts w:hint="default" w:ascii="Times New Roman" w:hAnsi="Times New Roman" w:eastAsia="宋体" w:cs="Times New Roman"/>
                      <w:color w:val="000000"/>
                      <w:kern w:val="0"/>
                      <w:sz w:val="20"/>
                      <w:szCs w:val="20"/>
                      <w:lang w:val="en-US" w:eastAsia="zh-CN" w:bidi="ar"/>
                    </w:rPr>
                    <w:t xml:space="preserve">10 </w:t>
                  </w:r>
                  <w:r>
                    <w:rPr>
                      <w:rFonts w:hint="eastAsia" w:ascii="宋体" w:hAnsi="宋体" w:eastAsia="宋体" w:cs="宋体"/>
                      <w:color w:val="000000"/>
                      <w:kern w:val="0"/>
                      <w:sz w:val="20"/>
                      <w:szCs w:val="20"/>
                      <w:lang w:val="en-US" w:eastAsia="zh-CN" w:bidi="ar"/>
                    </w:rPr>
                    <w:t>月底前，全省工业企业完成物料运输、生产工艺、堆场环节的无组织排放深度治理，全面实现“五到位、一密闭”。“五到位”即</w:t>
                  </w:r>
                  <w:r>
                    <w:rPr>
                      <w:rFonts w:hint="default" w:ascii="Times New Roman" w:hAnsi="Times New Roman" w:eastAsia="宋体" w:cs="Times New Roman"/>
                      <w:color w:val="000000"/>
                      <w:kern w:val="0"/>
                      <w:sz w:val="20"/>
                      <w:szCs w:val="20"/>
                      <w:lang w:val="en-US" w:eastAsia="zh-CN" w:bidi="ar"/>
                    </w:rPr>
                    <w:t>:</w:t>
                  </w:r>
                  <w:r>
                    <w:rPr>
                      <w:rFonts w:hint="eastAsia" w:ascii="宋体" w:hAnsi="宋体" w:eastAsia="宋体" w:cs="宋体"/>
                      <w:color w:val="000000"/>
                      <w:kern w:val="0"/>
                      <w:sz w:val="20"/>
                      <w:szCs w:val="20"/>
                      <w:lang w:val="en-US" w:eastAsia="zh-CN" w:bidi="ar"/>
                    </w:rPr>
                    <w:t>生产过程收尘到位，生产工艺产尘点设置集气罩并配备除尘设施，不能有可见烟尘外逸；物料运输抑尘到位，粉状、粒状物料及燃料运输采用密闭皮带、密闭通廊、管状带式输送机或密闭车厢、真空罐车、气力输送等密闭方式，汽车、火车、皮带输送机等卸料点设置集气罩或密闭罩，并配备除尘设施；厂区道路除尘到位，路面实施硬化，定时进行洒水清扫，出口处配备车轮和车身清洗装置；裸露土地绿化到位，厂区内可见裸露土地全部绿化，确实不能绿化的尽可能硬化；无组织排放监控到位，因企制宜安装视频、空气微站、降尘缸、</w:t>
                  </w:r>
                  <w:r>
                    <w:rPr>
                      <w:rFonts w:hint="default" w:ascii="Times New Roman" w:hAnsi="Times New Roman" w:eastAsia="宋体" w:cs="Times New Roman"/>
                      <w:color w:val="000000"/>
                      <w:kern w:val="0"/>
                      <w:sz w:val="20"/>
                      <w:szCs w:val="20"/>
                      <w:lang w:val="en-US" w:eastAsia="zh-CN" w:bidi="ar"/>
                    </w:rPr>
                    <w:t>TSP</w:t>
                  </w:r>
                  <w:r>
                    <w:rPr>
                      <w:rFonts w:hint="eastAsia" w:ascii="宋体" w:hAnsi="宋体" w:eastAsia="宋体" w:cs="宋体"/>
                      <w:color w:val="000000"/>
                      <w:kern w:val="0"/>
                      <w:sz w:val="20"/>
                      <w:szCs w:val="20"/>
                      <w:lang w:val="en-US" w:eastAsia="zh-CN" w:bidi="ar"/>
                    </w:rPr>
                    <w:t>（总悬浮颗粒物）等监控设施。“一密闭”即厂区内贮存的各类易产生粉尘的物料燃料全部密闭，禁止露天堆放。对无组织排放达不到要求的企业，严格依照《中华人民共和国</w:t>
                  </w:r>
                </w:p>
                <w:p>
                  <w:pPr>
                    <w:keepNext w:val="0"/>
                    <w:keepLines w:val="0"/>
                    <w:widowControl/>
                    <w:suppressLineNumbers w:val="0"/>
                    <w:jc w:val="center"/>
                    <w:rPr>
                      <w:rFonts w:hint="eastAsia" w:eastAsia="宋体"/>
                      <w:sz w:val="21"/>
                      <w:szCs w:val="21"/>
                      <w:vertAlign w:val="baseline"/>
                      <w:lang w:eastAsia="zh-CN"/>
                    </w:rPr>
                  </w:pPr>
                  <w:r>
                    <w:rPr>
                      <w:rFonts w:hint="eastAsia" w:ascii="宋体" w:hAnsi="宋体" w:eastAsia="宋体" w:cs="宋体"/>
                      <w:color w:val="000000"/>
                      <w:kern w:val="0"/>
                      <w:sz w:val="20"/>
                      <w:szCs w:val="20"/>
                      <w:lang w:val="en-US" w:eastAsia="zh-CN" w:bidi="ar"/>
                    </w:rPr>
                    <w:t>大气污染防治法》子以处罚，并责令停产整改。</w:t>
                  </w:r>
                </w:p>
              </w:tc>
              <w:tc>
                <w:tcPr>
                  <w:tcW w:w="2400" w:type="dxa"/>
                  <w:tcBorders>
                    <w:tl2br w:val="nil"/>
                    <w:tr2bl w:val="nil"/>
                  </w:tcBorders>
                  <w:vAlign w:val="center"/>
                </w:tcPr>
                <w:p>
                  <w:pPr>
                    <w:keepNext w:val="0"/>
                    <w:keepLines w:val="0"/>
                    <w:widowControl/>
                    <w:suppressLineNumbers w:val="0"/>
                    <w:jc w:val="center"/>
                    <w:rPr>
                      <w:rFonts w:hint="default"/>
                      <w:sz w:val="21"/>
                      <w:szCs w:val="21"/>
                      <w:vertAlign w:val="baseline"/>
                      <w:lang w:val="en-US"/>
                    </w:rPr>
                  </w:pPr>
                  <w:r>
                    <w:rPr>
                      <w:rFonts w:hint="eastAsia" w:ascii="宋体" w:hAnsi="宋体" w:eastAsia="宋体" w:cs="宋体"/>
                      <w:color w:val="000000"/>
                      <w:kern w:val="0"/>
                      <w:sz w:val="20"/>
                      <w:szCs w:val="20"/>
                      <w:highlight w:val="none"/>
                      <w:lang w:val="en-US" w:eastAsia="zh-CN" w:bidi="ar"/>
                    </w:rPr>
                    <w:t>本项目生产过程</w:t>
                  </w:r>
                  <w:r>
                    <w:rPr>
                      <w:rFonts w:hint="eastAsia" w:ascii="宋体" w:hAnsi="宋体" w:cs="宋体"/>
                      <w:color w:val="000000"/>
                      <w:kern w:val="0"/>
                      <w:sz w:val="20"/>
                      <w:szCs w:val="20"/>
                      <w:highlight w:val="none"/>
                      <w:lang w:val="en-US" w:eastAsia="zh-CN" w:bidi="ar"/>
                    </w:rPr>
                    <w:t>产生焊接烟尘经焊烟净化器处理后排放</w:t>
                  </w:r>
                </w:p>
              </w:tc>
              <w:tc>
                <w:tcPr>
                  <w:tcW w:w="873" w:type="dxa"/>
                  <w:tcBorders>
                    <w:tl2br w:val="nil"/>
                    <w:tr2bl w:val="nil"/>
                  </w:tcBorders>
                  <w:vAlign w:val="center"/>
                </w:tcPr>
                <w:p>
                  <w:pPr>
                    <w:spacing w:line="240" w:lineRule="auto"/>
                    <w:jc w:val="center"/>
                    <w:rPr>
                      <w:rFonts w:hint="eastAsia"/>
                      <w:sz w:val="21"/>
                      <w:szCs w:val="21"/>
                      <w:vertAlign w:val="baseline"/>
                    </w:rPr>
                  </w:pPr>
                  <w:r>
                    <w:rPr>
                      <w:rFonts w:hint="eastAsia"/>
                      <w:sz w:val="21"/>
                      <w:szCs w:val="21"/>
                      <w:vertAlign w:val="baseline"/>
                      <w:lang w:eastAsia="zh-CN"/>
                    </w:rPr>
                    <w:t>符合</w:t>
                  </w:r>
                </w:p>
              </w:tc>
            </w:tr>
          </w:tbl>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sz w:val="24"/>
              </w:rPr>
            </w:pPr>
          </w:p>
          <w:p>
            <w:pPr>
              <w:pStyle w:val="38"/>
              <w:rPr>
                <w:sz w:val="24"/>
              </w:rPr>
            </w:pPr>
          </w:p>
          <w:p>
            <w:pPr>
              <w:pStyle w:val="38"/>
              <w:rPr>
                <w:sz w:val="24"/>
              </w:rPr>
            </w:pPr>
          </w:p>
          <w:p>
            <w:pPr>
              <w:pStyle w:val="38"/>
              <w:rPr>
                <w:sz w:val="24"/>
              </w:rPr>
            </w:pPr>
          </w:p>
          <w:p>
            <w:pPr>
              <w:pStyle w:val="38"/>
              <w:rPr>
                <w:sz w:val="24"/>
              </w:rPr>
            </w:pPr>
          </w:p>
          <w:p>
            <w:pPr>
              <w:pStyle w:val="38"/>
              <w:rPr>
                <w:sz w:val="24"/>
              </w:rPr>
            </w:pPr>
          </w:p>
          <w:p>
            <w:pPr>
              <w:spacing w:line="360" w:lineRule="auto"/>
              <w:rPr>
                <w:sz w:val="24"/>
              </w:rPr>
            </w:pPr>
          </w:p>
        </w:tc>
      </w:tr>
    </w:tbl>
    <w:p>
      <w:pPr>
        <w:adjustRightInd w:val="0"/>
        <w:snapToGrid w:val="0"/>
        <w:spacing w:after="93" w:afterLines="30"/>
        <w:rPr>
          <w:rFonts w:ascii="黑体" w:eastAsia="黑体"/>
          <w:sz w:val="32"/>
        </w:rPr>
      </w:pPr>
      <w:r>
        <w:rPr>
          <w:rFonts w:hint="eastAsia" w:ascii="黑体" w:eastAsia="黑体"/>
          <w:sz w:val="32"/>
        </w:rPr>
        <w:t>环境质量状况</w:t>
      </w:r>
    </w:p>
    <w:tbl>
      <w:tblPr>
        <w:tblStyle w:val="31"/>
        <w:tblW w:w="9287"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fixed"/>
        <w:tblCellMar>
          <w:top w:w="0" w:type="dxa"/>
          <w:left w:w="108" w:type="dxa"/>
          <w:bottom w:w="0" w:type="dxa"/>
          <w:right w:w="108" w:type="dxa"/>
        </w:tblCellMar>
      </w:tblPr>
      <w:tblGrid>
        <w:gridCol w:w="9287"/>
      </w:tblGrid>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90" w:hRule="atLeast"/>
          <w:jc w:val="center"/>
        </w:trPr>
        <w:tc>
          <w:tcPr>
            <w:tcW w:w="9287" w:type="dxa"/>
            <w:tcBorders>
              <w:tl2br w:val="nil"/>
              <w:tr2bl w:val="nil"/>
            </w:tcBorders>
          </w:tcPr>
          <w:p>
            <w:pPr>
              <w:spacing w:line="360" w:lineRule="auto"/>
              <w:rPr>
                <w:b/>
                <w:spacing w:val="-6"/>
                <w:sz w:val="28"/>
                <w:szCs w:val="28"/>
              </w:rPr>
            </w:pPr>
            <w:r>
              <w:rPr>
                <w:b/>
                <w:spacing w:val="-6"/>
                <w:sz w:val="28"/>
                <w:szCs w:val="28"/>
              </w:rPr>
              <w:t xml:space="preserve">建设项目所在地区域环境质量现状及主要环境问题： </w:t>
            </w:r>
          </w:p>
          <w:p>
            <w:pPr>
              <w:pStyle w:val="16"/>
              <w:autoSpaceDE w:val="0"/>
              <w:autoSpaceDN w:val="0"/>
              <w:spacing w:line="360" w:lineRule="auto"/>
              <w:ind w:firstLine="482" w:firstLineChars="200"/>
              <w:rPr>
                <w:rFonts w:ascii="Times New Roman" w:hAnsi="Times New Roman"/>
                <w:b/>
                <w:snapToGrid w:val="0"/>
                <w:color w:val="000000" w:themeColor="text1"/>
                <w:sz w:val="24"/>
                <w:szCs w:val="24"/>
                <w14:textFill>
                  <w14:solidFill>
                    <w14:schemeClr w14:val="tx1"/>
                  </w14:solidFill>
                </w14:textFill>
              </w:rPr>
            </w:pPr>
            <w:r>
              <w:rPr>
                <w:rFonts w:ascii="Times New Roman" w:hAnsi="Times New Roman"/>
                <w:b/>
                <w:snapToGrid w:val="0"/>
                <w:color w:val="000000" w:themeColor="text1"/>
                <w:sz w:val="24"/>
                <w:szCs w:val="24"/>
                <w14:textFill>
                  <w14:solidFill>
                    <w14:schemeClr w14:val="tx1"/>
                  </w14:solidFill>
                </w14:textFill>
              </w:rPr>
              <w:t>1</w:t>
            </w:r>
            <w:r>
              <w:rPr>
                <w:rFonts w:hint="eastAsia" w:ascii="Times New Roman" w:hAnsi="Times New Roman"/>
                <w:b/>
                <w:snapToGrid w:val="0"/>
                <w:color w:val="000000" w:themeColor="text1"/>
                <w:sz w:val="24"/>
                <w:szCs w:val="24"/>
                <w:lang w:val="en-US" w:eastAsia="zh-CN"/>
                <w14:textFill>
                  <w14:solidFill>
                    <w14:schemeClr w14:val="tx1"/>
                  </w14:solidFill>
                </w14:textFill>
              </w:rPr>
              <w:t>.</w:t>
            </w:r>
            <w:r>
              <w:rPr>
                <w:rFonts w:ascii="Times New Roman" w:hAnsi="Times New Roman"/>
                <w:b/>
                <w:snapToGrid w:val="0"/>
                <w:color w:val="000000" w:themeColor="text1"/>
                <w:sz w:val="24"/>
                <w:szCs w:val="24"/>
                <w14:textFill>
                  <w14:solidFill>
                    <w14:schemeClr w14:val="tx1"/>
                  </w14:solidFill>
                </w14:textFill>
              </w:rPr>
              <w:t>环境空气质量</w:t>
            </w:r>
          </w:p>
          <w:p>
            <w:pPr>
              <w:widowControl/>
              <w:spacing w:line="360" w:lineRule="auto"/>
              <w:ind w:firstLine="480" w:firstLineChars="200"/>
              <w:jc w:val="left"/>
              <w:rPr>
                <w:sz w:val="24"/>
              </w:rPr>
            </w:pPr>
            <w:r>
              <w:rPr>
                <w:rFonts w:hint="eastAsia"/>
                <w:sz w:val="24"/>
                <w:lang w:eastAsia="zh-CN"/>
              </w:rPr>
              <w:t>本</w:t>
            </w:r>
            <w:r>
              <w:rPr>
                <w:sz w:val="24"/>
              </w:rPr>
              <w:t>项目所处区域属于环境空气二类功能区</w:t>
            </w:r>
            <w:r>
              <w:rPr>
                <w:rFonts w:hint="eastAsia"/>
                <w:sz w:val="24"/>
              </w:rPr>
              <w:t>，</w:t>
            </w:r>
            <w:r>
              <w:rPr>
                <w:sz w:val="24"/>
                <w:szCs w:val="24"/>
              </w:rPr>
              <w:t>环境空气质量</w:t>
            </w:r>
            <w:r>
              <w:rPr>
                <w:rFonts w:hint="eastAsia"/>
                <w:sz w:val="24"/>
              </w:rPr>
              <w:t>执行《环境空气质量标准》</w:t>
            </w:r>
            <w:r>
              <w:rPr>
                <w:rFonts w:hint="eastAsia"/>
                <w:sz w:val="24"/>
                <w:lang w:val="en-US" w:eastAsia="zh-CN"/>
              </w:rPr>
              <w:t>（</w:t>
            </w:r>
            <w:r>
              <w:rPr>
                <w:sz w:val="24"/>
              </w:rPr>
              <w:t>GB3095-2012</w:t>
            </w:r>
            <w:r>
              <w:rPr>
                <w:rFonts w:hint="eastAsia"/>
                <w:sz w:val="24"/>
                <w:lang w:val="en-US" w:eastAsia="zh-CN"/>
              </w:rPr>
              <w:t>）</w:t>
            </w:r>
            <w:r>
              <w:rPr>
                <w:rFonts w:hint="eastAsia"/>
                <w:sz w:val="24"/>
              </w:rPr>
              <w:t>及其2018年修改单二级标准。</w:t>
            </w:r>
          </w:p>
          <w:p>
            <w:pPr>
              <w:spacing w:line="360" w:lineRule="auto"/>
              <w:ind w:firstLine="480" w:firstLineChars="200"/>
              <w:rPr>
                <w:rFonts w:hint="eastAsia"/>
                <w:sz w:val="24"/>
                <w:szCs w:val="24"/>
              </w:rPr>
            </w:pPr>
            <w:r>
              <w:rPr>
                <w:rFonts w:hint="eastAsia"/>
                <w:sz w:val="24"/>
                <w:szCs w:val="24"/>
              </w:rPr>
              <w:t>根据河南省生态环境厅公布的《2018年河南省生态环境状况公报》，2018年济源市区域空气质量现状见表</w:t>
            </w:r>
            <w:r>
              <w:rPr>
                <w:rFonts w:hint="eastAsia"/>
                <w:sz w:val="24"/>
                <w:szCs w:val="24"/>
                <w:lang w:val="en-US" w:eastAsia="zh-CN"/>
              </w:rPr>
              <w:t>7</w:t>
            </w:r>
            <w:r>
              <w:rPr>
                <w:rFonts w:hint="eastAsia"/>
                <w:sz w:val="24"/>
                <w:szCs w:val="24"/>
              </w:rPr>
              <w:t>。</w:t>
            </w:r>
          </w:p>
          <w:p>
            <w:pPr>
              <w:widowControl w:val="0"/>
              <w:jc w:val="center"/>
              <w:rPr>
                <w:rFonts w:hint="eastAsia" w:ascii="黑体" w:hAnsi="黑体" w:eastAsia="黑体" w:cs="黑体"/>
                <w:b w:val="0"/>
                <w:bCs/>
                <w:sz w:val="24"/>
                <w:szCs w:val="24"/>
              </w:rPr>
            </w:pPr>
            <w:r>
              <w:rPr>
                <w:rFonts w:hint="eastAsia" w:ascii="黑体" w:hAnsi="黑体" w:eastAsia="黑体" w:cs="黑体"/>
                <w:b w:val="0"/>
                <w:bCs/>
                <w:sz w:val="24"/>
                <w:szCs w:val="24"/>
              </w:rPr>
              <w:t>表</w:t>
            </w:r>
            <w:r>
              <w:rPr>
                <w:rFonts w:hint="eastAsia" w:ascii="黑体" w:hAnsi="黑体" w:eastAsia="黑体" w:cs="黑体"/>
                <w:b w:val="0"/>
                <w:bCs/>
                <w:sz w:val="24"/>
                <w:szCs w:val="24"/>
                <w:lang w:val="en-US" w:eastAsia="zh-CN"/>
              </w:rPr>
              <w:t>7</w:t>
            </w:r>
            <w:r>
              <w:rPr>
                <w:rFonts w:hint="eastAsia" w:ascii="黑体" w:hAnsi="黑体" w:eastAsia="黑体" w:cs="黑体"/>
                <w:b w:val="0"/>
                <w:bCs/>
                <w:sz w:val="24"/>
                <w:szCs w:val="24"/>
              </w:rPr>
              <w:t xml:space="preserve">  2018年济源市区域空气质量现状评价表</w:t>
            </w:r>
          </w:p>
          <w:tbl>
            <w:tblPr>
              <w:tblStyle w:val="31"/>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13"/>
              <w:gridCol w:w="2010"/>
              <w:gridCol w:w="1965"/>
              <w:gridCol w:w="1694"/>
              <w:gridCol w:w="1336"/>
              <w:gridCol w:w="115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13" w:type="dxa"/>
                  <w:tcBorders>
                    <w:tl2br w:val="nil"/>
                    <w:tr2bl w:val="nil"/>
                  </w:tcBorders>
                  <w:noWrap w:val="0"/>
                  <w:vAlign w:val="center"/>
                </w:tcPr>
                <w:p>
                  <w:pPr>
                    <w:pStyle w:val="121"/>
                    <w:spacing w:line="240" w:lineRule="auto"/>
                    <w:rPr>
                      <w:bCs/>
                      <w:color w:val="000000"/>
                      <w:szCs w:val="21"/>
                    </w:rPr>
                  </w:pPr>
                  <w:r>
                    <w:rPr>
                      <w:bCs/>
                      <w:color w:val="000000"/>
                      <w:szCs w:val="21"/>
                    </w:rPr>
                    <w:t>污染物</w:t>
                  </w:r>
                </w:p>
              </w:tc>
              <w:tc>
                <w:tcPr>
                  <w:tcW w:w="2010" w:type="dxa"/>
                  <w:tcBorders>
                    <w:tl2br w:val="nil"/>
                    <w:tr2bl w:val="nil"/>
                  </w:tcBorders>
                  <w:noWrap w:val="0"/>
                  <w:vAlign w:val="center"/>
                </w:tcPr>
                <w:p>
                  <w:pPr>
                    <w:pStyle w:val="121"/>
                    <w:spacing w:line="240" w:lineRule="auto"/>
                    <w:rPr>
                      <w:bCs/>
                      <w:color w:val="000000"/>
                      <w:szCs w:val="21"/>
                    </w:rPr>
                  </w:pPr>
                  <w:r>
                    <w:rPr>
                      <w:bCs/>
                      <w:color w:val="000000"/>
                      <w:szCs w:val="21"/>
                    </w:rPr>
                    <w:t>评价指标</w:t>
                  </w:r>
                </w:p>
              </w:tc>
              <w:tc>
                <w:tcPr>
                  <w:tcW w:w="1965" w:type="dxa"/>
                  <w:tcBorders>
                    <w:tl2br w:val="nil"/>
                    <w:tr2bl w:val="nil"/>
                  </w:tcBorders>
                  <w:noWrap w:val="0"/>
                  <w:vAlign w:val="center"/>
                </w:tcPr>
                <w:p>
                  <w:pPr>
                    <w:pStyle w:val="121"/>
                    <w:spacing w:line="240" w:lineRule="auto"/>
                    <w:rPr>
                      <w:rFonts w:hint="eastAsia" w:eastAsia="宋体"/>
                      <w:bCs/>
                      <w:color w:val="000000"/>
                      <w:szCs w:val="21"/>
                      <w:lang w:eastAsia="zh-CN"/>
                    </w:rPr>
                  </w:pPr>
                  <w:r>
                    <w:rPr>
                      <w:bCs/>
                      <w:color w:val="000000"/>
                      <w:szCs w:val="21"/>
                    </w:rPr>
                    <w:t>现状浓度</w:t>
                  </w:r>
                  <w:r>
                    <w:rPr>
                      <w:rFonts w:hint="eastAsia"/>
                      <w:bCs/>
                      <w:color w:val="000000"/>
                      <w:szCs w:val="21"/>
                      <w:lang w:eastAsia="zh-CN"/>
                    </w:rPr>
                    <w:t>（</w:t>
                  </w:r>
                  <w:r>
                    <w:rPr>
                      <w:rFonts w:hint="default" w:ascii="Times New Roman" w:hAnsi="Times New Roman" w:cs="Times New Roman"/>
                      <w:sz w:val="21"/>
                      <w:szCs w:val="21"/>
                    </w:rPr>
                    <w:t>μg/m</w:t>
                  </w:r>
                  <w:r>
                    <w:rPr>
                      <w:rFonts w:hint="default" w:ascii="Times New Roman" w:hAnsi="Times New Roman" w:cs="Times New Roman"/>
                      <w:sz w:val="21"/>
                      <w:szCs w:val="21"/>
                      <w:vertAlign w:val="superscript"/>
                    </w:rPr>
                    <w:t>3</w:t>
                  </w:r>
                  <w:r>
                    <w:rPr>
                      <w:rFonts w:hint="eastAsia"/>
                      <w:bCs/>
                      <w:color w:val="000000"/>
                      <w:szCs w:val="21"/>
                      <w:lang w:eastAsia="zh-CN"/>
                    </w:rPr>
                    <w:t>）</w:t>
                  </w:r>
                </w:p>
              </w:tc>
              <w:tc>
                <w:tcPr>
                  <w:tcW w:w="1694" w:type="dxa"/>
                  <w:tcBorders>
                    <w:tl2br w:val="nil"/>
                    <w:tr2bl w:val="nil"/>
                  </w:tcBorders>
                  <w:noWrap w:val="0"/>
                  <w:vAlign w:val="center"/>
                </w:tcPr>
                <w:p>
                  <w:pPr>
                    <w:pStyle w:val="121"/>
                    <w:spacing w:line="240" w:lineRule="auto"/>
                    <w:rPr>
                      <w:bCs/>
                      <w:color w:val="000000"/>
                      <w:szCs w:val="21"/>
                    </w:rPr>
                  </w:pPr>
                  <w:r>
                    <w:rPr>
                      <w:bCs/>
                      <w:color w:val="000000"/>
                      <w:szCs w:val="21"/>
                    </w:rPr>
                    <w:t>标准值</w:t>
                  </w:r>
                  <w:r>
                    <w:rPr>
                      <w:rFonts w:hint="eastAsia"/>
                      <w:bCs/>
                      <w:color w:val="000000"/>
                      <w:szCs w:val="21"/>
                      <w:lang w:eastAsia="zh-CN"/>
                    </w:rPr>
                    <w:t>（</w:t>
                  </w:r>
                  <w:r>
                    <w:rPr>
                      <w:rFonts w:hint="default" w:ascii="Times New Roman" w:hAnsi="Times New Roman" w:cs="Times New Roman"/>
                      <w:sz w:val="21"/>
                      <w:szCs w:val="21"/>
                    </w:rPr>
                    <w:t>μg/m</w:t>
                  </w:r>
                  <w:r>
                    <w:rPr>
                      <w:rFonts w:hint="default" w:ascii="Times New Roman" w:hAnsi="Times New Roman" w:cs="Times New Roman"/>
                      <w:sz w:val="21"/>
                      <w:szCs w:val="21"/>
                      <w:vertAlign w:val="superscript"/>
                    </w:rPr>
                    <w:t>3</w:t>
                  </w:r>
                  <w:r>
                    <w:rPr>
                      <w:rFonts w:hint="eastAsia"/>
                      <w:bCs/>
                      <w:color w:val="000000"/>
                      <w:szCs w:val="21"/>
                      <w:lang w:eastAsia="zh-CN"/>
                    </w:rPr>
                    <w:t>）</w:t>
                  </w:r>
                </w:p>
              </w:tc>
              <w:tc>
                <w:tcPr>
                  <w:tcW w:w="1336" w:type="dxa"/>
                  <w:tcBorders>
                    <w:tl2br w:val="nil"/>
                    <w:tr2bl w:val="nil"/>
                  </w:tcBorders>
                  <w:noWrap w:val="0"/>
                  <w:vAlign w:val="center"/>
                </w:tcPr>
                <w:p>
                  <w:pPr>
                    <w:pStyle w:val="121"/>
                    <w:spacing w:line="240" w:lineRule="auto"/>
                    <w:rPr>
                      <w:bCs/>
                      <w:color w:val="000000"/>
                      <w:szCs w:val="21"/>
                    </w:rPr>
                  </w:pPr>
                  <w:r>
                    <w:rPr>
                      <w:bCs/>
                      <w:color w:val="000000"/>
                      <w:szCs w:val="21"/>
                    </w:rPr>
                    <w:t>占标率（%）</w:t>
                  </w:r>
                </w:p>
              </w:tc>
              <w:tc>
                <w:tcPr>
                  <w:tcW w:w="1153" w:type="dxa"/>
                  <w:tcBorders>
                    <w:tl2br w:val="nil"/>
                    <w:tr2bl w:val="nil"/>
                  </w:tcBorders>
                  <w:noWrap w:val="0"/>
                  <w:vAlign w:val="center"/>
                </w:tcPr>
                <w:p>
                  <w:pPr>
                    <w:pStyle w:val="121"/>
                    <w:spacing w:line="240" w:lineRule="auto"/>
                    <w:rPr>
                      <w:bCs/>
                      <w:color w:val="000000"/>
                      <w:szCs w:val="21"/>
                    </w:rPr>
                  </w:pPr>
                  <w:r>
                    <w:rPr>
                      <w:bCs/>
                      <w:color w:val="000000"/>
                      <w:szCs w:val="21"/>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1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SO</w:t>
                  </w:r>
                  <w:r>
                    <w:rPr>
                      <w:rFonts w:hint="eastAsia"/>
                      <w:bCs/>
                      <w:color w:val="000000"/>
                      <w:szCs w:val="21"/>
                      <w:vertAlign w:val="subscript"/>
                    </w:rPr>
                    <w:t>2</w:t>
                  </w:r>
                </w:p>
              </w:tc>
              <w:tc>
                <w:tcPr>
                  <w:tcW w:w="2010"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年平均质量浓度</w:t>
                  </w:r>
                </w:p>
              </w:tc>
              <w:tc>
                <w:tcPr>
                  <w:tcW w:w="1965"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26</w:t>
                  </w:r>
                </w:p>
              </w:tc>
              <w:tc>
                <w:tcPr>
                  <w:tcW w:w="1694"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60</w:t>
                  </w:r>
                </w:p>
              </w:tc>
              <w:tc>
                <w:tcPr>
                  <w:tcW w:w="1336"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43.3</w:t>
                  </w:r>
                </w:p>
              </w:tc>
              <w:tc>
                <w:tcPr>
                  <w:tcW w:w="115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1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NO</w:t>
                  </w:r>
                  <w:r>
                    <w:rPr>
                      <w:rFonts w:hint="eastAsia"/>
                      <w:bCs/>
                      <w:color w:val="000000"/>
                      <w:szCs w:val="21"/>
                      <w:vertAlign w:val="subscript"/>
                    </w:rPr>
                    <w:t>2</w:t>
                  </w:r>
                </w:p>
              </w:tc>
              <w:tc>
                <w:tcPr>
                  <w:tcW w:w="2010" w:type="dxa"/>
                  <w:tcBorders>
                    <w:tl2br w:val="nil"/>
                    <w:tr2bl w:val="nil"/>
                  </w:tcBorders>
                  <w:noWrap w:val="0"/>
                  <w:vAlign w:val="center"/>
                </w:tcPr>
                <w:p>
                  <w:pPr>
                    <w:pStyle w:val="121"/>
                    <w:spacing w:line="240" w:lineRule="auto"/>
                    <w:rPr>
                      <w:bCs/>
                      <w:color w:val="000000"/>
                      <w:szCs w:val="21"/>
                    </w:rPr>
                  </w:pPr>
                  <w:r>
                    <w:rPr>
                      <w:rFonts w:hint="eastAsia"/>
                      <w:bCs/>
                      <w:color w:val="000000"/>
                      <w:szCs w:val="21"/>
                    </w:rPr>
                    <w:t>年平均质量浓度</w:t>
                  </w:r>
                </w:p>
              </w:tc>
              <w:tc>
                <w:tcPr>
                  <w:tcW w:w="1965"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40</w:t>
                  </w:r>
                </w:p>
              </w:tc>
              <w:tc>
                <w:tcPr>
                  <w:tcW w:w="1694"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40</w:t>
                  </w:r>
                </w:p>
              </w:tc>
              <w:tc>
                <w:tcPr>
                  <w:tcW w:w="1336"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100</w:t>
                  </w:r>
                </w:p>
              </w:tc>
              <w:tc>
                <w:tcPr>
                  <w:tcW w:w="115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13" w:type="dxa"/>
                  <w:tcBorders>
                    <w:tl2br w:val="nil"/>
                    <w:tr2bl w:val="nil"/>
                  </w:tcBorders>
                  <w:noWrap w:val="0"/>
                  <w:vAlign w:val="center"/>
                </w:tcPr>
                <w:p>
                  <w:pPr>
                    <w:pStyle w:val="121"/>
                    <w:spacing w:line="240" w:lineRule="auto"/>
                    <w:rPr>
                      <w:bCs/>
                      <w:color w:val="000000"/>
                      <w:szCs w:val="21"/>
                    </w:rPr>
                  </w:pPr>
                  <w:r>
                    <w:rPr>
                      <w:bCs/>
                      <w:color w:val="000000"/>
                      <w:szCs w:val="21"/>
                    </w:rPr>
                    <w:t>PM</w:t>
                  </w:r>
                  <w:r>
                    <w:rPr>
                      <w:bCs/>
                      <w:color w:val="000000"/>
                      <w:szCs w:val="21"/>
                      <w:vertAlign w:val="subscript"/>
                    </w:rPr>
                    <w:t>10</w:t>
                  </w:r>
                </w:p>
              </w:tc>
              <w:tc>
                <w:tcPr>
                  <w:tcW w:w="2010"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年</w:t>
                  </w:r>
                  <w:r>
                    <w:rPr>
                      <w:bCs/>
                      <w:color w:val="000000"/>
                      <w:szCs w:val="21"/>
                    </w:rPr>
                    <w:t>平均质量浓度</w:t>
                  </w:r>
                </w:p>
              </w:tc>
              <w:tc>
                <w:tcPr>
                  <w:tcW w:w="1965"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120</w:t>
                  </w:r>
                </w:p>
              </w:tc>
              <w:tc>
                <w:tcPr>
                  <w:tcW w:w="1694"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70</w:t>
                  </w:r>
                </w:p>
              </w:tc>
              <w:tc>
                <w:tcPr>
                  <w:tcW w:w="1336"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171.43</w:t>
                  </w:r>
                </w:p>
              </w:tc>
              <w:tc>
                <w:tcPr>
                  <w:tcW w:w="1153" w:type="dxa"/>
                  <w:tcBorders>
                    <w:tl2br w:val="nil"/>
                    <w:tr2bl w:val="nil"/>
                  </w:tcBorders>
                  <w:noWrap w:val="0"/>
                  <w:vAlign w:val="center"/>
                </w:tcPr>
                <w:p>
                  <w:pPr>
                    <w:pStyle w:val="121"/>
                    <w:spacing w:line="240" w:lineRule="auto"/>
                    <w:rPr>
                      <w:bCs/>
                      <w:color w:val="000000"/>
                      <w:szCs w:val="21"/>
                    </w:rPr>
                  </w:pPr>
                  <w:r>
                    <w:rPr>
                      <w:rFonts w:hint="eastAsia"/>
                      <w:bCs/>
                      <w:color w:val="000000"/>
                      <w:szCs w:val="21"/>
                    </w:rPr>
                    <w:t>不达标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13" w:type="dxa"/>
                  <w:tcBorders>
                    <w:tl2br w:val="nil"/>
                    <w:tr2bl w:val="nil"/>
                  </w:tcBorders>
                  <w:noWrap w:val="0"/>
                  <w:vAlign w:val="center"/>
                </w:tcPr>
                <w:p>
                  <w:pPr>
                    <w:pStyle w:val="121"/>
                    <w:spacing w:line="240" w:lineRule="auto"/>
                    <w:rPr>
                      <w:bCs/>
                      <w:color w:val="000000"/>
                      <w:szCs w:val="21"/>
                    </w:rPr>
                  </w:pPr>
                  <w:r>
                    <w:rPr>
                      <w:bCs/>
                      <w:color w:val="000000"/>
                      <w:szCs w:val="21"/>
                    </w:rPr>
                    <w:t>PM</w:t>
                  </w:r>
                  <w:r>
                    <w:rPr>
                      <w:bCs/>
                      <w:color w:val="000000"/>
                      <w:szCs w:val="21"/>
                      <w:vertAlign w:val="subscript"/>
                    </w:rPr>
                    <w:t>2.5</w:t>
                  </w:r>
                </w:p>
              </w:tc>
              <w:tc>
                <w:tcPr>
                  <w:tcW w:w="2010"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年</w:t>
                  </w:r>
                  <w:r>
                    <w:rPr>
                      <w:bCs/>
                      <w:color w:val="000000"/>
                      <w:szCs w:val="21"/>
                    </w:rPr>
                    <w:t>平均质量浓度</w:t>
                  </w:r>
                </w:p>
              </w:tc>
              <w:tc>
                <w:tcPr>
                  <w:tcW w:w="1965"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67</w:t>
                  </w:r>
                </w:p>
              </w:tc>
              <w:tc>
                <w:tcPr>
                  <w:tcW w:w="1694"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35</w:t>
                  </w:r>
                </w:p>
              </w:tc>
              <w:tc>
                <w:tcPr>
                  <w:tcW w:w="1336"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191.43</w:t>
                  </w:r>
                </w:p>
              </w:tc>
              <w:tc>
                <w:tcPr>
                  <w:tcW w:w="115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不达标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1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CO</w:t>
                  </w:r>
                </w:p>
              </w:tc>
              <w:tc>
                <w:tcPr>
                  <w:tcW w:w="2010" w:type="dxa"/>
                  <w:tcBorders>
                    <w:tl2br w:val="nil"/>
                    <w:tr2bl w:val="nil"/>
                  </w:tcBorders>
                  <w:noWrap w:val="0"/>
                  <w:vAlign w:val="center"/>
                </w:tcPr>
                <w:p>
                  <w:pPr>
                    <w:pStyle w:val="121"/>
                    <w:spacing w:line="240" w:lineRule="auto"/>
                    <w:rPr>
                      <w:bCs/>
                      <w:color w:val="000000"/>
                      <w:szCs w:val="21"/>
                    </w:rPr>
                  </w:pPr>
                  <w:r>
                    <w:rPr>
                      <w:rFonts w:hint="eastAsia"/>
                      <w:bCs/>
                      <w:color w:val="000000"/>
                      <w:szCs w:val="21"/>
                    </w:rPr>
                    <w:t>年95百分位数浓度</w:t>
                  </w:r>
                </w:p>
              </w:tc>
              <w:tc>
                <w:tcPr>
                  <w:tcW w:w="1965" w:type="dxa"/>
                  <w:tcBorders>
                    <w:tl2br w:val="nil"/>
                    <w:tr2bl w:val="nil"/>
                  </w:tcBorders>
                  <w:noWrap w:val="0"/>
                  <w:vAlign w:val="center"/>
                </w:tcPr>
                <w:p>
                  <w:pPr>
                    <w:pStyle w:val="121"/>
                    <w:spacing w:line="240" w:lineRule="auto"/>
                    <w:rPr>
                      <w:rFonts w:hint="default" w:eastAsia="宋体"/>
                      <w:bCs/>
                      <w:color w:val="000000"/>
                      <w:szCs w:val="21"/>
                      <w:lang w:val="en-US" w:eastAsia="zh-CN"/>
                    </w:rPr>
                  </w:pPr>
                  <w:r>
                    <w:rPr>
                      <w:rFonts w:hint="eastAsia"/>
                      <w:bCs/>
                      <w:color w:val="000000"/>
                      <w:szCs w:val="21"/>
                    </w:rPr>
                    <w:t>24</w:t>
                  </w:r>
                  <w:r>
                    <w:rPr>
                      <w:rFonts w:hint="eastAsia"/>
                      <w:bCs/>
                      <w:color w:val="000000"/>
                      <w:szCs w:val="21"/>
                      <w:lang w:val="en-US" w:eastAsia="zh-CN"/>
                    </w:rPr>
                    <w:t>00</w:t>
                  </w:r>
                </w:p>
              </w:tc>
              <w:tc>
                <w:tcPr>
                  <w:tcW w:w="1694" w:type="dxa"/>
                  <w:tcBorders>
                    <w:tl2br w:val="nil"/>
                    <w:tr2bl w:val="nil"/>
                  </w:tcBorders>
                  <w:noWrap w:val="0"/>
                  <w:vAlign w:val="center"/>
                </w:tcPr>
                <w:p>
                  <w:pPr>
                    <w:pStyle w:val="121"/>
                    <w:spacing w:line="240" w:lineRule="auto"/>
                    <w:rPr>
                      <w:rFonts w:hint="default" w:eastAsia="宋体"/>
                      <w:bCs/>
                      <w:color w:val="000000"/>
                      <w:szCs w:val="21"/>
                      <w:lang w:val="en-US" w:eastAsia="zh-CN"/>
                    </w:rPr>
                  </w:pPr>
                  <w:r>
                    <w:rPr>
                      <w:rFonts w:hint="eastAsia"/>
                      <w:bCs/>
                      <w:color w:val="000000"/>
                      <w:szCs w:val="21"/>
                    </w:rPr>
                    <w:t>4</w:t>
                  </w:r>
                  <w:r>
                    <w:rPr>
                      <w:rFonts w:hint="eastAsia"/>
                      <w:bCs/>
                      <w:color w:val="000000"/>
                      <w:szCs w:val="21"/>
                      <w:lang w:val="en-US" w:eastAsia="zh-CN"/>
                    </w:rPr>
                    <w:t>000</w:t>
                  </w:r>
                </w:p>
              </w:tc>
              <w:tc>
                <w:tcPr>
                  <w:tcW w:w="1336" w:type="dxa"/>
                  <w:tcBorders>
                    <w:tl2br w:val="nil"/>
                    <w:tr2bl w:val="nil"/>
                  </w:tcBorders>
                  <w:noWrap w:val="0"/>
                  <w:vAlign w:val="center"/>
                </w:tcPr>
                <w:p>
                  <w:pPr>
                    <w:pStyle w:val="121"/>
                    <w:spacing w:line="240" w:lineRule="auto"/>
                    <w:rPr>
                      <w:bCs/>
                      <w:color w:val="000000"/>
                      <w:szCs w:val="21"/>
                    </w:rPr>
                  </w:pPr>
                  <w:r>
                    <w:rPr>
                      <w:rFonts w:hint="eastAsia"/>
                      <w:bCs/>
                      <w:color w:val="000000"/>
                      <w:szCs w:val="21"/>
                    </w:rPr>
                    <w:t>60</w:t>
                  </w:r>
                </w:p>
              </w:tc>
              <w:tc>
                <w:tcPr>
                  <w:tcW w:w="115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1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O</w:t>
                  </w:r>
                  <w:r>
                    <w:rPr>
                      <w:rFonts w:hint="eastAsia"/>
                      <w:bCs/>
                      <w:color w:val="000000"/>
                      <w:szCs w:val="21"/>
                      <w:vertAlign w:val="subscript"/>
                    </w:rPr>
                    <w:t>3</w:t>
                  </w:r>
                </w:p>
              </w:tc>
              <w:tc>
                <w:tcPr>
                  <w:tcW w:w="2010" w:type="dxa"/>
                  <w:tcBorders>
                    <w:tl2br w:val="nil"/>
                    <w:tr2bl w:val="nil"/>
                  </w:tcBorders>
                  <w:noWrap w:val="0"/>
                  <w:vAlign w:val="center"/>
                </w:tcPr>
                <w:p>
                  <w:pPr>
                    <w:pStyle w:val="121"/>
                    <w:spacing w:line="240" w:lineRule="auto"/>
                    <w:rPr>
                      <w:bCs/>
                      <w:color w:val="000000"/>
                      <w:szCs w:val="21"/>
                    </w:rPr>
                  </w:pPr>
                  <w:r>
                    <w:rPr>
                      <w:rFonts w:hint="eastAsia"/>
                      <w:bCs/>
                      <w:color w:val="000000"/>
                      <w:szCs w:val="21"/>
                    </w:rPr>
                    <w:t>年90百分位数浓度</w:t>
                  </w:r>
                </w:p>
              </w:tc>
              <w:tc>
                <w:tcPr>
                  <w:tcW w:w="1965"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170</w:t>
                  </w:r>
                </w:p>
              </w:tc>
              <w:tc>
                <w:tcPr>
                  <w:tcW w:w="1694"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160</w:t>
                  </w:r>
                </w:p>
              </w:tc>
              <w:tc>
                <w:tcPr>
                  <w:tcW w:w="1336"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106.25</w:t>
                  </w:r>
                </w:p>
              </w:tc>
              <w:tc>
                <w:tcPr>
                  <w:tcW w:w="1153" w:type="dxa"/>
                  <w:tcBorders>
                    <w:tl2br w:val="nil"/>
                    <w:tr2bl w:val="nil"/>
                  </w:tcBorders>
                  <w:noWrap w:val="0"/>
                  <w:vAlign w:val="center"/>
                </w:tcPr>
                <w:p>
                  <w:pPr>
                    <w:pStyle w:val="121"/>
                    <w:spacing w:line="240" w:lineRule="auto"/>
                    <w:rPr>
                      <w:rFonts w:hint="eastAsia"/>
                      <w:bCs/>
                      <w:color w:val="000000"/>
                      <w:szCs w:val="21"/>
                    </w:rPr>
                  </w:pPr>
                  <w:r>
                    <w:rPr>
                      <w:rFonts w:hint="eastAsia"/>
                      <w:bCs/>
                      <w:color w:val="000000"/>
                      <w:szCs w:val="21"/>
                    </w:rPr>
                    <w:t>不达标</w:t>
                  </w:r>
                </w:p>
              </w:tc>
            </w:tr>
          </w:tbl>
          <w:p>
            <w:pPr>
              <w:pStyle w:val="2"/>
              <w:spacing w:line="240" w:lineRule="exact"/>
              <w:ind w:left="536"/>
              <w:rPr>
                <w:rFonts w:hint="eastAsia"/>
                <w:sz w:val="24"/>
                <w:szCs w:val="24"/>
              </w:rPr>
            </w:pPr>
          </w:p>
          <w:p>
            <w:pPr>
              <w:widowControl/>
              <w:spacing w:line="360" w:lineRule="auto"/>
              <w:ind w:firstLine="480" w:firstLineChars="200"/>
              <w:jc w:val="left"/>
              <w:rPr>
                <w:rFonts w:hint="default"/>
                <w:sz w:val="24"/>
                <w:lang w:val="en-US" w:eastAsia="zh-CN"/>
              </w:rPr>
            </w:pPr>
            <w:r>
              <w:rPr>
                <w:rFonts w:hint="eastAsia" w:ascii="Times New Roman" w:hAnsi="Times New Roman" w:eastAsia="宋体" w:cs="Times New Roman"/>
                <w:kern w:val="2"/>
                <w:sz w:val="24"/>
                <w:szCs w:val="24"/>
                <w:lang w:val="en-US" w:eastAsia="zh-CN" w:bidi="ar-SA"/>
              </w:rPr>
              <w:t>由表</w:t>
            </w:r>
            <w:r>
              <w:rPr>
                <w:rFonts w:hint="eastAsia" w:cs="Times New Roman"/>
                <w:kern w:val="2"/>
                <w:sz w:val="24"/>
                <w:szCs w:val="24"/>
                <w:lang w:val="en-US" w:eastAsia="zh-CN" w:bidi="ar-SA"/>
              </w:rPr>
              <w:t>7</w:t>
            </w:r>
            <w:r>
              <w:rPr>
                <w:rFonts w:hint="eastAsia" w:ascii="Times New Roman" w:hAnsi="Times New Roman" w:eastAsia="宋体" w:cs="Times New Roman"/>
                <w:kern w:val="2"/>
                <w:sz w:val="24"/>
                <w:szCs w:val="24"/>
                <w:lang w:val="en-US" w:eastAsia="zh-CN" w:bidi="ar-SA"/>
              </w:rPr>
              <w:t>可知，济源市区域PM</w:t>
            </w:r>
            <w:r>
              <w:rPr>
                <w:rFonts w:hint="eastAsia" w:ascii="Times New Roman" w:hAnsi="Times New Roman" w:eastAsia="宋体" w:cs="Times New Roman"/>
                <w:kern w:val="2"/>
                <w:sz w:val="24"/>
                <w:szCs w:val="24"/>
                <w:vertAlign w:val="subscript"/>
                <w:lang w:val="en-US" w:eastAsia="zh-CN" w:bidi="ar-SA"/>
              </w:rPr>
              <w:t>10</w:t>
            </w:r>
            <w:r>
              <w:rPr>
                <w:rFonts w:hint="eastAsia" w:ascii="Times New Roman" w:hAnsi="Times New Roman" w:eastAsia="宋体" w:cs="Times New Roman"/>
                <w:kern w:val="2"/>
                <w:sz w:val="24"/>
                <w:szCs w:val="24"/>
                <w:lang w:val="en-US" w:eastAsia="zh-CN" w:bidi="ar-SA"/>
              </w:rPr>
              <w:t>、PM</w:t>
            </w:r>
            <w:r>
              <w:rPr>
                <w:rFonts w:hint="eastAsia" w:ascii="Times New Roman" w:hAnsi="Times New Roman" w:eastAsia="宋体" w:cs="Times New Roman"/>
                <w:kern w:val="2"/>
                <w:sz w:val="24"/>
                <w:szCs w:val="24"/>
                <w:vertAlign w:val="subscript"/>
                <w:lang w:val="en-US" w:eastAsia="zh-CN" w:bidi="ar-SA"/>
              </w:rPr>
              <w:t>2.5</w:t>
            </w:r>
            <w:r>
              <w:rPr>
                <w:rFonts w:hint="eastAsia" w:ascii="Times New Roman" w:hAnsi="Times New Roman" w:eastAsia="宋体" w:cs="Times New Roman"/>
                <w:kern w:val="2"/>
                <w:sz w:val="24"/>
                <w:szCs w:val="24"/>
                <w:lang w:val="en-US" w:eastAsia="zh-CN" w:bidi="ar-SA"/>
              </w:rPr>
              <w:t>、臭氧年评价指标均超标，济源市属于不达标</w:t>
            </w:r>
            <w:r>
              <w:rPr>
                <w:rFonts w:hint="eastAsia"/>
                <w:sz w:val="24"/>
                <w:lang w:val="en-US" w:eastAsia="zh-CN"/>
              </w:rPr>
              <w:t>区。</w:t>
            </w:r>
          </w:p>
          <w:p>
            <w:pPr>
              <w:widowControl/>
              <w:spacing w:line="360" w:lineRule="auto"/>
              <w:ind w:firstLine="480" w:firstLineChars="200"/>
              <w:jc w:val="left"/>
              <w:rPr>
                <w:rFonts w:hint="eastAsia"/>
                <w:sz w:val="24"/>
                <w:szCs w:val="24"/>
              </w:rPr>
            </w:pPr>
            <w:r>
              <w:rPr>
                <w:rFonts w:hint="eastAsia"/>
                <w:sz w:val="24"/>
                <w:lang w:val="en-US" w:eastAsia="zh-CN"/>
              </w:rPr>
              <w:t>针对</w:t>
            </w:r>
            <w:r>
              <w:rPr>
                <w:rFonts w:hint="eastAsia"/>
                <w:sz w:val="24"/>
                <w:szCs w:val="24"/>
              </w:rPr>
              <w:t>2018年济源市大气环境质量情况，济源市人民政府发布了《济源市污染防治攻坚战三年行动计划（2018-2020年）》。根据《济源市污染防治攻坚战三年行动计划（2018-2020年）》可知，济源市将采取：①逐步削减煤炭消费总量，构建全市清洁取暖体系；②开展工业燃煤设施拆改，推进燃煤锅炉综合整治；③严格环境准入，优化城市产业布局；④严控“散乱污”企业死灰复燃，加快壮大新能源和节能环保产业；⑤大力推广绿色城市运输装备；⑥实施挥发性有机物专项整治方案等。采取上述措施后，到2020年济源市力争达到全市PM</w:t>
            </w:r>
            <w:r>
              <w:rPr>
                <w:rFonts w:hint="eastAsia"/>
                <w:sz w:val="24"/>
                <w:szCs w:val="24"/>
                <w:vertAlign w:val="subscript"/>
              </w:rPr>
              <w:t>2.5</w:t>
            </w:r>
            <w:r>
              <w:rPr>
                <w:rFonts w:hint="eastAsia"/>
                <w:sz w:val="24"/>
                <w:szCs w:val="24"/>
              </w:rPr>
              <w:t>年均浓度达到53微克/立方米以下，PM</w:t>
            </w:r>
            <w:r>
              <w:rPr>
                <w:rFonts w:hint="eastAsia"/>
                <w:sz w:val="24"/>
                <w:szCs w:val="24"/>
                <w:vertAlign w:val="subscript"/>
              </w:rPr>
              <w:t>10</w:t>
            </w:r>
            <w:r>
              <w:rPr>
                <w:rFonts w:hint="eastAsia"/>
                <w:sz w:val="24"/>
                <w:szCs w:val="24"/>
              </w:rPr>
              <w:t>年均浓度达到98微克/立方米以下，全年优良天数达到234天以上。</w:t>
            </w:r>
          </w:p>
          <w:p>
            <w:pPr>
              <w:spacing w:line="360" w:lineRule="auto"/>
              <w:ind w:firstLine="472" w:firstLineChars="196"/>
              <w:jc w:val="left"/>
              <w:rPr>
                <w:b/>
                <w:sz w:val="24"/>
              </w:rPr>
            </w:pPr>
            <w:r>
              <w:rPr>
                <w:b/>
                <w:sz w:val="24"/>
              </w:rPr>
              <w:t>2</w:t>
            </w:r>
            <w:r>
              <w:rPr>
                <w:rFonts w:hint="eastAsia"/>
                <w:b/>
                <w:sz w:val="24"/>
                <w:lang w:val="en-US" w:eastAsia="zh-CN"/>
              </w:rPr>
              <w:t>.</w:t>
            </w:r>
            <w:r>
              <w:rPr>
                <w:b/>
                <w:sz w:val="24"/>
              </w:rPr>
              <w:t>地表水环境质量</w:t>
            </w:r>
          </w:p>
          <w:p>
            <w:pPr>
              <w:adjustRightInd w:val="0"/>
              <w:snapToGrid w:val="0"/>
              <w:spacing w:line="360" w:lineRule="auto"/>
              <w:ind w:firstLine="480" w:firstLineChars="200"/>
              <w:rPr>
                <w:sz w:val="24"/>
                <w:szCs w:val="24"/>
              </w:rPr>
            </w:pPr>
            <w:r>
              <w:rPr>
                <w:rFonts w:hint="default" w:ascii="Times New Roman" w:hAnsi="Times New Roman" w:eastAsia="宋体" w:cs="Times New Roman"/>
                <w:color w:val="000000"/>
                <w:kern w:val="0"/>
                <w:sz w:val="24"/>
                <w:szCs w:val="24"/>
                <w:lang w:val="en-US" w:eastAsia="zh-CN" w:bidi="ar"/>
              </w:rPr>
              <w:t>本项目距离最近的地表水为</w:t>
            </w:r>
            <w:r>
              <w:rPr>
                <w:rFonts w:hint="eastAsia" w:cs="Times New Roman"/>
                <w:color w:val="000000"/>
                <w:kern w:val="0"/>
                <w:sz w:val="24"/>
                <w:szCs w:val="24"/>
                <w:lang w:val="en-US" w:eastAsia="zh-CN" w:bidi="ar"/>
              </w:rPr>
              <w:t>西南550</w:t>
            </w:r>
            <w:r>
              <w:rPr>
                <w:rFonts w:hint="default" w:ascii="Times New Roman" w:hAnsi="Times New Roman" w:eastAsia="宋体" w:cs="Times New Roman"/>
                <w:color w:val="000000"/>
                <w:kern w:val="0"/>
                <w:sz w:val="24"/>
                <w:szCs w:val="24"/>
                <w:lang w:val="en-US" w:eastAsia="zh-CN" w:bidi="ar"/>
              </w:rPr>
              <w:t>m的</w:t>
            </w:r>
            <w:r>
              <w:rPr>
                <w:rFonts w:hint="eastAsia" w:cs="Times New Roman"/>
                <w:color w:val="000000"/>
                <w:kern w:val="0"/>
                <w:sz w:val="24"/>
                <w:szCs w:val="24"/>
                <w:lang w:val="en-US" w:eastAsia="zh-CN" w:bidi="ar"/>
              </w:rPr>
              <w:t>黄</w:t>
            </w:r>
            <w:r>
              <w:rPr>
                <w:rFonts w:hint="default" w:ascii="Times New Roman" w:hAnsi="Times New Roman" w:eastAsia="宋体" w:cs="Times New Roman"/>
                <w:color w:val="000000"/>
                <w:kern w:val="0"/>
                <w:sz w:val="24"/>
                <w:szCs w:val="24"/>
                <w:lang w:val="en-US" w:eastAsia="zh-CN" w:bidi="ar"/>
              </w:rPr>
              <w:t>河。</w:t>
            </w:r>
            <w:r>
              <w:rPr>
                <w:bCs/>
                <w:kern w:val="0"/>
                <w:sz w:val="24"/>
                <w:szCs w:val="24"/>
              </w:rPr>
              <w:t>根据本项目建设地点及其周边环境情况，确定本次地表水环境评价对象为项目附近黄河水域。本次评价引用济源市环境监测站公布的济源市报中黄河小浪底断面监测结果见表</w:t>
            </w:r>
            <w:r>
              <w:rPr>
                <w:rFonts w:hint="eastAsia"/>
                <w:sz w:val="24"/>
                <w:szCs w:val="24"/>
                <w:lang w:val="en-US" w:eastAsia="zh-CN"/>
              </w:rPr>
              <w:t>8</w:t>
            </w:r>
            <w:r>
              <w:rPr>
                <w:sz w:val="24"/>
                <w:szCs w:val="24"/>
              </w:rPr>
              <w:t>。</w:t>
            </w:r>
          </w:p>
          <w:p>
            <w:pPr>
              <w:pStyle w:val="2"/>
              <w:rPr>
                <w:sz w:val="24"/>
                <w:szCs w:val="24"/>
              </w:rPr>
            </w:pPr>
          </w:p>
          <w:p>
            <w:pPr>
              <w:rPr>
                <w:sz w:val="24"/>
                <w:szCs w:val="24"/>
              </w:rPr>
            </w:pPr>
          </w:p>
          <w:p>
            <w:pPr>
              <w:pStyle w:val="2"/>
            </w:pPr>
          </w:p>
          <w:p>
            <w:pPr>
              <w:keepNext w:val="0"/>
              <w:keepLines w:val="0"/>
              <w:widowControl/>
              <w:suppressLineNumbers w:val="0"/>
              <w:ind w:firstLine="2400" w:firstLineChars="1000"/>
              <w:jc w:val="both"/>
              <w:rPr>
                <w:rFonts w:hint="eastAsia" w:ascii="黑体" w:hAnsi="黑体" w:eastAsia="黑体" w:cs="黑体"/>
                <w:b w:val="0"/>
                <w:bCs w:val="0"/>
                <w:color w:val="000000"/>
                <w:kern w:val="0"/>
                <w:sz w:val="24"/>
                <w:szCs w:val="24"/>
                <w:lang w:val="en-US" w:eastAsia="zh-CN" w:bidi="ar"/>
              </w:rPr>
            </w:pPr>
            <w:r>
              <w:rPr>
                <w:rFonts w:hint="eastAsia" w:ascii="黑体" w:hAnsi="黑体" w:eastAsia="黑体" w:cs="黑体"/>
                <w:b w:val="0"/>
                <w:bCs w:val="0"/>
                <w:sz w:val="24"/>
                <w:lang w:eastAsia="zh-CN"/>
              </w:rPr>
              <w:t>表</w:t>
            </w:r>
            <w:r>
              <w:rPr>
                <w:rFonts w:hint="eastAsia" w:ascii="黑体" w:hAnsi="黑体" w:eastAsia="黑体" w:cs="黑体"/>
                <w:b w:val="0"/>
                <w:bCs w:val="0"/>
                <w:sz w:val="24"/>
                <w:lang w:val="en-US" w:eastAsia="zh-CN"/>
              </w:rPr>
              <w:t xml:space="preserve">8  </w:t>
            </w:r>
            <w:r>
              <w:rPr>
                <w:rFonts w:hint="eastAsia" w:ascii="黑体" w:hAnsi="黑体" w:eastAsia="黑体" w:cs="黑体"/>
                <w:b w:val="0"/>
                <w:bCs w:val="0"/>
                <w:color w:val="000000"/>
                <w:kern w:val="0"/>
                <w:sz w:val="24"/>
                <w:szCs w:val="24"/>
                <w:lang w:val="en-US" w:eastAsia="zh-CN" w:bidi="ar"/>
              </w:rPr>
              <w:t>地表水环境质量现状监测结果             单位：</w:t>
            </w:r>
            <w:r>
              <w:rPr>
                <w:rFonts w:hint="default" w:ascii="黑体" w:hAnsi="黑体" w:eastAsia="黑体" w:cs="黑体"/>
                <w:b w:val="0"/>
                <w:bCs w:val="0"/>
                <w:color w:val="000000"/>
                <w:kern w:val="0"/>
                <w:sz w:val="24"/>
                <w:szCs w:val="24"/>
                <w:lang w:val="en-US" w:eastAsia="zh-CN" w:bidi="ar"/>
              </w:rPr>
              <w:t>mg/L</w:t>
            </w:r>
          </w:p>
          <w:tbl>
            <w:tblPr>
              <w:tblStyle w:val="32"/>
              <w:tblW w:w="4999" w:type="pct"/>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813"/>
              <w:gridCol w:w="1814"/>
              <w:gridCol w:w="1814"/>
              <w:gridCol w:w="1814"/>
              <w:gridCol w:w="181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点位</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时间</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COD</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氨氮</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总磷</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restar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color w:val="000000"/>
                      <w:kern w:val="0"/>
                      <w:sz w:val="21"/>
                      <w:szCs w:val="21"/>
                      <w:lang w:bidi="ar"/>
                    </w:rPr>
                    <w:t>黄河小浪底断面</w:t>
                  </w: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2018年1月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9</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0.15</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2018年2月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12</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0.25</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2018年3月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14</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0.48</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2018年4月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13</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0.65</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2018年5月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16</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0.28</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2018年6月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13</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0.09</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2018年7月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12</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0.06</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2018年8月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10</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0.1</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2018年9月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5</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0.3</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2018年10月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10</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0.03</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2018年11月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4</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0.12</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000" w:type="pct"/>
                  <w:vMerge w:val="continue"/>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rPr>
                  </w:pPr>
                </w:p>
              </w:tc>
              <w:tc>
                <w:tcPr>
                  <w:tcW w:w="1000"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sz w:val="21"/>
                      <w:szCs w:val="21"/>
                      <w:vertAlign w:val="baseline"/>
                    </w:rPr>
                  </w:pPr>
                  <w:r>
                    <w:rPr>
                      <w:rFonts w:hint="default" w:ascii="Times New Roman" w:hAnsi="Times New Roman" w:eastAsia="宋体" w:cs="Times New Roman"/>
                      <w:i w:val="0"/>
                      <w:color w:val="000000"/>
                      <w:kern w:val="0"/>
                      <w:sz w:val="21"/>
                      <w:szCs w:val="21"/>
                      <w:u w:val="none"/>
                      <w:lang w:val="en-US" w:eastAsia="zh-CN" w:bidi="ar"/>
                    </w:rPr>
                    <w:t>2018年12月</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8</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0.33</w:t>
                  </w:r>
                </w:p>
              </w:tc>
              <w:tc>
                <w:tcPr>
                  <w:tcW w:w="1814" w:type="dxa"/>
                  <w:tcBorders>
                    <w:tl2br w:val="nil"/>
                    <w:tr2bl w:val="nil"/>
                  </w:tcBorders>
                  <w:vAlign w:val="top"/>
                </w:tcPr>
                <w:p>
                  <w:pPr>
                    <w:widowControl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sz w:val="21"/>
                      <w:szCs w:val="21"/>
                    </w:rPr>
                    <w:t>0.04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000" w:type="pct"/>
                  <w:gridSpan w:val="2"/>
                  <w:tcBorders>
                    <w:tl2br w:val="nil"/>
                    <w:tr2bl w:val="nil"/>
                  </w:tcBorders>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vertAlign w:val="baseline"/>
                      <w:lang w:val="en-US" w:eastAsia="zh-CN"/>
                    </w:rPr>
                  </w:pPr>
                  <w:r>
                    <w:rPr>
                      <w:rFonts w:hint="eastAsia" w:cs="Times New Roman"/>
                      <w:sz w:val="21"/>
                      <w:szCs w:val="21"/>
                      <w:lang w:eastAsia="zh-CN"/>
                    </w:rPr>
                    <w:t>《</w:t>
                  </w:r>
                  <w:r>
                    <w:rPr>
                      <w:rFonts w:hint="default" w:ascii="Times New Roman" w:hAnsi="Times New Roman" w:eastAsia="宋体" w:cs="Times New Roman"/>
                      <w:sz w:val="21"/>
                      <w:szCs w:val="21"/>
                    </w:rPr>
                    <w:t>地表水环境质量标准》（GB3838-2002）</w:t>
                  </w:r>
                  <w:r>
                    <w:rPr>
                      <w:rFonts w:hint="default" w:ascii="Times New Roman" w:hAnsi="Times New Roman" w:eastAsia="宋体" w:cs="Times New Roman"/>
                      <w:sz w:val="21"/>
                      <w:szCs w:val="21"/>
                    </w:rPr>
                    <w:fldChar w:fldCharType="begin"/>
                  </w:r>
                  <w:r>
                    <w:rPr>
                      <w:rFonts w:hint="default" w:ascii="Times New Roman" w:hAnsi="Times New Roman" w:eastAsia="宋体" w:cs="Times New Roman"/>
                      <w:sz w:val="21"/>
                      <w:szCs w:val="21"/>
                    </w:rPr>
                    <w:instrText xml:space="preserve"> = 3 \* ROMAN \* MERGEFORMAT </w:instrText>
                  </w:r>
                  <w:r>
                    <w:rPr>
                      <w:rFonts w:hint="default" w:ascii="Times New Roman" w:hAnsi="Times New Roman" w:eastAsia="宋体" w:cs="Times New Roman"/>
                      <w:sz w:val="21"/>
                      <w:szCs w:val="21"/>
                    </w:rPr>
                    <w:fldChar w:fldCharType="separate"/>
                  </w:r>
                  <w:r>
                    <w:rPr>
                      <w:rFonts w:hint="eastAsia" w:ascii="Times New Roman" w:hAnsi="Times New Roman" w:cs="Times New Roman"/>
                      <w:color w:val="000000"/>
                      <w:kern w:val="0"/>
                      <w:sz w:val="21"/>
                      <w:szCs w:val="21"/>
                      <w:lang w:val="en-US" w:eastAsia="zh-CN" w:bidi="ar"/>
                    </w:rPr>
                    <w:fldChar w:fldCharType="begin"/>
                  </w:r>
                  <w:r>
                    <w:rPr>
                      <w:rFonts w:hint="eastAsia" w:ascii="Times New Roman" w:hAnsi="Times New Roman" w:cs="Times New Roman"/>
                      <w:color w:val="000000"/>
                      <w:kern w:val="0"/>
                      <w:sz w:val="21"/>
                      <w:szCs w:val="21"/>
                      <w:lang w:val="en-US" w:eastAsia="zh-CN" w:bidi="ar"/>
                    </w:rPr>
                    <w:instrText xml:space="preserve"> = 2 \* ROMAN \* MERGEFORMAT </w:instrText>
                  </w:r>
                  <w:r>
                    <w:rPr>
                      <w:rFonts w:hint="eastAsia" w:ascii="Times New Roman" w:hAnsi="Times New Roman" w:cs="Times New Roman"/>
                      <w:color w:val="000000"/>
                      <w:kern w:val="0"/>
                      <w:sz w:val="21"/>
                      <w:szCs w:val="21"/>
                      <w:lang w:val="en-US" w:eastAsia="zh-CN" w:bidi="ar"/>
                    </w:rPr>
                    <w:fldChar w:fldCharType="separate"/>
                  </w:r>
                  <w:r>
                    <w:rPr>
                      <w:sz w:val="21"/>
                      <w:szCs w:val="21"/>
                    </w:rPr>
                    <w:t>II</w:t>
                  </w:r>
                  <w:r>
                    <w:rPr>
                      <w:rFonts w:hint="eastAsia" w:ascii="Times New Roman" w:hAnsi="Times New Roman" w:cs="Times New Roman"/>
                      <w:color w:val="000000"/>
                      <w:kern w:val="0"/>
                      <w:sz w:val="21"/>
                      <w:szCs w:val="21"/>
                      <w:lang w:val="en-US" w:eastAsia="zh-CN" w:bidi="ar"/>
                    </w:rPr>
                    <w:fldChar w:fldCharType="end"/>
                  </w:r>
                  <w:r>
                    <w:rPr>
                      <w:rFonts w:hint="default" w:ascii="Times New Roman" w:hAnsi="Times New Roman" w:eastAsia="宋体" w:cs="Times New Roman"/>
                      <w:sz w:val="21"/>
                      <w:szCs w:val="21"/>
                    </w:rPr>
                    <w:fldChar w:fldCharType="end"/>
                  </w:r>
                  <w:r>
                    <w:rPr>
                      <w:rFonts w:hint="eastAsia" w:ascii="Times New Roman" w:hAnsi="Times New Roman" w:eastAsia="宋体" w:cs="Times New Roman"/>
                      <w:sz w:val="21"/>
                      <w:szCs w:val="21"/>
                      <w:lang w:eastAsia="zh-CN"/>
                    </w:rPr>
                    <w:t>类</w:t>
                  </w:r>
                </w:p>
              </w:tc>
              <w:tc>
                <w:tcPr>
                  <w:tcW w:w="1814" w:type="dxa"/>
                  <w:tcBorders>
                    <w:tl2br w:val="nil"/>
                    <w:tr2bl w:val="nil"/>
                  </w:tcBorders>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color w:val="000000"/>
                      <w:kern w:val="0"/>
                      <w:sz w:val="21"/>
                      <w:szCs w:val="21"/>
                      <w:lang w:bidi="ar"/>
                    </w:rPr>
                    <w:t>≤15</w:t>
                  </w:r>
                </w:p>
              </w:tc>
              <w:tc>
                <w:tcPr>
                  <w:tcW w:w="1814" w:type="dxa"/>
                  <w:tcBorders>
                    <w:tl2br w:val="nil"/>
                    <w:tr2bl w:val="nil"/>
                  </w:tcBorders>
                  <w:vAlign w:val="center"/>
                </w:tcPr>
                <w:p>
                  <w:pPr>
                    <w:widowControl w:val="0"/>
                    <w:jc w:val="center"/>
                    <w:rPr>
                      <w:rFonts w:hint="default" w:ascii="Times New Roman" w:hAnsi="Times New Roman" w:eastAsia="宋体" w:cs="Times New Roman"/>
                      <w:sz w:val="21"/>
                      <w:szCs w:val="21"/>
                      <w:vertAlign w:val="baseline"/>
                      <w:lang w:val="en-US"/>
                    </w:rPr>
                  </w:pPr>
                  <w:r>
                    <w:rPr>
                      <w:rFonts w:hint="default" w:ascii="Times New Roman" w:hAnsi="Times New Roman" w:eastAsia="宋体" w:cs="Times New Roman"/>
                      <w:color w:val="000000"/>
                      <w:kern w:val="0"/>
                      <w:sz w:val="21"/>
                      <w:szCs w:val="21"/>
                      <w:lang w:bidi="ar"/>
                    </w:rPr>
                    <w:t>≤0.5</w:t>
                  </w:r>
                </w:p>
              </w:tc>
              <w:tc>
                <w:tcPr>
                  <w:tcW w:w="1814" w:type="dxa"/>
                  <w:tcBorders>
                    <w:tl2br w:val="nil"/>
                    <w:tr2bl w:val="nil"/>
                  </w:tcBorders>
                  <w:vAlign w:val="center"/>
                </w:tcPr>
                <w:p>
                  <w:pPr>
                    <w:widowControl w:val="0"/>
                    <w:jc w:val="center"/>
                    <w:rPr>
                      <w:rFonts w:hint="default" w:ascii="Times New Roman" w:hAnsi="Times New Roman" w:eastAsia="宋体" w:cs="Times New Roman"/>
                      <w:sz w:val="21"/>
                      <w:szCs w:val="21"/>
                      <w:vertAlign w:val="baseline"/>
                      <w:lang w:val="en-US"/>
                    </w:rPr>
                  </w:pPr>
                  <w:r>
                    <w:rPr>
                      <w:rFonts w:hint="default" w:ascii="Times New Roman" w:hAnsi="Times New Roman" w:eastAsia="宋体" w:cs="Times New Roman"/>
                      <w:color w:val="000000"/>
                      <w:kern w:val="0"/>
                      <w:sz w:val="21"/>
                      <w:szCs w:val="21"/>
                      <w:lang w:bidi="ar"/>
                    </w:rPr>
                    <w:t>≤0.1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000" w:type="pct"/>
                  <w:gridSpan w:val="2"/>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eastAsia="zh-CN"/>
                    </w:rPr>
                    <w:t>超标率</w:t>
                  </w:r>
                  <w:r>
                    <w:rPr>
                      <w:rFonts w:hint="eastAsia" w:ascii="Times New Roman" w:hAnsi="Times New Roman" w:eastAsia="宋体" w:cs="Times New Roman"/>
                      <w:sz w:val="21"/>
                      <w:szCs w:val="21"/>
                      <w:vertAlign w:val="baseline"/>
                      <w:lang w:val="en-US" w:eastAsia="zh-CN"/>
                    </w:rPr>
                    <w:t>%</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val="en-US" w:eastAsia="zh-CN"/>
                    </w:rPr>
                  </w:pPr>
                  <w:r>
                    <w:rPr>
                      <w:rFonts w:hint="eastAsia" w:cs="Times New Roman"/>
                      <w:sz w:val="21"/>
                      <w:szCs w:val="21"/>
                      <w:vertAlign w:val="baseline"/>
                      <w:lang w:val="en-US" w:eastAsia="zh-CN"/>
                    </w:rPr>
                    <w:t>0</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val="en-US" w:eastAsia="zh-CN"/>
                    </w:rPr>
                  </w:pPr>
                  <w:r>
                    <w:rPr>
                      <w:rFonts w:hint="eastAsia" w:cs="Times New Roman"/>
                      <w:sz w:val="21"/>
                      <w:szCs w:val="21"/>
                      <w:vertAlign w:val="baseline"/>
                      <w:lang w:val="en-US" w:eastAsia="zh-CN"/>
                    </w:rPr>
                    <w:t>0</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val="en-US" w:eastAsia="zh-CN"/>
                    </w:rPr>
                  </w:pPr>
                  <w:r>
                    <w:rPr>
                      <w:rFonts w:hint="eastAsia" w:cs="Times New Roman"/>
                      <w:sz w:val="21"/>
                      <w:szCs w:val="21"/>
                      <w:vertAlign w:val="baseline"/>
                      <w:lang w:val="en-US" w:eastAsia="zh-CN"/>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000" w:type="pct"/>
                  <w:gridSpan w:val="2"/>
                  <w:tcBorders>
                    <w:tl2br w:val="nil"/>
                    <w:tr2bl w:val="nil"/>
                  </w:tcBorders>
                  <w:vAlign w:val="center"/>
                </w:tcPr>
                <w:p>
                  <w:pPr>
                    <w:spacing w:line="240" w:lineRule="auto"/>
                    <w:jc w:val="center"/>
                    <w:rPr>
                      <w:rFonts w:hint="eastAsia" w:ascii="Times New Roman" w:hAnsi="Times New Roman" w:eastAsia="宋体" w:cs="Times New Roman"/>
                      <w:sz w:val="21"/>
                      <w:szCs w:val="21"/>
                      <w:vertAlign w:val="baseline"/>
                      <w:lang w:eastAsia="zh-CN"/>
                    </w:rPr>
                  </w:pPr>
                  <w:r>
                    <w:rPr>
                      <w:rFonts w:hint="eastAsia" w:ascii="Times New Roman" w:hAnsi="Times New Roman" w:eastAsia="宋体" w:cs="Times New Roman"/>
                      <w:sz w:val="21"/>
                      <w:szCs w:val="21"/>
                      <w:vertAlign w:val="baseline"/>
                      <w:lang w:eastAsia="zh-CN"/>
                    </w:rPr>
                    <w:t>最大超标倍数</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val="en-US" w:eastAsia="zh-CN"/>
                    </w:rPr>
                  </w:pPr>
                  <w:r>
                    <w:rPr>
                      <w:rFonts w:hint="eastAsia" w:cs="Times New Roman"/>
                      <w:sz w:val="21"/>
                      <w:szCs w:val="21"/>
                      <w:vertAlign w:val="baseline"/>
                      <w:lang w:val="en-US" w:eastAsia="zh-CN"/>
                    </w:rPr>
                    <w:t>0</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val="en-US" w:eastAsia="zh-CN"/>
                    </w:rPr>
                  </w:pPr>
                  <w:r>
                    <w:rPr>
                      <w:rFonts w:hint="eastAsia" w:cs="Times New Roman"/>
                      <w:sz w:val="21"/>
                      <w:szCs w:val="21"/>
                      <w:vertAlign w:val="baseline"/>
                      <w:lang w:val="en-US" w:eastAsia="zh-CN"/>
                    </w:rPr>
                    <w:t>0</w:t>
                  </w:r>
                </w:p>
              </w:tc>
              <w:tc>
                <w:tcPr>
                  <w:tcW w:w="1000" w:type="pct"/>
                  <w:tcBorders>
                    <w:tl2br w:val="nil"/>
                    <w:tr2bl w:val="nil"/>
                  </w:tcBorders>
                  <w:vAlign w:val="center"/>
                </w:tcPr>
                <w:p>
                  <w:pPr>
                    <w:spacing w:line="240" w:lineRule="auto"/>
                    <w:jc w:val="center"/>
                    <w:rPr>
                      <w:rFonts w:hint="default" w:ascii="Times New Roman" w:hAnsi="Times New Roman" w:eastAsia="宋体" w:cs="Times New Roman"/>
                      <w:sz w:val="21"/>
                      <w:szCs w:val="21"/>
                      <w:vertAlign w:val="baseline"/>
                      <w:lang w:val="en-US" w:eastAsia="zh-CN"/>
                    </w:rPr>
                  </w:pPr>
                  <w:r>
                    <w:rPr>
                      <w:rFonts w:hint="eastAsia" w:cs="Times New Roman"/>
                      <w:sz w:val="21"/>
                      <w:szCs w:val="21"/>
                      <w:vertAlign w:val="baseline"/>
                      <w:lang w:val="en-US" w:eastAsia="zh-CN"/>
                    </w:rPr>
                    <w:t>0</w:t>
                  </w:r>
                </w:p>
              </w:tc>
            </w:tr>
          </w:tbl>
          <w:p>
            <w:pPr>
              <w:keepNext w:val="0"/>
              <w:keepLines w:val="0"/>
              <w:pageBreakBefore w:val="0"/>
              <w:widowControl w:val="0"/>
              <w:kinsoku/>
              <w:wordWrap/>
              <w:overflowPunct/>
              <w:topLinePunct w:val="0"/>
              <w:autoSpaceDE/>
              <w:autoSpaceDN/>
              <w:bidi w:val="0"/>
              <w:adjustRightInd/>
              <w:snapToGrid/>
              <w:spacing w:line="240" w:lineRule="exact"/>
              <w:ind w:firstLine="470" w:firstLineChars="196"/>
              <w:jc w:val="left"/>
              <w:textAlignment w:val="auto"/>
              <w:rPr>
                <w:rFonts w:hint="eastAsia"/>
                <w:sz w:val="24"/>
              </w:rPr>
            </w:pP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color w:val="000000"/>
                <w:kern w:val="0"/>
                <w:sz w:val="24"/>
                <w:szCs w:val="24"/>
                <w:lang w:bidi="ar"/>
              </w:rPr>
            </w:pPr>
            <w:r>
              <w:rPr>
                <w:color w:val="000000"/>
                <w:kern w:val="0"/>
                <w:sz w:val="24"/>
                <w:szCs w:val="24"/>
                <w:lang w:bidi="ar"/>
              </w:rPr>
              <w:t>通过对照《</w:t>
            </w:r>
            <w:r>
              <w:rPr>
                <w:rFonts w:hint="default" w:ascii="Times New Roman" w:hAnsi="Times New Roman" w:cs="Times New Roman"/>
                <w:color w:val="000000"/>
                <w:kern w:val="0"/>
                <w:sz w:val="24"/>
                <w:szCs w:val="24"/>
                <w:lang w:bidi="ar"/>
              </w:rPr>
              <w:t>地表水环境质量标准》（GB3838—2002）</w:t>
            </w:r>
            <w:r>
              <w:rPr>
                <w:rFonts w:hint="eastAsia" w:ascii="Times New Roman" w:hAnsi="Times New Roman" w:cs="Times New Roman"/>
                <w:color w:val="000000"/>
                <w:kern w:val="0"/>
                <w:sz w:val="24"/>
                <w:szCs w:val="24"/>
                <w:lang w:val="en-US" w:eastAsia="zh-CN" w:bidi="ar"/>
              </w:rPr>
              <w:fldChar w:fldCharType="begin"/>
            </w:r>
            <w:r>
              <w:rPr>
                <w:rFonts w:hint="eastAsia" w:ascii="Times New Roman" w:hAnsi="Times New Roman" w:cs="Times New Roman"/>
                <w:color w:val="000000"/>
                <w:kern w:val="0"/>
                <w:sz w:val="24"/>
                <w:szCs w:val="24"/>
                <w:lang w:val="en-US" w:eastAsia="zh-CN" w:bidi="ar"/>
              </w:rPr>
              <w:instrText xml:space="preserve"> = 2 \* ROMAN \* MERGEFORMAT </w:instrText>
            </w:r>
            <w:r>
              <w:rPr>
                <w:rFonts w:hint="eastAsia" w:ascii="Times New Roman" w:hAnsi="Times New Roman" w:cs="Times New Roman"/>
                <w:color w:val="000000"/>
                <w:kern w:val="0"/>
                <w:sz w:val="24"/>
                <w:szCs w:val="24"/>
                <w:lang w:val="en-US" w:eastAsia="zh-CN" w:bidi="ar"/>
              </w:rPr>
              <w:fldChar w:fldCharType="separate"/>
            </w:r>
            <w:r>
              <w:rPr>
                <w:sz w:val="24"/>
                <w:szCs w:val="24"/>
              </w:rPr>
              <w:t>II</w:t>
            </w:r>
            <w:r>
              <w:rPr>
                <w:rFonts w:hint="eastAsia" w:ascii="Times New Roman" w:hAnsi="Times New Roman" w:cs="Times New Roman"/>
                <w:color w:val="000000"/>
                <w:kern w:val="0"/>
                <w:sz w:val="24"/>
                <w:szCs w:val="24"/>
                <w:lang w:val="en-US" w:eastAsia="zh-CN" w:bidi="ar"/>
              </w:rPr>
              <w:fldChar w:fldCharType="end"/>
            </w:r>
            <w:r>
              <w:rPr>
                <w:rFonts w:hint="default" w:ascii="Times New Roman" w:hAnsi="Times New Roman" w:cs="Times New Roman"/>
                <w:color w:val="000000"/>
                <w:kern w:val="0"/>
                <w:sz w:val="24"/>
                <w:szCs w:val="24"/>
                <w:lang w:bidi="ar"/>
              </w:rPr>
              <w:t>类标准，由上表监测结果可以看出，监测断面中COD、氨氮、总磷浓度均达</w:t>
            </w:r>
            <w:r>
              <w:rPr>
                <w:color w:val="000000"/>
                <w:kern w:val="0"/>
                <w:sz w:val="24"/>
                <w:szCs w:val="24"/>
                <w:lang w:bidi="ar"/>
              </w:rPr>
              <w:t>标，断面地表水环境质量为优。</w:t>
            </w:r>
          </w:p>
          <w:p>
            <w:pPr>
              <w:spacing w:line="360" w:lineRule="auto"/>
              <w:ind w:firstLine="472" w:firstLineChars="196"/>
              <w:jc w:val="left"/>
              <w:rPr>
                <w:b/>
                <w:sz w:val="24"/>
              </w:rPr>
            </w:pPr>
            <w:r>
              <w:rPr>
                <w:b/>
                <w:sz w:val="24"/>
              </w:rPr>
              <w:t>3</w:t>
            </w:r>
            <w:r>
              <w:rPr>
                <w:rFonts w:hint="eastAsia"/>
                <w:b/>
                <w:sz w:val="24"/>
                <w:lang w:val="en-US" w:eastAsia="zh-CN"/>
              </w:rPr>
              <w:t>.</w:t>
            </w:r>
            <w:r>
              <w:rPr>
                <w:b/>
                <w:sz w:val="24"/>
              </w:rPr>
              <w:t>声环境质量</w:t>
            </w:r>
          </w:p>
          <w:p>
            <w:pPr>
              <w:pStyle w:val="29"/>
              <w:tabs>
                <w:tab w:val="left" w:pos="3377"/>
              </w:tabs>
              <w:autoSpaceDE w:val="0"/>
              <w:autoSpaceDN w:val="0"/>
              <w:spacing w:before="0" w:beforeAutospacing="0" w:after="0" w:afterAutospacing="0" w:line="360" w:lineRule="auto"/>
              <w:ind w:firstLine="480" w:firstLineChars="200"/>
              <w:jc w:val="both"/>
              <w:rPr>
                <w:rFonts w:hint="default" w:ascii="Times New Roman" w:hAnsi="Times New Roman" w:cs="Times New Roman"/>
                <w:snapToGrid w:val="0"/>
                <w:color w:val="auto"/>
                <w:sz w:val="24"/>
                <w:szCs w:val="24"/>
              </w:rPr>
            </w:pPr>
            <w:r>
              <w:rPr>
                <w:rFonts w:ascii="Times New Roman" w:hAnsi="Times New Roman"/>
                <w:snapToGrid w:val="0"/>
                <w:sz w:val="24"/>
                <w:szCs w:val="24"/>
              </w:rPr>
              <w:t>本项目位于</w:t>
            </w:r>
            <w:r>
              <w:rPr>
                <w:rFonts w:hint="eastAsia"/>
                <w:sz w:val="24"/>
                <w:lang w:eastAsia="zh-CN"/>
              </w:rPr>
              <w:t>济源市坡头镇高新路东侧中段</w:t>
            </w:r>
            <w:r>
              <w:rPr>
                <w:rFonts w:ascii="Times New Roman" w:hAnsi="Times New Roman"/>
                <w:snapToGrid w:val="0"/>
                <w:sz w:val="24"/>
                <w:szCs w:val="24"/>
              </w:rPr>
              <w:t>，</w:t>
            </w:r>
            <w:r>
              <w:rPr>
                <w:rFonts w:ascii="Times New Roman"/>
                <w:sz w:val="24"/>
              </w:rPr>
              <w:t>根据《声环境功能区划分技术规范》（</w:t>
            </w:r>
            <w:r>
              <w:rPr>
                <w:rFonts w:ascii="Times New Roman" w:hAnsi="Times New Roman"/>
                <w:sz w:val="24"/>
              </w:rPr>
              <w:t>GB/T</w:t>
            </w:r>
            <w:r>
              <w:rPr>
                <w:rFonts w:hint="eastAsia" w:ascii="Times New Roman" w:hAnsi="Times New Roman"/>
                <w:sz w:val="24"/>
                <w:lang w:val="en-US" w:eastAsia="zh-CN"/>
              </w:rPr>
              <w:t>1</w:t>
            </w:r>
            <w:r>
              <w:rPr>
                <w:rFonts w:ascii="Times New Roman" w:hAnsi="Times New Roman"/>
                <w:sz w:val="24"/>
              </w:rPr>
              <w:t>5190-2014</w:t>
            </w:r>
            <w:r>
              <w:rPr>
                <w:rFonts w:ascii="Times New Roman"/>
                <w:sz w:val="24"/>
              </w:rPr>
              <w:t>）和《声环境质量标准》（</w:t>
            </w:r>
            <w:r>
              <w:rPr>
                <w:rFonts w:ascii="Times New Roman" w:hAnsi="Times New Roman"/>
                <w:sz w:val="24"/>
              </w:rPr>
              <w:t>GB3096-2008</w:t>
            </w:r>
            <w:r>
              <w:rPr>
                <w:rFonts w:ascii="Times New Roman"/>
                <w:sz w:val="24"/>
              </w:rPr>
              <w:t>），项目所在</w:t>
            </w:r>
            <w:r>
              <w:rPr>
                <w:rFonts w:hint="eastAsia" w:ascii="Times New Roman"/>
                <w:sz w:val="24"/>
                <w:lang w:eastAsia="zh-CN"/>
              </w:rPr>
              <w:t>区域</w:t>
            </w:r>
            <w:r>
              <w:rPr>
                <w:rFonts w:ascii="Times New Roman"/>
                <w:sz w:val="24"/>
              </w:rPr>
              <w:t>属于</w:t>
            </w:r>
            <w:r>
              <w:rPr>
                <w:rFonts w:ascii="Times New Roman" w:hAnsi="Times New Roman"/>
                <w:sz w:val="24"/>
              </w:rPr>
              <w:t>2</w:t>
            </w:r>
            <w:r>
              <w:rPr>
                <w:rFonts w:hint="eastAsia" w:ascii="Times New Roman"/>
                <w:sz w:val="24"/>
              </w:rPr>
              <w:t>类</w:t>
            </w:r>
            <w:r>
              <w:rPr>
                <w:rFonts w:ascii="Times New Roman"/>
                <w:sz w:val="24"/>
              </w:rPr>
              <w:t>声环境功能区，应执行《声环境质量标准》（</w:t>
            </w:r>
            <w:r>
              <w:rPr>
                <w:rFonts w:ascii="Times New Roman" w:hAnsi="Times New Roman"/>
                <w:sz w:val="24"/>
              </w:rPr>
              <w:t>GB30</w:t>
            </w:r>
            <w:r>
              <w:rPr>
                <w:rFonts w:ascii="Times New Roman" w:hAnsi="Times New Roman"/>
                <w:sz w:val="24"/>
                <w:szCs w:val="24"/>
              </w:rPr>
              <w:t>96</w:t>
            </w:r>
            <w:r>
              <w:rPr>
                <w:rFonts w:ascii="Times New Roman" w:hAnsi="Times New Roman"/>
                <w:color w:val="auto"/>
                <w:sz w:val="24"/>
                <w:szCs w:val="24"/>
              </w:rPr>
              <w:t>-2008</w:t>
            </w:r>
            <w:r>
              <w:rPr>
                <w:rFonts w:ascii="Times New Roman"/>
                <w:color w:val="auto"/>
                <w:sz w:val="24"/>
                <w:szCs w:val="24"/>
              </w:rPr>
              <w:t>）</w:t>
            </w:r>
            <w:r>
              <w:rPr>
                <w:rFonts w:ascii="Times New Roman" w:hAnsi="Times New Roman"/>
                <w:color w:val="auto"/>
                <w:sz w:val="24"/>
                <w:szCs w:val="24"/>
              </w:rPr>
              <w:t>2</w:t>
            </w:r>
            <w:r>
              <w:rPr>
                <w:rFonts w:ascii="Times New Roman"/>
                <w:color w:val="auto"/>
                <w:sz w:val="24"/>
                <w:szCs w:val="24"/>
              </w:rPr>
              <w:t>类标准</w:t>
            </w:r>
            <w:r>
              <w:rPr>
                <w:rFonts w:hint="default" w:ascii="Times New Roman" w:hAnsi="Times New Roman" w:cs="Times New Roman"/>
                <w:color w:val="auto"/>
                <w:sz w:val="24"/>
                <w:szCs w:val="24"/>
              </w:rPr>
              <w:t>。</w:t>
            </w:r>
            <w:r>
              <w:rPr>
                <w:rFonts w:hint="default" w:ascii="Times New Roman" w:hAnsi="Times New Roman" w:cs="Times New Roman"/>
                <w:snapToGrid w:val="0"/>
                <w:color w:val="auto"/>
                <w:sz w:val="24"/>
                <w:szCs w:val="24"/>
                <w:lang w:eastAsia="zh-CN"/>
              </w:rPr>
              <w:t>企业</w:t>
            </w:r>
            <w:r>
              <w:rPr>
                <w:rFonts w:hint="default" w:ascii="Times New Roman" w:hAnsi="Times New Roman" w:cs="Times New Roman"/>
                <w:color w:val="auto"/>
                <w:kern w:val="0"/>
                <w:sz w:val="24"/>
                <w:szCs w:val="24"/>
              </w:rPr>
              <w:t>委托</w:t>
            </w:r>
            <w:r>
              <w:rPr>
                <w:rFonts w:hint="default" w:ascii="Times New Roman" w:hAnsi="Times New Roman" w:cs="Times New Roman"/>
                <w:color w:val="auto"/>
                <w:sz w:val="24"/>
                <w:szCs w:val="24"/>
              </w:rPr>
              <w:t>河南松筠检测技术有限公司</w:t>
            </w:r>
            <w:r>
              <w:rPr>
                <w:rFonts w:hint="default" w:ascii="Times New Roman" w:hAnsi="Times New Roman" w:cs="Times New Roman"/>
                <w:color w:val="auto"/>
                <w:kern w:val="0"/>
                <w:sz w:val="24"/>
                <w:szCs w:val="24"/>
              </w:rPr>
              <w:t>于20</w:t>
            </w:r>
            <w:r>
              <w:rPr>
                <w:rFonts w:hint="default" w:ascii="Times New Roman" w:hAnsi="Times New Roman" w:cs="Times New Roman"/>
                <w:color w:val="auto"/>
                <w:kern w:val="0"/>
                <w:sz w:val="24"/>
                <w:szCs w:val="24"/>
                <w:lang w:val="en-US" w:eastAsia="zh-CN"/>
              </w:rPr>
              <w:t>20</w:t>
            </w:r>
            <w:r>
              <w:rPr>
                <w:rFonts w:hint="default" w:ascii="Times New Roman" w:hAnsi="Times New Roman" w:cs="Times New Roman"/>
                <w:color w:val="auto"/>
                <w:kern w:val="0"/>
                <w:sz w:val="24"/>
                <w:szCs w:val="24"/>
              </w:rPr>
              <w:t>年</w:t>
            </w:r>
            <w:r>
              <w:rPr>
                <w:rFonts w:hint="eastAsia" w:ascii="Times New Roman" w:hAnsi="Times New Roman" w:cs="Times New Roman"/>
                <w:color w:val="auto"/>
                <w:kern w:val="0"/>
                <w:sz w:val="24"/>
                <w:szCs w:val="24"/>
                <w:lang w:val="en-US" w:eastAsia="zh-CN"/>
              </w:rPr>
              <w:t>5</w:t>
            </w:r>
            <w:r>
              <w:rPr>
                <w:rFonts w:hint="default" w:ascii="Times New Roman" w:hAnsi="Times New Roman" w:cs="Times New Roman"/>
                <w:color w:val="auto"/>
                <w:kern w:val="0"/>
                <w:sz w:val="24"/>
                <w:szCs w:val="24"/>
              </w:rPr>
              <w:t>月</w:t>
            </w:r>
            <w:r>
              <w:rPr>
                <w:rFonts w:hint="eastAsia" w:ascii="Times New Roman" w:hAnsi="Times New Roman" w:cs="Times New Roman"/>
                <w:color w:val="auto"/>
                <w:kern w:val="0"/>
                <w:sz w:val="24"/>
                <w:szCs w:val="24"/>
                <w:lang w:val="en-US" w:eastAsia="zh-CN"/>
              </w:rPr>
              <w:t>27</w:t>
            </w:r>
            <w:r>
              <w:rPr>
                <w:rFonts w:hint="default" w:ascii="Times New Roman" w:hAnsi="Times New Roman" w:cs="Times New Roman"/>
                <w:color w:val="auto"/>
                <w:kern w:val="0"/>
                <w:sz w:val="24"/>
                <w:szCs w:val="24"/>
              </w:rPr>
              <w:t>日-20</w:t>
            </w:r>
            <w:r>
              <w:rPr>
                <w:rFonts w:hint="default" w:ascii="Times New Roman" w:hAnsi="Times New Roman" w:cs="Times New Roman"/>
                <w:color w:val="auto"/>
                <w:kern w:val="0"/>
                <w:sz w:val="24"/>
                <w:szCs w:val="24"/>
                <w:lang w:val="en-US" w:eastAsia="zh-CN"/>
              </w:rPr>
              <w:t>20</w:t>
            </w:r>
            <w:r>
              <w:rPr>
                <w:rFonts w:hint="default" w:ascii="Times New Roman" w:hAnsi="Times New Roman" w:cs="Times New Roman"/>
                <w:color w:val="auto"/>
                <w:kern w:val="0"/>
                <w:sz w:val="24"/>
                <w:szCs w:val="24"/>
              </w:rPr>
              <w:t>年</w:t>
            </w:r>
            <w:r>
              <w:rPr>
                <w:rFonts w:hint="eastAsia" w:ascii="Times New Roman" w:hAnsi="Times New Roman" w:cs="Times New Roman"/>
                <w:color w:val="auto"/>
                <w:kern w:val="0"/>
                <w:sz w:val="24"/>
                <w:szCs w:val="24"/>
                <w:lang w:val="en-US" w:eastAsia="zh-CN"/>
              </w:rPr>
              <w:t>5</w:t>
            </w:r>
            <w:r>
              <w:rPr>
                <w:rFonts w:hint="default" w:ascii="Times New Roman" w:hAnsi="Times New Roman" w:cs="Times New Roman"/>
                <w:color w:val="auto"/>
                <w:kern w:val="0"/>
                <w:sz w:val="24"/>
                <w:szCs w:val="24"/>
              </w:rPr>
              <w:t>月</w:t>
            </w:r>
            <w:r>
              <w:rPr>
                <w:rFonts w:hint="eastAsia" w:ascii="Times New Roman" w:hAnsi="Times New Roman" w:cs="Times New Roman"/>
                <w:color w:val="auto"/>
                <w:kern w:val="0"/>
                <w:sz w:val="24"/>
                <w:szCs w:val="24"/>
                <w:lang w:val="en-US" w:eastAsia="zh-CN"/>
              </w:rPr>
              <w:t>28</w:t>
            </w:r>
            <w:r>
              <w:rPr>
                <w:rFonts w:hint="default" w:ascii="Times New Roman" w:hAnsi="Times New Roman" w:cs="Times New Roman"/>
                <w:color w:val="auto"/>
                <w:kern w:val="0"/>
                <w:sz w:val="24"/>
                <w:szCs w:val="24"/>
              </w:rPr>
              <w:t>日对厂界</w:t>
            </w:r>
            <w:r>
              <w:rPr>
                <w:rFonts w:hint="default" w:ascii="Times New Roman" w:hAnsi="Times New Roman" w:cs="Times New Roman"/>
                <w:color w:val="auto"/>
                <w:kern w:val="0"/>
                <w:sz w:val="24"/>
                <w:szCs w:val="24"/>
                <w:lang w:eastAsia="zh-CN"/>
              </w:rPr>
              <w:t>四周环境</w:t>
            </w:r>
            <w:r>
              <w:rPr>
                <w:rFonts w:hint="default" w:ascii="Times New Roman" w:hAnsi="Times New Roman" w:cs="Times New Roman"/>
                <w:color w:val="auto"/>
                <w:kern w:val="0"/>
                <w:sz w:val="24"/>
                <w:szCs w:val="24"/>
              </w:rPr>
              <w:t>噪声进行</w:t>
            </w:r>
            <w:r>
              <w:rPr>
                <w:rFonts w:hint="eastAsia" w:ascii="Times New Roman" w:hAnsi="Times New Roman" w:cs="Times New Roman"/>
                <w:color w:val="auto"/>
                <w:kern w:val="0"/>
                <w:sz w:val="24"/>
                <w:szCs w:val="24"/>
                <w:lang w:eastAsia="zh-CN"/>
              </w:rPr>
              <w:t>了</w:t>
            </w:r>
            <w:r>
              <w:rPr>
                <w:rFonts w:hint="default" w:ascii="Times New Roman" w:hAnsi="Times New Roman" w:cs="Times New Roman"/>
                <w:color w:val="auto"/>
                <w:kern w:val="0"/>
                <w:sz w:val="24"/>
                <w:szCs w:val="24"/>
              </w:rPr>
              <w:t>检测</w:t>
            </w:r>
            <w:r>
              <w:rPr>
                <w:rFonts w:hint="default" w:ascii="Times New Roman" w:hAnsi="Times New Roman" w:cs="Times New Roman"/>
                <w:snapToGrid w:val="0"/>
                <w:color w:val="auto"/>
                <w:sz w:val="24"/>
                <w:szCs w:val="24"/>
                <w:lang w:eastAsia="zh-CN"/>
              </w:rPr>
              <w:t>（报告编</w:t>
            </w:r>
            <w:r>
              <w:rPr>
                <w:rFonts w:hint="default" w:ascii="Times New Roman" w:hAnsi="Times New Roman" w:cs="Times New Roman"/>
                <w:color w:val="auto"/>
                <w:kern w:val="0"/>
                <w:sz w:val="24"/>
                <w:szCs w:val="24"/>
                <w:lang w:eastAsia="zh-CN"/>
              </w:rPr>
              <w:t>号：</w:t>
            </w:r>
            <w:r>
              <w:rPr>
                <w:rFonts w:hint="default" w:ascii="Times New Roman" w:hAnsi="Times New Roman" w:cs="Times New Roman"/>
                <w:color w:val="auto"/>
                <w:sz w:val="24"/>
                <w:szCs w:val="24"/>
              </w:rPr>
              <w:t>河南松筠检测字（2020）第</w:t>
            </w:r>
            <w:r>
              <w:rPr>
                <w:rFonts w:hint="eastAsia" w:ascii="Times New Roman" w:hAnsi="Times New Roman" w:cs="Times New Roman"/>
                <w:color w:val="auto"/>
                <w:sz w:val="24"/>
                <w:szCs w:val="24"/>
                <w:lang w:eastAsia="zh-CN"/>
              </w:rPr>
              <w:t>016H-16</w:t>
            </w:r>
            <w:r>
              <w:rPr>
                <w:rFonts w:hint="default" w:ascii="Times New Roman" w:hAnsi="Times New Roman" w:cs="Times New Roman"/>
                <w:color w:val="auto"/>
                <w:sz w:val="24"/>
                <w:szCs w:val="24"/>
              </w:rPr>
              <w:t>号</w:t>
            </w:r>
            <w:r>
              <w:rPr>
                <w:rFonts w:hint="default" w:ascii="Times New Roman" w:hAnsi="Times New Roman" w:cs="Times New Roman"/>
                <w:color w:val="auto"/>
                <w:kern w:val="0"/>
                <w:sz w:val="24"/>
                <w:szCs w:val="24"/>
                <w:lang w:eastAsia="zh-CN"/>
              </w:rPr>
              <w:t>）</w:t>
            </w:r>
            <w:r>
              <w:rPr>
                <w:rFonts w:hint="default" w:ascii="Times New Roman" w:hAnsi="Times New Roman" w:cs="Times New Roman"/>
                <w:snapToGrid w:val="0"/>
                <w:color w:val="auto"/>
                <w:sz w:val="24"/>
                <w:szCs w:val="24"/>
                <w:lang w:eastAsia="zh-CN"/>
              </w:rPr>
              <w:t>，环境</w:t>
            </w:r>
            <w:r>
              <w:rPr>
                <w:rFonts w:hint="default" w:ascii="Times New Roman" w:hAnsi="Times New Roman" w:cs="Times New Roman"/>
                <w:snapToGrid w:val="0"/>
                <w:color w:val="auto"/>
                <w:sz w:val="24"/>
                <w:szCs w:val="24"/>
              </w:rPr>
              <w:t>噪声</w:t>
            </w:r>
            <w:r>
              <w:rPr>
                <w:rFonts w:hint="eastAsia" w:ascii="Times New Roman" w:hAnsi="Times New Roman" w:cs="Times New Roman"/>
                <w:snapToGrid w:val="0"/>
                <w:color w:val="auto"/>
                <w:sz w:val="24"/>
                <w:szCs w:val="24"/>
                <w:lang w:eastAsia="zh-CN"/>
              </w:rPr>
              <w:t>检</w:t>
            </w:r>
            <w:r>
              <w:rPr>
                <w:rFonts w:hint="default" w:ascii="Times New Roman" w:hAnsi="Times New Roman" w:cs="Times New Roman"/>
                <w:snapToGrid w:val="0"/>
                <w:color w:val="auto"/>
                <w:sz w:val="24"/>
                <w:szCs w:val="24"/>
              </w:rPr>
              <w:t>测结果见表</w:t>
            </w:r>
            <w:r>
              <w:rPr>
                <w:rFonts w:hint="eastAsia" w:ascii="Times New Roman" w:hAnsi="Times New Roman" w:cs="Times New Roman"/>
                <w:snapToGrid w:val="0"/>
                <w:color w:val="auto"/>
                <w:sz w:val="24"/>
                <w:szCs w:val="24"/>
                <w:lang w:val="en-US" w:eastAsia="zh-CN"/>
              </w:rPr>
              <w:t>9</w:t>
            </w:r>
            <w:r>
              <w:rPr>
                <w:rFonts w:hint="default" w:ascii="Times New Roman" w:hAnsi="Times New Roman" w:cs="Times New Roman"/>
                <w:snapToGrid w:val="0"/>
                <w:color w:val="auto"/>
                <w:sz w:val="24"/>
                <w:szCs w:val="24"/>
              </w:rPr>
              <w:t>。</w:t>
            </w:r>
          </w:p>
          <w:p>
            <w:pPr>
              <w:spacing w:line="240" w:lineRule="auto"/>
              <w:ind w:firstLine="3120" w:firstLineChars="1300"/>
              <w:jc w:val="both"/>
              <w:rPr>
                <w:rFonts w:hint="eastAsia" w:ascii="黑体" w:hAnsi="黑体" w:eastAsia="黑体" w:cs="黑体"/>
                <w:b w:val="0"/>
                <w:bCs/>
                <w:color w:val="FF0000"/>
                <w:sz w:val="24"/>
                <w:lang w:val="en-US" w:eastAsia="zh-CN"/>
              </w:rPr>
            </w:pPr>
            <w:r>
              <w:rPr>
                <w:rFonts w:hint="eastAsia" w:ascii="黑体" w:hAnsi="黑体" w:eastAsia="黑体" w:cs="黑体"/>
                <w:b w:val="0"/>
                <w:bCs/>
                <w:color w:val="auto"/>
                <w:sz w:val="24"/>
                <w:lang w:val="en-US" w:eastAsia="zh-CN"/>
              </w:rPr>
              <w:t>表9  环境噪声检测数据                单位：dB(A)</w:t>
            </w:r>
          </w:p>
          <w:tbl>
            <w:tblPr>
              <w:tblStyle w:val="31"/>
              <w:tblW w:w="904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28" w:type="dxa"/>
                <w:bottom w:w="0" w:type="dxa"/>
                <w:right w:w="28" w:type="dxa"/>
              </w:tblCellMar>
            </w:tblPr>
            <w:tblGrid>
              <w:gridCol w:w="1452"/>
              <w:gridCol w:w="1823"/>
              <w:gridCol w:w="1909"/>
              <w:gridCol w:w="1969"/>
              <w:gridCol w:w="188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1452" w:type="dxa"/>
                  <w:vMerge w:val="restar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检测时间</w:t>
                  </w:r>
                </w:p>
              </w:tc>
              <w:tc>
                <w:tcPr>
                  <w:tcW w:w="3732" w:type="dxa"/>
                  <w:gridSpan w:val="2"/>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rPr>
                    <w:t>2020.0</w:t>
                  </w:r>
                  <w:r>
                    <w:rPr>
                      <w:rFonts w:hint="default" w:ascii="Times New Roman" w:hAnsi="Times New Roman" w:eastAsia="宋体" w:cs="Times New Roman"/>
                      <w:color w:val="auto"/>
                      <w:sz w:val="21"/>
                      <w:szCs w:val="21"/>
                      <w:lang w:val="en-US" w:eastAsia="zh-CN"/>
                    </w:rPr>
                    <w:t>5</w:t>
                  </w:r>
                  <w:r>
                    <w:rPr>
                      <w:rFonts w:hint="default" w:ascii="Times New Roman" w:hAnsi="Times New Roman" w:eastAsia="宋体" w:cs="Times New Roman"/>
                      <w:color w:val="auto"/>
                      <w:sz w:val="21"/>
                      <w:szCs w:val="21"/>
                    </w:rPr>
                    <w:t>.</w:t>
                  </w:r>
                  <w:r>
                    <w:rPr>
                      <w:rFonts w:hint="default" w:ascii="Times New Roman" w:hAnsi="Times New Roman" w:eastAsia="宋体" w:cs="Times New Roman"/>
                      <w:color w:val="auto"/>
                      <w:sz w:val="21"/>
                      <w:szCs w:val="21"/>
                      <w:lang w:val="en-US" w:eastAsia="zh-CN"/>
                    </w:rPr>
                    <w:t>27</w:t>
                  </w:r>
                </w:p>
              </w:tc>
              <w:tc>
                <w:tcPr>
                  <w:tcW w:w="3857" w:type="dxa"/>
                  <w:gridSpan w:val="2"/>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2020.0</w:t>
                  </w:r>
                  <w:r>
                    <w:rPr>
                      <w:rFonts w:hint="default" w:ascii="Times New Roman" w:hAnsi="Times New Roman" w:eastAsia="宋体" w:cs="Times New Roman"/>
                      <w:color w:val="auto"/>
                      <w:sz w:val="21"/>
                      <w:szCs w:val="21"/>
                      <w:lang w:val="en-US" w:eastAsia="zh-CN"/>
                    </w:rPr>
                    <w:t>5</w:t>
                  </w:r>
                  <w:r>
                    <w:rPr>
                      <w:rFonts w:hint="default" w:ascii="Times New Roman" w:hAnsi="Times New Roman" w:eastAsia="宋体" w:cs="Times New Roman"/>
                      <w:color w:val="auto"/>
                      <w:sz w:val="21"/>
                      <w:szCs w:val="21"/>
                    </w:rPr>
                    <w:t>.2</w:t>
                  </w:r>
                  <w:r>
                    <w:rPr>
                      <w:rFonts w:hint="default" w:ascii="Times New Roman" w:hAnsi="Times New Roman" w:eastAsia="宋体" w:cs="Times New Roman"/>
                      <w:color w:val="auto"/>
                      <w:sz w:val="21"/>
                      <w:szCs w:val="21"/>
                      <w:lang w:val="en-US" w:eastAsia="zh-CN"/>
                    </w:rPr>
                    <w:t>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1452" w:type="dxa"/>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p>
              </w:tc>
              <w:tc>
                <w:tcPr>
                  <w:tcW w:w="1823"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昼间（Leq）</w:t>
                  </w:r>
                </w:p>
              </w:tc>
              <w:tc>
                <w:tcPr>
                  <w:tcW w:w="1909"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夜间（Leq）</w:t>
                  </w:r>
                </w:p>
              </w:tc>
              <w:tc>
                <w:tcPr>
                  <w:tcW w:w="1969"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昼间（Leq）</w:t>
                  </w:r>
                </w:p>
              </w:tc>
              <w:tc>
                <w:tcPr>
                  <w:tcW w:w="1888"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夜间（Leq）</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1452" w:type="dxa"/>
                  <w:tcBorders>
                    <w:tl2br w:val="nil"/>
                    <w:tr2bl w:val="nil"/>
                  </w:tcBorders>
                  <w:vAlign w:val="center"/>
                </w:tcPr>
                <w:p>
                  <w:pPr>
                    <w:spacing w:line="32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东厂界</w:t>
                  </w:r>
                </w:p>
              </w:tc>
              <w:tc>
                <w:tcPr>
                  <w:tcW w:w="1823"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52</w:t>
                  </w:r>
                </w:p>
              </w:tc>
              <w:tc>
                <w:tcPr>
                  <w:tcW w:w="1909" w:type="dxa"/>
                  <w:tcBorders>
                    <w:tl2br w:val="nil"/>
                    <w:tr2bl w:val="nil"/>
                  </w:tcBorders>
                  <w:vAlign w:val="center"/>
                </w:tcPr>
                <w:p>
                  <w:pPr>
                    <w:spacing w:line="240" w:lineRule="auto"/>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41</w:t>
                  </w:r>
                </w:p>
              </w:tc>
              <w:tc>
                <w:tcPr>
                  <w:tcW w:w="1969"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51</w:t>
                  </w:r>
                </w:p>
              </w:tc>
              <w:tc>
                <w:tcPr>
                  <w:tcW w:w="1888" w:type="dxa"/>
                  <w:tcBorders>
                    <w:tl2br w:val="nil"/>
                    <w:tr2bl w:val="nil"/>
                  </w:tcBorders>
                  <w:vAlign w:val="center"/>
                </w:tcPr>
                <w:p>
                  <w:pPr>
                    <w:spacing w:line="240" w:lineRule="auto"/>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42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1452" w:type="dxa"/>
                  <w:tcBorders>
                    <w:tl2br w:val="nil"/>
                    <w:tr2bl w:val="nil"/>
                  </w:tcBorders>
                  <w:vAlign w:val="center"/>
                </w:tcPr>
                <w:p>
                  <w:pPr>
                    <w:spacing w:line="32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西厂界</w:t>
                  </w:r>
                </w:p>
              </w:tc>
              <w:tc>
                <w:tcPr>
                  <w:tcW w:w="1823" w:type="dxa"/>
                  <w:tcBorders>
                    <w:tl2br w:val="nil"/>
                    <w:tr2bl w:val="nil"/>
                  </w:tcBorders>
                  <w:vAlign w:val="center"/>
                </w:tcPr>
                <w:p>
                  <w:pPr>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54</w:t>
                  </w:r>
                </w:p>
              </w:tc>
              <w:tc>
                <w:tcPr>
                  <w:tcW w:w="1909" w:type="dxa"/>
                  <w:tcBorders>
                    <w:tl2br w:val="nil"/>
                    <w:tr2bl w:val="nil"/>
                  </w:tcBorders>
                  <w:vAlign w:val="center"/>
                </w:tcPr>
                <w:p>
                  <w:pPr>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43</w:t>
                  </w:r>
                </w:p>
              </w:tc>
              <w:tc>
                <w:tcPr>
                  <w:tcW w:w="1969"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53</w:t>
                  </w:r>
                </w:p>
              </w:tc>
              <w:tc>
                <w:tcPr>
                  <w:tcW w:w="1888" w:type="dxa"/>
                  <w:tcBorders>
                    <w:tl2br w:val="nil"/>
                    <w:tr2bl w:val="nil"/>
                  </w:tcBorders>
                  <w:vAlign w:val="center"/>
                </w:tcPr>
                <w:p>
                  <w:pPr>
                    <w:spacing w:line="240" w:lineRule="auto"/>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44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1452" w:type="dxa"/>
                  <w:tcBorders>
                    <w:tl2br w:val="nil"/>
                    <w:tr2bl w:val="nil"/>
                  </w:tcBorders>
                  <w:vAlign w:val="center"/>
                </w:tcPr>
                <w:p>
                  <w:pPr>
                    <w:spacing w:line="32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南厂界</w:t>
                  </w:r>
                </w:p>
              </w:tc>
              <w:tc>
                <w:tcPr>
                  <w:tcW w:w="1823" w:type="dxa"/>
                  <w:tcBorders>
                    <w:tl2br w:val="nil"/>
                    <w:tr2bl w:val="nil"/>
                  </w:tcBorders>
                  <w:vAlign w:val="center"/>
                </w:tcPr>
                <w:p>
                  <w:pPr>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51</w:t>
                  </w:r>
                </w:p>
              </w:tc>
              <w:tc>
                <w:tcPr>
                  <w:tcW w:w="1909" w:type="dxa"/>
                  <w:tcBorders>
                    <w:tl2br w:val="nil"/>
                    <w:tr2bl w:val="nil"/>
                  </w:tcBorders>
                  <w:vAlign w:val="center"/>
                </w:tcPr>
                <w:p>
                  <w:pPr>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44</w:t>
                  </w:r>
                </w:p>
              </w:tc>
              <w:tc>
                <w:tcPr>
                  <w:tcW w:w="1969"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52</w:t>
                  </w:r>
                </w:p>
              </w:tc>
              <w:tc>
                <w:tcPr>
                  <w:tcW w:w="1888" w:type="dxa"/>
                  <w:tcBorders>
                    <w:tl2br w:val="nil"/>
                    <w:tr2bl w:val="nil"/>
                  </w:tcBorders>
                  <w:vAlign w:val="center"/>
                </w:tcPr>
                <w:p>
                  <w:pPr>
                    <w:spacing w:line="240" w:lineRule="auto"/>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42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1452" w:type="dxa"/>
                  <w:tcBorders>
                    <w:tl2br w:val="nil"/>
                    <w:tr2bl w:val="nil"/>
                  </w:tcBorders>
                  <w:vAlign w:val="center"/>
                </w:tcPr>
                <w:p>
                  <w:pPr>
                    <w:spacing w:line="320" w:lineRule="exact"/>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坡头村</w:t>
                  </w:r>
                </w:p>
              </w:tc>
              <w:tc>
                <w:tcPr>
                  <w:tcW w:w="1823" w:type="dxa"/>
                  <w:tcBorders>
                    <w:tl2br w:val="nil"/>
                    <w:tr2bl w:val="nil"/>
                  </w:tcBorders>
                  <w:vAlign w:val="center"/>
                </w:tcPr>
                <w:p>
                  <w:pPr>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54</w:t>
                  </w:r>
                </w:p>
              </w:tc>
              <w:tc>
                <w:tcPr>
                  <w:tcW w:w="1909" w:type="dxa"/>
                  <w:tcBorders>
                    <w:tl2br w:val="nil"/>
                    <w:tr2bl w:val="nil"/>
                  </w:tcBorders>
                  <w:vAlign w:val="center"/>
                </w:tcPr>
                <w:p>
                  <w:pPr>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41</w:t>
                  </w:r>
                </w:p>
              </w:tc>
              <w:tc>
                <w:tcPr>
                  <w:tcW w:w="1969"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52</w:t>
                  </w:r>
                </w:p>
              </w:tc>
              <w:tc>
                <w:tcPr>
                  <w:tcW w:w="1888" w:type="dxa"/>
                  <w:tcBorders>
                    <w:tl2br w:val="nil"/>
                    <w:tr2bl w:val="nil"/>
                  </w:tcBorders>
                  <w:vAlign w:val="center"/>
                </w:tcPr>
                <w:p>
                  <w:pPr>
                    <w:spacing w:line="240" w:lineRule="auto"/>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vertAlign w:val="baseline"/>
                      <w:lang w:val="en-US" w:eastAsia="zh-CN"/>
                    </w:rPr>
                    <w:t>40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23" w:hRule="atLeast"/>
                <w:jc w:val="center"/>
              </w:trPr>
              <w:tc>
                <w:tcPr>
                  <w:tcW w:w="9041" w:type="dxa"/>
                  <w:gridSpan w:val="5"/>
                  <w:tcBorders>
                    <w:tl2br w:val="nil"/>
                    <w:tr2bl w:val="nil"/>
                  </w:tcBorders>
                  <w:vAlign w:val="center"/>
                </w:tcPr>
                <w:p>
                  <w:pPr>
                    <w:spacing w:line="240" w:lineRule="auto"/>
                    <w:jc w:val="center"/>
                    <w:textAlignment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注：北厂界为公用墙</w:t>
                  </w:r>
                </w:p>
              </w:tc>
            </w:tr>
          </w:tbl>
          <w:p>
            <w:pPr>
              <w:pStyle w:val="29"/>
              <w:keepNext w:val="0"/>
              <w:keepLines w:val="0"/>
              <w:pageBreakBefore w:val="0"/>
              <w:widowControl/>
              <w:tabs>
                <w:tab w:val="left" w:pos="3377"/>
              </w:tabs>
              <w:kinsoku/>
              <w:wordWrap/>
              <w:overflowPunct/>
              <w:topLinePunct w:val="0"/>
              <w:autoSpaceDE w:val="0"/>
              <w:autoSpaceDN w:val="0"/>
              <w:bidi w:val="0"/>
              <w:adjustRightInd/>
              <w:snapToGrid/>
              <w:spacing w:before="0" w:beforeAutospacing="0" w:after="0" w:afterAutospacing="0" w:line="240" w:lineRule="exact"/>
              <w:ind w:left="480" w:hanging="480" w:hangingChars="200"/>
              <w:jc w:val="both"/>
              <w:textAlignment w:val="auto"/>
              <w:rPr>
                <w:rFonts w:hint="eastAsia" w:ascii="Times New Roman" w:hAnsi="Times New Roman"/>
                <w:snapToGrid w:val="0"/>
                <w:sz w:val="24"/>
                <w:szCs w:val="24"/>
              </w:rPr>
            </w:pPr>
          </w:p>
          <w:p>
            <w:pPr>
              <w:pStyle w:val="29"/>
              <w:tabs>
                <w:tab w:val="left" w:pos="3377"/>
              </w:tabs>
              <w:autoSpaceDE w:val="0"/>
              <w:autoSpaceDN w:val="0"/>
              <w:spacing w:before="0" w:beforeAutospacing="0" w:after="0" w:afterAutospacing="0" w:line="360" w:lineRule="auto"/>
              <w:ind w:firstLine="480" w:firstLineChars="200"/>
              <w:jc w:val="both"/>
              <w:rPr>
                <w:rFonts w:ascii="Times New Roman" w:hAnsi="Times New Roman"/>
                <w:sz w:val="24"/>
                <w:szCs w:val="24"/>
              </w:rPr>
            </w:pPr>
            <w:r>
              <w:rPr>
                <w:rFonts w:hint="eastAsia" w:ascii="Times New Roman" w:hAnsi="Times New Roman"/>
                <w:snapToGrid w:val="0"/>
                <w:sz w:val="24"/>
                <w:szCs w:val="24"/>
              </w:rPr>
              <w:t>根据表</w:t>
            </w:r>
            <w:r>
              <w:rPr>
                <w:rFonts w:hint="eastAsia" w:ascii="Times New Roman" w:hAnsi="Times New Roman"/>
                <w:snapToGrid w:val="0"/>
                <w:sz w:val="24"/>
                <w:szCs w:val="24"/>
                <w:lang w:val="en-US" w:eastAsia="zh-CN"/>
              </w:rPr>
              <w:t>9</w:t>
            </w:r>
            <w:r>
              <w:rPr>
                <w:rFonts w:hint="eastAsia" w:ascii="Times New Roman" w:hAnsi="Times New Roman"/>
                <w:snapToGrid w:val="0"/>
                <w:sz w:val="24"/>
                <w:szCs w:val="24"/>
              </w:rPr>
              <w:t>可知</w:t>
            </w:r>
            <w:r>
              <w:rPr>
                <w:rFonts w:ascii="Times New Roman" w:hAnsi="Times New Roman"/>
                <w:snapToGrid w:val="0"/>
                <w:sz w:val="24"/>
                <w:szCs w:val="24"/>
              </w:rPr>
              <w:t>，厂界</w:t>
            </w:r>
            <w:r>
              <w:rPr>
                <w:rFonts w:hint="eastAsia" w:ascii="Times New Roman" w:hAnsi="Times New Roman"/>
                <w:snapToGrid w:val="0"/>
                <w:sz w:val="24"/>
                <w:szCs w:val="24"/>
              </w:rPr>
              <w:t>四周</w:t>
            </w:r>
            <w:r>
              <w:rPr>
                <w:rFonts w:hint="eastAsia" w:ascii="Times New Roman" w:hAnsi="Times New Roman"/>
                <w:snapToGrid w:val="0"/>
                <w:sz w:val="24"/>
                <w:szCs w:val="24"/>
                <w:lang w:eastAsia="zh-CN"/>
              </w:rPr>
              <w:t>和坡头村环境</w:t>
            </w:r>
            <w:r>
              <w:rPr>
                <w:rFonts w:ascii="Times New Roman" w:hAnsi="Times New Roman"/>
                <w:snapToGrid w:val="0"/>
                <w:sz w:val="24"/>
                <w:szCs w:val="24"/>
              </w:rPr>
              <w:t>噪声</w:t>
            </w:r>
            <w:r>
              <w:rPr>
                <w:rFonts w:hint="eastAsia" w:ascii="Times New Roman" w:hAnsi="Times New Roman"/>
                <w:snapToGrid w:val="0"/>
                <w:sz w:val="24"/>
                <w:szCs w:val="24"/>
                <w:lang w:eastAsia="zh-CN"/>
              </w:rPr>
              <w:t>均</w:t>
            </w:r>
            <w:r>
              <w:rPr>
                <w:rFonts w:ascii="Times New Roman" w:hAnsi="Times New Roman"/>
                <w:snapToGrid w:val="0"/>
                <w:sz w:val="24"/>
                <w:szCs w:val="24"/>
              </w:rPr>
              <w:t>可</w:t>
            </w:r>
            <w:r>
              <w:rPr>
                <w:rFonts w:ascii="Times New Roman" w:hAnsi="Times New Roman"/>
                <w:bCs/>
                <w:sz w:val="24"/>
                <w:szCs w:val="24"/>
              </w:rPr>
              <w:t>满足</w:t>
            </w:r>
            <w:r>
              <w:rPr>
                <w:rFonts w:ascii="Times New Roman" w:hAnsi="Times New Roman"/>
                <w:sz w:val="24"/>
                <w:szCs w:val="24"/>
              </w:rPr>
              <w:t>《声环境质量标准》（GB3096-2008）2类标准，区域声环境质量现状良好。</w:t>
            </w:r>
          </w:p>
          <w:p>
            <w:pPr>
              <w:pStyle w:val="29"/>
              <w:tabs>
                <w:tab w:val="left" w:pos="3377"/>
              </w:tabs>
              <w:autoSpaceDE w:val="0"/>
              <w:autoSpaceDN w:val="0"/>
              <w:spacing w:before="0" w:beforeAutospacing="0" w:after="0" w:afterAutospacing="0" w:line="360" w:lineRule="auto"/>
              <w:ind w:firstLine="482" w:firstLineChars="200"/>
              <w:jc w:val="both"/>
              <w:rPr>
                <w:rFonts w:hint="eastAsia" w:ascii="Times New Roman" w:hAnsi="Times New Roman" w:eastAsia="宋体"/>
                <w:b/>
                <w:bCs/>
                <w:sz w:val="24"/>
                <w:szCs w:val="24"/>
                <w:lang w:val="en-US" w:eastAsia="zh-CN"/>
              </w:rPr>
            </w:pPr>
            <w:r>
              <w:rPr>
                <w:rFonts w:hint="eastAsia" w:ascii="Times New Roman" w:hAnsi="Times New Roman"/>
                <w:b/>
                <w:bCs/>
                <w:sz w:val="24"/>
                <w:szCs w:val="24"/>
                <w:lang w:val="en-US" w:eastAsia="zh-CN"/>
              </w:rPr>
              <w:t>4.土壤环境质量</w:t>
            </w:r>
          </w:p>
          <w:p>
            <w:pPr>
              <w:pStyle w:val="29"/>
              <w:tabs>
                <w:tab w:val="left" w:pos="3377"/>
              </w:tabs>
              <w:autoSpaceDE w:val="0"/>
              <w:autoSpaceDN w:val="0"/>
              <w:spacing w:before="0" w:beforeAutospacing="0" w:after="0" w:afterAutospacing="0" w:line="360" w:lineRule="auto"/>
              <w:ind w:firstLine="480" w:firstLineChars="200"/>
              <w:jc w:val="both"/>
              <w:rPr>
                <w:rFonts w:hint="eastAsia"/>
                <w:b w:val="0"/>
                <w:bCs/>
                <w:color w:val="auto"/>
                <w:sz w:val="24"/>
                <w:lang w:val="en-US" w:eastAsia="zh-CN"/>
              </w:rPr>
            </w:pPr>
            <w:r>
              <w:rPr>
                <w:rFonts w:hint="eastAsia"/>
                <w:b w:val="0"/>
                <w:bCs/>
                <w:color w:val="auto"/>
                <w:sz w:val="24"/>
                <w:lang w:val="en-US" w:eastAsia="zh-CN"/>
              </w:rPr>
              <w:t>为了解项目周边土壤环</w:t>
            </w:r>
            <w:r>
              <w:rPr>
                <w:rFonts w:hint="default" w:ascii="Times New Roman" w:hAnsi="Times New Roman" w:cs="Times New Roman"/>
                <w:b w:val="0"/>
                <w:bCs/>
                <w:color w:val="auto"/>
                <w:sz w:val="24"/>
                <w:lang w:val="en-US" w:eastAsia="zh-CN"/>
              </w:rPr>
              <w:t>境状况，企业委托</w:t>
            </w:r>
            <w:r>
              <w:rPr>
                <w:rFonts w:hint="default" w:ascii="Times New Roman" w:hAnsi="Times New Roman" w:cs="Times New Roman"/>
                <w:color w:val="auto"/>
                <w:sz w:val="24"/>
                <w:szCs w:val="24"/>
              </w:rPr>
              <w:t>河南松筠检测技术有限公司</w:t>
            </w:r>
            <w:r>
              <w:rPr>
                <w:rFonts w:hint="default" w:ascii="Times New Roman" w:hAnsi="Times New Roman" w:cs="Times New Roman"/>
                <w:b w:val="0"/>
                <w:bCs/>
                <w:color w:val="auto"/>
                <w:sz w:val="24"/>
                <w:lang w:val="en-US" w:eastAsia="zh-CN"/>
              </w:rPr>
              <w:t>于20</w:t>
            </w:r>
            <w:r>
              <w:rPr>
                <w:rFonts w:hint="eastAsia" w:ascii="Times New Roman" w:hAnsi="Times New Roman" w:cs="Times New Roman"/>
                <w:b w:val="0"/>
                <w:bCs/>
                <w:color w:val="auto"/>
                <w:sz w:val="24"/>
                <w:lang w:val="en-US" w:eastAsia="zh-CN"/>
              </w:rPr>
              <w:t>20</w:t>
            </w:r>
            <w:r>
              <w:rPr>
                <w:rFonts w:hint="default" w:ascii="Times New Roman" w:hAnsi="Times New Roman" w:cs="Times New Roman"/>
                <w:b w:val="0"/>
                <w:bCs/>
                <w:color w:val="auto"/>
                <w:sz w:val="24"/>
                <w:lang w:val="en-US" w:eastAsia="zh-CN"/>
              </w:rPr>
              <w:t>年</w:t>
            </w:r>
            <w:r>
              <w:rPr>
                <w:rFonts w:hint="eastAsia" w:ascii="Times New Roman" w:hAnsi="Times New Roman" w:cs="Times New Roman"/>
                <w:b w:val="0"/>
                <w:bCs/>
                <w:color w:val="auto"/>
                <w:sz w:val="24"/>
                <w:lang w:val="en-US" w:eastAsia="zh-CN"/>
              </w:rPr>
              <w:t>5</w:t>
            </w:r>
            <w:r>
              <w:rPr>
                <w:rFonts w:hint="default" w:ascii="Times New Roman" w:hAnsi="Times New Roman" w:cs="Times New Roman"/>
                <w:b w:val="0"/>
                <w:bCs/>
                <w:color w:val="auto"/>
                <w:sz w:val="24"/>
                <w:lang w:val="en-US" w:eastAsia="zh-CN"/>
              </w:rPr>
              <w:t>月</w:t>
            </w:r>
            <w:r>
              <w:rPr>
                <w:rFonts w:hint="eastAsia" w:ascii="Times New Roman" w:hAnsi="Times New Roman" w:cs="Times New Roman"/>
                <w:b w:val="0"/>
                <w:bCs/>
                <w:color w:val="auto"/>
                <w:sz w:val="24"/>
                <w:lang w:val="en-US" w:eastAsia="zh-CN"/>
              </w:rPr>
              <w:t>27</w:t>
            </w:r>
            <w:r>
              <w:rPr>
                <w:rFonts w:hint="default" w:ascii="Times New Roman" w:hAnsi="Times New Roman" w:cs="Times New Roman"/>
                <w:b w:val="0"/>
                <w:bCs/>
                <w:color w:val="auto"/>
                <w:sz w:val="24"/>
                <w:lang w:val="en-US" w:eastAsia="zh-CN"/>
              </w:rPr>
              <w:t>日对厂</w:t>
            </w:r>
            <w:r>
              <w:rPr>
                <w:rFonts w:hint="eastAsia"/>
                <w:b w:val="0"/>
                <w:bCs/>
                <w:color w:val="auto"/>
                <w:sz w:val="24"/>
                <w:lang w:val="en-US" w:eastAsia="zh-CN"/>
              </w:rPr>
              <w:t>区土壤进行了取样检测，检测结果见下</w:t>
            </w:r>
            <w:r>
              <w:rPr>
                <w:rFonts w:hint="default" w:ascii="Times New Roman" w:hAnsi="Times New Roman" w:cs="Times New Roman"/>
                <w:b w:val="0"/>
                <w:bCs/>
                <w:color w:val="auto"/>
                <w:sz w:val="24"/>
                <w:lang w:val="en-US" w:eastAsia="zh-CN"/>
              </w:rPr>
              <w:t>表：</w:t>
            </w:r>
          </w:p>
          <w:p>
            <w:pPr>
              <w:pStyle w:val="29"/>
              <w:tabs>
                <w:tab w:val="left" w:pos="3377"/>
              </w:tabs>
              <w:autoSpaceDE w:val="0"/>
              <w:autoSpaceDN w:val="0"/>
              <w:spacing w:before="0" w:beforeAutospacing="0" w:after="0" w:afterAutospacing="0" w:line="240" w:lineRule="auto"/>
              <w:jc w:val="center"/>
              <w:rPr>
                <w:rFonts w:hint="eastAsia" w:ascii="黑体" w:hAnsi="黑体" w:eastAsia="黑体" w:cs="黑体"/>
                <w:b w:val="0"/>
                <w:bCs/>
                <w:color w:val="auto"/>
                <w:sz w:val="24"/>
                <w:lang w:val="en-US" w:eastAsia="zh-CN"/>
              </w:rPr>
            </w:pPr>
            <w:r>
              <w:rPr>
                <w:rFonts w:hint="eastAsia" w:ascii="黑体" w:hAnsi="黑体" w:eastAsia="黑体" w:cs="黑体"/>
                <w:b w:val="0"/>
                <w:bCs/>
                <w:color w:val="auto"/>
                <w:sz w:val="24"/>
                <w:lang w:val="en-US" w:eastAsia="zh-CN"/>
              </w:rPr>
              <w:t>表10  土壤检测结果</w:t>
            </w:r>
          </w:p>
          <w:tbl>
            <w:tblPr>
              <w:tblStyle w:val="32"/>
              <w:tblW w:w="5000"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076"/>
              <w:gridCol w:w="2397"/>
              <w:gridCol w:w="2428"/>
              <w:gridCol w:w="2384"/>
              <w:gridCol w:w="78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采样时间</w:t>
                  </w:r>
                </w:p>
              </w:tc>
              <w:tc>
                <w:tcPr>
                  <w:tcW w:w="3973" w:type="pct"/>
                  <w:gridSpan w:val="3"/>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rPr>
                    <w:t>20</w:t>
                  </w:r>
                  <w:r>
                    <w:rPr>
                      <w:rFonts w:hint="eastAsia" w:ascii="Times New Roman" w:hAnsi="Times New Roman" w:eastAsia="宋体" w:cs="Times New Roman"/>
                      <w:color w:val="auto"/>
                      <w:sz w:val="21"/>
                      <w:szCs w:val="21"/>
                      <w:lang w:val="en-US" w:eastAsia="zh-CN"/>
                    </w:rPr>
                    <w:t>20</w:t>
                  </w:r>
                  <w:r>
                    <w:rPr>
                      <w:rFonts w:hint="default" w:ascii="Times New Roman" w:hAnsi="Times New Roman" w:eastAsia="宋体" w:cs="Times New Roman"/>
                      <w:color w:val="auto"/>
                      <w:sz w:val="21"/>
                      <w:szCs w:val="21"/>
                    </w:rPr>
                    <w:t>.</w:t>
                  </w:r>
                  <w:r>
                    <w:rPr>
                      <w:rFonts w:hint="eastAsia" w:cs="Times New Roman"/>
                      <w:color w:val="auto"/>
                      <w:sz w:val="21"/>
                      <w:szCs w:val="21"/>
                      <w:lang w:val="en-US" w:eastAsia="zh-CN"/>
                    </w:rPr>
                    <w:t>5</w:t>
                  </w:r>
                  <w:r>
                    <w:rPr>
                      <w:rFonts w:hint="default" w:ascii="Times New Roman" w:hAnsi="Times New Roman" w:eastAsia="宋体" w:cs="Times New Roman"/>
                      <w:color w:val="auto"/>
                      <w:sz w:val="21"/>
                      <w:szCs w:val="21"/>
                    </w:rPr>
                    <w:t>.</w:t>
                  </w:r>
                  <w:r>
                    <w:rPr>
                      <w:rFonts w:hint="eastAsia" w:cs="Times New Roman"/>
                      <w:color w:val="auto"/>
                      <w:sz w:val="21"/>
                      <w:szCs w:val="21"/>
                      <w:lang w:val="en-US" w:eastAsia="zh-CN"/>
                    </w:rPr>
                    <w:t>27</w:t>
                  </w:r>
                </w:p>
              </w:tc>
              <w:tc>
                <w:tcPr>
                  <w:tcW w:w="433" w:type="pct"/>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标准限值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3"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采样点位</w:t>
                  </w:r>
                </w:p>
              </w:tc>
              <w:tc>
                <w:tcPr>
                  <w:tcW w:w="1321" w:type="pct"/>
                  <w:tcBorders>
                    <w:tl2br w:val="nil"/>
                    <w:tr2bl w:val="nil"/>
                  </w:tcBorders>
                  <w:vAlign w:val="center"/>
                </w:tcPr>
                <w:p>
                  <w:pPr>
                    <w:snapToGrid w:val="0"/>
                    <w:spacing w:line="192" w:lineRule="auto"/>
                    <w:jc w:val="center"/>
                    <w:rPr>
                      <w:rFonts w:hint="default" w:ascii="Times New Roman" w:hAnsi="Times New Roman" w:eastAsia="宋体" w:cs="Times New Roman"/>
                      <w:color w:val="FF0000"/>
                      <w:sz w:val="21"/>
                      <w:szCs w:val="21"/>
                      <w:lang w:eastAsia="zh-CN"/>
                    </w:rPr>
                  </w:pPr>
                  <w:r>
                    <w:rPr>
                      <w:rFonts w:hint="eastAsia"/>
                      <w:color w:val="auto"/>
                      <w:highlight w:val="none"/>
                      <w:lang w:eastAsia="zh-CN"/>
                    </w:rPr>
                    <w:t>厂区东北部</w:t>
                  </w:r>
                  <w:r>
                    <w:rPr>
                      <w:rFonts w:hint="eastAsia"/>
                      <w:color w:val="auto"/>
                      <w:highlight w:val="none"/>
                      <w:lang w:val="en-US" w:eastAsia="zh-CN"/>
                    </w:rPr>
                    <w:t>1#</w:t>
                  </w:r>
                  <w:r>
                    <w:rPr>
                      <w:rFonts w:hint="default" w:ascii="Times New Roman" w:hAnsi="Times New Roman" w:cs="Times New Roman"/>
                      <w:color w:val="auto"/>
                      <w:sz w:val="21"/>
                      <w:szCs w:val="21"/>
                    </w:rPr>
                    <w:t>（表层样）（E:11</w:t>
                  </w:r>
                  <w:r>
                    <w:rPr>
                      <w:rFonts w:hint="eastAsia" w:ascii="Times New Roman" w:hAnsi="Times New Roman" w:cs="Times New Roman"/>
                      <w:color w:val="auto"/>
                      <w:sz w:val="21"/>
                      <w:szCs w:val="21"/>
                      <w:lang w:val="en-US" w:eastAsia="zh-CN"/>
                    </w:rPr>
                    <w:t>4.945864</w:t>
                  </w:r>
                  <w:r>
                    <w:rPr>
                      <w:rFonts w:hint="default" w:ascii="Times New Roman" w:hAnsi="Times New Roman" w:cs="Times New Roman"/>
                      <w:color w:val="auto"/>
                      <w:sz w:val="21"/>
                      <w:szCs w:val="21"/>
                      <w:lang w:val="en-US" w:eastAsia="zh-CN"/>
                    </w:rPr>
                    <w:t>°</w:t>
                  </w:r>
                  <w:r>
                    <w:rPr>
                      <w:rFonts w:hint="default" w:ascii="Times New Roman" w:hAnsi="Times New Roman" w:cs="Times New Roman"/>
                      <w:color w:val="auto"/>
                      <w:sz w:val="21"/>
                      <w:szCs w:val="21"/>
                    </w:rPr>
                    <w:t>N:3</w:t>
                  </w:r>
                  <w:r>
                    <w:rPr>
                      <w:rFonts w:hint="eastAsia" w:ascii="Times New Roman" w:hAnsi="Times New Roman" w:cs="Times New Roman"/>
                      <w:color w:val="auto"/>
                      <w:sz w:val="21"/>
                      <w:szCs w:val="21"/>
                      <w:lang w:val="en-US" w:eastAsia="zh-CN"/>
                    </w:rPr>
                    <w:t>4.287750</w:t>
                  </w:r>
                  <w:r>
                    <w:rPr>
                      <w:rFonts w:hint="default" w:ascii="Times New Roman" w:hAnsi="Times New Roman" w:cs="Times New Roman"/>
                      <w:color w:val="auto"/>
                      <w:sz w:val="21"/>
                      <w:szCs w:val="21"/>
                      <w:lang w:val="en-US" w:eastAsia="zh-CN"/>
                    </w:rPr>
                    <w:t>°</w:t>
                  </w:r>
                  <w:r>
                    <w:rPr>
                      <w:rFonts w:hint="default" w:ascii="Times New Roman" w:hAnsi="Times New Roman" w:cs="Times New Roman"/>
                      <w:color w:val="auto"/>
                      <w:sz w:val="21"/>
                      <w:szCs w:val="21"/>
                    </w:rPr>
                    <w:t>）</w:t>
                  </w:r>
                </w:p>
              </w:tc>
              <w:tc>
                <w:tcPr>
                  <w:tcW w:w="1338" w:type="pct"/>
                  <w:tcBorders>
                    <w:tl2br w:val="nil"/>
                    <w:tr2bl w:val="nil"/>
                  </w:tcBorders>
                  <w:vAlign w:val="center"/>
                </w:tcPr>
                <w:p>
                  <w:pPr>
                    <w:adjustRightInd w:val="0"/>
                    <w:snapToGrid w:val="0"/>
                    <w:jc w:val="center"/>
                    <w:rPr>
                      <w:rFonts w:hint="default" w:ascii="Times New Roman" w:hAnsi="Times New Roman" w:cs="Times New Roman"/>
                      <w:color w:val="auto"/>
                      <w:sz w:val="21"/>
                      <w:szCs w:val="21"/>
                    </w:rPr>
                  </w:pPr>
                  <w:r>
                    <w:rPr>
                      <w:rFonts w:hint="default" w:ascii="Times New Roman" w:hAnsi="Times New Roman" w:cs="Times New Roman"/>
                      <w:sz w:val="21"/>
                      <w:szCs w:val="21"/>
                      <w:highlight w:val="none"/>
                      <w:lang w:val="en-US" w:eastAsia="zh-CN"/>
                    </w:rPr>
                    <w:t>厂区西北部2#</w:t>
                  </w:r>
                  <w:r>
                    <w:rPr>
                      <w:rFonts w:hint="default" w:ascii="Times New Roman" w:hAnsi="Times New Roman" w:cs="Times New Roman"/>
                      <w:color w:val="auto"/>
                      <w:sz w:val="21"/>
                      <w:szCs w:val="21"/>
                    </w:rPr>
                    <w:t>（表层样）</w:t>
                  </w:r>
                </w:p>
                <w:p>
                  <w:pPr>
                    <w:pStyle w:val="124"/>
                    <w:rPr>
                      <w:rFonts w:hint="default" w:ascii="Times New Roman" w:hAnsi="Times New Roman" w:eastAsia="宋体" w:cs="Times New Roman"/>
                      <w:color w:val="FF0000"/>
                      <w:sz w:val="21"/>
                      <w:szCs w:val="21"/>
                      <w:lang w:eastAsia="zh-CN"/>
                    </w:rPr>
                  </w:pPr>
                  <w:r>
                    <w:rPr>
                      <w:rFonts w:hint="default" w:ascii="Times New Roman" w:hAnsi="Times New Roman" w:cs="Times New Roman"/>
                      <w:color w:val="auto"/>
                      <w:sz w:val="21"/>
                      <w:szCs w:val="21"/>
                    </w:rPr>
                    <w:t>（E:11</w:t>
                  </w:r>
                  <w:r>
                    <w:rPr>
                      <w:rFonts w:hint="eastAsia" w:ascii="Times New Roman" w:hAnsi="Times New Roman" w:cs="Times New Roman"/>
                      <w:color w:val="auto"/>
                      <w:sz w:val="21"/>
                      <w:szCs w:val="21"/>
                      <w:lang w:val="en-US" w:eastAsia="zh-CN"/>
                    </w:rPr>
                    <w:t>4.527102</w:t>
                  </w:r>
                  <w:r>
                    <w:rPr>
                      <w:rFonts w:hint="default" w:ascii="Times New Roman" w:hAnsi="Times New Roman" w:cs="Times New Roman"/>
                      <w:color w:val="auto"/>
                      <w:sz w:val="21"/>
                      <w:szCs w:val="21"/>
                      <w:lang w:val="en-US" w:eastAsia="zh-CN"/>
                    </w:rPr>
                    <w:t>°</w:t>
                  </w:r>
                  <w:r>
                    <w:rPr>
                      <w:rFonts w:hint="default" w:ascii="Times New Roman" w:hAnsi="Times New Roman" w:cs="Times New Roman"/>
                      <w:color w:val="auto"/>
                      <w:sz w:val="21"/>
                      <w:szCs w:val="21"/>
                    </w:rPr>
                    <w:t>N:</w:t>
                  </w:r>
                  <w:r>
                    <w:rPr>
                      <w:rFonts w:hint="eastAsia" w:ascii="Times New Roman" w:hAnsi="Times New Roman" w:cs="Times New Roman"/>
                      <w:color w:val="auto"/>
                      <w:sz w:val="21"/>
                      <w:szCs w:val="21"/>
                      <w:lang w:val="en-US" w:eastAsia="zh-CN"/>
                    </w:rPr>
                    <w:t>34.916819</w:t>
                  </w:r>
                  <w:r>
                    <w:rPr>
                      <w:rFonts w:hint="default" w:ascii="Times New Roman" w:hAnsi="Times New Roman" w:cs="Times New Roman"/>
                      <w:color w:val="auto"/>
                      <w:sz w:val="21"/>
                      <w:szCs w:val="21"/>
                      <w:lang w:val="en-US" w:eastAsia="zh-CN"/>
                    </w:rPr>
                    <w:t>°</w:t>
                  </w:r>
                  <w:r>
                    <w:rPr>
                      <w:rFonts w:hint="default" w:ascii="Times New Roman" w:hAnsi="Times New Roman" w:cs="Times New Roman"/>
                      <w:color w:val="auto"/>
                      <w:sz w:val="21"/>
                      <w:szCs w:val="21"/>
                    </w:rPr>
                    <w:t>）</w:t>
                  </w:r>
                </w:p>
              </w:tc>
              <w:tc>
                <w:tcPr>
                  <w:tcW w:w="1314" w:type="pct"/>
                  <w:tcBorders>
                    <w:tl2br w:val="nil"/>
                    <w:tr2bl w:val="nil"/>
                  </w:tcBorders>
                  <w:vAlign w:val="center"/>
                </w:tcPr>
                <w:p>
                  <w:pPr>
                    <w:adjustRightInd w:val="0"/>
                    <w:snapToGrid w:val="0"/>
                    <w:jc w:val="center"/>
                    <w:rPr>
                      <w:rFonts w:hint="default" w:ascii="Times New Roman" w:hAnsi="Times New Roman" w:cs="Times New Roman"/>
                      <w:color w:val="auto"/>
                      <w:sz w:val="21"/>
                      <w:szCs w:val="21"/>
                    </w:rPr>
                  </w:pPr>
                  <w:r>
                    <w:rPr>
                      <w:rFonts w:hint="default" w:ascii="Times New Roman" w:hAnsi="Times New Roman" w:cs="Times New Roman"/>
                      <w:sz w:val="21"/>
                      <w:szCs w:val="21"/>
                      <w:highlight w:val="none"/>
                      <w:lang w:val="en-US" w:eastAsia="zh-CN"/>
                    </w:rPr>
                    <w:t>厂区西南部3#</w:t>
                  </w:r>
                  <w:r>
                    <w:rPr>
                      <w:rFonts w:hint="default" w:ascii="Times New Roman" w:hAnsi="Times New Roman" w:cs="Times New Roman"/>
                      <w:color w:val="auto"/>
                      <w:sz w:val="21"/>
                      <w:szCs w:val="21"/>
                    </w:rPr>
                    <w:t>（表层样）</w:t>
                  </w:r>
                </w:p>
                <w:p>
                  <w:pPr>
                    <w:pStyle w:val="124"/>
                    <w:rPr>
                      <w:rFonts w:hint="default" w:ascii="Times New Roman" w:hAnsi="Times New Roman" w:eastAsia="宋体" w:cs="Times New Roman"/>
                      <w:color w:val="FF0000"/>
                      <w:sz w:val="21"/>
                      <w:szCs w:val="21"/>
                      <w:lang w:eastAsia="zh-CN"/>
                    </w:rPr>
                  </w:pPr>
                  <w:r>
                    <w:rPr>
                      <w:rFonts w:hint="default" w:ascii="Times New Roman" w:hAnsi="Times New Roman" w:cs="Times New Roman"/>
                      <w:color w:val="auto"/>
                      <w:sz w:val="21"/>
                      <w:szCs w:val="21"/>
                    </w:rPr>
                    <w:t>（E:11</w:t>
                  </w:r>
                  <w:r>
                    <w:rPr>
                      <w:rFonts w:hint="eastAsia" w:ascii="Times New Roman" w:hAnsi="Times New Roman" w:cs="Times New Roman"/>
                      <w:color w:val="auto"/>
                      <w:sz w:val="21"/>
                      <w:szCs w:val="21"/>
                      <w:lang w:val="en-US" w:eastAsia="zh-CN"/>
                    </w:rPr>
                    <w:t>4.527094</w:t>
                  </w:r>
                  <w:r>
                    <w:rPr>
                      <w:rFonts w:hint="default" w:ascii="Times New Roman" w:hAnsi="Times New Roman" w:cs="Times New Roman"/>
                      <w:color w:val="auto"/>
                      <w:sz w:val="21"/>
                      <w:szCs w:val="21"/>
                      <w:lang w:val="en-US" w:eastAsia="zh-CN"/>
                    </w:rPr>
                    <w:t>°</w:t>
                  </w:r>
                  <w:r>
                    <w:rPr>
                      <w:rFonts w:hint="default" w:ascii="Times New Roman" w:hAnsi="Times New Roman" w:cs="Times New Roman"/>
                      <w:color w:val="auto"/>
                      <w:sz w:val="21"/>
                      <w:szCs w:val="21"/>
                    </w:rPr>
                    <w:t>N:3</w:t>
                  </w:r>
                  <w:r>
                    <w:rPr>
                      <w:rFonts w:hint="eastAsia" w:ascii="Times New Roman" w:hAnsi="Times New Roman" w:cs="Times New Roman"/>
                      <w:color w:val="auto"/>
                      <w:sz w:val="21"/>
                      <w:szCs w:val="21"/>
                      <w:lang w:val="en-US" w:eastAsia="zh-CN"/>
                    </w:rPr>
                    <w:t>4.916971</w:t>
                  </w:r>
                  <w:r>
                    <w:rPr>
                      <w:rFonts w:hint="default" w:ascii="Times New Roman" w:hAnsi="Times New Roman" w:cs="Times New Roman"/>
                      <w:color w:val="auto"/>
                      <w:sz w:val="21"/>
                      <w:szCs w:val="21"/>
                      <w:lang w:val="en-US" w:eastAsia="zh-CN"/>
                    </w:rPr>
                    <w:t>°</w:t>
                  </w:r>
                  <w:r>
                    <w:rPr>
                      <w:rFonts w:hint="default" w:ascii="Times New Roman" w:hAnsi="Times New Roman" w:cs="Times New Roman"/>
                      <w:color w:val="auto"/>
                      <w:sz w:val="21"/>
                      <w:szCs w:val="21"/>
                    </w:rPr>
                    <w:t>）</w:t>
                  </w:r>
                </w:p>
              </w:tc>
              <w:tc>
                <w:tcPr>
                  <w:tcW w:w="433" w:type="pct"/>
                  <w:vMerge w:val="continue"/>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rPr>
                    <w:t>砷（mg/kg）</w:t>
                  </w:r>
                </w:p>
              </w:tc>
              <w:tc>
                <w:tcPr>
                  <w:tcW w:w="2397" w:type="dxa"/>
                  <w:tcBorders>
                    <w:tl2br w:val="nil"/>
                    <w:tr2bl w:val="nil"/>
                  </w:tcBorders>
                  <w:vAlign w:val="center"/>
                </w:tcPr>
                <w:p>
                  <w:pPr>
                    <w:pStyle w:val="124"/>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highlight w:val="none"/>
                      <w:lang w:val="en-US" w:eastAsia="zh-CN" w:bidi="ar-SA"/>
                    </w:rPr>
                    <w:t>8.92</w:t>
                  </w:r>
                </w:p>
              </w:tc>
              <w:tc>
                <w:tcPr>
                  <w:tcW w:w="2428" w:type="dxa"/>
                  <w:tcBorders>
                    <w:tl2br w:val="nil"/>
                    <w:tr2bl w:val="nil"/>
                  </w:tcBorders>
                  <w:vAlign w:val="center"/>
                </w:tcPr>
                <w:p>
                  <w:pPr>
                    <w:pStyle w:val="124"/>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highlight w:val="none"/>
                      <w:lang w:val="en-US" w:eastAsia="zh-CN" w:bidi="ar-SA"/>
                    </w:rPr>
                    <w:t>7.14</w:t>
                  </w:r>
                </w:p>
              </w:tc>
              <w:tc>
                <w:tcPr>
                  <w:tcW w:w="2384" w:type="dxa"/>
                  <w:tcBorders>
                    <w:tl2br w:val="nil"/>
                    <w:tr2bl w:val="nil"/>
                  </w:tcBorders>
                  <w:vAlign w:val="center"/>
                </w:tcPr>
                <w:p>
                  <w:pPr>
                    <w:jc w:val="center"/>
                    <w:textAlignment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bidi="ar"/>
                    </w:rPr>
                    <w:t>7.73</w:t>
                  </w:r>
                </w:p>
              </w:tc>
              <w:tc>
                <w:tcPr>
                  <w:tcW w:w="78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rPr>
                    <w:t>镉（mg/kg）</w:t>
                  </w:r>
                </w:p>
              </w:tc>
              <w:tc>
                <w:tcPr>
                  <w:tcW w:w="2397" w:type="dxa"/>
                  <w:tcBorders>
                    <w:tl2br w:val="nil"/>
                    <w:tr2bl w:val="nil"/>
                  </w:tcBorders>
                  <w:vAlign w:val="center"/>
                </w:tcPr>
                <w:p>
                  <w:pPr>
                    <w:jc w:val="center"/>
                    <w:textAlignment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bidi="ar"/>
                    </w:rPr>
                    <w:t>0.22</w:t>
                  </w:r>
                </w:p>
              </w:tc>
              <w:tc>
                <w:tcPr>
                  <w:tcW w:w="2428" w:type="dxa"/>
                  <w:tcBorders>
                    <w:tl2br w:val="nil"/>
                    <w:tr2bl w:val="nil"/>
                  </w:tcBorders>
                  <w:vAlign w:val="center"/>
                </w:tcPr>
                <w:p>
                  <w:pPr>
                    <w:jc w:val="center"/>
                    <w:textAlignment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bidi="ar"/>
                    </w:rPr>
                    <w:t>0.18</w:t>
                  </w:r>
                </w:p>
              </w:tc>
              <w:tc>
                <w:tcPr>
                  <w:tcW w:w="2384" w:type="dxa"/>
                  <w:tcBorders>
                    <w:tl2br w:val="nil"/>
                    <w:tr2bl w:val="nil"/>
                  </w:tcBorders>
                  <w:vAlign w:val="center"/>
                </w:tcPr>
                <w:p>
                  <w:pPr>
                    <w:jc w:val="center"/>
                    <w:textAlignment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bidi="ar"/>
                    </w:rPr>
                    <w:t>0.20</w:t>
                  </w:r>
                </w:p>
              </w:tc>
              <w:tc>
                <w:tcPr>
                  <w:tcW w:w="78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65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rPr>
                    <w:t>六价铬（mg/kg）</w:t>
                  </w:r>
                </w:p>
              </w:tc>
              <w:tc>
                <w:tcPr>
                  <w:tcW w:w="2397" w:type="dxa"/>
                  <w:tcBorders>
                    <w:tl2br w:val="nil"/>
                    <w:tr2bl w:val="nil"/>
                  </w:tcBorders>
                  <w:vAlign w:val="center"/>
                </w:tcPr>
                <w:p>
                  <w:pPr>
                    <w:jc w:val="center"/>
                    <w:rPr>
                      <w:rFonts w:hint="default" w:ascii="Times New Roman" w:hAnsi="Times New Roman" w:eastAsia="宋体" w:cs="Times New Roman"/>
                      <w:color w:val="FF0000"/>
                      <w:sz w:val="21"/>
                      <w:szCs w:val="21"/>
                      <w:lang w:eastAsia="zh-CN"/>
                    </w:rPr>
                  </w:pPr>
                  <w:r>
                    <w:rPr>
                      <w:rFonts w:hint="default" w:ascii="Times New Roman" w:hAnsi="Times New Roman" w:cs="Times New Roman"/>
                      <w:color w:val="auto"/>
                      <w:sz w:val="21"/>
                      <w:szCs w:val="21"/>
                    </w:rPr>
                    <w:t>未检出</w:t>
                  </w:r>
                </w:p>
              </w:tc>
              <w:tc>
                <w:tcPr>
                  <w:tcW w:w="2428" w:type="dxa"/>
                  <w:tcBorders>
                    <w:tl2br w:val="nil"/>
                    <w:tr2bl w:val="nil"/>
                  </w:tcBorders>
                  <w:vAlign w:val="center"/>
                </w:tcPr>
                <w:p>
                  <w:pPr>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2384" w:type="dxa"/>
                  <w:tcBorders>
                    <w:tl2br w:val="nil"/>
                    <w:tr2bl w:val="nil"/>
                  </w:tcBorders>
                  <w:vAlign w:val="center"/>
                </w:tcPr>
                <w:p>
                  <w:pPr>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78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5.7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rPr>
                    <w:t>铜（mg/kg）</w:t>
                  </w:r>
                </w:p>
              </w:tc>
              <w:tc>
                <w:tcPr>
                  <w:tcW w:w="2397"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lang w:val="en-US" w:eastAsia="zh-CN"/>
                    </w:rPr>
                    <w:t>58</w:t>
                  </w:r>
                </w:p>
              </w:tc>
              <w:tc>
                <w:tcPr>
                  <w:tcW w:w="2428"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bidi="ar-SA"/>
                    </w:rPr>
                    <w:t>61</w:t>
                  </w:r>
                </w:p>
              </w:tc>
              <w:tc>
                <w:tcPr>
                  <w:tcW w:w="2384"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lang w:val="en-US" w:eastAsia="zh-CN"/>
                    </w:rPr>
                    <w:t>52</w:t>
                  </w:r>
                </w:p>
              </w:tc>
              <w:tc>
                <w:tcPr>
                  <w:tcW w:w="78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18000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rPr>
                    <w:t>铅（mg/kg）</w:t>
                  </w:r>
                </w:p>
              </w:tc>
              <w:tc>
                <w:tcPr>
                  <w:tcW w:w="2397"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rPr>
                    <w:t>21.2</w:t>
                  </w:r>
                </w:p>
              </w:tc>
              <w:tc>
                <w:tcPr>
                  <w:tcW w:w="2428"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bidi="ar-SA"/>
                    </w:rPr>
                    <w:t>18.1</w:t>
                  </w:r>
                </w:p>
              </w:tc>
              <w:tc>
                <w:tcPr>
                  <w:tcW w:w="2384"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lang w:val="en-US" w:eastAsia="zh-CN"/>
                    </w:rPr>
                    <w:t>19.4</w:t>
                  </w:r>
                </w:p>
              </w:tc>
              <w:tc>
                <w:tcPr>
                  <w:tcW w:w="78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800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rPr>
                    <w:t>汞（mg/kg）</w:t>
                  </w:r>
                </w:p>
              </w:tc>
              <w:tc>
                <w:tcPr>
                  <w:tcW w:w="2397"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lang w:val="en-US" w:eastAsia="zh-CN"/>
                    </w:rPr>
                    <w:t>0.049</w:t>
                  </w:r>
                </w:p>
              </w:tc>
              <w:tc>
                <w:tcPr>
                  <w:tcW w:w="2428"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bidi="ar-SA"/>
                    </w:rPr>
                    <w:t>0.032</w:t>
                  </w:r>
                </w:p>
              </w:tc>
              <w:tc>
                <w:tcPr>
                  <w:tcW w:w="2384"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lang w:val="en-US" w:eastAsia="zh-CN"/>
                    </w:rPr>
                    <w:t>0.038</w:t>
                  </w:r>
                </w:p>
              </w:tc>
              <w:tc>
                <w:tcPr>
                  <w:tcW w:w="78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38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rPr>
                    <w:t>镍（mg/kg）</w:t>
                  </w:r>
                </w:p>
              </w:tc>
              <w:tc>
                <w:tcPr>
                  <w:tcW w:w="2397"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lang w:val="en-US" w:eastAsia="zh-CN"/>
                    </w:rPr>
                    <w:t>41</w:t>
                  </w:r>
                </w:p>
              </w:tc>
              <w:tc>
                <w:tcPr>
                  <w:tcW w:w="2428"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eastAsia="宋体" w:cs="Times New Roman"/>
                      <w:color w:val="auto"/>
                      <w:sz w:val="21"/>
                      <w:szCs w:val="21"/>
                      <w:lang w:val="en-US" w:eastAsia="zh-CN" w:bidi="ar-SA"/>
                    </w:rPr>
                    <w:t>53</w:t>
                  </w:r>
                </w:p>
              </w:tc>
              <w:tc>
                <w:tcPr>
                  <w:tcW w:w="2384" w:type="dxa"/>
                  <w:tcBorders>
                    <w:tl2br w:val="nil"/>
                    <w:tr2bl w:val="nil"/>
                  </w:tcBorders>
                  <w:vAlign w:val="center"/>
                </w:tcPr>
                <w:p>
                  <w:pPr>
                    <w:jc w:val="center"/>
                    <w:rPr>
                      <w:rFonts w:hint="default" w:ascii="Times New Roman" w:hAnsi="Times New Roman" w:eastAsia="宋体" w:cs="Times New Roman"/>
                      <w:color w:val="FF0000"/>
                      <w:sz w:val="21"/>
                      <w:szCs w:val="21"/>
                      <w:lang w:val="en-US" w:eastAsia="zh-CN"/>
                    </w:rPr>
                  </w:pPr>
                  <w:r>
                    <w:rPr>
                      <w:rFonts w:hint="eastAsia" w:ascii="Times New Roman" w:hAnsi="Times New Roman" w:cs="Times New Roman"/>
                      <w:color w:val="auto"/>
                      <w:sz w:val="21"/>
                      <w:szCs w:val="21"/>
                      <w:lang w:val="en-US" w:eastAsia="zh-CN"/>
                    </w:rPr>
                    <w:t>42</w:t>
                  </w:r>
                </w:p>
              </w:tc>
              <w:tc>
                <w:tcPr>
                  <w:tcW w:w="78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900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四氯化碳</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氯仿（mg/kg）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0.9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氯甲烷</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pacing w:val="5"/>
                      <w:sz w:val="21"/>
                      <w:szCs w:val="21"/>
                    </w:rPr>
                    <w:t>37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1,1-二氯乙烷（</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1,2-二氯乙烷（</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1,1-二氯乙烯（</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66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顺-1,2-二氯乙烯（</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596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反-1,2-二氯乙烯（</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二氯甲烷</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pacing w:val="5"/>
                      <w:sz w:val="21"/>
                      <w:szCs w:val="21"/>
                    </w:rPr>
                    <w:t>616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1,2-二氯丙烷（</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1,1,1,2-四氯乙烷（</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1,1,2,2-四氯乙烷（</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6.8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四氯乙烯</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53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1,1,1-三氯乙烷（</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840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1,1,2-三氯乙烷（</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pacing w:val="5"/>
                      <w:sz w:val="21"/>
                      <w:szCs w:val="21"/>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三氯乙烯</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1,2,3-三氯丙烷（</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氯乙烯</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0.43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苯（</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氯苯（</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270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1,2-二氯苯</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560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1,4-二氯苯</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乙苯（</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苯乙烯</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1290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甲苯（</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1200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间-二甲苯+对-二甲苯</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570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邻-二甲苯</w:t>
                  </w:r>
                </w:p>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w:t>
                  </w:r>
                  <w:r>
                    <w:rPr>
                      <w:rFonts w:hint="eastAsia" w:ascii="Times New Roman" w:hAnsi="Times New Roman" w:eastAsia="宋体" w:cs="Times New Roman"/>
                      <w:color w:val="auto"/>
                      <w:sz w:val="21"/>
                      <w:szCs w:val="21"/>
                      <w:lang w:val="en-US" w:eastAsia="zh-CN"/>
                    </w:rPr>
                    <w:t>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640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硝基苯（mg/kg）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76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 xml:space="preserve">苯胺（mg/kg） </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260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2-氯酚（mg/kg）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2256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苯并[a]蒽（mg/kg）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苯并[a]芘（mg/kg）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苯并[b]荧蒽（mg/kg）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苯并[k]荧蒽（mg/kg）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151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䓛（mg/kg）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1293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二苯并[a,h]蒽（mg/kg）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茚并[1,2,3-cd]芘（mg/kg）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593" w:type="pct"/>
                  <w:tcBorders>
                    <w:tl2br w:val="nil"/>
                    <w:tr2bl w:val="nil"/>
                  </w:tcBorders>
                  <w:vAlign w:val="center"/>
                </w:tcPr>
                <w:p>
                  <w:pPr>
                    <w:snapToGrid w:val="0"/>
                    <w:spacing w:line="240" w:lineRule="auto"/>
                    <w:jc w:val="center"/>
                    <w:rPr>
                      <w:rFonts w:hint="default" w:ascii="Times New Roman" w:hAnsi="Times New Roman" w:eastAsia="宋体" w:cs="Times New Roman"/>
                      <w:color w:val="FF0000"/>
                      <w:sz w:val="21"/>
                      <w:szCs w:val="21"/>
                    </w:rPr>
                  </w:pPr>
                  <w:r>
                    <w:rPr>
                      <w:rFonts w:hint="default" w:ascii="Times New Roman" w:hAnsi="Times New Roman" w:eastAsia="宋体" w:cs="Times New Roman"/>
                      <w:color w:val="auto"/>
                      <w:sz w:val="21"/>
                      <w:szCs w:val="21"/>
                      <w:lang w:val="en-US" w:eastAsia="zh-CN"/>
                    </w:rPr>
                    <w:t>萘（mg/kg）</w:t>
                  </w:r>
                </w:p>
              </w:tc>
              <w:tc>
                <w:tcPr>
                  <w:tcW w:w="1321" w:type="pct"/>
                  <w:tcBorders>
                    <w:tl2br w:val="nil"/>
                    <w:tr2bl w:val="nil"/>
                  </w:tcBorders>
                  <w:vAlign w:val="center"/>
                </w:tcPr>
                <w:p>
                  <w:pPr>
                    <w:adjustRightInd w:val="0"/>
                    <w:snapToGrid w:val="0"/>
                    <w:spacing w:line="192" w:lineRule="auto"/>
                    <w:jc w:val="center"/>
                    <w:rPr>
                      <w:rFonts w:hint="default" w:ascii="Times New Roman" w:hAnsi="Times New Roman" w:eastAsia="宋体" w:cs="Times New Roman"/>
                      <w:color w:val="FF0000"/>
                      <w:sz w:val="21"/>
                      <w:szCs w:val="21"/>
                      <w:lang w:val="en-US"/>
                    </w:rPr>
                  </w:pPr>
                  <w:r>
                    <w:rPr>
                      <w:rFonts w:hint="default" w:ascii="Times New Roman" w:hAnsi="Times New Roman" w:cs="Times New Roman"/>
                      <w:color w:val="auto"/>
                      <w:sz w:val="21"/>
                      <w:szCs w:val="21"/>
                    </w:rPr>
                    <w:t>未检出</w:t>
                  </w:r>
                </w:p>
              </w:tc>
              <w:tc>
                <w:tcPr>
                  <w:tcW w:w="1338"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w:t>
                  </w:r>
                </w:p>
              </w:tc>
              <w:tc>
                <w:tcPr>
                  <w:tcW w:w="1314" w:type="pc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val="en-US"/>
                    </w:rPr>
                  </w:pPr>
                  <w:r>
                    <w:rPr>
                      <w:rFonts w:hint="default" w:ascii="Times New Roman" w:hAnsi="Times New Roman" w:eastAsia="宋体" w:cs="Times New Roman"/>
                      <w:color w:val="auto"/>
                      <w:sz w:val="21"/>
                      <w:szCs w:val="21"/>
                      <w:lang w:val="en-US" w:eastAsia="zh-CN"/>
                    </w:rPr>
                    <w:t>/</w:t>
                  </w:r>
                </w:p>
              </w:tc>
              <w:tc>
                <w:tcPr>
                  <w:tcW w:w="786" w:type="dxa"/>
                  <w:tcBorders>
                    <w:tl2br w:val="nil"/>
                    <w:tr2bl w:val="nil"/>
                  </w:tcBorders>
                  <w:vAlign w:val="center"/>
                </w:tcPr>
                <w:p>
                  <w:pPr>
                    <w:spacing w:line="240" w:lineRule="auto"/>
                    <w:jc w:val="center"/>
                    <w:rPr>
                      <w:rFonts w:hint="default" w:ascii="Times New Roman" w:hAnsi="Times New Roman" w:eastAsia="宋体" w:cs="Times New Roman"/>
                      <w:color w:val="FF0000"/>
                      <w:sz w:val="21"/>
                      <w:szCs w:val="21"/>
                      <w:lang w:val="en-US" w:eastAsia="zh-CN"/>
                    </w:rPr>
                  </w:pPr>
                  <w:r>
                    <w:rPr>
                      <w:rFonts w:hint="default" w:ascii="Times New Roman" w:hAnsi="Times New Roman" w:cs="Times New Roman"/>
                      <w:color w:val="auto"/>
                      <w:spacing w:val="5"/>
                      <w:sz w:val="21"/>
                      <w:szCs w:val="21"/>
                    </w:rPr>
                    <w:t>70</w:t>
                  </w:r>
                </w:p>
              </w:tc>
            </w:tr>
          </w:tbl>
          <w:p>
            <w:pPr>
              <w:pStyle w:val="29"/>
              <w:keepNext w:val="0"/>
              <w:keepLines w:val="0"/>
              <w:pageBreakBefore w:val="0"/>
              <w:widowControl/>
              <w:tabs>
                <w:tab w:val="left" w:pos="3377"/>
              </w:tabs>
              <w:kinsoku/>
              <w:wordWrap/>
              <w:overflowPunct/>
              <w:topLinePunct w:val="0"/>
              <w:autoSpaceDE w:val="0"/>
              <w:autoSpaceDN w:val="0"/>
              <w:bidi w:val="0"/>
              <w:adjustRightInd/>
              <w:snapToGrid/>
              <w:spacing w:before="0" w:beforeAutospacing="0" w:after="0" w:afterAutospacing="0" w:line="240" w:lineRule="exact"/>
              <w:ind w:firstLine="480" w:firstLineChars="200"/>
              <w:jc w:val="both"/>
              <w:textAlignment w:val="auto"/>
              <w:rPr>
                <w:rFonts w:ascii="Times New Roman" w:hAnsi="Times New Roman"/>
                <w:color w:val="FF0000"/>
                <w:sz w:val="24"/>
                <w:szCs w:val="24"/>
              </w:rPr>
            </w:pPr>
          </w:p>
          <w:p>
            <w:pPr>
              <w:kinsoku w:val="0"/>
              <w:overflowPunct w:val="0"/>
              <w:autoSpaceDE w:val="0"/>
              <w:autoSpaceDN w:val="0"/>
              <w:adjustRightInd w:val="0"/>
              <w:snapToGrid w:val="0"/>
              <w:spacing w:line="240" w:lineRule="auto"/>
              <w:jc w:val="center"/>
              <w:rPr>
                <w:rFonts w:hint="eastAsia" w:ascii="黑体" w:hAnsi="黑体" w:eastAsia="黑体" w:cs="黑体"/>
                <w:color w:val="auto"/>
                <w:sz w:val="24"/>
                <w:szCs w:val="24"/>
              </w:rPr>
            </w:pPr>
            <w:r>
              <w:rPr>
                <w:rFonts w:hint="eastAsia" w:ascii="黑体" w:hAnsi="黑体" w:eastAsia="黑体" w:cs="黑体"/>
                <w:color w:val="auto"/>
                <w:sz w:val="24"/>
                <w:szCs w:val="24"/>
              </w:rPr>
              <w:t>表</w:t>
            </w:r>
            <w:r>
              <w:rPr>
                <w:rFonts w:hint="eastAsia" w:ascii="黑体" w:hAnsi="黑体" w:eastAsia="黑体" w:cs="黑体"/>
                <w:color w:val="auto"/>
                <w:sz w:val="24"/>
                <w:szCs w:val="24"/>
                <w:lang w:val="en-US" w:eastAsia="zh-CN"/>
              </w:rPr>
              <w:t>11</w:t>
            </w:r>
            <w:r>
              <w:rPr>
                <w:rFonts w:hint="eastAsia" w:ascii="黑体" w:hAnsi="黑体" w:eastAsia="黑体" w:cs="黑体"/>
                <w:color w:val="auto"/>
                <w:sz w:val="24"/>
                <w:szCs w:val="24"/>
              </w:rPr>
              <w:t xml:space="preserve">  土壤理化性质调查表</w:t>
            </w:r>
          </w:p>
          <w:tbl>
            <w:tblPr>
              <w:tblStyle w:val="32"/>
              <w:tblW w:w="4965"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562"/>
              <w:gridCol w:w="2118"/>
              <w:gridCol w:w="2138"/>
              <w:gridCol w:w="2103"/>
              <w:gridCol w:w="208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487" w:type="pct"/>
                  <w:gridSpan w:val="2"/>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点号</w:t>
                  </w:r>
                </w:p>
              </w:tc>
              <w:tc>
                <w:tcPr>
                  <w:tcW w:w="1186" w:type="pc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eastAsia"/>
                      <w:color w:val="auto"/>
                      <w:highlight w:val="none"/>
                      <w:lang w:eastAsia="zh-CN"/>
                    </w:rPr>
                    <w:t>厂区东北部</w:t>
                  </w:r>
                  <w:r>
                    <w:rPr>
                      <w:rFonts w:hint="eastAsia"/>
                      <w:color w:val="auto"/>
                      <w:highlight w:val="none"/>
                      <w:lang w:val="en-US" w:eastAsia="zh-CN"/>
                    </w:rPr>
                    <w:t>1#</w:t>
                  </w:r>
                </w:p>
              </w:tc>
              <w:tc>
                <w:tcPr>
                  <w:tcW w:w="1167" w:type="pct"/>
                  <w:tcBorders>
                    <w:tl2br w:val="nil"/>
                    <w:tr2bl w:val="nil"/>
                  </w:tcBorders>
                  <w:vAlign w:val="center"/>
                </w:tcPr>
                <w:p>
                  <w:pPr>
                    <w:spacing w:line="240" w:lineRule="auto"/>
                    <w:jc w:val="center"/>
                    <w:rPr>
                      <w:rFonts w:hint="eastAsia"/>
                      <w:color w:val="auto"/>
                      <w:highlight w:val="none"/>
                      <w:lang w:eastAsia="zh-CN"/>
                    </w:rPr>
                  </w:pPr>
                  <w:r>
                    <w:rPr>
                      <w:rFonts w:hint="default" w:ascii="Times New Roman" w:hAnsi="Times New Roman" w:cs="Times New Roman"/>
                      <w:color w:val="auto"/>
                      <w:sz w:val="21"/>
                      <w:szCs w:val="21"/>
                      <w:highlight w:val="none"/>
                      <w:lang w:val="en-US" w:eastAsia="zh-CN"/>
                    </w:rPr>
                    <w:t>厂区西北部2#</w:t>
                  </w:r>
                </w:p>
              </w:tc>
              <w:tc>
                <w:tcPr>
                  <w:tcW w:w="1158" w:type="pct"/>
                  <w:tcBorders>
                    <w:tl2br w:val="nil"/>
                    <w:tr2bl w:val="nil"/>
                  </w:tcBorders>
                  <w:vAlign w:val="center"/>
                </w:tcPr>
                <w:p>
                  <w:pPr>
                    <w:spacing w:line="240" w:lineRule="auto"/>
                    <w:jc w:val="center"/>
                    <w:rPr>
                      <w:rFonts w:hint="eastAsia"/>
                      <w:color w:val="auto"/>
                      <w:highlight w:val="none"/>
                      <w:lang w:eastAsia="zh-CN"/>
                    </w:rPr>
                  </w:pPr>
                  <w:r>
                    <w:rPr>
                      <w:rFonts w:hint="default" w:ascii="Times New Roman" w:hAnsi="Times New Roman" w:cs="Times New Roman"/>
                      <w:color w:val="auto"/>
                      <w:sz w:val="21"/>
                      <w:szCs w:val="21"/>
                      <w:highlight w:val="none"/>
                      <w:lang w:val="en-US" w:eastAsia="zh-CN"/>
                    </w:rPr>
                    <w:t>厂区西南部3#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487" w:type="pct"/>
                  <w:gridSpan w:val="2"/>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层数</w:t>
                  </w:r>
                </w:p>
              </w:tc>
              <w:tc>
                <w:tcPr>
                  <w:tcW w:w="1186" w:type="pct"/>
                  <w:tcBorders>
                    <w:tl2br w:val="nil"/>
                    <w:tr2bl w:val="nil"/>
                  </w:tcBorders>
                  <w:vAlign w:val="center"/>
                </w:tcPr>
                <w:p>
                  <w:pPr>
                    <w:tabs>
                      <w:tab w:val="center" w:pos="1440"/>
                    </w:tabs>
                    <w:spacing w:line="240" w:lineRule="exact"/>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0-0.</w:t>
                  </w:r>
                  <w:r>
                    <w:rPr>
                      <w:rFonts w:hint="default" w:ascii="Times New Roman" w:hAnsi="Times New Roman" w:cs="Times New Roman"/>
                      <w:color w:val="auto"/>
                      <w:sz w:val="21"/>
                      <w:szCs w:val="21"/>
                      <w:lang w:val="en-US" w:eastAsia="zh-CN"/>
                    </w:rPr>
                    <w:t>2</w:t>
                  </w:r>
                  <w:r>
                    <w:rPr>
                      <w:rFonts w:hint="default" w:ascii="Times New Roman" w:hAnsi="Times New Roman" w:cs="Times New Roman"/>
                      <w:color w:val="auto"/>
                      <w:sz w:val="21"/>
                      <w:szCs w:val="21"/>
                    </w:rPr>
                    <w:t>m</w:t>
                  </w:r>
                </w:p>
              </w:tc>
              <w:tc>
                <w:tcPr>
                  <w:tcW w:w="1167" w:type="pct"/>
                  <w:tcBorders>
                    <w:tl2br w:val="nil"/>
                    <w:tr2bl w:val="nil"/>
                  </w:tcBorders>
                  <w:vAlign w:val="center"/>
                </w:tcPr>
                <w:p>
                  <w:pPr>
                    <w:tabs>
                      <w:tab w:val="center" w:pos="1440"/>
                    </w:tabs>
                    <w:spacing w:line="240" w:lineRule="exact"/>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0-0.</w:t>
                  </w:r>
                  <w:r>
                    <w:rPr>
                      <w:rFonts w:hint="default" w:ascii="Times New Roman" w:hAnsi="Times New Roman" w:cs="Times New Roman"/>
                      <w:color w:val="auto"/>
                      <w:sz w:val="21"/>
                      <w:szCs w:val="21"/>
                      <w:lang w:val="en-US" w:eastAsia="zh-CN"/>
                    </w:rPr>
                    <w:t>2</w:t>
                  </w:r>
                  <w:r>
                    <w:rPr>
                      <w:rFonts w:hint="default" w:ascii="Times New Roman" w:hAnsi="Times New Roman" w:cs="Times New Roman"/>
                      <w:color w:val="auto"/>
                      <w:sz w:val="21"/>
                      <w:szCs w:val="21"/>
                    </w:rPr>
                    <w:t>m</w:t>
                  </w:r>
                </w:p>
              </w:tc>
              <w:tc>
                <w:tcPr>
                  <w:tcW w:w="1158" w:type="pct"/>
                  <w:tcBorders>
                    <w:tl2br w:val="nil"/>
                    <w:tr2bl w:val="nil"/>
                  </w:tcBorders>
                  <w:vAlign w:val="center"/>
                </w:tcPr>
                <w:p>
                  <w:pPr>
                    <w:tabs>
                      <w:tab w:val="center" w:pos="1440"/>
                    </w:tabs>
                    <w:spacing w:line="240" w:lineRule="exact"/>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0-0.</w:t>
                  </w:r>
                  <w:r>
                    <w:rPr>
                      <w:rFonts w:hint="default" w:ascii="Times New Roman" w:hAnsi="Times New Roman" w:cs="Times New Roman"/>
                      <w:color w:val="auto"/>
                      <w:sz w:val="21"/>
                      <w:szCs w:val="21"/>
                      <w:lang w:val="en-US" w:eastAsia="zh-CN"/>
                    </w:rPr>
                    <w:t>2</w:t>
                  </w:r>
                  <w:r>
                    <w:rPr>
                      <w:rFonts w:hint="default" w:ascii="Times New Roman" w:hAnsi="Times New Roman" w:cs="Times New Roman"/>
                      <w:color w:val="auto"/>
                      <w:sz w:val="21"/>
                      <w:szCs w:val="21"/>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restar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现场记录</w:t>
                  </w:r>
                </w:p>
              </w:tc>
              <w:tc>
                <w:tcPr>
                  <w:tcW w:w="1175" w:type="pc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颜色</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eastAsia" w:ascii="Times New Roman" w:hAnsi="Times New Roman" w:eastAsia="宋体" w:cs="Times New Roman"/>
                      <w:color w:val="auto"/>
                      <w:sz w:val="21"/>
                      <w:szCs w:val="21"/>
                      <w:lang w:val="en-US" w:eastAsia="zh-CN"/>
                    </w:rPr>
                    <w:t>黄色</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eastAsia" w:ascii="Times New Roman" w:hAnsi="Times New Roman" w:eastAsia="宋体" w:cs="Times New Roman"/>
                      <w:color w:val="auto"/>
                      <w:sz w:val="21"/>
                      <w:szCs w:val="21"/>
                      <w:lang w:val="en-US" w:eastAsia="zh-CN"/>
                    </w:rPr>
                    <w:t>黄色</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eastAsia" w:ascii="Times New Roman" w:hAnsi="Times New Roman" w:eastAsia="宋体" w:cs="Times New Roman"/>
                      <w:color w:val="auto"/>
                      <w:sz w:val="21"/>
                      <w:szCs w:val="21"/>
                      <w:lang w:val="en-US" w:eastAsia="zh-CN"/>
                    </w:rPr>
                    <w:t>黄色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p>
              </w:tc>
              <w:tc>
                <w:tcPr>
                  <w:tcW w:w="1175" w:type="pc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结构</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团粒</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团粒</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团粒</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p>
              </w:tc>
              <w:tc>
                <w:tcPr>
                  <w:tcW w:w="1175" w:type="pc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质地</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轻壤土</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轻壤土</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轻壤土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p>
              </w:tc>
              <w:tc>
                <w:tcPr>
                  <w:tcW w:w="1175" w:type="pc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砂砾含量</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无</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无</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p>
              </w:tc>
              <w:tc>
                <w:tcPr>
                  <w:tcW w:w="1175" w:type="pc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其他异物</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无</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无</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有少量根系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restar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实验室测定</w:t>
                  </w:r>
                </w:p>
              </w:tc>
              <w:tc>
                <w:tcPr>
                  <w:tcW w:w="1175"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pH值</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b w:val="0"/>
                      <w:bCs w:val="0"/>
                      <w:color w:val="auto"/>
                      <w:sz w:val="21"/>
                      <w:szCs w:val="21"/>
                      <w:vertAlign w:val="baseline"/>
                      <w:lang w:val="en-US" w:eastAsia="zh-CN"/>
                    </w:rPr>
                    <w:t>7.52</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b w:val="0"/>
                      <w:bCs w:val="0"/>
                      <w:color w:val="auto"/>
                      <w:sz w:val="21"/>
                      <w:szCs w:val="21"/>
                      <w:vertAlign w:val="baseline"/>
                      <w:lang w:val="en-US" w:eastAsia="zh-CN"/>
                    </w:rPr>
                    <w:t>7.54</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b w:val="0"/>
                      <w:bCs w:val="0"/>
                      <w:color w:val="auto"/>
                      <w:sz w:val="21"/>
                      <w:szCs w:val="21"/>
                      <w:vertAlign w:val="baseline"/>
                      <w:lang w:val="en-US" w:eastAsia="zh-CN"/>
                    </w:rPr>
                    <w:t>7.50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p>
              </w:tc>
              <w:tc>
                <w:tcPr>
                  <w:tcW w:w="1175"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highlight w:val="none"/>
                      <w:lang w:val="en-US" w:eastAsia="zh-CN"/>
                    </w:rPr>
                    <w:t>土壤容重</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g</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val="en-US" w:eastAsia="zh-CN"/>
                    </w:rPr>
                    <w:t>cm</w:t>
                  </w:r>
                  <w:r>
                    <w:rPr>
                      <w:rFonts w:hint="default" w:ascii="Times New Roman" w:hAnsi="Times New Roman" w:cs="Times New Roman"/>
                      <w:color w:val="auto"/>
                      <w:sz w:val="21"/>
                      <w:szCs w:val="21"/>
                      <w:highlight w:val="none"/>
                      <w:vertAlign w:val="superscript"/>
                      <w:lang w:val="en-US" w:eastAsia="zh-CN"/>
                    </w:rPr>
                    <w:t>3</w:t>
                  </w:r>
                  <w:r>
                    <w:rPr>
                      <w:rFonts w:hint="default" w:ascii="Times New Roman" w:hAnsi="Times New Roman" w:cs="Times New Roman"/>
                      <w:color w:val="auto"/>
                      <w:sz w:val="21"/>
                      <w:szCs w:val="21"/>
                      <w:highlight w:val="none"/>
                    </w:rPr>
                    <w:t>）</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1.07</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1.01</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1.04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p>
              </w:tc>
              <w:tc>
                <w:tcPr>
                  <w:tcW w:w="1175"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阳离子交换量（cmol/kg）</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13.8</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13.2</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14.2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p>
              </w:tc>
              <w:tc>
                <w:tcPr>
                  <w:tcW w:w="1175"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氧化还原电位（mV）</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395</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369</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387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11" w:type="pct"/>
                  <w:vMerge w:val="continue"/>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p>
              </w:tc>
              <w:tc>
                <w:tcPr>
                  <w:tcW w:w="1175"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饱和导水率（cm/s）</w:t>
                  </w:r>
                </w:p>
              </w:tc>
              <w:tc>
                <w:tcPr>
                  <w:tcW w:w="1186"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1.18</w:t>
                  </w:r>
                </w:p>
              </w:tc>
              <w:tc>
                <w:tcPr>
                  <w:tcW w:w="1167"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1.17</w:t>
                  </w:r>
                </w:p>
              </w:tc>
              <w:tc>
                <w:tcPr>
                  <w:tcW w:w="1158" w:type="pct"/>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b w:val="0"/>
                      <w:bCs w:val="0"/>
                      <w:color w:val="auto"/>
                      <w:sz w:val="21"/>
                      <w:szCs w:val="21"/>
                      <w:lang w:val="en-US" w:eastAsia="zh-CN"/>
                    </w:rPr>
                    <w:t>1.23</w:t>
                  </w:r>
                </w:p>
              </w:tc>
            </w:tr>
          </w:tbl>
          <w:p>
            <w:pPr>
              <w:pStyle w:val="2"/>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color w:val="FF0000"/>
              </w:rPr>
            </w:pPr>
          </w:p>
          <w:p>
            <w:pPr>
              <w:spacing w:line="360" w:lineRule="auto"/>
              <w:ind w:firstLine="470" w:firstLineChars="196"/>
              <w:jc w:val="left"/>
              <w:rPr>
                <w:rFonts w:hint="eastAsia"/>
                <w:color w:val="auto"/>
                <w:sz w:val="24"/>
                <w:szCs w:val="24"/>
                <w:lang w:eastAsia="zh-CN"/>
              </w:rPr>
            </w:pPr>
            <w:r>
              <w:rPr>
                <w:rFonts w:hint="eastAsia"/>
                <w:color w:val="auto"/>
                <w:sz w:val="24"/>
                <w:szCs w:val="24"/>
                <w:lang w:eastAsia="zh-CN"/>
              </w:rPr>
              <w:t>由上表可知，</w:t>
            </w:r>
            <w:r>
              <w:rPr>
                <w:rFonts w:hint="eastAsia"/>
                <w:color w:val="auto"/>
                <w:sz w:val="24"/>
                <w:szCs w:val="24"/>
                <w:lang w:val="en-US" w:eastAsia="zh-CN"/>
              </w:rPr>
              <w:t>各</w:t>
            </w:r>
            <w:r>
              <w:rPr>
                <w:rFonts w:hint="eastAsia"/>
                <w:color w:val="auto"/>
                <w:sz w:val="24"/>
                <w:szCs w:val="24"/>
                <w:lang w:eastAsia="zh-CN"/>
              </w:rPr>
              <w:t>监</w:t>
            </w:r>
            <w:r>
              <w:rPr>
                <w:rFonts w:hint="eastAsia"/>
                <w:color w:val="auto"/>
                <w:sz w:val="24"/>
                <w:szCs w:val="24"/>
              </w:rPr>
              <w:t>测点土壤中各监测因子均满足</w:t>
            </w:r>
            <w:r>
              <w:rPr>
                <w:rFonts w:hint="eastAsia"/>
                <w:bCs/>
                <w:color w:val="auto"/>
                <w:sz w:val="24"/>
                <w:szCs w:val="24"/>
              </w:rPr>
              <w:t>《土壤环境质量 建设项目土壤污染风险管控标准（试行）》（GB36600-2018）</w:t>
            </w:r>
            <w:r>
              <w:rPr>
                <w:rFonts w:hint="eastAsia"/>
                <w:color w:val="auto"/>
                <w:sz w:val="24"/>
                <w:szCs w:val="24"/>
              </w:rPr>
              <w:t>第二类用地筛选风险值标准</w:t>
            </w:r>
            <w:r>
              <w:rPr>
                <w:rFonts w:hint="eastAsia"/>
                <w:color w:val="auto"/>
                <w:sz w:val="24"/>
                <w:szCs w:val="24"/>
                <w:lang w:eastAsia="zh-CN"/>
              </w:rPr>
              <w:t>。</w:t>
            </w:r>
          </w:p>
          <w:p>
            <w:pPr>
              <w:spacing w:line="360" w:lineRule="auto"/>
              <w:ind w:firstLine="472" w:firstLineChars="196"/>
              <w:jc w:val="left"/>
              <w:rPr>
                <w:b/>
                <w:sz w:val="24"/>
              </w:rPr>
            </w:pPr>
            <w:r>
              <w:rPr>
                <w:rFonts w:hint="eastAsia"/>
                <w:b/>
                <w:sz w:val="24"/>
                <w:lang w:val="en-US" w:eastAsia="zh-CN"/>
              </w:rPr>
              <w:t>5.</w:t>
            </w:r>
            <w:r>
              <w:rPr>
                <w:b/>
                <w:sz w:val="24"/>
              </w:rPr>
              <w:t>生态环境质量</w:t>
            </w:r>
          </w:p>
          <w:p>
            <w:pPr>
              <w:pStyle w:val="29"/>
              <w:tabs>
                <w:tab w:val="left" w:pos="3377"/>
              </w:tabs>
              <w:autoSpaceDE w:val="0"/>
              <w:autoSpaceDN w:val="0"/>
              <w:spacing w:before="0" w:beforeAutospacing="0" w:after="0" w:afterAutospacing="0" w:line="360" w:lineRule="auto"/>
              <w:ind w:firstLine="480" w:firstLineChars="200"/>
              <w:jc w:val="both"/>
              <w:rPr>
                <w:rFonts w:ascii="Times New Roman" w:hAnsi="Times New Roman"/>
                <w:sz w:val="24"/>
                <w:szCs w:val="24"/>
              </w:rPr>
            </w:pPr>
            <w:r>
              <w:rPr>
                <w:sz w:val="24"/>
              </w:rPr>
              <w:t>项</w:t>
            </w:r>
            <w:r>
              <w:rPr>
                <w:rFonts w:hint="default" w:ascii="Times New Roman" w:hAnsi="Times New Roman" w:cs="Times New Roman"/>
                <w:sz w:val="24"/>
              </w:rPr>
              <w:t>目周围主要为企业厂房和农田，地表植被主要为野草、灌木等，生态环境一般。项目周边500m范围内未发现列入《国家重点保护野生植物名录》和《国家重点保护野生动物名录》的动</w:t>
            </w:r>
            <w:r>
              <w:rPr>
                <w:sz w:val="24"/>
              </w:rPr>
              <w:t>植物。</w:t>
            </w:r>
          </w:p>
          <w:p>
            <w:pPr>
              <w:pStyle w:val="29"/>
              <w:tabs>
                <w:tab w:val="left" w:pos="3377"/>
              </w:tabs>
              <w:autoSpaceDE w:val="0"/>
              <w:autoSpaceDN w:val="0"/>
              <w:spacing w:before="0" w:beforeAutospacing="0" w:after="0" w:afterAutospacing="0" w:line="360" w:lineRule="auto"/>
              <w:ind w:firstLine="480" w:firstLineChars="200"/>
              <w:jc w:val="both"/>
              <w:rPr>
                <w:rFonts w:ascii="Times New Roman" w:hAnsi="Times New Roman"/>
                <w:sz w:val="24"/>
                <w:szCs w:val="24"/>
              </w:rPr>
            </w:pPr>
          </w:p>
          <w:p>
            <w:pPr>
              <w:pStyle w:val="29"/>
              <w:tabs>
                <w:tab w:val="left" w:pos="3377"/>
              </w:tabs>
              <w:autoSpaceDE w:val="0"/>
              <w:autoSpaceDN w:val="0"/>
              <w:spacing w:before="0" w:beforeAutospacing="0" w:after="0" w:afterAutospacing="0" w:line="360" w:lineRule="auto"/>
              <w:ind w:firstLine="480" w:firstLineChars="200"/>
              <w:jc w:val="both"/>
              <w:rPr>
                <w:rFonts w:ascii="Times New Roman" w:hAnsi="Times New Roman"/>
                <w:sz w:val="24"/>
                <w:szCs w:val="24"/>
              </w:rPr>
            </w:pPr>
          </w:p>
          <w:p>
            <w:pPr>
              <w:pStyle w:val="29"/>
              <w:tabs>
                <w:tab w:val="left" w:pos="3377"/>
              </w:tabs>
              <w:autoSpaceDE w:val="0"/>
              <w:autoSpaceDN w:val="0"/>
              <w:spacing w:before="0" w:beforeAutospacing="0" w:after="0" w:afterAutospacing="0" w:line="360" w:lineRule="auto"/>
              <w:ind w:firstLine="480" w:firstLineChars="200"/>
              <w:jc w:val="both"/>
              <w:rPr>
                <w:rFonts w:ascii="Times New Roman" w:hAnsi="Times New Roman"/>
                <w:sz w:val="24"/>
                <w:szCs w:val="24"/>
              </w:rPr>
            </w:pPr>
          </w:p>
          <w:p>
            <w:pPr>
              <w:pStyle w:val="29"/>
              <w:tabs>
                <w:tab w:val="left" w:pos="3377"/>
              </w:tabs>
              <w:autoSpaceDE w:val="0"/>
              <w:autoSpaceDN w:val="0"/>
              <w:spacing w:before="0" w:beforeAutospacing="0" w:after="0" w:afterAutospacing="0" w:line="360" w:lineRule="auto"/>
              <w:ind w:firstLine="480" w:firstLineChars="200"/>
              <w:jc w:val="both"/>
              <w:rPr>
                <w:rFonts w:ascii="Times New Roman" w:hAnsi="Times New Roman"/>
                <w:sz w:val="24"/>
                <w:szCs w:val="24"/>
              </w:rPr>
            </w:pPr>
          </w:p>
          <w:p>
            <w:pPr>
              <w:pStyle w:val="29"/>
              <w:tabs>
                <w:tab w:val="left" w:pos="3377"/>
              </w:tabs>
              <w:autoSpaceDE w:val="0"/>
              <w:autoSpaceDN w:val="0"/>
              <w:spacing w:before="0" w:beforeAutospacing="0" w:after="0" w:afterAutospacing="0" w:line="360" w:lineRule="auto"/>
              <w:ind w:firstLine="480" w:firstLineChars="200"/>
              <w:jc w:val="both"/>
              <w:rPr>
                <w:rFonts w:ascii="Times New Roman" w:hAnsi="Times New Roman"/>
                <w:sz w:val="24"/>
                <w:szCs w:val="24"/>
              </w:rPr>
            </w:pPr>
          </w:p>
          <w:p>
            <w:pPr>
              <w:pStyle w:val="29"/>
              <w:tabs>
                <w:tab w:val="left" w:pos="3377"/>
              </w:tabs>
              <w:autoSpaceDE w:val="0"/>
              <w:autoSpaceDN w:val="0"/>
              <w:spacing w:before="0" w:beforeAutospacing="0" w:after="0" w:afterAutospacing="0" w:line="360" w:lineRule="auto"/>
              <w:ind w:firstLine="480" w:firstLineChars="200"/>
              <w:jc w:val="both"/>
              <w:rPr>
                <w:rFonts w:ascii="Times New Roman" w:hAnsi="Times New Roman"/>
                <w:sz w:val="24"/>
                <w:szCs w:val="24"/>
              </w:rPr>
            </w:pPr>
          </w:p>
          <w:p>
            <w:pPr>
              <w:spacing w:line="360" w:lineRule="auto"/>
              <w:ind w:firstLine="480" w:firstLineChars="200"/>
              <w:rPr>
                <w:sz w:val="24"/>
              </w:rPr>
            </w:pPr>
          </w:p>
          <w:p>
            <w:pPr>
              <w:pStyle w:val="38"/>
            </w:pPr>
          </w:p>
          <w:p>
            <w:pPr>
              <w:spacing w:line="360" w:lineRule="auto"/>
              <w:ind w:firstLine="480" w:firstLineChars="200"/>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90" w:hRule="atLeast"/>
          <w:jc w:val="center"/>
        </w:trPr>
        <w:tc>
          <w:tcPr>
            <w:tcW w:w="9287" w:type="dxa"/>
            <w:tcBorders>
              <w:tl2br w:val="nil"/>
              <w:tr2bl w:val="nil"/>
            </w:tcBorders>
          </w:tcPr>
          <w:p>
            <w:pPr>
              <w:spacing w:line="360" w:lineRule="auto"/>
              <w:rPr>
                <w:b/>
                <w:color w:val="auto"/>
                <w:sz w:val="28"/>
                <w:szCs w:val="28"/>
              </w:rPr>
            </w:pPr>
            <w:r>
              <w:rPr>
                <w:rFonts w:ascii="Courier New" w:hAnsi="ISOCTEUR" w:cs="Courier New"/>
                <w:b/>
                <w:color w:val="auto"/>
                <w:sz w:val="28"/>
                <w:szCs w:val="28"/>
              </w:rPr>
              <w:t>主</w:t>
            </w:r>
            <w:r>
              <w:rPr>
                <w:b/>
                <w:color w:val="auto"/>
                <w:sz w:val="28"/>
                <w:szCs w:val="28"/>
              </w:rPr>
              <w:t>要环境保护目标(列出名单及保护级别)：</w:t>
            </w:r>
          </w:p>
          <w:p>
            <w:pPr>
              <w:pStyle w:val="13"/>
              <w:spacing w:after="156" w:line="360" w:lineRule="auto"/>
              <w:ind w:firstLine="520" w:firstLineChars="217"/>
              <w:rPr>
                <w:color w:val="auto"/>
                <w:sz w:val="24"/>
                <w:szCs w:val="24"/>
              </w:rPr>
            </w:pPr>
            <w:r>
              <w:rPr>
                <w:rFonts w:hint="eastAsia"/>
                <w:color w:val="auto"/>
                <w:sz w:val="24"/>
                <w:szCs w:val="24"/>
              </w:rPr>
              <w:t>本</w:t>
            </w:r>
            <w:r>
              <w:rPr>
                <w:color w:val="auto"/>
                <w:sz w:val="24"/>
                <w:szCs w:val="24"/>
              </w:rPr>
              <w:t>项目环境保护目标及保护级别详见表</w:t>
            </w:r>
            <w:r>
              <w:rPr>
                <w:rFonts w:hint="eastAsia"/>
                <w:color w:val="auto"/>
                <w:sz w:val="24"/>
                <w:szCs w:val="24"/>
                <w:lang w:val="en-US" w:eastAsia="zh-CN"/>
              </w:rPr>
              <w:t>11</w:t>
            </w:r>
            <w:r>
              <w:rPr>
                <w:color w:val="auto"/>
                <w:sz w:val="24"/>
                <w:szCs w:val="24"/>
              </w:rPr>
              <w:t>：</w:t>
            </w:r>
          </w:p>
          <w:p>
            <w:pPr>
              <w:spacing w:line="240" w:lineRule="auto"/>
              <w:jc w:val="center"/>
              <w:rPr>
                <w:rFonts w:hint="eastAsia" w:ascii="黑体" w:hAnsi="黑体" w:eastAsia="黑体" w:cs="黑体"/>
                <w:b w:val="0"/>
                <w:bCs w:val="0"/>
                <w:color w:val="auto"/>
                <w:sz w:val="24"/>
                <w:highlight w:val="none"/>
              </w:rPr>
            </w:pPr>
            <w:r>
              <w:rPr>
                <w:rFonts w:hint="eastAsia" w:ascii="黑体" w:hAnsi="黑体" w:eastAsia="黑体" w:cs="黑体"/>
                <w:b w:val="0"/>
                <w:bCs w:val="0"/>
                <w:color w:val="auto"/>
                <w:sz w:val="24"/>
                <w:highlight w:val="none"/>
              </w:rPr>
              <w:t>表</w:t>
            </w:r>
            <w:r>
              <w:rPr>
                <w:rFonts w:hint="eastAsia" w:ascii="黑体" w:hAnsi="黑体" w:eastAsia="黑体" w:cs="黑体"/>
                <w:b w:val="0"/>
                <w:bCs w:val="0"/>
                <w:color w:val="auto"/>
                <w:sz w:val="24"/>
                <w:highlight w:val="none"/>
                <w:lang w:val="en-US" w:eastAsia="zh-CN"/>
              </w:rPr>
              <w:t>11</w:t>
            </w:r>
            <w:r>
              <w:rPr>
                <w:rFonts w:hint="eastAsia" w:ascii="黑体" w:hAnsi="黑体" w:eastAsia="黑体" w:cs="黑体"/>
                <w:b w:val="0"/>
                <w:bCs w:val="0"/>
                <w:color w:val="auto"/>
                <w:sz w:val="24"/>
                <w:highlight w:val="none"/>
              </w:rPr>
              <w:t xml:space="preserve">  环境保护目标一览表</w:t>
            </w:r>
          </w:p>
          <w:tbl>
            <w:tblPr>
              <w:tblStyle w:val="31"/>
              <w:tblW w:w="9060" w:type="dxa"/>
              <w:tblInd w:w="4"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05"/>
              <w:gridCol w:w="822"/>
              <w:gridCol w:w="808"/>
              <w:gridCol w:w="995"/>
              <w:gridCol w:w="714"/>
              <w:gridCol w:w="2574"/>
              <w:gridCol w:w="888"/>
              <w:gridCol w:w="115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05" w:type="dxa"/>
                  <w:vMerge w:val="restart"/>
                  <w:tcBorders>
                    <w:tl2br w:val="nil"/>
                    <w:tr2bl w:val="nil"/>
                  </w:tcBorders>
                  <w:vAlign w:val="center"/>
                </w:tcPr>
                <w:p>
                  <w:pPr>
                    <w:spacing w:line="240" w:lineRule="auto"/>
                    <w:jc w:val="center"/>
                    <w:rPr>
                      <w:color w:val="auto"/>
                      <w:sz w:val="21"/>
                      <w:szCs w:val="21"/>
                    </w:rPr>
                  </w:pPr>
                  <w:r>
                    <w:rPr>
                      <w:color w:val="auto"/>
                      <w:sz w:val="21"/>
                      <w:szCs w:val="21"/>
                    </w:rPr>
                    <w:t>名称</w:t>
                  </w:r>
                </w:p>
              </w:tc>
              <w:tc>
                <w:tcPr>
                  <w:tcW w:w="1630" w:type="dxa"/>
                  <w:gridSpan w:val="2"/>
                  <w:tcBorders>
                    <w:tl2br w:val="nil"/>
                    <w:tr2bl w:val="nil"/>
                  </w:tcBorders>
                  <w:vAlign w:val="center"/>
                </w:tcPr>
                <w:p>
                  <w:pPr>
                    <w:spacing w:line="240" w:lineRule="auto"/>
                    <w:jc w:val="center"/>
                    <w:rPr>
                      <w:color w:val="auto"/>
                      <w:sz w:val="21"/>
                      <w:szCs w:val="21"/>
                    </w:rPr>
                  </w:pPr>
                  <w:r>
                    <w:rPr>
                      <w:color w:val="auto"/>
                      <w:sz w:val="21"/>
                      <w:szCs w:val="21"/>
                    </w:rPr>
                    <w:t>坐标/m</w:t>
                  </w:r>
                </w:p>
              </w:tc>
              <w:tc>
                <w:tcPr>
                  <w:tcW w:w="995" w:type="dxa"/>
                  <w:vMerge w:val="restart"/>
                  <w:tcBorders>
                    <w:tl2br w:val="nil"/>
                    <w:tr2bl w:val="nil"/>
                  </w:tcBorders>
                  <w:vAlign w:val="center"/>
                </w:tcPr>
                <w:p>
                  <w:pPr>
                    <w:spacing w:line="240" w:lineRule="auto"/>
                    <w:jc w:val="center"/>
                    <w:rPr>
                      <w:color w:val="auto"/>
                      <w:sz w:val="21"/>
                      <w:szCs w:val="21"/>
                    </w:rPr>
                  </w:pPr>
                  <w:r>
                    <w:rPr>
                      <w:color w:val="auto"/>
                      <w:sz w:val="21"/>
                      <w:szCs w:val="21"/>
                    </w:rPr>
                    <w:t>保护</w:t>
                  </w:r>
                </w:p>
                <w:p>
                  <w:pPr>
                    <w:spacing w:line="240" w:lineRule="auto"/>
                    <w:jc w:val="center"/>
                    <w:rPr>
                      <w:color w:val="auto"/>
                      <w:sz w:val="21"/>
                      <w:szCs w:val="21"/>
                    </w:rPr>
                  </w:pPr>
                  <w:r>
                    <w:rPr>
                      <w:color w:val="auto"/>
                      <w:sz w:val="21"/>
                      <w:szCs w:val="21"/>
                    </w:rPr>
                    <w:t>对象</w:t>
                  </w:r>
                </w:p>
              </w:tc>
              <w:tc>
                <w:tcPr>
                  <w:tcW w:w="714" w:type="dxa"/>
                  <w:vMerge w:val="restart"/>
                  <w:tcBorders>
                    <w:tl2br w:val="nil"/>
                    <w:tr2bl w:val="nil"/>
                  </w:tcBorders>
                  <w:vAlign w:val="center"/>
                </w:tcPr>
                <w:p>
                  <w:pPr>
                    <w:spacing w:line="240" w:lineRule="auto"/>
                    <w:jc w:val="center"/>
                    <w:rPr>
                      <w:color w:val="auto"/>
                      <w:sz w:val="21"/>
                      <w:szCs w:val="21"/>
                    </w:rPr>
                  </w:pPr>
                  <w:r>
                    <w:rPr>
                      <w:color w:val="auto"/>
                      <w:sz w:val="21"/>
                      <w:szCs w:val="21"/>
                    </w:rPr>
                    <w:t>保护内容</w:t>
                  </w:r>
                </w:p>
              </w:tc>
              <w:tc>
                <w:tcPr>
                  <w:tcW w:w="2574" w:type="dxa"/>
                  <w:vMerge w:val="restart"/>
                  <w:tcBorders>
                    <w:tl2br w:val="nil"/>
                    <w:tr2bl w:val="nil"/>
                  </w:tcBorders>
                  <w:vAlign w:val="center"/>
                </w:tcPr>
                <w:p>
                  <w:pPr>
                    <w:spacing w:line="240" w:lineRule="auto"/>
                    <w:jc w:val="center"/>
                    <w:rPr>
                      <w:color w:val="auto"/>
                      <w:sz w:val="21"/>
                      <w:szCs w:val="21"/>
                    </w:rPr>
                  </w:pPr>
                  <w:r>
                    <w:rPr>
                      <w:color w:val="auto"/>
                      <w:sz w:val="21"/>
                      <w:szCs w:val="21"/>
                    </w:rPr>
                    <w:t>环境功能区</w:t>
                  </w:r>
                </w:p>
              </w:tc>
              <w:tc>
                <w:tcPr>
                  <w:tcW w:w="888" w:type="dxa"/>
                  <w:vMerge w:val="restart"/>
                  <w:tcBorders>
                    <w:tl2br w:val="nil"/>
                    <w:tr2bl w:val="nil"/>
                  </w:tcBorders>
                  <w:vAlign w:val="center"/>
                </w:tcPr>
                <w:p>
                  <w:pPr>
                    <w:spacing w:line="240" w:lineRule="auto"/>
                    <w:jc w:val="center"/>
                    <w:rPr>
                      <w:color w:val="auto"/>
                      <w:sz w:val="21"/>
                      <w:szCs w:val="21"/>
                    </w:rPr>
                  </w:pPr>
                  <w:r>
                    <w:rPr>
                      <w:color w:val="auto"/>
                      <w:sz w:val="21"/>
                      <w:szCs w:val="21"/>
                    </w:rPr>
                    <w:t>相对厂址方位</w:t>
                  </w:r>
                </w:p>
              </w:tc>
              <w:tc>
                <w:tcPr>
                  <w:tcW w:w="1154" w:type="dxa"/>
                  <w:vMerge w:val="restart"/>
                  <w:tcBorders>
                    <w:tl2br w:val="nil"/>
                    <w:tr2bl w:val="nil"/>
                  </w:tcBorders>
                  <w:vAlign w:val="center"/>
                </w:tcPr>
                <w:p>
                  <w:pPr>
                    <w:spacing w:line="240" w:lineRule="auto"/>
                    <w:jc w:val="center"/>
                    <w:rPr>
                      <w:rFonts w:hint="eastAsia" w:eastAsia="宋体"/>
                      <w:color w:val="auto"/>
                      <w:sz w:val="21"/>
                      <w:szCs w:val="21"/>
                      <w:lang w:eastAsia="zh-CN"/>
                    </w:rPr>
                  </w:pPr>
                  <w:r>
                    <w:rPr>
                      <w:color w:val="auto"/>
                      <w:sz w:val="21"/>
                      <w:szCs w:val="21"/>
                    </w:rPr>
                    <w:t>相对</w:t>
                  </w:r>
                  <w:r>
                    <w:rPr>
                      <w:rFonts w:hint="eastAsia"/>
                      <w:color w:val="auto"/>
                      <w:sz w:val="21"/>
                      <w:szCs w:val="21"/>
                      <w:lang w:eastAsia="zh-CN"/>
                    </w:rPr>
                    <w:t>厂界</w:t>
                  </w:r>
                  <w:r>
                    <w:rPr>
                      <w:color w:val="auto"/>
                      <w:sz w:val="21"/>
                      <w:szCs w:val="21"/>
                    </w:rPr>
                    <w:t>距离</w:t>
                  </w:r>
                  <w:r>
                    <w:rPr>
                      <w:rFonts w:hint="eastAsia"/>
                      <w:color w:val="auto"/>
                      <w:sz w:val="21"/>
                      <w:szCs w:val="21"/>
                      <w:lang w:eastAsia="zh-CN"/>
                    </w:rPr>
                    <w:t>（</w:t>
                  </w:r>
                  <w:r>
                    <w:rPr>
                      <w:rFonts w:hint="eastAsia"/>
                      <w:color w:val="auto"/>
                      <w:sz w:val="21"/>
                      <w:szCs w:val="21"/>
                      <w:lang w:val="en-US" w:eastAsia="zh-CN"/>
                    </w:rPr>
                    <w:t>m</w:t>
                  </w:r>
                  <w:r>
                    <w:rPr>
                      <w:rFonts w:hint="eastAsia"/>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05" w:type="dxa"/>
                  <w:vMerge w:val="continue"/>
                  <w:tcBorders>
                    <w:tl2br w:val="nil"/>
                    <w:tr2bl w:val="nil"/>
                  </w:tcBorders>
                  <w:vAlign w:val="center"/>
                </w:tcPr>
                <w:p>
                  <w:pPr>
                    <w:pStyle w:val="13"/>
                    <w:spacing w:after="156" w:line="240" w:lineRule="auto"/>
                    <w:jc w:val="center"/>
                    <w:rPr>
                      <w:color w:val="auto"/>
                      <w:sz w:val="21"/>
                      <w:szCs w:val="21"/>
                    </w:rPr>
                  </w:pPr>
                </w:p>
              </w:tc>
              <w:tc>
                <w:tcPr>
                  <w:tcW w:w="822" w:type="dxa"/>
                  <w:tcBorders>
                    <w:tl2br w:val="nil"/>
                    <w:tr2bl w:val="nil"/>
                  </w:tcBorders>
                  <w:vAlign w:val="center"/>
                </w:tcPr>
                <w:p>
                  <w:pPr>
                    <w:spacing w:line="240" w:lineRule="auto"/>
                    <w:jc w:val="center"/>
                    <w:rPr>
                      <w:color w:val="auto"/>
                      <w:sz w:val="21"/>
                      <w:szCs w:val="21"/>
                    </w:rPr>
                  </w:pPr>
                  <w:r>
                    <w:rPr>
                      <w:color w:val="auto"/>
                      <w:sz w:val="21"/>
                      <w:szCs w:val="21"/>
                    </w:rPr>
                    <w:t>X</w:t>
                  </w:r>
                </w:p>
              </w:tc>
              <w:tc>
                <w:tcPr>
                  <w:tcW w:w="808" w:type="dxa"/>
                  <w:tcBorders>
                    <w:tl2br w:val="nil"/>
                    <w:tr2bl w:val="nil"/>
                  </w:tcBorders>
                  <w:vAlign w:val="center"/>
                </w:tcPr>
                <w:p>
                  <w:pPr>
                    <w:spacing w:line="240" w:lineRule="auto"/>
                    <w:jc w:val="center"/>
                    <w:rPr>
                      <w:color w:val="auto"/>
                      <w:sz w:val="21"/>
                      <w:szCs w:val="21"/>
                    </w:rPr>
                  </w:pPr>
                  <w:r>
                    <w:rPr>
                      <w:color w:val="auto"/>
                      <w:sz w:val="21"/>
                      <w:szCs w:val="21"/>
                    </w:rPr>
                    <w:t>Y</w:t>
                  </w:r>
                </w:p>
              </w:tc>
              <w:tc>
                <w:tcPr>
                  <w:tcW w:w="995" w:type="dxa"/>
                  <w:vMerge w:val="continue"/>
                  <w:tcBorders>
                    <w:tl2br w:val="nil"/>
                    <w:tr2bl w:val="nil"/>
                  </w:tcBorders>
                  <w:vAlign w:val="center"/>
                </w:tcPr>
                <w:p>
                  <w:pPr>
                    <w:pStyle w:val="13"/>
                    <w:spacing w:after="156" w:line="240" w:lineRule="auto"/>
                    <w:jc w:val="center"/>
                    <w:rPr>
                      <w:color w:val="auto"/>
                      <w:sz w:val="21"/>
                      <w:szCs w:val="21"/>
                      <w:highlight w:val="yellow"/>
                    </w:rPr>
                  </w:pPr>
                </w:p>
              </w:tc>
              <w:tc>
                <w:tcPr>
                  <w:tcW w:w="714" w:type="dxa"/>
                  <w:vMerge w:val="continue"/>
                  <w:tcBorders>
                    <w:tl2br w:val="nil"/>
                    <w:tr2bl w:val="nil"/>
                  </w:tcBorders>
                  <w:vAlign w:val="center"/>
                </w:tcPr>
                <w:p>
                  <w:pPr>
                    <w:pStyle w:val="13"/>
                    <w:spacing w:after="156" w:line="240" w:lineRule="auto"/>
                    <w:jc w:val="center"/>
                    <w:rPr>
                      <w:color w:val="auto"/>
                      <w:sz w:val="21"/>
                      <w:szCs w:val="21"/>
                      <w:highlight w:val="yellow"/>
                    </w:rPr>
                  </w:pPr>
                </w:p>
              </w:tc>
              <w:tc>
                <w:tcPr>
                  <w:tcW w:w="2574" w:type="dxa"/>
                  <w:vMerge w:val="continue"/>
                  <w:tcBorders>
                    <w:tl2br w:val="nil"/>
                    <w:tr2bl w:val="nil"/>
                  </w:tcBorders>
                  <w:vAlign w:val="center"/>
                </w:tcPr>
                <w:p>
                  <w:pPr>
                    <w:pStyle w:val="13"/>
                    <w:spacing w:after="156" w:line="240" w:lineRule="auto"/>
                    <w:jc w:val="center"/>
                    <w:rPr>
                      <w:color w:val="auto"/>
                      <w:sz w:val="21"/>
                      <w:szCs w:val="21"/>
                      <w:highlight w:val="yellow"/>
                    </w:rPr>
                  </w:pPr>
                </w:p>
              </w:tc>
              <w:tc>
                <w:tcPr>
                  <w:tcW w:w="888" w:type="dxa"/>
                  <w:vMerge w:val="continue"/>
                  <w:tcBorders>
                    <w:tl2br w:val="nil"/>
                    <w:tr2bl w:val="nil"/>
                  </w:tcBorders>
                  <w:vAlign w:val="center"/>
                </w:tcPr>
                <w:p>
                  <w:pPr>
                    <w:pStyle w:val="13"/>
                    <w:spacing w:after="156" w:line="240" w:lineRule="auto"/>
                    <w:jc w:val="center"/>
                    <w:rPr>
                      <w:color w:val="auto"/>
                      <w:sz w:val="21"/>
                      <w:szCs w:val="21"/>
                      <w:highlight w:val="yellow"/>
                    </w:rPr>
                  </w:pPr>
                </w:p>
              </w:tc>
              <w:tc>
                <w:tcPr>
                  <w:tcW w:w="1154" w:type="dxa"/>
                  <w:vMerge w:val="continue"/>
                  <w:tcBorders>
                    <w:tl2br w:val="nil"/>
                    <w:tr2bl w:val="nil"/>
                  </w:tcBorders>
                  <w:vAlign w:val="center"/>
                </w:tcPr>
                <w:p>
                  <w:pPr>
                    <w:pStyle w:val="13"/>
                    <w:spacing w:after="156" w:line="240" w:lineRule="auto"/>
                    <w:jc w:val="center"/>
                    <w:rPr>
                      <w:color w:val="auto"/>
                      <w:sz w:val="21"/>
                      <w:szCs w:val="21"/>
                      <w:highlight w:val="yellow"/>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05" w:type="dxa"/>
                  <w:tcBorders>
                    <w:tl2br w:val="nil"/>
                    <w:tr2bl w:val="nil"/>
                  </w:tcBorders>
                  <w:vAlign w:val="center"/>
                </w:tcPr>
                <w:p>
                  <w:pPr>
                    <w:spacing w:line="240" w:lineRule="auto"/>
                    <w:jc w:val="center"/>
                    <w:rPr>
                      <w:rFonts w:hint="eastAsia" w:eastAsia="宋体"/>
                      <w:color w:val="auto"/>
                      <w:szCs w:val="21"/>
                      <w:lang w:val="en-US" w:eastAsia="zh-CN"/>
                    </w:rPr>
                  </w:pPr>
                  <w:r>
                    <w:rPr>
                      <w:rFonts w:hint="eastAsia"/>
                      <w:color w:val="auto"/>
                      <w:szCs w:val="21"/>
                      <w:lang w:val="en-US" w:eastAsia="zh-CN"/>
                    </w:rPr>
                    <w:t>坡头村</w:t>
                  </w:r>
                </w:p>
              </w:tc>
              <w:tc>
                <w:tcPr>
                  <w:tcW w:w="822"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-25</w:t>
                  </w:r>
                </w:p>
              </w:tc>
              <w:tc>
                <w:tcPr>
                  <w:tcW w:w="808"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-5</w:t>
                  </w:r>
                </w:p>
              </w:tc>
              <w:tc>
                <w:tcPr>
                  <w:tcW w:w="995" w:type="dxa"/>
                  <w:tcBorders>
                    <w:tl2br w:val="nil"/>
                    <w:tr2bl w:val="nil"/>
                  </w:tcBorders>
                  <w:vAlign w:val="center"/>
                </w:tcPr>
                <w:p>
                  <w:pPr>
                    <w:autoSpaceDE w:val="0"/>
                    <w:autoSpaceDN w:val="0"/>
                    <w:spacing w:line="240" w:lineRule="auto"/>
                    <w:jc w:val="center"/>
                    <w:rPr>
                      <w:rFonts w:hint="eastAsia" w:ascii="Times New Roman" w:hAnsi="Times New Roman" w:eastAsia="宋体" w:cs="Times New Roman"/>
                      <w:color w:val="auto"/>
                      <w:kern w:val="2"/>
                      <w:sz w:val="21"/>
                      <w:szCs w:val="21"/>
                      <w:lang w:val="en-US" w:eastAsia="zh-CN" w:bidi="ar-SA"/>
                    </w:rPr>
                  </w:pPr>
                  <w:r>
                    <w:rPr>
                      <w:color w:val="auto"/>
                      <w:sz w:val="21"/>
                      <w:szCs w:val="21"/>
                    </w:rPr>
                    <w:t>居民区</w:t>
                  </w:r>
                </w:p>
              </w:tc>
              <w:tc>
                <w:tcPr>
                  <w:tcW w:w="714" w:type="dxa"/>
                  <w:tcBorders>
                    <w:tl2br w:val="nil"/>
                    <w:tr2bl w:val="nil"/>
                  </w:tcBorders>
                  <w:vAlign w:val="center"/>
                </w:tcPr>
                <w:p>
                  <w:pPr>
                    <w:spacing w:line="240" w:lineRule="auto"/>
                    <w:jc w:val="center"/>
                    <w:rPr>
                      <w:rFonts w:hint="eastAsia" w:ascii="Times New Roman" w:hAnsi="Times New Roman" w:eastAsia="宋体" w:cs="Times New Roman"/>
                      <w:color w:val="auto"/>
                      <w:kern w:val="2"/>
                      <w:sz w:val="21"/>
                      <w:szCs w:val="21"/>
                      <w:lang w:val="en-US" w:eastAsia="zh-CN" w:bidi="ar-SA"/>
                    </w:rPr>
                  </w:pPr>
                  <w:r>
                    <w:rPr>
                      <w:color w:val="auto"/>
                      <w:sz w:val="21"/>
                      <w:szCs w:val="21"/>
                    </w:rPr>
                    <w:t>人群</w:t>
                  </w:r>
                </w:p>
              </w:tc>
              <w:tc>
                <w:tcPr>
                  <w:tcW w:w="2574" w:type="dxa"/>
                  <w:vMerge w:val="restart"/>
                  <w:tcBorders>
                    <w:tl2br w:val="nil"/>
                    <w:tr2bl w:val="nil"/>
                  </w:tcBorders>
                  <w:vAlign w:val="center"/>
                </w:tcPr>
                <w:p>
                  <w:pPr>
                    <w:spacing w:line="240" w:lineRule="auto"/>
                    <w:jc w:val="center"/>
                    <w:rPr>
                      <w:rFonts w:hint="eastAsia"/>
                      <w:color w:val="auto"/>
                      <w:szCs w:val="21"/>
                      <w:lang w:eastAsia="zh-CN"/>
                    </w:rPr>
                  </w:pPr>
                  <w:r>
                    <w:rPr>
                      <w:color w:val="auto"/>
                      <w:sz w:val="21"/>
                      <w:szCs w:val="21"/>
                    </w:rPr>
                    <w:t>《环境空气质量标准》（GB3095-2012）</w:t>
                  </w:r>
                  <w:r>
                    <w:rPr>
                      <w:rFonts w:hint="eastAsia"/>
                      <w:color w:val="auto"/>
                      <w:sz w:val="21"/>
                      <w:szCs w:val="21"/>
                    </w:rPr>
                    <w:t>及其2018年修改单</w:t>
                  </w:r>
                  <w:r>
                    <w:rPr>
                      <w:color w:val="auto"/>
                      <w:sz w:val="21"/>
                      <w:szCs w:val="21"/>
                    </w:rPr>
                    <w:t>二</w:t>
                  </w:r>
                  <w:r>
                    <w:rPr>
                      <w:rFonts w:hint="eastAsia"/>
                      <w:color w:val="auto"/>
                      <w:sz w:val="21"/>
                      <w:szCs w:val="21"/>
                    </w:rPr>
                    <w:t>类区</w:t>
                  </w:r>
                </w:p>
              </w:tc>
              <w:tc>
                <w:tcPr>
                  <w:tcW w:w="888" w:type="dxa"/>
                  <w:tcBorders>
                    <w:tl2br w:val="nil"/>
                    <w:tr2bl w:val="nil"/>
                  </w:tcBorders>
                  <w:vAlign w:val="center"/>
                </w:tcPr>
                <w:p>
                  <w:pPr>
                    <w:spacing w:line="240" w:lineRule="auto"/>
                    <w:jc w:val="center"/>
                    <w:rPr>
                      <w:rFonts w:hint="eastAsia"/>
                      <w:color w:val="auto"/>
                      <w:szCs w:val="21"/>
                      <w:lang w:eastAsia="zh-CN"/>
                    </w:rPr>
                  </w:pPr>
                  <w:r>
                    <w:rPr>
                      <w:rFonts w:hint="eastAsia"/>
                      <w:color w:val="auto"/>
                      <w:szCs w:val="21"/>
                      <w:lang w:eastAsia="zh-CN"/>
                    </w:rPr>
                    <w:t>西</w:t>
                  </w:r>
                </w:p>
              </w:tc>
              <w:tc>
                <w:tcPr>
                  <w:tcW w:w="1154"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35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05" w:type="dxa"/>
                  <w:tcBorders>
                    <w:tl2br w:val="nil"/>
                    <w:tr2bl w:val="nil"/>
                  </w:tcBorders>
                  <w:vAlign w:val="center"/>
                </w:tcPr>
                <w:p>
                  <w:pPr>
                    <w:spacing w:line="240" w:lineRule="auto"/>
                    <w:jc w:val="center"/>
                    <w:rPr>
                      <w:rFonts w:hint="eastAsia"/>
                      <w:color w:val="auto"/>
                      <w:szCs w:val="21"/>
                      <w:lang w:eastAsia="zh-CN"/>
                    </w:rPr>
                  </w:pPr>
                  <w:r>
                    <w:rPr>
                      <w:rFonts w:hint="eastAsia"/>
                      <w:color w:val="auto"/>
                      <w:szCs w:val="21"/>
                      <w:lang w:eastAsia="zh-CN"/>
                    </w:rPr>
                    <w:t>东寨村</w:t>
                  </w:r>
                </w:p>
              </w:tc>
              <w:tc>
                <w:tcPr>
                  <w:tcW w:w="822"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50</w:t>
                  </w:r>
                </w:p>
              </w:tc>
              <w:tc>
                <w:tcPr>
                  <w:tcW w:w="808"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-510</w:t>
                  </w:r>
                </w:p>
              </w:tc>
              <w:tc>
                <w:tcPr>
                  <w:tcW w:w="995" w:type="dxa"/>
                  <w:tcBorders>
                    <w:tl2br w:val="nil"/>
                    <w:tr2bl w:val="nil"/>
                  </w:tcBorders>
                  <w:vAlign w:val="center"/>
                </w:tcPr>
                <w:p>
                  <w:pPr>
                    <w:autoSpaceDE w:val="0"/>
                    <w:autoSpaceDN w:val="0"/>
                    <w:spacing w:line="240" w:lineRule="auto"/>
                    <w:jc w:val="center"/>
                    <w:rPr>
                      <w:rFonts w:hint="eastAsia" w:ascii="Times New Roman" w:hAnsi="Times New Roman" w:eastAsia="宋体" w:cs="Times New Roman"/>
                      <w:color w:val="auto"/>
                      <w:kern w:val="2"/>
                      <w:sz w:val="21"/>
                      <w:szCs w:val="21"/>
                      <w:lang w:val="en-US" w:eastAsia="zh-CN" w:bidi="ar-SA"/>
                    </w:rPr>
                  </w:pPr>
                  <w:r>
                    <w:rPr>
                      <w:color w:val="auto"/>
                      <w:sz w:val="21"/>
                      <w:szCs w:val="21"/>
                    </w:rPr>
                    <w:t>居民区</w:t>
                  </w:r>
                </w:p>
              </w:tc>
              <w:tc>
                <w:tcPr>
                  <w:tcW w:w="714" w:type="dxa"/>
                  <w:tcBorders>
                    <w:tl2br w:val="nil"/>
                    <w:tr2bl w:val="nil"/>
                  </w:tcBorders>
                  <w:vAlign w:val="center"/>
                </w:tcPr>
                <w:p>
                  <w:pPr>
                    <w:spacing w:line="240" w:lineRule="auto"/>
                    <w:jc w:val="center"/>
                    <w:rPr>
                      <w:rFonts w:hint="eastAsia" w:ascii="Times New Roman" w:hAnsi="Times New Roman" w:eastAsia="宋体" w:cs="Times New Roman"/>
                      <w:color w:val="auto"/>
                      <w:kern w:val="2"/>
                      <w:sz w:val="21"/>
                      <w:szCs w:val="21"/>
                      <w:lang w:val="en-US" w:eastAsia="zh-CN" w:bidi="ar-SA"/>
                    </w:rPr>
                  </w:pPr>
                  <w:r>
                    <w:rPr>
                      <w:color w:val="auto"/>
                      <w:sz w:val="21"/>
                      <w:szCs w:val="21"/>
                    </w:rPr>
                    <w:t>人群</w:t>
                  </w:r>
                </w:p>
              </w:tc>
              <w:tc>
                <w:tcPr>
                  <w:tcW w:w="2574" w:type="dxa"/>
                  <w:vMerge w:val="continue"/>
                  <w:tcBorders>
                    <w:tl2br w:val="nil"/>
                    <w:tr2bl w:val="nil"/>
                  </w:tcBorders>
                  <w:vAlign w:val="center"/>
                </w:tcPr>
                <w:p>
                  <w:pPr>
                    <w:spacing w:line="240" w:lineRule="auto"/>
                    <w:jc w:val="center"/>
                    <w:rPr>
                      <w:rFonts w:hint="eastAsia"/>
                      <w:color w:val="auto"/>
                      <w:szCs w:val="21"/>
                      <w:lang w:eastAsia="zh-CN"/>
                    </w:rPr>
                  </w:pPr>
                </w:p>
              </w:tc>
              <w:tc>
                <w:tcPr>
                  <w:tcW w:w="888" w:type="dxa"/>
                  <w:tcBorders>
                    <w:tl2br w:val="nil"/>
                    <w:tr2bl w:val="nil"/>
                  </w:tcBorders>
                  <w:vAlign w:val="center"/>
                </w:tcPr>
                <w:p>
                  <w:pPr>
                    <w:spacing w:line="240" w:lineRule="auto"/>
                    <w:jc w:val="center"/>
                    <w:rPr>
                      <w:rFonts w:hint="eastAsia" w:eastAsia="宋体"/>
                      <w:color w:val="auto"/>
                      <w:szCs w:val="21"/>
                      <w:lang w:val="en-US" w:eastAsia="zh-CN"/>
                    </w:rPr>
                  </w:pPr>
                  <w:r>
                    <w:rPr>
                      <w:rFonts w:hint="eastAsia"/>
                      <w:color w:val="auto"/>
                      <w:szCs w:val="21"/>
                      <w:lang w:val="en-US" w:eastAsia="zh-CN"/>
                    </w:rPr>
                    <w:t>南</w:t>
                  </w:r>
                </w:p>
              </w:tc>
              <w:tc>
                <w:tcPr>
                  <w:tcW w:w="1154"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490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05" w:type="dxa"/>
                  <w:tcBorders>
                    <w:tl2br w:val="nil"/>
                    <w:tr2bl w:val="nil"/>
                  </w:tcBorders>
                  <w:vAlign w:val="center"/>
                </w:tcPr>
                <w:p>
                  <w:pPr>
                    <w:spacing w:line="240" w:lineRule="auto"/>
                    <w:jc w:val="center"/>
                    <w:rPr>
                      <w:rFonts w:hint="eastAsia"/>
                      <w:color w:val="auto"/>
                      <w:szCs w:val="21"/>
                      <w:lang w:eastAsia="zh-CN"/>
                    </w:rPr>
                  </w:pPr>
                  <w:r>
                    <w:rPr>
                      <w:rFonts w:hint="eastAsia"/>
                      <w:color w:val="auto"/>
                      <w:szCs w:val="21"/>
                      <w:lang w:eastAsia="zh-CN"/>
                    </w:rPr>
                    <w:t>济涧村</w:t>
                  </w:r>
                </w:p>
              </w:tc>
              <w:tc>
                <w:tcPr>
                  <w:tcW w:w="822"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135</w:t>
                  </w:r>
                </w:p>
              </w:tc>
              <w:tc>
                <w:tcPr>
                  <w:tcW w:w="808"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540</w:t>
                  </w:r>
                </w:p>
              </w:tc>
              <w:tc>
                <w:tcPr>
                  <w:tcW w:w="995" w:type="dxa"/>
                  <w:tcBorders>
                    <w:tl2br w:val="nil"/>
                    <w:tr2bl w:val="nil"/>
                  </w:tcBorders>
                  <w:vAlign w:val="center"/>
                </w:tcPr>
                <w:p>
                  <w:pPr>
                    <w:autoSpaceDE w:val="0"/>
                    <w:autoSpaceDN w:val="0"/>
                    <w:spacing w:line="240" w:lineRule="auto"/>
                    <w:jc w:val="center"/>
                    <w:rPr>
                      <w:rFonts w:hint="eastAsia" w:ascii="Times New Roman" w:hAnsi="Times New Roman" w:eastAsia="宋体" w:cs="Times New Roman"/>
                      <w:color w:val="auto"/>
                      <w:kern w:val="2"/>
                      <w:sz w:val="21"/>
                      <w:szCs w:val="21"/>
                      <w:lang w:val="en-US" w:eastAsia="zh-CN" w:bidi="ar-SA"/>
                    </w:rPr>
                  </w:pPr>
                  <w:r>
                    <w:rPr>
                      <w:color w:val="auto"/>
                      <w:sz w:val="21"/>
                      <w:szCs w:val="21"/>
                    </w:rPr>
                    <w:t>居民区</w:t>
                  </w:r>
                </w:p>
              </w:tc>
              <w:tc>
                <w:tcPr>
                  <w:tcW w:w="714" w:type="dxa"/>
                  <w:tcBorders>
                    <w:tl2br w:val="nil"/>
                    <w:tr2bl w:val="nil"/>
                  </w:tcBorders>
                  <w:vAlign w:val="center"/>
                </w:tcPr>
                <w:p>
                  <w:pPr>
                    <w:spacing w:line="240" w:lineRule="auto"/>
                    <w:jc w:val="center"/>
                    <w:rPr>
                      <w:rFonts w:hint="eastAsia" w:ascii="Times New Roman" w:hAnsi="Times New Roman" w:eastAsia="宋体" w:cs="Times New Roman"/>
                      <w:color w:val="auto"/>
                      <w:kern w:val="2"/>
                      <w:sz w:val="21"/>
                      <w:szCs w:val="21"/>
                      <w:lang w:val="en-US" w:eastAsia="zh-CN" w:bidi="ar-SA"/>
                    </w:rPr>
                  </w:pPr>
                  <w:r>
                    <w:rPr>
                      <w:color w:val="auto"/>
                      <w:sz w:val="21"/>
                      <w:szCs w:val="21"/>
                    </w:rPr>
                    <w:t>人群</w:t>
                  </w:r>
                </w:p>
              </w:tc>
              <w:tc>
                <w:tcPr>
                  <w:tcW w:w="2574" w:type="dxa"/>
                  <w:vMerge w:val="continue"/>
                  <w:tcBorders>
                    <w:tl2br w:val="nil"/>
                    <w:tr2bl w:val="nil"/>
                  </w:tcBorders>
                  <w:vAlign w:val="center"/>
                </w:tcPr>
                <w:p>
                  <w:pPr>
                    <w:spacing w:line="240" w:lineRule="auto"/>
                    <w:jc w:val="center"/>
                    <w:rPr>
                      <w:rFonts w:hint="eastAsia"/>
                      <w:color w:val="auto"/>
                      <w:szCs w:val="21"/>
                      <w:lang w:eastAsia="zh-CN"/>
                    </w:rPr>
                  </w:pPr>
                </w:p>
              </w:tc>
              <w:tc>
                <w:tcPr>
                  <w:tcW w:w="888"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北</w:t>
                  </w:r>
                </w:p>
              </w:tc>
              <w:tc>
                <w:tcPr>
                  <w:tcW w:w="1154"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420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05" w:type="dxa"/>
                  <w:tcBorders>
                    <w:tl2br w:val="nil"/>
                    <w:tr2bl w:val="nil"/>
                  </w:tcBorders>
                  <w:vAlign w:val="center"/>
                </w:tcPr>
                <w:p>
                  <w:pPr>
                    <w:spacing w:line="240" w:lineRule="auto"/>
                    <w:jc w:val="center"/>
                    <w:rPr>
                      <w:rFonts w:hint="eastAsia"/>
                      <w:color w:val="auto"/>
                      <w:szCs w:val="21"/>
                      <w:lang w:eastAsia="zh-CN"/>
                    </w:rPr>
                  </w:pPr>
                  <w:r>
                    <w:rPr>
                      <w:rFonts w:hint="eastAsia"/>
                      <w:color w:val="auto"/>
                      <w:szCs w:val="21"/>
                      <w:lang w:eastAsia="zh-CN"/>
                    </w:rPr>
                    <w:t>南庄村</w:t>
                  </w:r>
                </w:p>
              </w:tc>
              <w:tc>
                <w:tcPr>
                  <w:tcW w:w="822"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960</w:t>
                  </w:r>
                </w:p>
              </w:tc>
              <w:tc>
                <w:tcPr>
                  <w:tcW w:w="808"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340</w:t>
                  </w:r>
                </w:p>
              </w:tc>
              <w:tc>
                <w:tcPr>
                  <w:tcW w:w="995" w:type="dxa"/>
                  <w:tcBorders>
                    <w:tl2br w:val="nil"/>
                    <w:tr2bl w:val="nil"/>
                  </w:tcBorders>
                  <w:vAlign w:val="center"/>
                </w:tcPr>
                <w:p>
                  <w:pPr>
                    <w:autoSpaceDE w:val="0"/>
                    <w:autoSpaceDN w:val="0"/>
                    <w:spacing w:line="240" w:lineRule="auto"/>
                    <w:jc w:val="center"/>
                    <w:rPr>
                      <w:rFonts w:hint="eastAsia" w:ascii="Times New Roman" w:hAnsi="Times New Roman" w:eastAsia="宋体" w:cs="Times New Roman"/>
                      <w:color w:val="auto"/>
                      <w:kern w:val="2"/>
                      <w:sz w:val="21"/>
                      <w:szCs w:val="21"/>
                      <w:lang w:val="en-US" w:eastAsia="zh-CN" w:bidi="ar-SA"/>
                    </w:rPr>
                  </w:pPr>
                  <w:r>
                    <w:rPr>
                      <w:color w:val="auto"/>
                      <w:sz w:val="21"/>
                      <w:szCs w:val="21"/>
                    </w:rPr>
                    <w:t>居民区</w:t>
                  </w:r>
                </w:p>
              </w:tc>
              <w:tc>
                <w:tcPr>
                  <w:tcW w:w="714" w:type="dxa"/>
                  <w:tcBorders>
                    <w:tl2br w:val="nil"/>
                    <w:tr2bl w:val="nil"/>
                  </w:tcBorders>
                  <w:vAlign w:val="center"/>
                </w:tcPr>
                <w:p>
                  <w:pPr>
                    <w:spacing w:line="240" w:lineRule="auto"/>
                    <w:jc w:val="center"/>
                    <w:rPr>
                      <w:rFonts w:hint="eastAsia" w:ascii="Times New Roman" w:hAnsi="Times New Roman" w:eastAsia="宋体" w:cs="Times New Roman"/>
                      <w:color w:val="auto"/>
                      <w:kern w:val="2"/>
                      <w:sz w:val="21"/>
                      <w:szCs w:val="21"/>
                      <w:lang w:val="en-US" w:eastAsia="zh-CN" w:bidi="ar-SA"/>
                    </w:rPr>
                  </w:pPr>
                  <w:r>
                    <w:rPr>
                      <w:color w:val="auto"/>
                      <w:sz w:val="21"/>
                      <w:szCs w:val="21"/>
                    </w:rPr>
                    <w:t>人群</w:t>
                  </w:r>
                </w:p>
              </w:tc>
              <w:tc>
                <w:tcPr>
                  <w:tcW w:w="2574" w:type="dxa"/>
                  <w:vMerge w:val="continue"/>
                  <w:tcBorders>
                    <w:tl2br w:val="nil"/>
                    <w:tr2bl w:val="nil"/>
                  </w:tcBorders>
                  <w:vAlign w:val="center"/>
                </w:tcPr>
                <w:p>
                  <w:pPr>
                    <w:spacing w:line="240" w:lineRule="auto"/>
                    <w:jc w:val="center"/>
                    <w:rPr>
                      <w:rFonts w:hint="eastAsia"/>
                      <w:color w:val="auto"/>
                      <w:szCs w:val="21"/>
                      <w:lang w:eastAsia="zh-CN"/>
                    </w:rPr>
                  </w:pPr>
                </w:p>
              </w:tc>
              <w:tc>
                <w:tcPr>
                  <w:tcW w:w="888" w:type="dxa"/>
                  <w:tcBorders>
                    <w:tl2br w:val="nil"/>
                    <w:tr2bl w:val="nil"/>
                  </w:tcBorders>
                  <w:vAlign w:val="center"/>
                </w:tcPr>
                <w:p>
                  <w:pPr>
                    <w:spacing w:line="240" w:lineRule="auto"/>
                    <w:jc w:val="center"/>
                    <w:rPr>
                      <w:rFonts w:hint="eastAsia"/>
                      <w:color w:val="auto"/>
                      <w:szCs w:val="21"/>
                      <w:lang w:eastAsia="zh-CN"/>
                    </w:rPr>
                  </w:pPr>
                  <w:r>
                    <w:rPr>
                      <w:rFonts w:hint="eastAsia"/>
                      <w:color w:val="auto"/>
                      <w:szCs w:val="21"/>
                      <w:lang w:eastAsia="zh-CN"/>
                    </w:rPr>
                    <w:t>东北</w:t>
                  </w:r>
                </w:p>
              </w:tc>
              <w:tc>
                <w:tcPr>
                  <w:tcW w:w="1154" w:type="dxa"/>
                  <w:tcBorders>
                    <w:tl2br w:val="nil"/>
                    <w:tr2bl w:val="nil"/>
                  </w:tcBorders>
                  <w:vAlign w:val="center"/>
                </w:tcPr>
                <w:p>
                  <w:pPr>
                    <w:spacing w:line="240" w:lineRule="auto"/>
                    <w:jc w:val="center"/>
                    <w:rPr>
                      <w:rFonts w:hint="default"/>
                      <w:color w:val="auto"/>
                      <w:szCs w:val="21"/>
                      <w:lang w:val="en-US" w:eastAsia="zh-CN"/>
                    </w:rPr>
                  </w:pPr>
                  <w:r>
                    <w:rPr>
                      <w:rFonts w:hint="eastAsia"/>
                      <w:color w:val="auto"/>
                      <w:szCs w:val="21"/>
                      <w:lang w:val="en-US" w:eastAsia="zh-CN"/>
                    </w:rPr>
                    <w:t>860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05" w:type="dxa"/>
                  <w:tcBorders>
                    <w:tl2br w:val="nil"/>
                    <w:tr2bl w:val="nil"/>
                  </w:tcBorders>
                  <w:vAlign w:val="center"/>
                </w:tcPr>
                <w:p>
                  <w:pPr>
                    <w:spacing w:line="240" w:lineRule="auto"/>
                    <w:jc w:val="center"/>
                    <w:rPr>
                      <w:rFonts w:hint="eastAsia" w:eastAsia="宋体"/>
                      <w:color w:val="auto"/>
                      <w:sz w:val="21"/>
                      <w:szCs w:val="21"/>
                      <w:lang w:eastAsia="zh-CN"/>
                    </w:rPr>
                  </w:pPr>
                  <w:r>
                    <w:rPr>
                      <w:rFonts w:hint="eastAsia"/>
                      <w:color w:val="auto"/>
                      <w:sz w:val="21"/>
                      <w:szCs w:val="21"/>
                      <w:lang w:eastAsia="zh-CN"/>
                    </w:rPr>
                    <w:t>黄河</w:t>
                  </w:r>
                </w:p>
              </w:tc>
              <w:tc>
                <w:tcPr>
                  <w:tcW w:w="822" w:type="dxa"/>
                  <w:tcBorders>
                    <w:tl2br w:val="nil"/>
                    <w:tr2bl w:val="nil"/>
                  </w:tcBorders>
                  <w:vAlign w:val="center"/>
                </w:tcPr>
                <w:p>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-480</w:t>
                  </w:r>
                </w:p>
              </w:tc>
              <w:tc>
                <w:tcPr>
                  <w:tcW w:w="808" w:type="dxa"/>
                  <w:tcBorders>
                    <w:tl2br w:val="nil"/>
                    <w:tr2bl w:val="nil"/>
                  </w:tcBorders>
                  <w:vAlign w:val="center"/>
                </w:tcPr>
                <w:p>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-290</w:t>
                  </w:r>
                </w:p>
              </w:tc>
              <w:tc>
                <w:tcPr>
                  <w:tcW w:w="995" w:type="dxa"/>
                  <w:tcBorders>
                    <w:tl2br w:val="nil"/>
                    <w:tr2bl w:val="nil"/>
                  </w:tcBorders>
                  <w:vAlign w:val="center"/>
                </w:tcPr>
                <w:p>
                  <w:pPr>
                    <w:spacing w:line="240" w:lineRule="auto"/>
                    <w:jc w:val="center"/>
                    <w:rPr>
                      <w:rFonts w:hint="eastAsia" w:eastAsia="宋体"/>
                      <w:color w:val="auto"/>
                      <w:sz w:val="21"/>
                      <w:szCs w:val="21"/>
                      <w:lang w:eastAsia="zh-CN"/>
                    </w:rPr>
                  </w:pPr>
                  <w:r>
                    <w:rPr>
                      <w:rFonts w:hint="eastAsia"/>
                      <w:color w:val="auto"/>
                      <w:sz w:val="21"/>
                      <w:szCs w:val="21"/>
                      <w:lang w:eastAsia="zh-CN"/>
                    </w:rPr>
                    <w:t>地表水</w:t>
                  </w:r>
                </w:p>
              </w:tc>
              <w:tc>
                <w:tcPr>
                  <w:tcW w:w="714" w:type="dxa"/>
                  <w:tcBorders>
                    <w:tl2br w:val="nil"/>
                    <w:tr2bl w:val="nil"/>
                  </w:tcBorders>
                  <w:vAlign w:val="center"/>
                </w:tcPr>
                <w:p>
                  <w:pPr>
                    <w:spacing w:line="240" w:lineRule="auto"/>
                    <w:jc w:val="center"/>
                    <w:rPr>
                      <w:color w:val="auto"/>
                      <w:sz w:val="21"/>
                      <w:szCs w:val="21"/>
                    </w:rPr>
                  </w:pPr>
                  <w:r>
                    <w:rPr>
                      <w:color w:val="auto"/>
                      <w:sz w:val="21"/>
                      <w:szCs w:val="21"/>
                    </w:rPr>
                    <w:t>水质</w:t>
                  </w:r>
                </w:p>
              </w:tc>
              <w:tc>
                <w:tcPr>
                  <w:tcW w:w="2574" w:type="dxa"/>
                  <w:tcBorders>
                    <w:tl2br w:val="nil"/>
                    <w:tr2bl w:val="nil"/>
                  </w:tcBorders>
                  <w:vAlign w:val="center"/>
                </w:tcPr>
                <w:p>
                  <w:pPr>
                    <w:spacing w:line="240" w:lineRule="auto"/>
                    <w:jc w:val="center"/>
                    <w:rPr>
                      <w:rFonts w:hint="eastAsia" w:eastAsia="宋体"/>
                      <w:color w:val="auto"/>
                      <w:sz w:val="21"/>
                      <w:szCs w:val="21"/>
                      <w:lang w:eastAsia="zh-CN"/>
                    </w:rPr>
                  </w:pPr>
                  <w:r>
                    <w:rPr>
                      <w:rFonts w:hint="eastAsia"/>
                      <w:color w:val="auto"/>
                      <w:sz w:val="21"/>
                      <w:szCs w:val="21"/>
                    </w:rPr>
                    <w:t>《地表水环境质量标准》（GB3838-2002）</w:t>
                  </w:r>
                  <w:r>
                    <w:rPr>
                      <w:rFonts w:hint="eastAsia"/>
                      <w:color w:val="auto"/>
                      <w:sz w:val="21"/>
                      <w:szCs w:val="21"/>
                      <w:lang w:val="en-US" w:eastAsia="zh-CN"/>
                    </w:rPr>
                    <w:fldChar w:fldCharType="begin"/>
                  </w:r>
                  <w:r>
                    <w:rPr>
                      <w:rFonts w:hint="eastAsia"/>
                      <w:color w:val="auto"/>
                      <w:sz w:val="21"/>
                      <w:szCs w:val="21"/>
                      <w:lang w:val="en-US" w:eastAsia="zh-CN"/>
                    </w:rPr>
                    <w:instrText xml:space="preserve"> = 3 \* ROMAN \* MERGEFORMAT </w:instrText>
                  </w:r>
                  <w:r>
                    <w:rPr>
                      <w:rFonts w:hint="eastAsia"/>
                      <w:color w:val="auto"/>
                      <w:sz w:val="21"/>
                      <w:szCs w:val="21"/>
                      <w:lang w:val="en-US" w:eastAsia="zh-CN"/>
                    </w:rPr>
                    <w:fldChar w:fldCharType="separate"/>
                  </w:r>
                  <w:r>
                    <w:t>II</w:t>
                  </w:r>
                  <w:r>
                    <w:rPr>
                      <w:rFonts w:hint="eastAsia"/>
                      <w:color w:val="auto"/>
                      <w:sz w:val="21"/>
                      <w:szCs w:val="21"/>
                      <w:lang w:val="en-US" w:eastAsia="zh-CN"/>
                    </w:rPr>
                    <w:fldChar w:fldCharType="end"/>
                  </w:r>
                  <w:r>
                    <w:rPr>
                      <w:rFonts w:hint="eastAsia"/>
                      <w:color w:val="auto"/>
                      <w:sz w:val="21"/>
                      <w:szCs w:val="21"/>
                    </w:rPr>
                    <w:t>类</w:t>
                  </w:r>
                  <w:r>
                    <w:rPr>
                      <w:rFonts w:hint="eastAsia"/>
                      <w:color w:val="auto"/>
                      <w:sz w:val="21"/>
                      <w:szCs w:val="21"/>
                      <w:lang w:eastAsia="zh-CN"/>
                    </w:rPr>
                    <w:t>地表水环境功能区</w:t>
                  </w:r>
                </w:p>
              </w:tc>
              <w:tc>
                <w:tcPr>
                  <w:tcW w:w="888" w:type="dxa"/>
                  <w:tcBorders>
                    <w:tl2br w:val="nil"/>
                    <w:tr2bl w:val="nil"/>
                  </w:tcBorders>
                  <w:vAlign w:val="center"/>
                </w:tcPr>
                <w:p>
                  <w:pPr>
                    <w:spacing w:line="240" w:lineRule="auto"/>
                    <w:jc w:val="center"/>
                    <w:rPr>
                      <w:rFonts w:hint="eastAsia" w:eastAsia="宋体"/>
                      <w:color w:val="auto"/>
                      <w:sz w:val="21"/>
                      <w:szCs w:val="21"/>
                      <w:lang w:eastAsia="zh-CN"/>
                    </w:rPr>
                  </w:pPr>
                  <w:r>
                    <w:rPr>
                      <w:rFonts w:hint="eastAsia"/>
                      <w:color w:val="auto"/>
                      <w:sz w:val="21"/>
                      <w:szCs w:val="21"/>
                      <w:lang w:eastAsia="zh-CN"/>
                    </w:rPr>
                    <w:t>西南</w:t>
                  </w:r>
                </w:p>
              </w:tc>
              <w:tc>
                <w:tcPr>
                  <w:tcW w:w="1154" w:type="dxa"/>
                  <w:tcBorders>
                    <w:tl2br w:val="nil"/>
                    <w:tr2bl w:val="nil"/>
                  </w:tcBorders>
                  <w:vAlign w:val="center"/>
                </w:tcPr>
                <w:p>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550</w:t>
                  </w:r>
                </w:p>
              </w:tc>
            </w:tr>
          </w:tbl>
          <w:p>
            <w:pPr>
              <w:tabs>
                <w:tab w:val="left" w:pos="720"/>
              </w:tabs>
              <w:rPr>
                <w:rFonts w:hint="default" w:eastAsia="宋体"/>
                <w:b/>
                <w:bCs/>
                <w:color w:val="auto"/>
                <w:lang w:val="en-US" w:eastAsia="zh-CN"/>
              </w:rPr>
            </w:pPr>
            <w:r>
              <w:rPr>
                <w:rFonts w:hint="eastAsia"/>
                <w:b/>
                <w:bCs/>
                <w:color w:val="auto"/>
                <w:lang w:val="en-US" w:eastAsia="zh-CN"/>
              </w:rPr>
              <w:t>备注：原点（0,0）具体位置见附图3。</w:t>
            </w:r>
          </w:p>
          <w:p>
            <w:pPr>
              <w:tabs>
                <w:tab w:val="left" w:pos="720"/>
              </w:tabs>
              <w:rPr>
                <w:color w:val="auto"/>
              </w:rPr>
            </w:pPr>
          </w:p>
          <w:p>
            <w:pPr>
              <w:pStyle w:val="38"/>
              <w:rPr>
                <w:color w:val="auto"/>
              </w:rPr>
            </w:pPr>
          </w:p>
          <w:p>
            <w:pPr>
              <w:pStyle w:val="38"/>
              <w:rPr>
                <w:color w:val="auto"/>
              </w:rPr>
            </w:pPr>
          </w:p>
          <w:p>
            <w:pPr>
              <w:pStyle w:val="38"/>
              <w:rPr>
                <w:color w:val="auto"/>
              </w:rPr>
            </w:pPr>
          </w:p>
          <w:p>
            <w:pPr>
              <w:pStyle w:val="38"/>
              <w:rPr>
                <w:color w:val="auto"/>
              </w:rPr>
            </w:pPr>
          </w:p>
          <w:p>
            <w:pPr>
              <w:pStyle w:val="38"/>
              <w:rPr>
                <w:color w:val="auto"/>
              </w:rPr>
            </w:pPr>
          </w:p>
          <w:p>
            <w:pPr>
              <w:pStyle w:val="38"/>
              <w:rPr>
                <w:color w:val="auto"/>
              </w:rPr>
            </w:pPr>
          </w:p>
          <w:p>
            <w:pPr>
              <w:pStyle w:val="38"/>
              <w:rPr>
                <w:color w:val="auto"/>
              </w:rPr>
            </w:pPr>
          </w:p>
          <w:p>
            <w:pPr>
              <w:pStyle w:val="38"/>
              <w:rPr>
                <w:color w:val="auto"/>
              </w:rPr>
            </w:pPr>
          </w:p>
          <w:p>
            <w:pPr>
              <w:pStyle w:val="38"/>
              <w:rPr>
                <w:color w:val="auto"/>
              </w:rPr>
            </w:pPr>
          </w:p>
          <w:p>
            <w:pPr>
              <w:spacing w:line="360" w:lineRule="auto"/>
              <w:ind w:firstLine="480" w:firstLineChars="200"/>
              <w:rPr>
                <w:rFonts w:ascii="宋体" w:hAnsi="宋体"/>
                <w:sz w:val="24"/>
              </w:rPr>
            </w:pPr>
          </w:p>
        </w:tc>
      </w:tr>
    </w:tbl>
    <w:p>
      <w:pPr>
        <w:adjustRightInd w:val="0"/>
        <w:snapToGrid w:val="0"/>
        <w:rPr>
          <w:rFonts w:ascii="黑体" w:eastAsia="黑体"/>
          <w:sz w:val="32"/>
          <w:highlight w:val="none"/>
        </w:rPr>
      </w:pPr>
      <w:r>
        <w:rPr>
          <w:rFonts w:hint="eastAsia" w:ascii="黑体" w:hAnsi="宋体" w:eastAsia="黑体"/>
          <w:sz w:val="32"/>
          <w:highlight w:val="none"/>
        </w:rPr>
        <w:t>评价适用标准</w:t>
      </w:r>
    </w:p>
    <w:tbl>
      <w:tblPr>
        <w:tblStyle w:val="31"/>
        <w:tblW w:w="928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40"/>
        <w:gridCol w:w="844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3" w:type="dxa"/>
            <w:tcBorders>
              <w:tl2br w:val="nil"/>
              <w:tr2bl w:val="nil"/>
            </w:tcBorders>
            <w:vAlign w:val="center"/>
          </w:tcPr>
          <w:p>
            <w:pPr>
              <w:jc w:val="center"/>
              <w:rPr>
                <w:rFonts w:ascii="Courier New" w:hAnsi="ISOCTEUR" w:cs="Courier New"/>
                <w:b/>
                <w:bCs/>
                <w:sz w:val="24"/>
              </w:rPr>
            </w:pPr>
            <w:r>
              <w:rPr>
                <w:rFonts w:ascii="Courier New" w:hAnsi="ISOCTEUR" w:cs="Courier New"/>
                <w:b/>
                <w:bCs/>
                <w:sz w:val="24"/>
              </w:rPr>
              <w:t>环</w:t>
            </w:r>
          </w:p>
          <w:p>
            <w:pPr>
              <w:jc w:val="center"/>
              <w:rPr>
                <w:rFonts w:ascii="Courier New" w:hAnsi="ISOCTEUR" w:cs="Courier New"/>
                <w:b/>
                <w:bCs/>
                <w:sz w:val="24"/>
              </w:rPr>
            </w:pPr>
            <w:r>
              <w:rPr>
                <w:rFonts w:ascii="Courier New" w:hAnsi="ISOCTEUR" w:cs="Courier New"/>
                <w:b/>
                <w:bCs/>
                <w:sz w:val="24"/>
              </w:rPr>
              <w:t>境</w:t>
            </w:r>
          </w:p>
          <w:p>
            <w:pPr>
              <w:jc w:val="center"/>
              <w:rPr>
                <w:rFonts w:ascii="Courier New" w:hAnsi="ISOCTEUR" w:cs="Courier New"/>
                <w:b/>
                <w:bCs/>
                <w:sz w:val="24"/>
              </w:rPr>
            </w:pPr>
            <w:r>
              <w:rPr>
                <w:rFonts w:ascii="Courier New" w:hAnsi="ISOCTEUR" w:cs="Courier New"/>
                <w:b/>
                <w:bCs/>
                <w:sz w:val="24"/>
              </w:rPr>
              <w:t>质</w:t>
            </w:r>
          </w:p>
          <w:p>
            <w:pPr>
              <w:jc w:val="center"/>
              <w:rPr>
                <w:rFonts w:ascii="Courier New" w:hAnsi="ISOCTEUR" w:cs="Courier New"/>
                <w:b/>
                <w:bCs/>
                <w:sz w:val="24"/>
              </w:rPr>
            </w:pPr>
            <w:r>
              <w:rPr>
                <w:rFonts w:ascii="Courier New" w:hAnsi="ISOCTEUR" w:cs="Courier New"/>
                <w:b/>
                <w:bCs/>
                <w:sz w:val="24"/>
              </w:rPr>
              <w:t>量</w:t>
            </w:r>
          </w:p>
          <w:p>
            <w:pPr>
              <w:jc w:val="center"/>
              <w:rPr>
                <w:rFonts w:ascii="Courier New" w:hAnsi="ISOCTEUR" w:cs="Courier New"/>
                <w:b/>
                <w:bCs/>
                <w:sz w:val="24"/>
              </w:rPr>
            </w:pPr>
            <w:r>
              <w:rPr>
                <w:rFonts w:ascii="Courier New" w:hAnsi="ISOCTEUR" w:cs="Courier New"/>
                <w:b/>
                <w:bCs/>
                <w:sz w:val="24"/>
              </w:rPr>
              <w:t>标</w:t>
            </w:r>
          </w:p>
          <w:p>
            <w:pPr>
              <w:jc w:val="center"/>
              <w:rPr>
                <w:rFonts w:ascii="Courier New" w:hAnsi="Courier New" w:cs="Courier New"/>
                <w:b/>
                <w:bCs/>
                <w:sz w:val="28"/>
              </w:rPr>
            </w:pPr>
            <w:r>
              <w:rPr>
                <w:rFonts w:ascii="Courier New" w:hAnsi="ISOCTEUR" w:cs="Courier New"/>
                <w:b/>
                <w:bCs/>
                <w:sz w:val="24"/>
              </w:rPr>
              <w:t>准</w:t>
            </w:r>
          </w:p>
        </w:tc>
        <w:tc>
          <w:tcPr>
            <w:tcW w:w="8574" w:type="dxa"/>
            <w:tcBorders>
              <w:tl2br w:val="nil"/>
              <w:tr2bl w:val="nil"/>
            </w:tcBorders>
          </w:tcPr>
          <w:p>
            <w:pPr>
              <w:autoSpaceDE w:val="0"/>
              <w:autoSpaceDN w:val="0"/>
              <w:adjustRightInd w:val="0"/>
              <w:snapToGrid w:val="0"/>
              <w:spacing w:line="240" w:lineRule="exact"/>
            </w:pPr>
          </w:p>
          <w:p>
            <w:pPr>
              <w:bidi w:val="0"/>
            </w:pPr>
          </w:p>
          <w:p>
            <w:pPr>
              <w:bidi w:val="0"/>
            </w:pPr>
          </w:p>
          <w:tbl>
            <w:tblPr>
              <w:tblStyle w:val="31"/>
              <w:tblpPr w:leftFromText="180" w:rightFromText="180" w:vertAnchor="page" w:horzAnchor="page" w:tblpX="117" w:tblpY="984"/>
              <w:tblOverlap w:val="never"/>
              <w:tblW w:w="8214" w:type="dxa"/>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2835"/>
              <w:gridCol w:w="567"/>
              <w:gridCol w:w="924"/>
              <w:gridCol w:w="764"/>
              <w:gridCol w:w="508"/>
              <w:gridCol w:w="356"/>
              <w:gridCol w:w="113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环境因素</w:t>
                  </w:r>
                </w:p>
              </w:tc>
              <w:tc>
                <w:tcPr>
                  <w:tcW w:w="2835"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执行标准及级别</w:t>
                  </w: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项目</w:t>
                  </w:r>
                </w:p>
              </w:tc>
              <w:tc>
                <w:tcPr>
                  <w:tcW w:w="2759" w:type="dxa"/>
                  <w:gridSpan w:val="4"/>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标准限值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污染物名称</w:t>
                  </w:r>
                </w:p>
              </w:tc>
              <w:tc>
                <w:tcPr>
                  <w:tcW w:w="764"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年平均μg/m</w:t>
                  </w:r>
                  <w:r>
                    <w:rPr>
                      <w:rFonts w:hint="default" w:ascii="Times New Roman" w:hAnsi="Times New Roman" w:cs="Times New Roman"/>
                      <w:sz w:val="21"/>
                      <w:szCs w:val="21"/>
                      <w:vertAlign w:val="superscript"/>
                    </w:rPr>
                    <w:t>3</w:t>
                  </w:r>
                </w:p>
              </w:tc>
              <w:tc>
                <w:tcPr>
                  <w:tcW w:w="864"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24小时平均μg/m</w:t>
                  </w:r>
                  <w:r>
                    <w:rPr>
                      <w:rFonts w:hint="default" w:ascii="Times New Roman" w:hAnsi="Times New Roman" w:cs="Times New Roman"/>
                      <w:sz w:val="21"/>
                      <w:szCs w:val="21"/>
                      <w:vertAlign w:val="superscript"/>
                    </w:rPr>
                    <w:t>3</w:t>
                  </w:r>
                </w:p>
              </w:tc>
              <w:tc>
                <w:tcPr>
                  <w:tcW w:w="1131"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1小时平均μg/m</w:t>
                  </w:r>
                  <w:r>
                    <w:rPr>
                      <w:rFonts w:hint="default" w:ascii="Times New Roman" w:hAnsi="Times New Roman" w:cs="Times New Roman"/>
                      <w:sz w:val="21"/>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环境空气</w:t>
                  </w:r>
                </w:p>
              </w:tc>
              <w:tc>
                <w:tcPr>
                  <w:tcW w:w="2835"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《环境空气质量标准》</w:t>
                  </w:r>
                </w:p>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（GB3095-2012）</w:t>
                  </w:r>
                  <w:r>
                    <w:rPr>
                      <w:rFonts w:hint="eastAsia" w:ascii="Times New Roman" w:hAnsi="Times New Roman" w:cs="Times New Roman"/>
                      <w:sz w:val="21"/>
                      <w:szCs w:val="21"/>
                      <w:lang w:eastAsia="zh-CN"/>
                    </w:rPr>
                    <w:t>及其</w:t>
                  </w:r>
                  <w:r>
                    <w:rPr>
                      <w:rFonts w:hint="eastAsia" w:ascii="Times New Roman" w:hAnsi="Times New Roman" w:cs="Times New Roman"/>
                      <w:sz w:val="21"/>
                      <w:szCs w:val="21"/>
                      <w:lang w:val="en-US" w:eastAsia="zh-CN"/>
                    </w:rPr>
                    <w:t>2018年修改单</w:t>
                  </w:r>
                  <w:r>
                    <w:rPr>
                      <w:rFonts w:hint="default" w:ascii="Times New Roman" w:hAnsi="Times New Roman" w:cs="Times New Roman"/>
                      <w:sz w:val="21"/>
                      <w:szCs w:val="21"/>
                    </w:rPr>
                    <w:t>二级标准</w:t>
                  </w: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PM</w:t>
                  </w:r>
                  <w:r>
                    <w:rPr>
                      <w:rFonts w:hint="default" w:ascii="Times New Roman" w:hAnsi="Times New Roman" w:cs="Times New Roman"/>
                      <w:sz w:val="21"/>
                      <w:szCs w:val="21"/>
                      <w:vertAlign w:val="subscript"/>
                    </w:rPr>
                    <w:t>10</w:t>
                  </w:r>
                </w:p>
              </w:tc>
              <w:tc>
                <w:tcPr>
                  <w:tcW w:w="764"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70</w:t>
                  </w:r>
                </w:p>
              </w:tc>
              <w:tc>
                <w:tcPr>
                  <w:tcW w:w="864" w:type="dxa"/>
                  <w:gridSpan w:val="2"/>
                  <w:tcBorders>
                    <w:tl2br w:val="nil"/>
                    <w:tr2bl w:val="nil"/>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150</w:t>
                  </w:r>
                </w:p>
              </w:tc>
              <w:tc>
                <w:tcPr>
                  <w:tcW w:w="1131" w:type="dxa"/>
                  <w:tcBorders>
                    <w:tl2br w:val="nil"/>
                    <w:tr2bl w:val="nil"/>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PM</w:t>
                  </w:r>
                  <w:r>
                    <w:rPr>
                      <w:rFonts w:hint="default" w:ascii="Times New Roman" w:hAnsi="Times New Roman" w:cs="Times New Roman"/>
                      <w:sz w:val="21"/>
                      <w:szCs w:val="21"/>
                      <w:vertAlign w:val="subscript"/>
                    </w:rPr>
                    <w:t>2.5</w:t>
                  </w:r>
                </w:p>
              </w:tc>
              <w:tc>
                <w:tcPr>
                  <w:tcW w:w="764"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35</w:t>
                  </w:r>
                </w:p>
              </w:tc>
              <w:tc>
                <w:tcPr>
                  <w:tcW w:w="864" w:type="dxa"/>
                  <w:gridSpan w:val="2"/>
                  <w:tcBorders>
                    <w:tl2br w:val="nil"/>
                    <w:tr2bl w:val="nil"/>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75</w:t>
                  </w:r>
                </w:p>
              </w:tc>
              <w:tc>
                <w:tcPr>
                  <w:tcW w:w="1131" w:type="dxa"/>
                  <w:tcBorders>
                    <w:tl2br w:val="nil"/>
                    <w:tr2bl w:val="nil"/>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NO</w:t>
                  </w:r>
                  <w:r>
                    <w:rPr>
                      <w:rFonts w:hint="default" w:ascii="Times New Roman" w:hAnsi="Times New Roman" w:cs="Times New Roman"/>
                      <w:sz w:val="21"/>
                      <w:szCs w:val="21"/>
                      <w:vertAlign w:val="subscript"/>
                    </w:rPr>
                    <w:t>2</w:t>
                  </w:r>
                </w:p>
              </w:tc>
              <w:tc>
                <w:tcPr>
                  <w:tcW w:w="764"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40</w:t>
                  </w:r>
                </w:p>
              </w:tc>
              <w:tc>
                <w:tcPr>
                  <w:tcW w:w="864" w:type="dxa"/>
                  <w:gridSpan w:val="2"/>
                  <w:tcBorders>
                    <w:tl2br w:val="nil"/>
                    <w:tr2bl w:val="nil"/>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80</w:t>
                  </w:r>
                </w:p>
              </w:tc>
              <w:tc>
                <w:tcPr>
                  <w:tcW w:w="1131" w:type="dxa"/>
                  <w:tcBorders>
                    <w:tl2br w:val="nil"/>
                    <w:tr2bl w:val="nil"/>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200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SO</w:t>
                  </w:r>
                  <w:r>
                    <w:rPr>
                      <w:rFonts w:hint="default" w:ascii="Times New Roman" w:hAnsi="Times New Roman" w:cs="Times New Roman"/>
                      <w:sz w:val="21"/>
                      <w:szCs w:val="21"/>
                      <w:vertAlign w:val="subscript"/>
                    </w:rPr>
                    <w:t>2</w:t>
                  </w:r>
                </w:p>
              </w:tc>
              <w:tc>
                <w:tcPr>
                  <w:tcW w:w="764"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60</w:t>
                  </w:r>
                </w:p>
              </w:tc>
              <w:tc>
                <w:tcPr>
                  <w:tcW w:w="864" w:type="dxa"/>
                  <w:gridSpan w:val="2"/>
                  <w:tcBorders>
                    <w:tl2br w:val="nil"/>
                    <w:tr2bl w:val="nil"/>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150</w:t>
                  </w:r>
                </w:p>
              </w:tc>
              <w:tc>
                <w:tcPr>
                  <w:tcW w:w="1131" w:type="dxa"/>
                  <w:tcBorders>
                    <w:tl2br w:val="nil"/>
                    <w:tr2bl w:val="nil"/>
                  </w:tcBorders>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500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CO</w:t>
                  </w:r>
                </w:p>
              </w:tc>
              <w:tc>
                <w:tcPr>
                  <w:tcW w:w="764"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w:t>
                  </w:r>
                </w:p>
              </w:tc>
              <w:tc>
                <w:tcPr>
                  <w:tcW w:w="864"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4000</w:t>
                  </w:r>
                </w:p>
              </w:tc>
              <w:tc>
                <w:tcPr>
                  <w:tcW w:w="1131"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10000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TSP</w:t>
                  </w:r>
                </w:p>
              </w:tc>
              <w:tc>
                <w:tcPr>
                  <w:tcW w:w="764" w:type="dxa"/>
                  <w:tcBorders>
                    <w:tl2br w:val="nil"/>
                    <w:tr2bl w:val="nil"/>
                  </w:tcBorders>
                  <w:vAlign w:val="center"/>
                </w:tcPr>
                <w:p>
                  <w:pPr>
                    <w:pStyle w:val="29"/>
                    <w:snapToGrid w:val="0"/>
                    <w:spacing w:before="0" w:beforeAutospacing="0" w:after="0" w:afterAutospacing="0"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200</w:t>
                  </w:r>
                </w:p>
              </w:tc>
              <w:tc>
                <w:tcPr>
                  <w:tcW w:w="864" w:type="dxa"/>
                  <w:gridSpan w:val="2"/>
                  <w:tcBorders>
                    <w:tl2br w:val="nil"/>
                    <w:tr2bl w:val="nil"/>
                  </w:tcBorders>
                  <w:vAlign w:val="center"/>
                </w:tcPr>
                <w:p>
                  <w:pPr>
                    <w:pStyle w:val="29"/>
                    <w:snapToGrid w:val="0"/>
                    <w:spacing w:before="0" w:beforeAutospacing="0" w:after="0" w:afterAutospacing="0"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300</w:t>
                  </w:r>
                </w:p>
              </w:tc>
              <w:tc>
                <w:tcPr>
                  <w:tcW w:w="1131" w:type="dxa"/>
                  <w:tcBorders>
                    <w:tl2br w:val="nil"/>
                    <w:tr2bl w:val="nil"/>
                  </w:tcBorders>
                  <w:vAlign w:val="center"/>
                </w:tcPr>
                <w:p>
                  <w:pPr>
                    <w:pStyle w:val="29"/>
                    <w:snapToGrid w:val="0"/>
                    <w:spacing w:before="0" w:beforeAutospacing="0" w:after="0" w:afterAutospacing="0" w:line="240" w:lineRule="auto"/>
                    <w:jc w:val="center"/>
                    <w:rPr>
                      <w:rFonts w:hint="default" w:ascii="Times New Roman" w:hAnsi="Times New Roman" w:cs="Times New Roman"/>
                      <w:sz w:val="21"/>
                      <w:szCs w:val="21"/>
                    </w:rPr>
                  </w:pPr>
                  <w:r>
                    <w:rPr>
                      <w:rFonts w:hint="default" w:ascii="Times New Roman" w:hAnsi="Times New Roman" w:cs="Times New Roman"/>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污染物名称</w:t>
                  </w:r>
                </w:p>
              </w:tc>
              <w:tc>
                <w:tcPr>
                  <w:tcW w:w="1628" w:type="dxa"/>
                  <w:gridSpan w:val="3"/>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日最大平均8小时平均μg/m</w:t>
                  </w:r>
                  <w:r>
                    <w:rPr>
                      <w:rFonts w:hint="default" w:ascii="Times New Roman" w:hAnsi="Times New Roman" w:cs="Times New Roman"/>
                      <w:sz w:val="21"/>
                      <w:szCs w:val="21"/>
                      <w:vertAlign w:val="superscript"/>
                    </w:rPr>
                    <w:t>3</w:t>
                  </w:r>
                </w:p>
              </w:tc>
              <w:tc>
                <w:tcPr>
                  <w:tcW w:w="1131"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1小时平均μg/m</w:t>
                  </w:r>
                  <w:r>
                    <w:rPr>
                      <w:rFonts w:hint="default" w:ascii="Times New Roman" w:hAnsi="Times New Roman" w:cs="Times New Roman"/>
                      <w:sz w:val="21"/>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O</w:t>
                  </w:r>
                  <w:r>
                    <w:rPr>
                      <w:rFonts w:hint="default" w:ascii="Times New Roman" w:hAnsi="Times New Roman" w:cs="Times New Roman"/>
                      <w:sz w:val="21"/>
                      <w:szCs w:val="21"/>
                      <w:vertAlign w:val="subscript"/>
                    </w:rPr>
                    <w:t>3</w:t>
                  </w:r>
                </w:p>
              </w:tc>
              <w:tc>
                <w:tcPr>
                  <w:tcW w:w="1628" w:type="dxa"/>
                  <w:gridSpan w:val="3"/>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160</w:t>
                  </w:r>
                </w:p>
              </w:tc>
              <w:tc>
                <w:tcPr>
                  <w:tcW w:w="1131"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200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声环境</w:t>
                  </w:r>
                </w:p>
              </w:tc>
              <w:tc>
                <w:tcPr>
                  <w:tcW w:w="2835"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《声环境质量标准》（GB3096-2008）</w:t>
                  </w:r>
                </w:p>
              </w:tc>
              <w:tc>
                <w:tcPr>
                  <w:tcW w:w="567"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2类</w:t>
                  </w:r>
                </w:p>
              </w:tc>
              <w:tc>
                <w:tcPr>
                  <w:tcW w:w="924"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昼间</w:t>
                  </w:r>
                </w:p>
              </w:tc>
              <w:tc>
                <w:tcPr>
                  <w:tcW w:w="2759" w:type="dxa"/>
                  <w:gridSpan w:val="4"/>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60dB（A）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567"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924" w:type="dxa"/>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夜间</w:t>
                  </w:r>
                </w:p>
              </w:tc>
              <w:tc>
                <w:tcPr>
                  <w:tcW w:w="2759" w:type="dxa"/>
                  <w:gridSpan w:val="4"/>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50dB（A）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地表水</w:t>
                  </w:r>
                </w:p>
              </w:tc>
              <w:tc>
                <w:tcPr>
                  <w:tcW w:w="2835"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sz w:val="21"/>
                      <w:szCs w:val="21"/>
                    </w:rPr>
                    <w:t>《地表水环境质量标准》（GB3838-2002）</w:t>
                  </w:r>
                  <w:r>
                    <w:rPr>
                      <w:rFonts w:hint="eastAsia" w:ascii="Times New Roman" w:hAnsi="Times New Roman" w:cs="Times New Roman"/>
                      <w:bCs/>
                      <w:sz w:val="21"/>
                      <w:szCs w:val="21"/>
                      <w:lang w:val="en-US" w:eastAsia="zh-CN"/>
                    </w:rPr>
                    <w:fldChar w:fldCharType="begin"/>
                  </w:r>
                  <w:r>
                    <w:rPr>
                      <w:rFonts w:hint="eastAsia" w:ascii="Times New Roman" w:hAnsi="Times New Roman" w:cs="Times New Roman"/>
                      <w:bCs/>
                      <w:sz w:val="21"/>
                      <w:szCs w:val="21"/>
                      <w:lang w:val="en-US" w:eastAsia="zh-CN"/>
                    </w:rPr>
                    <w:instrText xml:space="preserve"> = 2 \* ROMAN \* MERGEFORMAT </w:instrText>
                  </w:r>
                  <w:r>
                    <w:rPr>
                      <w:rFonts w:hint="eastAsia" w:ascii="Times New Roman" w:hAnsi="Times New Roman" w:cs="Times New Roman"/>
                      <w:bCs/>
                      <w:sz w:val="21"/>
                      <w:szCs w:val="21"/>
                      <w:lang w:val="en-US" w:eastAsia="zh-CN"/>
                    </w:rPr>
                    <w:fldChar w:fldCharType="separate"/>
                  </w:r>
                  <w:r>
                    <w:t>II</w:t>
                  </w:r>
                  <w:r>
                    <w:rPr>
                      <w:rFonts w:hint="eastAsia" w:ascii="Times New Roman" w:hAnsi="Times New Roman" w:cs="Times New Roman"/>
                      <w:bCs/>
                      <w:sz w:val="21"/>
                      <w:szCs w:val="21"/>
                      <w:lang w:val="en-US" w:eastAsia="zh-CN"/>
                    </w:rPr>
                    <w:fldChar w:fldCharType="end"/>
                  </w:r>
                  <w:r>
                    <w:rPr>
                      <w:rFonts w:hint="default" w:ascii="Times New Roman" w:hAnsi="Times New Roman" w:cs="Times New Roman"/>
                      <w:bCs/>
                      <w:sz w:val="21"/>
                      <w:szCs w:val="21"/>
                    </w:rPr>
                    <w:t>类</w:t>
                  </w: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cs="Times New Roman"/>
                      <w:sz w:val="21"/>
                      <w:szCs w:val="21"/>
                    </w:rPr>
                    <w:t>COD</w:t>
                  </w:r>
                </w:p>
              </w:tc>
              <w:tc>
                <w:tcPr>
                  <w:tcW w:w="2759" w:type="dxa"/>
                  <w:gridSpan w:val="4"/>
                  <w:tcBorders>
                    <w:tl2br w:val="nil"/>
                    <w:tr2bl w:val="nil"/>
                  </w:tcBorders>
                  <w:vAlign w:val="center"/>
                </w:tcPr>
                <w:p>
                  <w:pPr>
                    <w:pStyle w:val="29"/>
                    <w:snapToGrid w:val="0"/>
                    <w:spacing w:before="0" w:beforeAutospacing="0" w:after="0" w:afterAutospacing="0"/>
                    <w:jc w:val="center"/>
                    <w:rPr>
                      <w:rFonts w:hint="default" w:ascii="Times New Roman" w:hAnsi="Times New Roman" w:eastAsia="宋体" w:cs="Times New Roman"/>
                      <w:kern w:val="0"/>
                      <w:sz w:val="21"/>
                      <w:szCs w:val="21"/>
                      <w:lang w:val="en-US" w:eastAsia="zh-CN" w:bidi="ar-SA"/>
                    </w:rPr>
                  </w:pPr>
                  <w:r>
                    <w:rPr>
                      <w:rFonts w:hint="eastAsia" w:ascii="Times New Roman" w:hAnsi="Times New Roman" w:cs="Times New Roman"/>
                      <w:snapToGrid w:val="0"/>
                      <w:sz w:val="21"/>
                      <w:szCs w:val="21"/>
                      <w:lang w:val="en-US" w:eastAsia="zh-CN"/>
                    </w:rPr>
                    <w:t>15</w:t>
                  </w:r>
                  <w:r>
                    <w:rPr>
                      <w:rFonts w:hint="default" w:ascii="Times New Roman" w:hAnsi="Times New Roman" w:cs="Times New Roman"/>
                      <w:sz w:val="21"/>
                      <w:szCs w:val="21"/>
                    </w:rPr>
                    <w:t>mg/L</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cs="Times New Roman"/>
                      <w:sz w:val="21"/>
                      <w:szCs w:val="21"/>
                    </w:rPr>
                    <w:t>氨氮</w:t>
                  </w:r>
                </w:p>
              </w:tc>
              <w:tc>
                <w:tcPr>
                  <w:tcW w:w="2759" w:type="dxa"/>
                  <w:gridSpan w:val="4"/>
                  <w:tcBorders>
                    <w:tl2br w:val="nil"/>
                    <w:tr2bl w:val="nil"/>
                  </w:tcBorders>
                  <w:vAlign w:val="center"/>
                </w:tcPr>
                <w:p>
                  <w:pPr>
                    <w:pStyle w:val="29"/>
                    <w:snapToGrid w:val="0"/>
                    <w:spacing w:before="0" w:beforeAutospacing="0" w:after="0" w:afterAutospacing="0"/>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cs="Times New Roman"/>
                      <w:snapToGrid w:val="0"/>
                      <w:sz w:val="21"/>
                      <w:szCs w:val="21"/>
                    </w:rPr>
                    <w:t>≤</w:t>
                  </w:r>
                  <w:r>
                    <w:rPr>
                      <w:rFonts w:hint="eastAsia" w:ascii="Times New Roman" w:hAnsi="Times New Roman" w:cs="Times New Roman"/>
                      <w:sz w:val="21"/>
                      <w:szCs w:val="21"/>
                      <w:lang w:val="en-US" w:eastAsia="zh-CN"/>
                    </w:rPr>
                    <w:t>0.5</w:t>
                  </w:r>
                  <w:r>
                    <w:rPr>
                      <w:rFonts w:hint="default" w:ascii="Times New Roman" w:hAnsi="Times New Roman" w:cs="Times New Roman"/>
                      <w:sz w:val="21"/>
                      <w:szCs w:val="21"/>
                    </w:rPr>
                    <w:t>mg/L</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pStyle w:val="29"/>
                    <w:snapToGrid w:val="0"/>
                    <w:spacing w:before="0" w:beforeAutospacing="0" w:after="0" w:afterAutospacing="0"/>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cs="Times New Roman"/>
                      <w:sz w:val="21"/>
                      <w:szCs w:val="21"/>
                    </w:rPr>
                    <w:t>总磷</w:t>
                  </w:r>
                </w:p>
              </w:tc>
              <w:tc>
                <w:tcPr>
                  <w:tcW w:w="2759" w:type="dxa"/>
                  <w:gridSpan w:val="4"/>
                  <w:tcBorders>
                    <w:tl2br w:val="nil"/>
                    <w:tr2bl w:val="nil"/>
                  </w:tcBorders>
                  <w:vAlign w:val="center"/>
                </w:tcPr>
                <w:p>
                  <w:pPr>
                    <w:pStyle w:val="29"/>
                    <w:snapToGrid w:val="0"/>
                    <w:spacing w:before="0" w:beforeAutospacing="0" w:after="0" w:afterAutospacing="0"/>
                    <w:jc w:val="center"/>
                    <w:rPr>
                      <w:rFonts w:hint="default" w:ascii="Times New Roman" w:hAnsi="Times New Roman" w:eastAsia="宋体" w:cs="Times New Roman"/>
                      <w:kern w:val="0"/>
                      <w:sz w:val="21"/>
                      <w:szCs w:val="21"/>
                      <w:lang w:val="en-US" w:eastAsia="zh-CN" w:bidi="ar-SA"/>
                    </w:rPr>
                  </w:pPr>
                  <w:r>
                    <w:rPr>
                      <w:rFonts w:hint="default" w:ascii="Times New Roman" w:hAnsi="Times New Roman" w:cs="Times New Roman"/>
                      <w:snapToGrid w:val="0"/>
                      <w:sz w:val="21"/>
                      <w:szCs w:val="21"/>
                    </w:rPr>
                    <w:t>≤</w:t>
                  </w:r>
                  <w:r>
                    <w:rPr>
                      <w:rFonts w:hint="default" w:ascii="Times New Roman" w:hAnsi="Times New Roman" w:cs="Times New Roman"/>
                      <w:sz w:val="21"/>
                      <w:szCs w:val="21"/>
                    </w:rPr>
                    <w:t>0.</w:t>
                  </w:r>
                  <w:r>
                    <w:rPr>
                      <w:rFonts w:hint="eastAsia" w:ascii="Times New Roman" w:hAnsi="Times New Roman" w:cs="Times New Roman"/>
                      <w:sz w:val="21"/>
                      <w:szCs w:val="21"/>
                      <w:lang w:val="en-US" w:eastAsia="zh-CN"/>
                    </w:rPr>
                    <w:t>1</w:t>
                  </w:r>
                  <w:r>
                    <w:rPr>
                      <w:rFonts w:hint="default" w:ascii="Times New Roman" w:hAnsi="Times New Roman" w:cs="Times New Roman"/>
                      <w:sz w:val="21"/>
                      <w:szCs w:val="21"/>
                    </w:rPr>
                    <w:t>mg/L</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eastAsia="宋体" w:cs="Times New Roman"/>
                      <w:sz w:val="21"/>
                      <w:szCs w:val="21"/>
                      <w:lang w:eastAsia="zh-CN"/>
                    </w:rPr>
                  </w:pPr>
                  <w:r>
                    <w:rPr>
                      <w:rFonts w:hint="default" w:ascii="Times New Roman" w:hAnsi="Times New Roman" w:cs="Times New Roman"/>
                      <w:sz w:val="21"/>
                      <w:szCs w:val="21"/>
                      <w:lang w:eastAsia="zh-CN"/>
                    </w:rPr>
                    <w:t>土壤</w:t>
                  </w:r>
                </w:p>
              </w:tc>
              <w:tc>
                <w:tcPr>
                  <w:tcW w:w="2835" w:type="dxa"/>
                  <w:vMerge w:val="restart"/>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r>
                    <w:rPr>
                      <w:rFonts w:hint="default" w:ascii="Times New Roman" w:hAnsi="Times New Roman" w:cs="Times New Roman"/>
                      <w:bCs/>
                      <w:sz w:val="21"/>
                      <w:szCs w:val="21"/>
                    </w:rPr>
                    <w:t>《土壤环境质量 建设项目土壤污染风险管控标准（试行）》（GB36600-2018）</w:t>
                  </w: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铜</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18000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铅</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800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汞</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38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镉</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65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镍</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900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六价铬</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5.7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四氯化碳</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氯仿</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0.9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氯甲烷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37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1,1-二氯乙烷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1,2-二氯乙烷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1,1-二氯乙烯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66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顺-1,2-二氯乙烯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≤596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反-1,2-二氯乙烯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54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二氯甲烷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616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1,2-二氯丙烷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1,1,1,2-四氯乙烷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pacing w:val="5"/>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1,1,2,2-四氯乙烷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6.8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四氯乙烯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53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1,1,1-三氯乙烷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840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1,1,2-三氯乙烷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三氯乙烯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1,2,3-三氯丙烷</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氯乙烯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0.43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氯苯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270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1,2-二氯苯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560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1,4-二氯苯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乙苯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28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苯乙烯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1290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甲苯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1200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间二甲苯+对二甲苯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570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邻二甲苯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640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硝基苯</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76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苯胺</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260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2-氯酚</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2256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苯并[a]蒽</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苯并[a]芘</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苯并[b]荧蒽</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苯并[k]荧蒽</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151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䓛</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1293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二苯并[a，h]蒽</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茚并[1,2,3-cd]芘</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129"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2835" w:type="dxa"/>
                  <w:vMerge w:val="continue"/>
                  <w:tcBorders>
                    <w:tl2br w:val="nil"/>
                    <w:tr2bl w:val="nil"/>
                  </w:tcBorders>
                  <w:vAlign w:val="center"/>
                </w:tcPr>
                <w:p>
                  <w:pPr>
                    <w:pStyle w:val="29"/>
                    <w:snapToGrid w:val="0"/>
                    <w:spacing w:before="0" w:beforeAutospacing="0" w:after="0" w:afterAutospacing="0"/>
                    <w:jc w:val="center"/>
                    <w:rPr>
                      <w:rFonts w:hint="default" w:ascii="Times New Roman" w:hAnsi="Times New Roman" w:cs="Times New Roman"/>
                      <w:sz w:val="21"/>
                      <w:szCs w:val="21"/>
                    </w:rPr>
                  </w:pPr>
                </w:p>
              </w:tc>
              <w:tc>
                <w:tcPr>
                  <w:tcW w:w="1491"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萘</w:t>
                  </w:r>
                </w:p>
              </w:tc>
              <w:tc>
                <w:tcPr>
                  <w:tcW w:w="1272"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mg/kg</w:t>
                  </w:r>
                </w:p>
              </w:tc>
              <w:tc>
                <w:tcPr>
                  <w:tcW w:w="1487" w:type="dxa"/>
                  <w:gridSpan w:val="2"/>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color w:val="000000"/>
                      <w:spacing w:val="5"/>
                      <w:sz w:val="21"/>
                      <w:szCs w:val="21"/>
                    </w:rPr>
                    <w:t>70</w:t>
                  </w:r>
                </w:p>
              </w:tc>
            </w:tr>
          </w:tbl>
          <w:p/>
          <w:p/>
          <w:p/>
          <w:p>
            <w:pPr>
              <w:pStyle w:val="38"/>
            </w:pPr>
          </w:p>
          <w:p>
            <w:pPr>
              <w:pStyle w:val="38"/>
            </w:pPr>
          </w:p>
          <w:p>
            <w:pPr>
              <w:pStyle w:val="38"/>
            </w:pPr>
          </w:p>
          <w:p>
            <w:pPr>
              <w:pStyle w:val="38"/>
            </w:pPr>
          </w:p>
          <w:p>
            <w:pPr>
              <w:pStyle w:val="38"/>
            </w:pPr>
          </w:p>
          <w:p/>
          <w:p>
            <w:pPr>
              <w:pStyle w:val="3"/>
              <w:jc w:val="both"/>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14" w:hRule="atLeast"/>
          <w:jc w:val="center"/>
        </w:trPr>
        <w:tc>
          <w:tcPr>
            <w:tcW w:w="713" w:type="dxa"/>
            <w:tcBorders>
              <w:tl2br w:val="nil"/>
              <w:tr2bl w:val="nil"/>
            </w:tcBorders>
            <w:vAlign w:val="center"/>
          </w:tcPr>
          <w:p>
            <w:pPr>
              <w:jc w:val="center"/>
              <w:rPr>
                <w:rFonts w:ascii="Courier New" w:hAnsi="ISOCTEUR" w:cs="Courier New"/>
                <w:b/>
                <w:bCs/>
                <w:sz w:val="24"/>
              </w:rPr>
            </w:pPr>
            <w:r>
              <w:rPr>
                <w:rFonts w:ascii="Courier New" w:hAnsi="ISOCTEUR" w:cs="Courier New"/>
                <w:b/>
                <w:bCs/>
                <w:sz w:val="24"/>
              </w:rPr>
              <w:t>污</w:t>
            </w:r>
          </w:p>
          <w:p>
            <w:pPr>
              <w:jc w:val="center"/>
              <w:rPr>
                <w:rFonts w:ascii="Courier New" w:hAnsi="ISOCTEUR" w:cs="Courier New"/>
                <w:b/>
                <w:bCs/>
                <w:sz w:val="24"/>
              </w:rPr>
            </w:pPr>
            <w:r>
              <w:rPr>
                <w:rFonts w:ascii="Courier New" w:hAnsi="ISOCTEUR" w:cs="Courier New"/>
                <w:b/>
                <w:bCs/>
                <w:sz w:val="24"/>
              </w:rPr>
              <w:t>染</w:t>
            </w:r>
          </w:p>
          <w:p>
            <w:pPr>
              <w:jc w:val="center"/>
              <w:rPr>
                <w:rFonts w:ascii="Courier New" w:hAnsi="ISOCTEUR" w:cs="Courier New"/>
                <w:b/>
                <w:bCs/>
                <w:sz w:val="24"/>
              </w:rPr>
            </w:pPr>
            <w:r>
              <w:rPr>
                <w:rFonts w:ascii="Courier New" w:hAnsi="ISOCTEUR" w:cs="Courier New"/>
                <w:b/>
                <w:bCs/>
                <w:sz w:val="24"/>
              </w:rPr>
              <w:t>物</w:t>
            </w:r>
          </w:p>
          <w:p>
            <w:pPr>
              <w:jc w:val="center"/>
              <w:rPr>
                <w:rFonts w:ascii="Courier New" w:hAnsi="ISOCTEUR" w:cs="Courier New"/>
                <w:b/>
                <w:bCs/>
                <w:sz w:val="24"/>
              </w:rPr>
            </w:pPr>
            <w:r>
              <w:rPr>
                <w:rFonts w:ascii="Courier New" w:hAnsi="ISOCTEUR" w:cs="Courier New"/>
                <w:b/>
                <w:bCs/>
                <w:sz w:val="24"/>
              </w:rPr>
              <w:t>排</w:t>
            </w:r>
          </w:p>
          <w:p>
            <w:pPr>
              <w:jc w:val="center"/>
              <w:rPr>
                <w:rFonts w:ascii="Courier New" w:hAnsi="ISOCTEUR" w:cs="Courier New"/>
                <w:b/>
                <w:bCs/>
                <w:sz w:val="24"/>
              </w:rPr>
            </w:pPr>
            <w:r>
              <w:rPr>
                <w:rFonts w:ascii="Courier New" w:hAnsi="ISOCTEUR" w:cs="Courier New"/>
                <w:b/>
                <w:bCs/>
                <w:sz w:val="24"/>
              </w:rPr>
              <w:t>放</w:t>
            </w:r>
          </w:p>
          <w:p>
            <w:pPr>
              <w:jc w:val="center"/>
              <w:rPr>
                <w:rFonts w:ascii="Courier New" w:hAnsi="ISOCTEUR" w:cs="Courier New"/>
                <w:b/>
                <w:bCs/>
                <w:sz w:val="24"/>
              </w:rPr>
            </w:pPr>
            <w:r>
              <w:rPr>
                <w:rFonts w:ascii="Courier New" w:hAnsi="ISOCTEUR" w:cs="Courier New"/>
                <w:b/>
                <w:bCs/>
                <w:sz w:val="24"/>
              </w:rPr>
              <w:t>标</w:t>
            </w:r>
          </w:p>
          <w:p>
            <w:pPr>
              <w:jc w:val="center"/>
              <w:rPr>
                <w:rFonts w:ascii="Courier New" w:hAnsi="ISOCTEUR" w:cs="Courier New"/>
                <w:b/>
                <w:bCs/>
                <w:sz w:val="24"/>
              </w:rPr>
            </w:pPr>
            <w:r>
              <w:rPr>
                <w:rFonts w:ascii="Courier New" w:hAnsi="ISOCTEUR" w:cs="Courier New"/>
                <w:b/>
                <w:bCs/>
                <w:sz w:val="24"/>
              </w:rPr>
              <w:t>准</w:t>
            </w:r>
          </w:p>
        </w:tc>
        <w:tc>
          <w:tcPr>
            <w:tcW w:w="8574" w:type="dxa"/>
            <w:tcBorders>
              <w:tl2br w:val="nil"/>
              <w:tr2bl w:val="nil"/>
            </w:tcBorders>
          </w:tcPr>
          <w:p>
            <w:pPr>
              <w:adjustRightInd w:val="0"/>
              <w:snapToGrid w:val="0"/>
              <w:spacing w:line="240" w:lineRule="exact"/>
            </w:pPr>
          </w:p>
          <w:p>
            <w:pPr>
              <w:pStyle w:val="38"/>
            </w:pPr>
          </w:p>
          <w:p>
            <w:pPr>
              <w:pStyle w:val="38"/>
            </w:pPr>
          </w:p>
          <w:p>
            <w:pPr>
              <w:pStyle w:val="38"/>
              <w:rPr>
                <w:sz w:val="24"/>
              </w:rPr>
            </w:pPr>
          </w:p>
          <w:tbl>
            <w:tblPr>
              <w:tblStyle w:val="31"/>
              <w:tblpPr w:leftFromText="180" w:rightFromText="180" w:vertAnchor="text" w:horzAnchor="page" w:tblpX="70" w:tblpY="193"/>
              <w:tblOverlap w:val="never"/>
              <w:tblW w:w="5000" w:type="pct"/>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655"/>
              <w:gridCol w:w="4380"/>
              <w:gridCol w:w="830"/>
              <w:gridCol w:w="236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398"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环境因素</w:t>
                  </w:r>
                </w:p>
              </w:tc>
              <w:tc>
                <w:tcPr>
                  <w:tcW w:w="2660"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执行标准及级别</w:t>
                  </w:r>
                </w:p>
              </w:tc>
              <w:tc>
                <w:tcPr>
                  <w:tcW w:w="504"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项目</w:t>
                  </w:r>
                </w:p>
              </w:tc>
              <w:tc>
                <w:tcPr>
                  <w:tcW w:w="1436"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标准限值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398"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废气</w:t>
                  </w:r>
                </w:p>
              </w:tc>
              <w:tc>
                <w:tcPr>
                  <w:tcW w:w="2660"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《大气污染物综合排放标准》（GB16297-1996）表2</w:t>
                  </w:r>
                </w:p>
              </w:tc>
              <w:tc>
                <w:tcPr>
                  <w:tcW w:w="504" w:type="pct"/>
                  <w:tcBorders>
                    <w:tl2br w:val="nil"/>
                    <w:tr2bl w:val="nil"/>
                  </w:tcBorders>
                  <w:vAlign w:val="center"/>
                </w:tcPr>
                <w:p>
                  <w:pPr>
                    <w:widowControl/>
                    <w:jc w:val="center"/>
                    <w:rPr>
                      <w:kern w:val="0"/>
                      <w:szCs w:val="21"/>
                    </w:rPr>
                  </w:pPr>
                  <w:r>
                    <w:rPr>
                      <w:kern w:val="0"/>
                      <w:szCs w:val="21"/>
                    </w:rPr>
                    <w:t>颗粒物</w:t>
                  </w:r>
                </w:p>
              </w:tc>
              <w:tc>
                <w:tcPr>
                  <w:tcW w:w="1436" w:type="pct"/>
                  <w:tcBorders>
                    <w:tl2br w:val="nil"/>
                    <w:tr2bl w:val="nil"/>
                  </w:tcBorders>
                  <w:vAlign w:val="center"/>
                </w:tcPr>
                <w:p>
                  <w:pPr>
                    <w:widowControl/>
                    <w:jc w:val="center"/>
                    <w:rPr>
                      <w:rFonts w:ascii="Times New Roman" w:hAnsi="Times New Roman" w:eastAsia="宋体" w:cs="Times New Roman"/>
                      <w:kern w:val="0"/>
                      <w:sz w:val="21"/>
                      <w:szCs w:val="21"/>
                      <w:lang w:val="en-US" w:eastAsia="zh-CN" w:bidi="ar-SA"/>
                    </w:rPr>
                  </w:pPr>
                  <w:r>
                    <w:rPr>
                      <w:kern w:val="0"/>
                      <w:szCs w:val="21"/>
                    </w:rPr>
                    <w:t>无组织排放监控浓度限值1.0mg/m</w:t>
                  </w:r>
                  <w:r>
                    <w:rPr>
                      <w:kern w:val="0"/>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98" w:type="pct"/>
                  <w:vMerge w:val="restart"/>
                  <w:tcBorders>
                    <w:tl2br w:val="nil"/>
                    <w:tr2bl w:val="nil"/>
                  </w:tcBorders>
                  <w:vAlign w:val="center"/>
                </w:tcPr>
                <w:p>
                  <w:pPr>
                    <w:pStyle w:val="29"/>
                    <w:snapToGrid w:val="0"/>
                    <w:spacing w:before="0" w:after="0"/>
                    <w:jc w:val="center"/>
                    <w:rPr>
                      <w:rFonts w:ascii="Times New Roman" w:hAnsi="Times New Roman" w:cs="Times New Roman"/>
                      <w:sz w:val="21"/>
                      <w:szCs w:val="21"/>
                    </w:rPr>
                  </w:pPr>
                  <w:r>
                    <w:rPr>
                      <w:rFonts w:ascii="Times New Roman" w:hAnsi="Times New Roman" w:cs="Times New Roman"/>
                      <w:sz w:val="21"/>
                      <w:szCs w:val="21"/>
                    </w:rPr>
                    <w:t>噪声</w:t>
                  </w:r>
                </w:p>
              </w:tc>
              <w:tc>
                <w:tcPr>
                  <w:tcW w:w="2660" w:type="pct"/>
                  <w:vMerge w:val="restar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《工业企业厂界环境噪声排放标准》（GB12348-2008）2类</w:t>
                  </w:r>
                </w:p>
              </w:tc>
              <w:tc>
                <w:tcPr>
                  <w:tcW w:w="504"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昼间</w:t>
                  </w:r>
                </w:p>
              </w:tc>
              <w:tc>
                <w:tcPr>
                  <w:tcW w:w="1436"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60dB（A）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98" w:type="pct"/>
                  <w:vMerge w:val="continue"/>
                  <w:tcBorders>
                    <w:tl2br w:val="nil"/>
                    <w:tr2bl w:val="nil"/>
                  </w:tcBorders>
                  <w:vAlign w:val="center"/>
                </w:tcPr>
                <w:p>
                  <w:pPr>
                    <w:pStyle w:val="29"/>
                    <w:snapToGrid w:val="0"/>
                    <w:spacing w:before="0" w:after="0"/>
                    <w:jc w:val="center"/>
                    <w:rPr>
                      <w:rFonts w:ascii="Times New Roman" w:hAnsi="Times New Roman" w:cs="Times New Roman"/>
                      <w:sz w:val="21"/>
                      <w:szCs w:val="21"/>
                    </w:rPr>
                  </w:pPr>
                </w:p>
              </w:tc>
              <w:tc>
                <w:tcPr>
                  <w:tcW w:w="2660" w:type="pct"/>
                  <w:vMerge w:val="continue"/>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p>
              </w:tc>
              <w:tc>
                <w:tcPr>
                  <w:tcW w:w="504"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夜间</w:t>
                  </w:r>
                </w:p>
              </w:tc>
              <w:tc>
                <w:tcPr>
                  <w:tcW w:w="1436"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50dB（A）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98" w:type="pct"/>
                  <w:vMerge w:val="continue"/>
                  <w:tcBorders>
                    <w:tl2br w:val="nil"/>
                    <w:tr2bl w:val="nil"/>
                  </w:tcBorders>
                  <w:vAlign w:val="center"/>
                </w:tcPr>
                <w:p>
                  <w:pPr>
                    <w:pStyle w:val="29"/>
                    <w:snapToGrid w:val="0"/>
                    <w:spacing w:before="0" w:after="0"/>
                    <w:jc w:val="center"/>
                    <w:rPr>
                      <w:rFonts w:ascii="Times New Roman" w:hAnsi="Times New Roman" w:cs="Times New Roman"/>
                      <w:sz w:val="21"/>
                      <w:szCs w:val="21"/>
                    </w:rPr>
                  </w:pPr>
                </w:p>
              </w:tc>
              <w:tc>
                <w:tcPr>
                  <w:tcW w:w="2660" w:type="pct"/>
                  <w:vMerge w:val="restart"/>
                  <w:tcBorders>
                    <w:tl2br w:val="nil"/>
                    <w:tr2bl w:val="nil"/>
                  </w:tcBorders>
                  <w:vAlign w:val="center"/>
                </w:tcPr>
                <w:p>
                  <w:pPr>
                    <w:pStyle w:val="29"/>
                    <w:snapToGrid w:val="0"/>
                    <w:spacing w:before="0" w:beforeAutospacing="0" w:after="0" w:afterAutospacing="0"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《建筑施工厂界环境噪声排放标准》（</w:t>
                  </w:r>
                  <w:r>
                    <w:rPr>
                      <w:rFonts w:hint="eastAsia" w:ascii="Times New Roman" w:hAnsi="Times New Roman" w:cs="Times New Roman"/>
                      <w:sz w:val="21"/>
                      <w:szCs w:val="21"/>
                      <w:lang w:val="en-US" w:eastAsia="zh-CN"/>
                    </w:rPr>
                    <w:t>GB12523-2011</w:t>
                  </w:r>
                  <w:r>
                    <w:rPr>
                      <w:rFonts w:hint="eastAsia" w:ascii="Times New Roman" w:hAnsi="Times New Roman" w:cs="Times New Roman"/>
                      <w:sz w:val="21"/>
                      <w:szCs w:val="21"/>
                      <w:lang w:eastAsia="zh-CN"/>
                    </w:rPr>
                    <w:t>）</w:t>
                  </w:r>
                </w:p>
              </w:tc>
              <w:tc>
                <w:tcPr>
                  <w:tcW w:w="504" w:type="pct"/>
                  <w:tcBorders>
                    <w:tl2br w:val="nil"/>
                    <w:tr2bl w:val="nil"/>
                  </w:tcBorders>
                  <w:vAlign w:val="center"/>
                </w:tcPr>
                <w:p>
                  <w:pPr>
                    <w:pStyle w:val="29"/>
                    <w:snapToGrid w:val="0"/>
                    <w:spacing w:before="0" w:beforeAutospacing="0" w:after="0" w:afterAutospacing="0" w:line="240" w:lineRule="auto"/>
                    <w:jc w:val="center"/>
                    <w:rPr>
                      <w:rFonts w:ascii="Times New Roman" w:hAnsi="Times New Roman" w:cs="Times New Roman"/>
                      <w:sz w:val="21"/>
                      <w:szCs w:val="21"/>
                    </w:rPr>
                  </w:pPr>
                  <w:r>
                    <w:rPr>
                      <w:rFonts w:ascii="Times New Roman" w:hAnsi="Times New Roman" w:cs="Times New Roman"/>
                      <w:sz w:val="21"/>
                      <w:szCs w:val="21"/>
                    </w:rPr>
                    <w:t>昼间</w:t>
                  </w:r>
                </w:p>
              </w:tc>
              <w:tc>
                <w:tcPr>
                  <w:tcW w:w="1436" w:type="pct"/>
                  <w:tcBorders>
                    <w:tl2br w:val="nil"/>
                    <w:tr2bl w:val="nil"/>
                  </w:tcBorders>
                  <w:vAlign w:val="center"/>
                </w:tcPr>
                <w:p>
                  <w:pPr>
                    <w:pStyle w:val="29"/>
                    <w:snapToGrid w:val="0"/>
                    <w:spacing w:before="0" w:beforeAutospacing="0" w:after="0" w:afterAutospacing="0" w:line="240" w:lineRule="auto"/>
                    <w:jc w:val="center"/>
                    <w:rPr>
                      <w:rFonts w:ascii="Times New Roman" w:hAnsi="Times New Roman" w:cs="Times New Roman"/>
                      <w:sz w:val="21"/>
                      <w:szCs w:val="21"/>
                    </w:rPr>
                  </w:pPr>
                  <w:r>
                    <w:rPr>
                      <w:rFonts w:ascii="Times New Roman" w:hAnsi="Times New Roman" w:cs="Times New Roman"/>
                      <w:sz w:val="21"/>
                      <w:szCs w:val="21"/>
                    </w:rPr>
                    <w:t>70dB（A）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98" w:type="pct"/>
                  <w:vMerge w:val="continue"/>
                  <w:tcBorders>
                    <w:tl2br w:val="nil"/>
                    <w:tr2bl w:val="nil"/>
                  </w:tcBorders>
                  <w:vAlign w:val="center"/>
                </w:tcPr>
                <w:p>
                  <w:pPr>
                    <w:pStyle w:val="29"/>
                    <w:snapToGrid w:val="0"/>
                    <w:spacing w:before="0" w:after="0"/>
                    <w:jc w:val="center"/>
                    <w:rPr>
                      <w:rFonts w:ascii="Times New Roman" w:hAnsi="Times New Roman" w:cs="Times New Roman"/>
                      <w:sz w:val="21"/>
                      <w:szCs w:val="21"/>
                    </w:rPr>
                  </w:pPr>
                </w:p>
              </w:tc>
              <w:tc>
                <w:tcPr>
                  <w:tcW w:w="2660" w:type="pct"/>
                  <w:vMerge w:val="continue"/>
                  <w:tcBorders>
                    <w:tl2br w:val="nil"/>
                    <w:tr2bl w:val="nil"/>
                  </w:tcBorders>
                  <w:vAlign w:val="center"/>
                </w:tcPr>
                <w:p>
                  <w:pPr>
                    <w:pStyle w:val="29"/>
                    <w:snapToGrid w:val="0"/>
                    <w:spacing w:before="0" w:beforeAutospacing="0" w:after="0" w:afterAutospacing="0" w:line="240" w:lineRule="auto"/>
                    <w:jc w:val="center"/>
                    <w:rPr>
                      <w:rFonts w:ascii="Times New Roman" w:hAnsi="Times New Roman" w:cs="Times New Roman"/>
                      <w:sz w:val="21"/>
                      <w:szCs w:val="21"/>
                    </w:rPr>
                  </w:pPr>
                </w:p>
              </w:tc>
              <w:tc>
                <w:tcPr>
                  <w:tcW w:w="504" w:type="pct"/>
                  <w:tcBorders>
                    <w:tl2br w:val="nil"/>
                    <w:tr2bl w:val="nil"/>
                  </w:tcBorders>
                  <w:vAlign w:val="center"/>
                </w:tcPr>
                <w:p>
                  <w:pPr>
                    <w:pStyle w:val="29"/>
                    <w:snapToGrid w:val="0"/>
                    <w:spacing w:before="0" w:beforeAutospacing="0" w:after="0" w:afterAutospacing="0" w:line="240" w:lineRule="auto"/>
                    <w:jc w:val="center"/>
                    <w:rPr>
                      <w:rFonts w:ascii="Times New Roman" w:hAnsi="Times New Roman" w:cs="Times New Roman"/>
                      <w:sz w:val="21"/>
                      <w:szCs w:val="21"/>
                    </w:rPr>
                  </w:pPr>
                  <w:r>
                    <w:rPr>
                      <w:rFonts w:ascii="Times New Roman" w:hAnsi="Times New Roman" w:cs="Times New Roman"/>
                      <w:sz w:val="21"/>
                      <w:szCs w:val="21"/>
                    </w:rPr>
                    <w:t>夜间</w:t>
                  </w:r>
                </w:p>
              </w:tc>
              <w:tc>
                <w:tcPr>
                  <w:tcW w:w="1436" w:type="pct"/>
                  <w:tcBorders>
                    <w:tl2br w:val="nil"/>
                    <w:tr2bl w:val="nil"/>
                  </w:tcBorders>
                  <w:vAlign w:val="center"/>
                </w:tcPr>
                <w:p>
                  <w:pPr>
                    <w:pStyle w:val="29"/>
                    <w:snapToGrid w:val="0"/>
                    <w:spacing w:before="0" w:beforeAutospacing="0" w:after="0" w:afterAutospacing="0" w:line="240" w:lineRule="auto"/>
                    <w:jc w:val="center"/>
                    <w:rPr>
                      <w:rFonts w:ascii="Times New Roman" w:hAnsi="Times New Roman" w:cs="Times New Roman"/>
                      <w:sz w:val="21"/>
                      <w:szCs w:val="21"/>
                    </w:rPr>
                  </w:pPr>
                  <w:r>
                    <w:rPr>
                      <w:rFonts w:ascii="Times New Roman" w:hAnsi="Times New Roman" w:cs="Times New Roman"/>
                      <w:sz w:val="21"/>
                      <w:szCs w:val="21"/>
                    </w:rPr>
                    <w:t>55dB（A）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98" w:type="pct"/>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固废</w:t>
                  </w:r>
                </w:p>
              </w:tc>
              <w:tc>
                <w:tcPr>
                  <w:tcW w:w="4601" w:type="pct"/>
                  <w:gridSpan w:val="3"/>
                  <w:tcBorders>
                    <w:tl2br w:val="nil"/>
                    <w:tr2bl w:val="nil"/>
                  </w:tcBorders>
                  <w:vAlign w:val="center"/>
                </w:tcPr>
                <w:p>
                  <w:pPr>
                    <w:pStyle w:val="29"/>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《一般工业固体废物贮存、处置场污染控制标准》（GB18599-2001）及其2013年修改单</w:t>
                  </w:r>
                </w:p>
              </w:tc>
            </w:tr>
          </w:tbl>
          <w:p>
            <w:pPr>
              <w:pStyle w:val="38"/>
              <w:rPr>
                <w:sz w:val="24"/>
              </w:rPr>
            </w:pPr>
          </w:p>
          <w:p>
            <w:pPr>
              <w:pStyle w:val="38"/>
              <w:rPr>
                <w:sz w:val="24"/>
              </w:rPr>
            </w:pPr>
          </w:p>
          <w:p>
            <w:pPr>
              <w:pStyle w:val="38"/>
              <w:rPr>
                <w:sz w:val="24"/>
              </w:rPr>
            </w:pPr>
          </w:p>
          <w:p>
            <w:pPr>
              <w:pStyle w:val="38"/>
              <w:rPr>
                <w:sz w:val="24"/>
              </w:rPr>
            </w:pPr>
          </w:p>
          <w:p>
            <w:pPr>
              <w:pStyle w:val="38"/>
              <w:rPr>
                <w:sz w:val="24"/>
              </w:rPr>
            </w:pPr>
          </w:p>
          <w:p>
            <w:pPr>
              <w:pStyle w:val="38"/>
              <w:rPr>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884" w:hRule="atLeast"/>
          <w:jc w:val="center"/>
        </w:trPr>
        <w:tc>
          <w:tcPr>
            <w:tcW w:w="713" w:type="dxa"/>
            <w:tcBorders>
              <w:tl2br w:val="nil"/>
              <w:tr2bl w:val="nil"/>
            </w:tcBorders>
            <w:textDirection w:val="tbRlV"/>
            <w:vAlign w:val="center"/>
          </w:tcPr>
          <w:p>
            <w:pPr>
              <w:spacing w:line="360" w:lineRule="auto"/>
              <w:jc w:val="center"/>
              <w:rPr>
                <w:rFonts w:ascii="Courier New" w:hAnsi="Courier New" w:cs="Courier New"/>
                <w:b/>
                <w:bCs/>
                <w:sz w:val="28"/>
                <w:highlight w:val="yellow"/>
              </w:rPr>
            </w:pPr>
            <w:r>
              <w:rPr>
                <w:rFonts w:ascii="Courier New" w:hAnsi="ISOCTEUR" w:cs="Courier New"/>
                <w:b/>
                <w:bCs/>
                <w:sz w:val="28"/>
              </w:rPr>
              <w:t>总量控制指标</w:t>
            </w:r>
          </w:p>
        </w:tc>
        <w:tc>
          <w:tcPr>
            <w:tcW w:w="8574" w:type="dxa"/>
            <w:tcBorders>
              <w:tl2br w:val="nil"/>
              <w:tr2bl w:val="nil"/>
            </w:tcBorders>
          </w:tcPr>
          <w:p>
            <w:pPr>
              <w:keepNext/>
              <w:keepLines/>
              <w:spacing w:before="80" w:after="80" w:line="360" w:lineRule="auto"/>
              <w:ind w:firstLine="470" w:firstLineChars="196"/>
              <w:outlineLvl w:val="2"/>
              <w:rPr>
                <w:rFonts w:hint="eastAsia"/>
                <w:bCs/>
                <w:color w:val="FF0000"/>
                <w:sz w:val="24"/>
                <w:highlight w:val="none"/>
              </w:rPr>
            </w:pPr>
          </w:p>
          <w:p>
            <w:pPr>
              <w:keepNext/>
              <w:keepLines/>
              <w:spacing w:before="80" w:after="80" w:line="360" w:lineRule="auto"/>
              <w:ind w:firstLine="470" w:firstLineChars="196"/>
              <w:outlineLvl w:val="2"/>
              <w:rPr>
                <w:rFonts w:hint="eastAsia"/>
                <w:bCs/>
                <w:color w:val="FF0000"/>
                <w:sz w:val="24"/>
                <w:highlight w:val="none"/>
              </w:rPr>
            </w:pPr>
          </w:p>
          <w:p>
            <w:pPr>
              <w:keepNext/>
              <w:keepLines/>
              <w:spacing w:before="80" w:after="80" w:line="360" w:lineRule="auto"/>
              <w:ind w:firstLine="470" w:firstLineChars="196"/>
              <w:outlineLvl w:val="2"/>
              <w:rPr>
                <w:rFonts w:hint="eastAsia"/>
                <w:bCs/>
                <w:color w:val="FF0000"/>
                <w:sz w:val="24"/>
                <w:highlight w:val="none"/>
              </w:rPr>
            </w:pPr>
          </w:p>
          <w:p>
            <w:pPr>
              <w:pStyle w:val="38"/>
              <w:rPr>
                <w:rFonts w:hint="eastAsia"/>
                <w:bCs/>
                <w:color w:val="FF0000"/>
                <w:sz w:val="24"/>
                <w:highlight w:val="none"/>
              </w:rPr>
            </w:pPr>
          </w:p>
          <w:p>
            <w:pPr>
              <w:pStyle w:val="38"/>
              <w:rPr>
                <w:rFonts w:hint="eastAsia"/>
                <w:bCs/>
                <w:color w:val="FF0000"/>
                <w:sz w:val="24"/>
                <w:highlight w:val="none"/>
              </w:rPr>
            </w:pPr>
            <w:bookmarkStart w:id="0" w:name="_GoBack"/>
            <w:bookmarkEnd w:id="0"/>
          </w:p>
          <w:p>
            <w:pPr>
              <w:pStyle w:val="38"/>
              <w:rPr>
                <w:rFonts w:hint="eastAsia"/>
                <w:bCs/>
                <w:color w:val="FF0000"/>
                <w:sz w:val="24"/>
                <w:highlight w:val="none"/>
              </w:rPr>
            </w:pPr>
          </w:p>
          <w:p>
            <w:pPr>
              <w:keepNext/>
              <w:keepLines/>
              <w:spacing w:before="80" w:after="80" w:line="360" w:lineRule="auto"/>
              <w:ind w:firstLine="470" w:firstLineChars="196"/>
              <w:outlineLvl w:val="2"/>
              <w:rPr>
                <w:rFonts w:hint="eastAsia"/>
                <w:bCs/>
                <w:color w:val="FF0000"/>
                <w:sz w:val="24"/>
                <w:highlight w:val="none"/>
              </w:rPr>
            </w:pPr>
          </w:p>
          <w:p>
            <w:pPr>
              <w:spacing w:line="360" w:lineRule="auto"/>
              <w:ind w:firstLine="480"/>
              <w:textAlignment w:val="baseline"/>
              <w:rPr>
                <w:bCs/>
                <w:color w:val="FF0000"/>
                <w:sz w:val="24"/>
                <w:highlight w:val="none"/>
              </w:rPr>
            </w:pPr>
            <w:r>
              <w:rPr>
                <w:rFonts w:hint="default" w:ascii="Times New Roman" w:hAnsi="Times New Roman" w:cs="Times New Roman"/>
                <w:bCs/>
                <w:color w:val="auto"/>
                <w:sz w:val="24"/>
              </w:rPr>
              <w:t>本项目废水不外排，产生的废气</w:t>
            </w:r>
            <w:r>
              <w:rPr>
                <w:rFonts w:hint="default" w:ascii="Times New Roman" w:hAnsi="Times New Roman" w:cs="Times New Roman"/>
                <w:bCs/>
                <w:color w:val="auto"/>
                <w:sz w:val="24"/>
                <w:lang w:eastAsia="zh-CN"/>
              </w:rPr>
              <w:t>为颗粒物</w:t>
            </w:r>
            <w:r>
              <w:rPr>
                <w:rFonts w:hint="default" w:ascii="Times New Roman" w:hAnsi="Times New Roman" w:cs="Times New Roman"/>
                <w:bCs/>
                <w:color w:val="auto"/>
                <w:sz w:val="24"/>
                <w:lang w:val="en-US" w:eastAsia="zh-CN"/>
              </w:rPr>
              <w:t>，</w:t>
            </w:r>
            <w:r>
              <w:rPr>
                <w:rFonts w:hint="default" w:ascii="Times New Roman" w:hAnsi="Times New Roman" w:cs="Times New Roman"/>
                <w:bCs/>
                <w:color w:val="auto"/>
                <w:sz w:val="24"/>
              </w:rPr>
              <w:t>不含SO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、NOx</w:t>
            </w:r>
            <w:r>
              <w:rPr>
                <w:rFonts w:hint="eastAsia" w:cs="Times New Roman"/>
                <w:bCs/>
                <w:color w:val="auto"/>
                <w:sz w:val="24"/>
                <w:lang w:eastAsia="zh-CN"/>
              </w:rPr>
              <w:t>。</w:t>
            </w:r>
            <w:r>
              <w:rPr>
                <w:rFonts w:hint="default" w:ascii="Times New Roman" w:hAnsi="Times New Roman" w:cs="Times New Roman"/>
                <w:bCs/>
                <w:color w:val="auto"/>
                <w:sz w:val="24"/>
              </w:rPr>
              <w:t>本项目</w:t>
            </w:r>
            <w:r>
              <w:rPr>
                <w:rFonts w:hint="eastAsia" w:cs="Times New Roman"/>
                <w:bCs/>
                <w:color w:val="auto"/>
                <w:sz w:val="24"/>
                <w:lang w:eastAsia="zh-CN"/>
              </w:rPr>
              <w:t>建成后，</w:t>
            </w:r>
            <w:r>
              <w:rPr>
                <w:rFonts w:hint="eastAsia" w:ascii="Times New Roman" w:hAnsi="Times New Roman" w:cs="Times New Roman"/>
                <w:bCs/>
                <w:color w:val="auto"/>
                <w:sz w:val="24"/>
                <w:lang w:eastAsia="zh-CN"/>
              </w:rPr>
              <w:t>污染物排放总量为</w:t>
            </w:r>
            <w:r>
              <w:rPr>
                <w:rFonts w:hint="default" w:ascii="Times New Roman" w:hAnsi="Times New Roman" w:cs="Times New Roman"/>
                <w:bCs/>
                <w:color w:val="auto"/>
                <w:sz w:val="24"/>
              </w:rPr>
              <w:t>：</w:t>
            </w:r>
            <w:r>
              <w:rPr>
                <w:bCs/>
                <w:color w:val="auto"/>
                <w:sz w:val="24"/>
                <w:highlight w:val="none"/>
              </w:rPr>
              <w:t>COD0t/a、NH</w:t>
            </w:r>
            <w:r>
              <w:rPr>
                <w:bCs/>
                <w:color w:val="auto"/>
                <w:sz w:val="24"/>
                <w:highlight w:val="none"/>
                <w:vertAlign w:val="subscript"/>
              </w:rPr>
              <w:t>3</w:t>
            </w:r>
            <w:r>
              <w:rPr>
                <w:bCs/>
                <w:color w:val="auto"/>
                <w:sz w:val="24"/>
                <w:highlight w:val="none"/>
              </w:rPr>
              <w:t>-N0t/a、SO</w:t>
            </w:r>
            <w:r>
              <w:rPr>
                <w:bCs/>
                <w:color w:val="auto"/>
                <w:sz w:val="24"/>
                <w:highlight w:val="none"/>
                <w:vertAlign w:val="subscript"/>
              </w:rPr>
              <w:t>2</w:t>
            </w:r>
            <w:r>
              <w:rPr>
                <w:bCs/>
                <w:color w:val="auto"/>
                <w:sz w:val="24"/>
                <w:highlight w:val="none"/>
              </w:rPr>
              <w:t>0t/a、NOx0t/a</w:t>
            </w:r>
            <w:r>
              <w:rPr>
                <w:rFonts w:hint="eastAsia"/>
                <w:bCs/>
                <w:color w:val="auto"/>
                <w:sz w:val="24"/>
                <w:highlight w:val="none"/>
              </w:rPr>
              <w:t>、</w:t>
            </w:r>
            <w:r>
              <w:rPr>
                <w:rFonts w:hint="eastAsia"/>
                <w:bCs/>
                <w:color w:val="auto"/>
                <w:sz w:val="24"/>
                <w:highlight w:val="none"/>
                <w:lang w:eastAsia="zh-CN"/>
              </w:rPr>
              <w:t>颗粒物</w:t>
            </w:r>
            <w:r>
              <w:rPr>
                <w:rFonts w:hint="eastAsia"/>
                <w:bCs/>
                <w:color w:val="auto"/>
                <w:sz w:val="24"/>
                <w:highlight w:val="none"/>
                <w:lang w:val="en-US" w:eastAsia="zh-CN"/>
              </w:rPr>
              <w:t>0.0242t/a</w:t>
            </w:r>
            <w:r>
              <w:rPr>
                <w:bCs/>
                <w:color w:val="auto"/>
                <w:sz w:val="24"/>
                <w:highlight w:val="none"/>
              </w:rPr>
              <w:t>。</w:t>
            </w:r>
          </w:p>
          <w:p>
            <w:pPr>
              <w:pStyle w:val="38"/>
            </w:pPr>
          </w:p>
          <w:p>
            <w:pPr>
              <w:pStyle w:val="38"/>
              <w:rPr>
                <w:bCs/>
                <w:color w:val="FF0000"/>
                <w:sz w:val="24"/>
                <w:highlight w:val="none"/>
              </w:rPr>
            </w:pPr>
          </w:p>
          <w:p>
            <w:pPr>
              <w:pStyle w:val="38"/>
              <w:rPr>
                <w:bCs/>
                <w:color w:val="FF0000"/>
                <w:sz w:val="24"/>
                <w:highlight w:val="none"/>
              </w:rPr>
            </w:pPr>
          </w:p>
          <w:p>
            <w:pPr>
              <w:pStyle w:val="38"/>
              <w:rPr>
                <w:bCs/>
                <w:color w:val="FF0000"/>
                <w:sz w:val="24"/>
                <w:highlight w:val="none"/>
              </w:rPr>
            </w:pPr>
          </w:p>
          <w:p>
            <w:pPr>
              <w:pStyle w:val="38"/>
              <w:rPr>
                <w:bCs/>
                <w:color w:val="FF0000"/>
                <w:sz w:val="24"/>
                <w:highlight w:val="none"/>
              </w:rPr>
            </w:pPr>
          </w:p>
          <w:p>
            <w:pPr>
              <w:pStyle w:val="38"/>
              <w:rPr>
                <w:bCs/>
                <w:color w:val="FF0000"/>
                <w:sz w:val="24"/>
                <w:highlight w:val="none"/>
              </w:rPr>
            </w:pPr>
          </w:p>
          <w:p>
            <w:pPr>
              <w:pStyle w:val="38"/>
              <w:rPr>
                <w:bCs/>
                <w:color w:val="FF0000"/>
                <w:sz w:val="24"/>
                <w:highlight w:val="none"/>
              </w:rPr>
            </w:pPr>
          </w:p>
          <w:p>
            <w:pPr>
              <w:spacing w:line="360" w:lineRule="auto"/>
              <w:ind w:firstLine="480"/>
              <w:textAlignment w:val="baseline"/>
              <w:rPr>
                <w:bCs/>
                <w:color w:val="FF0000"/>
                <w:sz w:val="24"/>
                <w:highlight w:val="none"/>
              </w:rPr>
            </w:pPr>
          </w:p>
          <w:p>
            <w:pPr>
              <w:spacing w:line="360" w:lineRule="auto"/>
              <w:ind w:firstLine="480"/>
              <w:textAlignment w:val="baseline"/>
              <w:rPr>
                <w:rFonts w:hint="eastAsia" w:eastAsia="宋体"/>
                <w:bCs/>
                <w:sz w:val="24"/>
                <w:lang w:val="en-US" w:eastAsia="zh-CN"/>
              </w:rPr>
            </w:pPr>
            <w:r>
              <w:rPr>
                <w:rFonts w:hint="eastAsia"/>
                <w:bCs/>
                <w:color w:val="FF0000"/>
                <w:sz w:val="24"/>
                <w:highlight w:val="none"/>
                <w:lang w:val="en-US" w:eastAsia="zh-CN"/>
              </w:rPr>
              <w:t xml:space="preserve"> </w:t>
            </w:r>
          </w:p>
        </w:tc>
      </w:tr>
    </w:tbl>
    <w:p>
      <w:pPr>
        <w:adjustRightInd w:val="0"/>
        <w:snapToGrid w:val="0"/>
        <w:rPr>
          <w:rFonts w:ascii="黑体" w:eastAsia="黑体"/>
          <w:sz w:val="32"/>
        </w:rPr>
      </w:pPr>
      <w:r>
        <w:rPr>
          <w:rFonts w:hint="eastAsia" w:ascii="黑体" w:hAnsi="宋体" w:eastAsia="黑体"/>
          <w:sz w:val="32"/>
        </w:rPr>
        <w:t>建设项目工程分析</w:t>
      </w:r>
    </w:p>
    <w:tbl>
      <w:tblPr>
        <w:tblStyle w:val="31"/>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8" w:hRule="atLeast"/>
        </w:trPr>
        <w:tc>
          <w:tcPr>
            <w:tcW w:w="9287" w:type="dxa"/>
            <w:tcBorders>
              <w:top w:val="single" w:color="auto" w:sz="12" w:space="0"/>
              <w:left w:val="single" w:color="auto" w:sz="12" w:space="0"/>
              <w:bottom w:val="single" w:color="auto" w:sz="12" w:space="0"/>
              <w:right w:val="single" w:color="auto" w:sz="12" w:space="0"/>
            </w:tcBorders>
          </w:tcPr>
          <w:p>
            <w:pPr>
              <w:spacing w:line="360" w:lineRule="auto"/>
              <w:rPr>
                <w:rFonts w:ascii="Courier New" w:hAnsi="ISOCTEUR" w:cs="Courier New"/>
                <w:b/>
                <w:sz w:val="28"/>
                <w:szCs w:val="28"/>
              </w:rPr>
            </w:pPr>
            <w:r>
              <w:rPr>
                <w:rFonts w:ascii="Courier New" w:hAnsi="ISOCTEUR" w:cs="Courier New"/>
                <w:b/>
                <w:sz w:val="28"/>
                <w:szCs w:val="28"/>
              </w:rPr>
              <w:t>工艺流程简述（图示）：</w:t>
            </w:r>
          </w:p>
          <w:p>
            <w:pPr>
              <w:adjustRightInd w:val="0"/>
              <w:snapToGrid w:val="0"/>
              <w:spacing w:line="360" w:lineRule="auto"/>
              <w:ind w:firstLine="480" w:firstLineChars="200"/>
              <w:jc w:val="left"/>
              <w:rPr>
                <w:rFonts w:hint="eastAsia"/>
                <w:bCs/>
                <w:sz w:val="24"/>
              </w:rPr>
            </w:pPr>
            <w:r>
              <w:rPr>
                <w:sz w:val="24"/>
              </w:rPr>
              <mc:AlternateContent>
                <mc:Choice Requires="wps">
                  <w:drawing>
                    <wp:anchor distT="0" distB="0" distL="114300" distR="114300" simplePos="0" relativeHeight="1022942208" behindDoc="0" locked="0" layoutInCell="1" allowOverlap="1">
                      <wp:simplePos x="0" y="0"/>
                      <wp:positionH relativeFrom="column">
                        <wp:posOffset>2559050</wp:posOffset>
                      </wp:positionH>
                      <wp:positionV relativeFrom="paragraph">
                        <wp:posOffset>172085</wp:posOffset>
                      </wp:positionV>
                      <wp:extent cx="605155" cy="29337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605155" cy="2933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lang w:eastAsia="zh-CN"/>
                                    </w:rPr>
                                  </w:pPr>
                                  <w:r>
                                    <w:rPr>
                                      <w:rFonts w:hint="eastAsia"/>
                                      <w:lang w:eastAsia="zh-CN"/>
                                    </w:rPr>
                                    <w:t>噪声</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1.5pt;margin-top:13.55pt;height:23.1pt;width:47.65pt;z-index:1022942208;mso-width-relative:page;mso-height-relative:page;" filled="f" stroked="f" coordsize="21600,21600" o:gfxdata="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E09p&#10;P9sAAAAJAQAADwAAAAAAAAABACAAAAAiAAAAZHJzL2Rvd25yZXYueG1sUEsBAhQAFAAAAAgAh07i&#10;QAQ3+A4fAgAAGQQAAA4AAAAAAAAAAQAgAAAAKgEAAGRycy9lMm9Eb2MueG1sUEsFBgAAAAAGAAYA&#10;WQEAALsFAAAAAA==&#10;">
                      <v:fill on="f" focussize="0,0"/>
                      <v:stroke on="f" weight="0.5pt"/>
                      <v:imagedata o:title=""/>
                      <o:lock v:ext="edit" aspectratio="f"/>
                      <v:textbox>
                        <w:txbxContent>
                          <w:p>
                            <w:pPr>
                              <w:jc w:val="center"/>
                              <w:rPr>
                                <w:rFonts w:hint="eastAsia" w:eastAsia="宋体"/>
                                <w:lang w:eastAsia="zh-CN"/>
                              </w:rPr>
                            </w:pPr>
                            <w:r>
                              <w:rPr>
                                <w:rFonts w:hint="eastAsia"/>
                                <w:lang w:eastAsia="zh-CN"/>
                              </w:rPr>
                              <w:t>噪声</w:t>
                            </w:r>
                          </w:p>
                        </w:txbxContent>
                      </v:textbox>
                    </v:shape>
                  </w:pict>
                </mc:Fallback>
              </mc:AlternateContent>
            </w:r>
            <w:r>
              <w:rPr>
                <w:sz w:val="24"/>
              </w:rPr>
              <mc:AlternateContent>
                <mc:Choice Requires="wps">
                  <w:drawing>
                    <wp:anchor distT="0" distB="0" distL="114300" distR="114300" simplePos="0" relativeHeight="2784783360" behindDoc="0" locked="0" layoutInCell="1" allowOverlap="1">
                      <wp:simplePos x="0" y="0"/>
                      <wp:positionH relativeFrom="column">
                        <wp:posOffset>184785</wp:posOffset>
                      </wp:positionH>
                      <wp:positionV relativeFrom="paragraph">
                        <wp:posOffset>182245</wp:posOffset>
                      </wp:positionV>
                      <wp:extent cx="1246505" cy="29337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246505" cy="2933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lang w:eastAsia="zh-CN"/>
                                    </w:rPr>
                                  </w:pPr>
                                  <w:r>
                                    <w:rPr>
                                      <w:rFonts w:hint="eastAsia"/>
                                      <w:lang w:eastAsia="zh-CN"/>
                                    </w:rPr>
                                    <w:t>废气、噪声、固废</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55pt;margin-top:14.35pt;height:23.1pt;width:98.15pt;z-index:-1510183936;mso-width-relative:page;mso-height-relative:page;" filled="f" stroked="f" coordsize="21600,21600" o:gfxdata="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wU7y7&#10;2gAAAAgBAAAPAAAAAAAAAAEAIAAAACIAAABkcnMvZG93bnJldi54bWxQSwECFAAUAAAACACHTuJA&#10;unGOdh8CAAAaBAAADgAAAAAAAAABACAAAAApAQAAZHJzL2Uyb0RvYy54bWxQSwUGAAAAAAYABgBZ&#10;AQAAugUAAAAA&#10;">
                      <v:fill on="f" focussize="0,0"/>
                      <v:stroke on="f" weight="0.5pt"/>
                      <v:imagedata o:title=""/>
                      <o:lock v:ext="edit" aspectratio="f"/>
                      <v:textbox>
                        <w:txbxContent>
                          <w:p>
                            <w:pPr>
                              <w:jc w:val="center"/>
                              <w:rPr>
                                <w:rFonts w:hint="eastAsia" w:eastAsia="宋体"/>
                                <w:lang w:eastAsia="zh-CN"/>
                              </w:rPr>
                            </w:pPr>
                            <w:r>
                              <w:rPr>
                                <w:rFonts w:hint="eastAsia"/>
                                <w:lang w:eastAsia="zh-CN"/>
                              </w:rPr>
                              <w:t>废气、噪声、固废</w:t>
                            </w:r>
                          </w:p>
                        </w:txbxContent>
                      </v:textbox>
                    </v:shape>
                  </w:pict>
                </mc:Fallback>
              </mc:AlternateContent>
            </w:r>
            <w:r>
              <w:rPr>
                <w:rFonts w:hint="eastAsia"/>
                <w:bCs/>
                <w:sz w:val="24"/>
              </w:rPr>
              <w:t>本项目工艺流程及产污环节见图</w:t>
            </w:r>
            <w:r>
              <w:rPr>
                <w:rFonts w:hint="eastAsia"/>
                <w:bCs/>
                <w:sz w:val="24"/>
                <w:lang w:val="en-US" w:eastAsia="zh-CN"/>
              </w:rPr>
              <w:t>2</w:t>
            </w:r>
            <w:r>
              <w:rPr>
                <w:rFonts w:hint="eastAsia"/>
                <w:bCs/>
                <w:sz w:val="24"/>
              </w:rPr>
              <w:t>。</w:t>
            </w:r>
          </w:p>
          <w:p>
            <w:pPr>
              <w:spacing w:line="360" w:lineRule="auto"/>
              <w:jc w:val="center"/>
              <w:rPr>
                <w:rFonts w:hint="eastAsia"/>
                <w:sz w:val="24"/>
                <w:highlight w:val="yellow"/>
              </w:rPr>
            </w:pPr>
            <w:r>
              <w:rPr>
                <w:sz w:val="24"/>
              </w:rPr>
              <mc:AlternateContent>
                <mc:Choice Requires="wps">
                  <w:drawing>
                    <wp:anchor distT="0" distB="0" distL="114300" distR="114300" simplePos="0" relativeHeight="516317184" behindDoc="0" locked="0" layoutInCell="1" allowOverlap="1">
                      <wp:simplePos x="0" y="0"/>
                      <wp:positionH relativeFrom="column">
                        <wp:posOffset>2912745</wp:posOffset>
                      </wp:positionH>
                      <wp:positionV relativeFrom="paragraph">
                        <wp:posOffset>180340</wp:posOffset>
                      </wp:positionV>
                      <wp:extent cx="1905" cy="349250"/>
                      <wp:effectExtent l="47625" t="0" r="64770" b="12700"/>
                      <wp:wrapNone/>
                      <wp:docPr id="16" name="直接箭头连接符 16"/>
                      <wp:cNvGraphicFramePr/>
                      <a:graphic xmlns:a="http://schemas.openxmlformats.org/drawingml/2006/main">
                        <a:graphicData uri="http://schemas.microsoft.com/office/word/2010/wordprocessingShape">
                          <wps:wsp>
                            <wps:cNvCnPr/>
                            <wps:spPr>
                              <a:xfrm flipV="1">
                                <a:off x="0" y="0"/>
                                <a:ext cx="1905" cy="349250"/>
                              </a:xfrm>
                              <a:prstGeom prst="straightConnector1">
                                <a:avLst/>
                              </a:prstGeom>
                              <a:ln>
                                <a:solidFill>
                                  <a:schemeClr val="tx1"/>
                                </a:solidFill>
                                <a:prstDash val="dash"/>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29.35pt;margin-top:14.2pt;height:27.5pt;width:0.15pt;z-index:516317184;mso-width-relative:page;mso-height-relative:page;" filled="f" stroked="t" coordsize="21600,21600" o:gfxdata="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u06E7dgA&#10;AAAJAQAADwAAAAAAAAABACAAAAAiAAAAZHJzL2Rvd25yZXYueG1sUEsBAhQAFAAAAAgAh07iQHpz&#10;IFPmAQAAhgMAAA4AAAAAAAAAAQAgAAAAJwEAAGRycy9lMm9Eb2MueG1sUEsFBgAAAAAGAAYAWQEA&#10;AH8FAAAAAA==&#10;">
                      <v:fill on="f" focussize="0,0"/>
                      <v:stroke color="#000000 [3213]" joinstyle="round" dashstyle="dash" endarrow="open"/>
                      <v:imagedata o:title=""/>
                      <o:lock v:ext="edit" aspectratio="f"/>
                    </v:shape>
                  </w:pict>
                </mc:Fallback>
              </mc:AlternateContent>
            </w:r>
            <w:r>
              <w:rPr>
                <w:sz w:val="24"/>
              </w:rPr>
              <mc:AlternateContent>
                <mc:Choice Requires="wps">
                  <w:drawing>
                    <wp:anchor distT="0" distB="0" distL="114300" distR="114300" simplePos="0" relativeHeight="2278158336" behindDoc="0" locked="0" layoutInCell="1" allowOverlap="1">
                      <wp:simplePos x="0" y="0"/>
                      <wp:positionH relativeFrom="column">
                        <wp:posOffset>716915</wp:posOffset>
                      </wp:positionH>
                      <wp:positionV relativeFrom="paragraph">
                        <wp:posOffset>190500</wp:posOffset>
                      </wp:positionV>
                      <wp:extent cx="1905" cy="349250"/>
                      <wp:effectExtent l="47625" t="0" r="64770" b="12700"/>
                      <wp:wrapNone/>
                      <wp:docPr id="12" name="直接箭头连接符 12"/>
                      <wp:cNvGraphicFramePr/>
                      <a:graphic xmlns:a="http://schemas.openxmlformats.org/drawingml/2006/main">
                        <a:graphicData uri="http://schemas.microsoft.com/office/word/2010/wordprocessingShape">
                          <wps:wsp>
                            <wps:cNvCnPr>
                              <a:stCxn id="3" idx="0"/>
                            </wps:cNvCnPr>
                            <wps:spPr>
                              <a:xfrm flipV="1">
                                <a:off x="1617345" y="1802130"/>
                                <a:ext cx="1905" cy="349250"/>
                              </a:xfrm>
                              <a:prstGeom prst="straightConnector1">
                                <a:avLst/>
                              </a:prstGeom>
                              <a:ln>
                                <a:solidFill>
                                  <a:schemeClr val="tx1"/>
                                </a:solidFill>
                                <a:prstDash val="dash"/>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56.45pt;margin-top:15pt;height:27.5pt;width:0.15pt;z-index:-2016808960;mso-width-relative:page;mso-height-relative:page;" filled="f" stroked="t" coordsize="21600,21600" o:gfxdata="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w5CBl1wAAAAkBAAAPAAAAAAAAAAEAIAAAACIAAABkcnMvZG93&#10;bnJldi54bWxQSwECFAAUAAAACACHTuJAuGB68wECAAC4AwAADgAAAAAAAAABACAAAAAmAQAAZHJz&#10;L2Uyb0RvYy54bWxQSwUGAAAAAAYABgBZAQAAmQUAAAAA&#10;">
                      <v:fill on="f" focussize="0,0"/>
                      <v:stroke color="#000000 [3213]" joinstyle="round" dashstyle="dash" endarrow="open"/>
                      <v:imagedata o:title=""/>
                      <o:lock v:ext="edit" aspectratio="f"/>
                    </v:shape>
                  </w:pict>
                </mc:Fallback>
              </mc:AlternateContent>
            </w:r>
          </w:p>
          <w:p>
            <w:pPr>
              <w:spacing w:line="360" w:lineRule="auto"/>
              <w:ind w:firstLine="2896" w:firstLineChars="1207"/>
              <w:rPr>
                <w:rFonts w:hint="eastAsia" w:ascii="黑体" w:hAnsi="黑体" w:eastAsia="黑体" w:cs="黑体"/>
                <w:b w:val="0"/>
                <w:bCs/>
                <w:sz w:val="24"/>
              </w:rPr>
            </w:pPr>
            <w:r>
              <w:rPr>
                <w:sz w:val="24"/>
              </w:rPr>
              <mc:AlternateContent>
                <mc:Choice Requires="wps">
                  <w:drawing>
                    <wp:anchor distT="0" distB="0" distL="114300" distR="114300" simplePos="0" relativeHeight="2278157312" behindDoc="0" locked="0" layoutInCell="1" allowOverlap="1">
                      <wp:simplePos x="0" y="0"/>
                      <wp:positionH relativeFrom="column">
                        <wp:posOffset>4751705</wp:posOffset>
                      </wp:positionH>
                      <wp:positionV relativeFrom="paragraph">
                        <wp:posOffset>215900</wp:posOffset>
                      </wp:positionV>
                      <wp:extent cx="499110" cy="293370"/>
                      <wp:effectExtent l="4445" t="4445" r="10795" b="6985"/>
                      <wp:wrapNone/>
                      <wp:docPr id="10" name="文本框 10"/>
                      <wp:cNvGraphicFramePr/>
                      <a:graphic xmlns:a="http://schemas.openxmlformats.org/drawingml/2006/main">
                        <a:graphicData uri="http://schemas.microsoft.com/office/word/2010/wordprocessingShape">
                          <wps:wsp>
                            <wps:cNvSpPr txBox="1"/>
                            <wps:spPr>
                              <a:xfrm>
                                <a:off x="0" y="0"/>
                                <a:ext cx="499110" cy="29337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lang w:eastAsia="zh-CN"/>
                                    </w:rPr>
                                  </w:pPr>
                                  <w:r>
                                    <w:rPr>
                                      <w:rFonts w:hint="eastAsia"/>
                                      <w:lang w:eastAsia="zh-CN"/>
                                    </w:rPr>
                                    <w:t>存放</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74.15pt;margin-top:17pt;height:23.1pt;width:39.3pt;z-index:-2016809984;mso-width-relative:page;mso-height-relative:page;" fillcolor="#FFFFFF [3201]" filled="t" stroked="t" coordsize="21600,21600" o:gfxdata="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I6eB/1gAAAAkBAAAPAAAAAAAAAAEAIAAAACIAAABkcnMv&#10;ZG93bnJldi54bWxQSwECFAAUAAAACACHTuJAUJpSaz4CAABqBAAADgAAAAAAAAABACAAAAAlAQAA&#10;ZHJzL2Uyb0RvYy54bWxQSwUGAAAAAAYABgBZAQAA1QUAAAAA&#10;">
                      <v:fill on="t" focussize="0,0"/>
                      <v:stroke weight="0.5pt" color="#000000 [3204]" joinstyle="round"/>
                      <v:imagedata o:title=""/>
                      <o:lock v:ext="edit" aspectratio="f"/>
                      <v:textbox>
                        <w:txbxContent>
                          <w:p>
                            <w:pPr>
                              <w:jc w:val="center"/>
                              <w:rPr>
                                <w:rFonts w:hint="eastAsia" w:eastAsia="宋体"/>
                                <w:lang w:eastAsia="zh-CN"/>
                              </w:rPr>
                            </w:pPr>
                            <w:r>
                              <w:rPr>
                                <w:rFonts w:hint="eastAsia"/>
                                <w:lang w:eastAsia="zh-CN"/>
                              </w:rPr>
                              <w:t>存放</w:t>
                            </w:r>
                          </w:p>
                        </w:txbxContent>
                      </v:textbox>
                    </v:shape>
                  </w:pict>
                </mc:Fallback>
              </mc:AlternateContent>
            </w:r>
            <w:r>
              <w:rPr>
                <w:sz w:val="24"/>
              </w:rPr>
              <mc:AlternateContent>
                <mc:Choice Requires="wps">
                  <w:drawing>
                    <wp:anchor distT="0" distB="0" distL="114300" distR="114300" simplePos="0" relativeHeight="1771532288" behindDoc="0" locked="0" layoutInCell="1" allowOverlap="1">
                      <wp:simplePos x="0" y="0"/>
                      <wp:positionH relativeFrom="column">
                        <wp:posOffset>3652520</wp:posOffset>
                      </wp:positionH>
                      <wp:positionV relativeFrom="paragraph">
                        <wp:posOffset>224790</wp:posOffset>
                      </wp:positionV>
                      <wp:extent cx="792480" cy="293370"/>
                      <wp:effectExtent l="4445" t="4445" r="22225" b="6985"/>
                      <wp:wrapNone/>
                      <wp:docPr id="8" name="文本框 8"/>
                      <wp:cNvGraphicFramePr/>
                      <a:graphic xmlns:a="http://schemas.openxmlformats.org/drawingml/2006/main">
                        <a:graphicData uri="http://schemas.microsoft.com/office/word/2010/wordprocessingShape">
                          <wps:wsp>
                            <wps:cNvSpPr txBox="1"/>
                            <wps:spPr>
                              <a:xfrm>
                                <a:off x="0" y="0"/>
                                <a:ext cx="792480" cy="29337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lang w:eastAsia="zh-CN"/>
                                    </w:rPr>
                                  </w:pPr>
                                  <w:r>
                                    <w:rPr>
                                      <w:rFonts w:hint="eastAsia"/>
                                      <w:lang w:eastAsia="zh-CN"/>
                                    </w:rPr>
                                    <w:t>梁板养护</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87.6pt;margin-top:17.7pt;height:23.1pt;width:62.4pt;z-index:1771532288;mso-width-relative:page;mso-height-relative:page;" fillcolor="#FFFFFF [3201]" filled="t" stroked="t" coordsize="21600,21600" o:gfxdata="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BVBp2N1wAAAAkBAAAPAAAAAAAAAAEAIAAAACIAAABkcnMv&#10;ZG93bnJldi54bWxQSwECFAAUAAAACACHTuJAkM+TQj0CAABoBAAADgAAAAAAAAABACAAAAAmAQAA&#10;ZHJzL2Uyb0RvYy54bWxQSwUGAAAAAAYABgBZAQAA1QUAAAAA&#10;">
                      <v:fill on="t" focussize="0,0"/>
                      <v:stroke weight="0.5pt" color="#000000 [3204]" joinstyle="round"/>
                      <v:imagedata o:title=""/>
                      <o:lock v:ext="edit" aspectratio="f"/>
                      <v:textbox>
                        <w:txbxContent>
                          <w:p>
                            <w:pPr>
                              <w:jc w:val="center"/>
                              <w:rPr>
                                <w:rFonts w:hint="eastAsia" w:eastAsia="宋体"/>
                                <w:lang w:eastAsia="zh-CN"/>
                              </w:rPr>
                            </w:pPr>
                            <w:r>
                              <w:rPr>
                                <w:rFonts w:hint="eastAsia"/>
                                <w:lang w:eastAsia="zh-CN"/>
                              </w:rPr>
                              <w:t>梁板养护</w:t>
                            </w:r>
                          </w:p>
                        </w:txbxContent>
                      </v:textbox>
                    </v:shape>
                  </w:pict>
                </mc:Fallback>
              </mc:AlternateContent>
            </w:r>
            <w:r>
              <w:rPr>
                <w:sz w:val="24"/>
              </w:rPr>
              <mc:AlternateContent>
                <mc:Choice Requires="wps">
                  <w:drawing>
                    <wp:anchor distT="0" distB="0" distL="114300" distR="114300" simplePos="0" relativeHeight="1264907264" behindDoc="0" locked="0" layoutInCell="1" allowOverlap="1">
                      <wp:simplePos x="0" y="0"/>
                      <wp:positionH relativeFrom="column">
                        <wp:posOffset>2499995</wp:posOffset>
                      </wp:positionH>
                      <wp:positionV relativeFrom="paragraph">
                        <wp:posOffset>238125</wp:posOffset>
                      </wp:positionV>
                      <wp:extent cx="857250" cy="293370"/>
                      <wp:effectExtent l="4445" t="4445" r="14605" b="6985"/>
                      <wp:wrapNone/>
                      <wp:docPr id="6" name="文本框 6"/>
                      <wp:cNvGraphicFramePr/>
                      <a:graphic xmlns:a="http://schemas.openxmlformats.org/drawingml/2006/main">
                        <a:graphicData uri="http://schemas.microsoft.com/office/word/2010/wordprocessingShape">
                          <wps:wsp>
                            <wps:cNvSpPr txBox="1"/>
                            <wps:spPr>
                              <a:xfrm>
                                <a:off x="0" y="0"/>
                                <a:ext cx="857250" cy="29337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lang w:val="en-US" w:eastAsia="zh-CN"/>
                                    </w:rPr>
                                  </w:pPr>
                                  <w:r>
                                    <w:rPr>
                                      <w:rFonts w:hint="eastAsia"/>
                                      <w:lang w:val="en-US" w:eastAsia="zh-CN"/>
                                    </w:rPr>
                                    <w:t>混凝土浇筑</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96.85pt;margin-top:18.75pt;height:23.1pt;width:67.5pt;z-index:1264907264;mso-width-relative:page;mso-height-relative:page;" fillcolor="#FFFFFF [3201]" filled="t" stroked="t" coordsize="21600,21600" o:gfxdata="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zQPd81gAAAAkBAAAPAAAAAAAAAAEAIAAAACIAAABkcnMvZG93&#10;bnJldi54bWxQSwECFAAUAAAACACHTuJAI/DFvjsCAABoBAAADgAAAAAAAAABACAAAAAlAQAAZHJz&#10;L2Uyb0RvYy54bWxQSwUGAAAAAAYABgBZAQAA0gUAAAAA&#10;">
                      <v:fill on="t" focussize="0,0"/>
                      <v:stroke weight="0.5pt" color="#000000 [3204]" joinstyle="round"/>
                      <v:imagedata o:title=""/>
                      <o:lock v:ext="edit" aspectratio="f"/>
                      <v:textbox>
                        <w:txbxContent>
                          <w:p>
                            <w:pPr>
                              <w:jc w:val="center"/>
                              <w:rPr>
                                <w:rFonts w:hint="eastAsia" w:eastAsia="宋体"/>
                                <w:lang w:val="en-US" w:eastAsia="zh-CN"/>
                              </w:rPr>
                            </w:pPr>
                            <w:r>
                              <w:rPr>
                                <w:rFonts w:hint="eastAsia"/>
                                <w:lang w:val="en-US" w:eastAsia="zh-CN"/>
                              </w:rPr>
                              <w:t>混凝土浇筑</w:t>
                            </w:r>
                          </w:p>
                        </w:txbxContent>
                      </v:textbox>
                    </v:shape>
                  </w:pict>
                </mc:Fallback>
              </mc:AlternateContent>
            </w:r>
            <w:r>
              <w:rPr>
                <w:sz w:val="24"/>
              </w:rPr>
              <mc:AlternateContent>
                <mc:Choice Requires="wps">
                  <w:drawing>
                    <wp:anchor distT="0" distB="0" distL="114300" distR="114300" simplePos="0" relativeHeight="758282240" behindDoc="0" locked="0" layoutInCell="1" allowOverlap="1">
                      <wp:simplePos x="0" y="0"/>
                      <wp:positionH relativeFrom="column">
                        <wp:posOffset>1407795</wp:posOffset>
                      </wp:positionH>
                      <wp:positionV relativeFrom="paragraph">
                        <wp:posOffset>234950</wp:posOffset>
                      </wp:positionV>
                      <wp:extent cx="792480" cy="293370"/>
                      <wp:effectExtent l="4445" t="4445" r="22225" b="6985"/>
                      <wp:wrapNone/>
                      <wp:docPr id="5" name="文本框 5"/>
                      <wp:cNvGraphicFramePr/>
                      <a:graphic xmlns:a="http://schemas.openxmlformats.org/drawingml/2006/main">
                        <a:graphicData uri="http://schemas.microsoft.com/office/word/2010/wordprocessingShape">
                          <wps:wsp>
                            <wps:cNvSpPr txBox="1"/>
                            <wps:spPr>
                              <a:xfrm>
                                <a:off x="0" y="0"/>
                                <a:ext cx="792480" cy="29337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lang w:eastAsia="zh-CN"/>
                                    </w:rPr>
                                  </w:pPr>
                                  <w:r>
                                    <w:rPr>
                                      <w:rFonts w:hint="eastAsia"/>
                                      <w:lang w:eastAsia="zh-CN"/>
                                    </w:rPr>
                                    <w:t>模板安装</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85pt;margin-top:18.5pt;height:23.1pt;width:62.4pt;z-index:758282240;mso-width-relative:page;mso-height-relative:page;" fillcolor="#FFFFFF [3201]" filled="t" stroked="t" coordsize="21600,21600" o:gfxdata="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JUqpR/WAAAACQEAAA8AAAAAAAAAAQAgAAAAIgAAAGRycy9k&#10;b3ducmV2LnhtbFBLAQIUABQAAAAIAIdO4kDmONVLPQIAAGgEAAAOAAAAAAAAAAEAIAAAACUBAABk&#10;cnMvZTJvRG9jLnhtbFBLBQYAAAAABgAGAFkBAADUBQAAAAA=&#10;">
                      <v:fill on="t" focussize="0,0"/>
                      <v:stroke weight="0.5pt" color="#000000 [3204]" joinstyle="round"/>
                      <v:imagedata o:title=""/>
                      <o:lock v:ext="edit" aspectratio="f"/>
                      <v:textbox>
                        <w:txbxContent>
                          <w:p>
                            <w:pPr>
                              <w:jc w:val="center"/>
                              <w:rPr>
                                <w:rFonts w:hint="eastAsia" w:eastAsia="宋体"/>
                                <w:lang w:eastAsia="zh-CN"/>
                              </w:rPr>
                            </w:pPr>
                            <w:r>
                              <w:rPr>
                                <w:rFonts w:hint="eastAsia"/>
                                <w:lang w:eastAsia="zh-CN"/>
                              </w:rPr>
                              <w:t>模板安装</w:t>
                            </w:r>
                          </w:p>
                        </w:txbxContent>
                      </v:textbox>
                    </v:shape>
                  </w:pict>
                </mc:Fallback>
              </mc:AlternateContent>
            </w:r>
            <w:r>
              <w:rPr>
                <w:sz w:val="24"/>
              </w:rPr>
              <mc:AlternateContent>
                <mc:Choice Requires="wps">
                  <w:drawing>
                    <wp:anchor distT="0" distB="0" distL="114300" distR="114300" simplePos="0" relativeHeight="504969216" behindDoc="0" locked="0" layoutInCell="1" allowOverlap="1">
                      <wp:simplePos x="0" y="0"/>
                      <wp:positionH relativeFrom="column">
                        <wp:posOffset>320675</wp:posOffset>
                      </wp:positionH>
                      <wp:positionV relativeFrom="paragraph">
                        <wp:posOffset>242570</wp:posOffset>
                      </wp:positionV>
                      <wp:extent cx="792480" cy="293370"/>
                      <wp:effectExtent l="4445" t="4445" r="22225" b="6985"/>
                      <wp:wrapNone/>
                      <wp:docPr id="3" name="文本框 3"/>
                      <wp:cNvGraphicFramePr/>
                      <a:graphic xmlns:a="http://schemas.openxmlformats.org/drawingml/2006/main">
                        <a:graphicData uri="http://schemas.microsoft.com/office/word/2010/wordprocessingShape">
                          <wps:wsp>
                            <wps:cNvSpPr txBox="1"/>
                            <wps:spPr>
                              <a:xfrm>
                                <a:off x="1506220" y="2098040"/>
                                <a:ext cx="792480" cy="29337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宋体"/>
                                      <w:lang w:eastAsia="zh-CN"/>
                                    </w:rPr>
                                  </w:pPr>
                                  <w:r>
                                    <w:rPr>
                                      <w:rFonts w:hint="eastAsia"/>
                                      <w:lang w:eastAsia="zh-CN"/>
                                    </w:rPr>
                                    <w:t>钢筋焊接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5.25pt;margin-top:19.1pt;height:23.1pt;width:62.4pt;z-index:504969216;mso-width-relative:page;mso-height-relative:page;" fillcolor="#FFFFFF [3201]" filled="t" stroked="t" coordsize="21600,21600" o:gfxdata="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CFS8Qq1QAAAAgBAAAPAAAAAAAAAAEAIAAA&#10;ACIAAABkcnMvZG93bnJldi54bWxQSwECFAAUAAAACACHTuJAmGL6V0gCAAB0BAAADgAAAAAAAAAB&#10;ACAAAAAkAQAAZHJzL2Uyb0RvYy54bWxQSwUGAAAAAAYABgBZAQAA3gUAAAAA&#10;">
                      <v:fill on="t" focussize="0,0"/>
                      <v:stroke weight="0.5pt" color="#000000 [3204]" joinstyle="round"/>
                      <v:imagedata o:title=""/>
                      <o:lock v:ext="edit" aspectratio="f"/>
                      <v:textbox>
                        <w:txbxContent>
                          <w:p>
                            <w:pPr>
                              <w:jc w:val="center"/>
                              <w:rPr>
                                <w:rFonts w:hint="eastAsia" w:eastAsia="宋体"/>
                                <w:lang w:eastAsia="zh-CN"/>
                              </w:rPr>
                            </w:pPr>
                            <w:r>
                              <w:rPr>
                                <w:rFonts w:hint="eastAsia"/>
                                <w:lang w:eastAsia="zh-CN"/>
                              </w:rPr>
                              <w:t>钢筋焊接</w:t>
                            </w:r>
                          </w:p>
                        </w:txbxContent>
                      </v:textbox>
                    </v:shape>
                  </w:pict>
                </mc:Fallback>
              </mc:AlternateContent>
            </w:r>
          </w:p>
          <w:p>
            <w:pPr>
              <w:spacing w:line="360" w:lineRule="auto"/>
              <w:ind w:firstLine="2896" w:firstLineChars="1207"/>
              <w:rPr>
                <w:rFonts w:hint="eastAsia" w:ascii="黑体" w:hAnsi="黑体" w:eastAsia="黑体" w:cs="黑体"/>
                <w:b w:val="0"/>
                <w:bCs/>
                <w:sz w:val="24"/>
              </w:rPr>
            </w:pPr>
            <w:r>
              <w:rPr>
                <w:sz w:val="24"/>
              </w:rPr>
              <mc:AlternateContent>
                <mc:Choice Requires="wps">
                  <w:drawing>
                    <wp:anchor distT="0" distB="0" distL="114300" distR="114300" simplePos="0" relativeHeight="2024845312" behindDoc="0" locked="0" layoutInCell="1" allowOverlap="1">
                      <wp:simplePos x="0" y="0"/>
                      <wp:positionH relativeFrom="column">
                        <wp:posOffset>4457065</wp:posOffset>
                      </wp:positionH>
                      <wp:positionV relativeFrom="paragraph">
                        <wp:posOffset>68580</wp:posOffset>
                      </wp:positionV>
                      <wp:extent cx="307975" cy="4445"/>
                      <wp:effectExtent l="0" t="47625" r="15875" b="62230"/>
                      <wp:wrapNone/>
                      <wp:docPr id="11" name="直接箭头连接符 11"/>
                      <wp:cNvGraphicFramePr/>
                      <a:graphic xmlns:a="http://schemas.openxmlformats.org/drawingml/2006/main">
                        <a:graphicData uri="http://schemas.microsoft.com/office/word/2010/wordprocessingShape">
                          <wps:wsp>
                            <wps:cNvCnPr/>
                            <wps:spPr>
                              <a:xfrm flipV="1">
                                <a:off x="0" y="0"/>
                                <a:ext cx="307975" cy="444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350.95pt;margin-top:5.4pt;height:0.35pt;width:24.25pt;z-index:2024845312;mso-width-relative:page;mso-height-relative:page;" filled="f" stroked="t" coordsize="21600,21600" o:gfxdata="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2ZYRn1gAA&#10;AAkBAAAPAAAAAAAAAAEAIAAAACIAAABkcnMvZG93bnJldi54bWxQSwECFAAUAAAACACHTuJAnQaB&#10;mecBAACHAwAADgAAAAAAAAABACAAAAAlAQAAZHJzL2Uyb0RvYy54bWxQSwUGAAAAAAYABgBZAQAA&#10;fgUAAAAA&#10;">
                      <v:fill on="f" focussize="0,0"/>
                      <v:stroke color="#000000 [3213]" joinstyle="round" endarrow="open"/>
                      <v:imagedata o:title=""/>
                      <o:lock v:ext="edit" aspectratio="f"/>
                    </v:shape>
                  </w:pict>
                </mc:Fallback>
              </mc:AlternateContent>
            </w:r>
            <w:r>
              <w:rPr>
                <w:sz w:val="24"/>
              </w:rPr>
              <mc:AlternateContent>
                <mc:Choice Requires="wps">
                  <w:drawing>
                    <wp:anchor distT="0" distB="0" distL="114300" distR="114300" simplePos="0" relativeHeight="1518220288" behindDoc="0" locked="0" layoutInCell="1" allowOverlap="1">
                      <wp:simplePos x="0" y="0"/>
                      <wp:positionH relativeFrom="column">
                        <wp:posOffset>3357880</wp:posOffset>
                      </wp:positionH>
                      <wp:positionV relativeFrom="paragraph">
                        <wp:posOffset>77470</wp:posOffset>
                      </wp:positionV>
                      <wp:extent cx="307975" cy="4445"/>
                      <wp:effectExtent l="0" t="47625" r="15875" b="62230"/>
                      <wp:wrapNone/>
                      <wp:docPr id="9" name="直接箭头连接符 9"/>
                      <wp:cNvGraphicFramePr/>
                      <a:graphic xmlns:a="http://schemas.openxmlformats.org/drawingml/2006/main">
                        <a:graphicData uri="http://schemas.microsoft.com/office/word/2010/wordprocessingShape">
                          <wps:wsp>
                            <wps:cNvCnPr/>
                            <wps:spPr>
                              <a:xfrm flipV="1">
                                <a:off x="0" y="0"/>
                                <a:ext cx="307975" cy="444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64.4pt;margin-top:6.1pt;height:0.35pt;width:24.25pt;z-index:1518220288;mso-width-relative:page;mso-height-relative:page;" filled="f" stroked="t" coordsize="21600,21600" o:gfxdata="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Jr26j1wAA&#10;AAkBAAAPAAAAAAAAAAEAIAAAACIAAABkcnMvZG93bnJldi54bWxQSwECFAAUAAAACACHTuJAkibh&#10;l+YBAACFAwAADgAAAAAAAAABACAAAAAmAQAAZHJzL2Uyb0RvYy54bWxQSwUGAAAAAAYABgBZAQAA&#10;fgUAAAAA&#10;">
                      <v:fill on="f" focussize="0,0"/>
                      <v:stroke color="#000000 [3213]" joinstyle="round" endarrow="open"/>
                      <v:imagedata o:title=""/>
                      <o:lock v:ext="edit" aspectratio="f"/>
                    </v:shape>
                  </w:pict>
                </mc:Fallback>
              </mc:AlternateContent>
            </w:r>
            <w:r>
              <w:rPr>
                <w:sz w:val="24"/>
              </w:rPr>
              <mc:AlternateContent>
                <mc:Choice Requires="wps">
                  <w:drawing>
                    <wp:anchor distT="0" distB="0" distL="114300" distR="114300" simplePos="0" relativeHeight="1011595264" behindDoc="0" locked="0" layoutInCell="1" allowOverlap="1">
                      <wp:simplePos x="0" y="0"/>
                      <wp:positionH relativeFrom="column">
                        <wp:posOffset>2205355</wp:posOffset>
                      </wp:positionH>
                      <wp:positionV relativeFrom="paragraph">
                        <wp:posOffset>90805</wp:posOffset>
                      </wp:positionV>
                      <wp:extent cx="307975" cy="4445"/>
                      <wp:effectExtent l="0" t="47625" r="15875" b="62230"/>
                      <wp:wrapNone/>
                      <wp:docPr id="7" name="直接箭头连接符 7"/>
                      <wp:cNvGraphicFramePr/>
                      <a:graphic xmlns:a="http://schemas.openxmlformats.org/drawingml/2006/main">
                        <a:graphicData uri="http://schemas.microsoft.com/office/word/2010/wordprocessingShape">
                          <wps:wsp>
                            <wps:cNvCnPr/>
                            <wps:spPr>
                              <a:xfrm flipV="1">
                                <a:off x="0" y="0"/>
                                <a:ext cx="307975" cy="444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173.65pt;margin-top:7.15pt;height:0.35pt;width:24.25pt;z-index:1011595264;mso-width-relative:page;mso-height-relative:page;" filled="f" stroked="t" coordsize="21600,21600" o:gfxdata="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oC1Q61wAA&#10;AAkBAAAPAAAAAAAAAAEAIAAAACIAAABkcnMvZG93bnJldi54bWxQSwECFAAUAAAACACHTuJAd8+b&#10;X+YBAACFAwAADgAAAAAAAAABACAAAAAmAQAAZHJzL2Uyb0RvYy54bWxQSwUGAAAAAAYABgBZAQAA&#10;fgUAAAAA&#10;">
                      <v:fill on="f" focussize="0,0"/>
                      <v:stroke color="#000000 [3213]" joinstyle="round" endarrow="open"/>
                      <v:imagedata o:title=""/>
                      <o:lock v:ext="edit" aspectratio="f"/>
                    </v:shape>
                  </w:pict>
                </mc:Fallback>
              </mc:AlternateContent>
            </w:r>
            <w:r>
              <w:rPr>
                <w:sz w:val="24"/>
              </w:rPr>
              <mc:AlternateContent>
                <mc:Choice Requires="wps">
                  <w:drawing>
                    <wp:anchor distT="0" distB="0" distL="114300" distR="114300" simplePos="0" relativeHeight="504970240" behindDoc="0" locked="0" layoutInCell="1" allowOverlap="1">
                      <wp:simplePos x="0" y="0"/>
                      <wp:positionH relativeFrom="column">
                        <wp:posOffset>1113155</wp:posOffset>
                      </wp:positionH>
                      <wp:positionV relativeFrom="paragraph">
                        <wp:posOffset>87630</wp:posOffset>
                      </wp:positionV>
                      <wp:extent cx="307975" cy="4445"/>
                      <wp:effectExtent l="0" t="47625" r="15875" b="62230"/>
                      <wp:wrapNone/>
                      <wp:docPr id="4" name="直接箭头连接符 4"/>
                      <wp:cNvGraphicFramePr/>
                      <a:graphic xmlns:a="http://schemas.openxmlformats.org/drawingml/2006/main">
                        <a:graphicData uri="http://schemas.microsoft.com/office/word/2010/wordprocessingShape">
                          <wps:wsp>
                            <wps:cNvCnPr>
                              <a:stCxn id="3" idx="3"/>
                            </wps:cNvCnPr>
                            <wps:spPr>
                              <a:xfrm flipV="1">
                                <a:off x="2013585" y="2293620"/>
                                <a:ext cx="307975" cy="444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87.65pt;margin-top:6.9pt;height:0.35pt;width:24.25pt;z-index:504970240;mso-width-relative:page;mso-height-relative:page;" filled="f" stroked="t" coordsize="21600,21600" o:gfxdata="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tbE2vdUAAAAJAQAADwAAAAAAAAABACAAAAAiAAAAZHJzL2Rvd25y&#10;ZXYueG1sUEsBAhQAFAAAAAgAh07iQGt2tuEBAgAAtwMAAA4AAAAAAAAAAQAgAAAAJAEAAGRycy9l&#10;Mm9Eb2MueG1sUEsFBgAAAAAGAAYAWQEAAJcFAAAAAA==&#10;">
                      <v:fill on="f" focussize="0,0"/>
                      <v:stroke color="#000000 [3213]" joinstyle="round" endarrow="open"/>
                      <v:imagedata o:title=""/>
                      <o:lock v:ext="edit" aspectratio="f"/>
                    </v:shape>
                  </w:pict>
                </mc:Fallback>
              </mc:AlternateContent>
            </w:r>
          </w:p>
          <w:p>
            <w:pPr>
              <w:spacing w:line="360" w:lineRule="auto"/>
              <w:ind w:firstLine="2896" w:firstLineChars="1207"/>
              <w:rPr>
                <w:rFonts w:hint="eastAsia"/>
                <w:b/>
                <w:sz w:val="24"/>
              </w:rPr>
            </w:pPr>
            <w:r>
              <w:rPr>
                <w:rFonts w:hint="eastAsia" w:ascii="黑体" w:hAnsi="黑体" w:eastAsia="黑体" w:cs="黑体"/>
                <w:b w:val="0"/>
                <w:bCs/>
                <w:sz w:val="24"/>
              </w:rPr>
              <w:t>图</w:t>
            </w:r>
            <w:r>
              <w:rPr>
                <w:rFonts w:hint="eastAsia" w:ascii="黑体" w:hAnsi="黑体" w:eastAsia="黑体" w:cs="黑体"/>
                <w:b w:val="0"/>
                <w:bCs/>
                <w:sz w:val="24"/>
                <w:lang w:val="en-US" w:eastAsia="zh-CN"/>
              </w:rPr>
              <w:t>2</w:t>
            </w:r>
            <w:r>
              <w:rPr>
                <w:rFonts w:hint="eastAsia" w:ascii="黑体" w:hAnsi="黑体" w:eastAsia="黑体" w:cs="黑体"/>
                <w:b w:val="0"/>
                <w:bCs/>
                <w:sz w:val="24"/>
              </w:rPr>
              <w:t xml:space="preserve">  项目工艺流程及产污环节图</w:t>
            </w:r>
          </w:p>
          <w:p>
            <w:pPr>
              <w:spacing w:line="360" w:lineRule="auto"/>
              <w:ind w:firstLine="456"/>
              <w:rPr>
                <w:rFonts w:hint="eastAsia"/>
                <w:sz w:val="24"/>
              </w:rPr>
            </w:pPr>
            <w:r>
              <w:rPr>
                <w:rFonts w:hint="eastAsia"/>
                <w:sz w:val="24"/>
              </w:rPr>
              <w:t>工艺流程简述：</w:t>
            </w:r>
          </w:p>
          <w:p>
            <w:pPr>
              <w:spacing w:line="360" w:lineRule="auto"/>
              <w:ind w:firstLine="457"/>
              <w:rPr>
                <w:rFonts w:hint="eastAsia" w:eastAsia="宋体"/>
                <w:sz w:val="24"/>
                <w:lang w:eastAsia="zh-CN"/>
              </w:rPr>
            </w:pPr>
            <w:r>
              <w:rPr>
                <w:rFonts w:hint="eastAsia"/>
                <w:sz w:val="24"/>
              </w:rPr>
              <w:t>（1）</w:t>
            </w:r>
            <w:r>
              <w:rPr>
                <w:rFonts w:hint="eastAsia"/>
                <w:sz w:val="24"/>
                <w:lang w:eastAsia="zh-CN"/>
              </w:rPr>
              <w:t>钢筋焊接</w:t>
            </w:r>
          </w:p>
          <w:p>
            <w:pPr>
              <w:spacing w:line="360" w:lineRule="auto"/>
              <w:ind w:firstLine="457"/>
              <w:rPr>
                <w:rFonts w:hint="eastAsia"/>
                <w:sz w:val="24"/>
              </w:rPr>
            </w:pPr>
            <w:r>
              <w:rPr>
                <w:rFonts w:hint="eastAsia"/>
                <w:sz w:val="24"/>
              </w:rPr>
              <w:t>项目外购</w:t>
            </w:r>
            <w:r>
              <w:rPr>
                <w:rFonts w:hint="eastAsia"/>
                <w:sz w:val="24"/>
                <w:lang w:eastAsia="zh-CN"/>
              </w:rPr>
              <w:t>钢筋在钢筋加工区进行调直、弯曲、裁剪后进行焊接。钢筋切割过程产生的金属粉尘密度较大，散落范围很小，对周围环境影响很小，不再分析。此工序污染物主要为焊接烟尘、废边角料、噪声</w:t>
            </w:r>
            <w:r>
              <w:rPr>
                <w:rFonts w:hint="eastAsia"/>
                <w:sz w:val="24"/>
              </w:rPr>
              <w:t>。</w:t>
            </w:r>
          </w:p>
          <w:p>
            <w:pPr>
              <w:spacing w:line="360" w:lineRule="auto"/>
              <w:ind w:firstLine="457"/>
              <w:rPr>
                <w:rFonts w:hint="eastAsia" w:eastAsia="宋体"/>
                <w:sz w:val="24"/>
                <w:lang w:eastAsia="zh-CN"/>
              </w:rPr>
            </w:pPr>
            <w:r>
              <w:rPr>
                <w:rFonts w:hint="eastAsia"/>
                <w:sz w:val="24"/>
              </w:rPr>
              <w:t>（2）</w:t>
            </w:r>
            <w:r>
              <w:rPr>
                <w:rFonts w:hint="eastAsia"/>
                <w:sz w:val="24"/>
                <w:lang w:eastAsia="zh-CN"/>
              </w:rPr>
              <w:t>模板安装</w:t>
            </w:r>
          </w:p>
          <w:p>
            <w:pPr>
              <w:spacing w:line="360" w:lineRule="auto"/>
              <w:ind w:firstLine="457"/>
              <w:rPr>
                <w:rFonts w:hint="eastAsia"/>
                <w:sz w:val="24"/>
                <w:szCs w:val="24"/>
              </w:rPr>
            </w:pPr>
            <w:r>
              <w:rPr>
                <w:rFonts w:hint="eastAsia" w:ascii="宋体" w:hAnsi="宋体"/>
                <w:sz w:val="24"/>
                <w:szCs w:val="24"/>
              </w:rPr>
              <w:t>根据</w:t>
            </w:r>
            <w:r>
              <w:rPr>
                <w:rFonts w:hint="eastAsia" w:ascii="宋体" w:hAnsi="宋体"/>
                <w:sz w:val="24"/>
                <w:szCs w:val="24"/>
                <w:lang w:eastAsia="zh-CN"/>
              </w:rPr>
              <w:t>预制件</w:t>
            </w:r>
            <w:r>
              <w:rPr>
                <w:rFonts w:hint="eastAsia" w:ascii="宋体" w:hAnsi="宋体"/>
                <w:sz w:val="24"/>
                <w:szCs w:val="24"/>
              </w:rPr>
              <w:t>结构形式，</w:t>
            </w:r>
            <w:r>
              <w:rPr>
                <w:rFonts w:hint="eastAsia" w:ascii="宋体" w:hAnsi="宋体"/>
                <w:sz w:val="24"/>
                <w:szCs w:val="24"/>
                <w:lang w:eastAsia="zh-CN"/>
              </w:rPr>
              <w:t>用</w:t>
            </w:r>
            <w:r>
              <w:rPr>
                <w:rFonts w:hint="eastAsia" w:ascii="宋体" w:hAnsi="宋体"/>
                <w:sz w:val="24"/>
                <w:szCs w:val="24"/>
              </w:rPr>
              <w:t>厚方木</w:t>
            </w:r>
            <w:r>
              <w:rPr>
                <w:rFonts w:hint="eastAsia" w:ascii="宋体" w:hAnsi="宋体"/>
                <w:sz w:val="24"/>
                <w:szCs w:val="24"/>
                <w:lang w:eastAsia="zh-CN"/>
              </w:rPr>
              <w:t>、</w:t>
            </w:r>
            <w:r>
              <w:rPr>
                <w:rFonts w:hint="eastAsia" w:ascii="宋体" w:hAnsi="宋体"/>
                <w:sz w:val="24"/>
                <w:szCs w:val="24"/>
              </w:rPr>
              <w:t>钢管</w:t>
            </w:r>
            <w:r>
              <w:rPr>
                <w:rFonts w:hint="eastAsia" w:ascii="宋体" w:hAnsi="宋体"/>
                <w:sz w:val="24"/>
                <w:szCs w:val="24"/>
                <w:lang w:eastAsia="zh-CN"/>
              </w:rPr>
              <w:t>、</w:t>
            </w:r>
            <w:r>
              <w:rPr>
                <w:rFonts w:hint="eastAsia" w:ascii="宋体" w:hAnsi="宋体"/>
                <w:sz w:val="24"/>
                <w:szCs w:val="24"/>
              </w:rPr>
              <w:t>钢模板</w:t>
            </w:r>
            <w:r>
              <w:rPr>
                <w:rFonts w:hint="eastAsia" w:ascii="宋体" w:hAnsi="宋体"/>
                <w:sz w:val="24"/>
                <w:szCs w:val="24"/>
                <w:lang w:eastAsia="zh-CN"/>
              </w:rPr>
              <w:t>等安装模板</w:t>
            </w:r>
            <w:r>
              <w:rPr>
                <w:rFonts w:hint="eastAsia"/>
                <w:sz w:val="24"/>
                <w:szCs w:val="24"/>
              </w:rPr>
              <w:t>。</w:t>
            </w:r>
          </w:p>
          <w:p>
            <w:pPr>
              <w:spacing w:line="360" w:lineRule="auto"/>
              <w:ind w:firstLine="457"/>
              <w:rPr>
                <w:rFonts w:hint="eastAsia" w:eastAsia="宋体"/>
                <w:sz w:val="24"/>
                <w:lang w:eastAsia="zh-CN"/>
              </w:rPr>
            </w:pPr>
            <w:r>
              <w:rPr>
                <w:rFonts w:hint="eastAsia"/>
                <w:sz w:val="24"/>
              </w:rPr>
              <w:t>（3）</w:t>
            </w:r>
            <w:r>
              <w:rPr>
                <w:rFonts w:hint="eastAsia"/>
                <w:sz w:val="24"/>
                <w:lang w:eastAsia="zh-CN"/>
              </w:rPr>
              <w:t>混凝土浇筑</w:t>
            </w:r>
          </w:p>
          <w:p>
            <w:pPr>
              <w:spacing w:line="360" w:lineRule="auto"/>
              <w:ind w:firstLine="457"/>
              <w:rPr>
                <w:rFonts w:hint="eastAsia"/>
                <w:sz w:val="24"/>
                <w:szCs w:val="24"/>
              </w:rPr>
            </w:pPr>
            <w:r>
              <w:rPr>
                <w:rFonts w:hint="eastAsia" w:ascii="宋体" w:hAnsi="宋体"/>
                <w:sz w:val="24"/>
                <w:szCs w:val="24"/>
                <w:lang w:eastAsia="zh-CN"/>
              </w:rPr>
              <w:t>浇筑所用混凝土由</w:t>
            </w:r>
            <w:r>
              <w:rPr>
                <w:rFonts w:hint="eastAsia" w:ascii="宋体" w:hAnsi="宋体"/>
                <w:sz w:val="24"/>
                <w:szCs w:val="24"/>
              </w:rPr>
              <w:t>罐车运输到现场入模，插入式振捣棒振捣密实，浇筑完成后及时覆盖</w:t>
            </w:r>
            <w:r>
              <w:rPr>
                <w:rFonts w:hint="eastAsia"/>
                <w:sz w:val="24"/>
                <w:szCs w:val="24"/>
              </w:rPr>
              <w:t>。</w:t>
            </w:r>
            <w:r>
              <w:rPr>
                <w:rFonts w:hint="eastAsia"/>
                <w:sz w:val="24"/>
                <w:szCs w:val="24"/>
                <w:lang w:eastAsia="zh-CN"/>
              </w:rPr>
              <w:t>此工序污染物主要为噪声</w:t>
            </w:r>
            <w:r>
              <w:rPr>
                <w:rFonts w:hint="eastAsia"/>
                <w:sz w:val="24"/>
                <w:szCs w:val="24"/>
              </w:rPr>
              <w:t>。</w:t>
            </w:r>
          </w:p>
          <w:p>
            <w:pPr>
              <w:spacing w:line="360" w:lineRule="auto"/>
              <w:ind w:firstLine="457"/>
              <w:rPr>
                <w:rFonts w:hint="eastAsia" w:eastAsia="宋体"/>
                <w:sz w:val="24"/>
                <w:lang w:eastAsia="zh-CN"/>
              </w:rPr>
            </w:pPr>
            <w:r>
              <w:rPr>
                <w:rFonts w:hint="eastAsia"/>
                <w:sz w:val="24"/>
                <w:lang w:eastAsia="zh-CN"/>
              </w:rPr>
              <w:t>（</w:t>
            </w:r>
            <w:r>
              <w:rPr>
                <w:rFonts w:hint="eastAsia"/>
                <w:sz w:val="24"/>
                <w:lang w:val="en-US" w:eastAsia="zh-CN"/>
              </w:rPr>
              <w:t>4</w:t>
            </w:r>
            <w:r>
              <w:rPr>
                <w:rFonts w:hint="eastAsia"/>
                <w:sz w:val="24"/>
                <w:lang w:eastAsia="zh-CN"/>
              </w:rPr>
              <w:t>）梁板养护</w:t>
            </w:r>
          </w:p>
          <w:p>
            <w:pPr>
              <w:pStyle w:val="3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eastAsia="宋体"/>
                <w:sz w:val="24"/>
                <w:lang w:eastAsia="zh-CN"/>
              </w:rPr>
            </w:pPr>
            <w:r>
              <w:rPr>
                <w:rFonts w:hint="eastAsia"/>
                <w:sz w:val="24"/>
                <w:lang w:eastAsia="zh-CN"/>
              </w:rPr>
              <w:t>浇筑完成后，采用喷淋和蒸汽养护预制件。</w:t>
            </w: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pStyle w:val="38"/>
              <w:rPr>
                <w:rFonts w:hint="eastAsia"/>
                <w:sz w:val="24"/>
              </w:rPr>
            </w:pPr>
          </w:p>
          <w:p>
            <w:pPr>
              <w:spacing w:line="360" w:lineRule="auto"/>
              <w:ind w:firstLine="480" w:firstLineChars="200"/>
              <w:rPr>
                <w:rFonts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0" w:hRule="atLeast"/>
        </w:trPr>
        <w:tc>
          <w:tcPr>
            <w:tcW w:w="9287" w:type="dxa"/>
            <w:tcBorders>
              <w:top w:val="single" w:color="auto" w:sz="12" w:space="0"/>
              <w:left w:val="single" w:color="auto" w:sz="12" w:space="0"/>
              <w:bottom w:val="single" w:color="auto" w:sz="12" w:space="0"/>
              <w:right w:val="single" w:color="auto" w:sz="12" w:space="0"/>
            </w:tcBorders>
          </w:tcPr>
          <w:p>
            <w:pPr>
              <w:spacing w:line="360" w:lineRule="auto"/>
              <w:rPr>
                <w:rFonts w:ascii="Courier New" w:hAnsi="ISOCTEUR" w:cs="Courier New"/>
                <w:b/>
                <w:sz w:val="28"/>
                <w:szCs w:val="28"/>
              </w:rPr>
            </w:pPr>
            <w:r>
              <w:rPr>
                <w:rFonts w:ascii="Courier New" w:hAnsi="ISOCTEUR" w:cs="Courier New"/>
                <w:b/>
                <w:sz w:val="28"/>
                <w:szCs w:val="28"/>
              </w:rPr>
              <w:t>主要污染工序：</w:t>
            </w:r>
          </w:p>
          <w:p>
            <w:pPr>
              <w:adjustRightInd w:val="0"/>
              <w:snapToGrid w:val="0"/>
              <w:spacing w:line="360" w:lineRule="auto"/>
              <w:ind w:firstLine="482" w:firstLineChars="200"/>
              <w:rPr>
                <w:b/>
                <w:sz w:val="24"/>
              </w:rPr>
            </w:pPr>
            <w:r>
              <w:rPr>
                <w:rFonts w:hint="eastAsia"/>
                <w:b/>
                <w:sz w:val="24"/>
              </w:rPr>
              <w:t>一</w:t>
            </w:r>
            <w:r>
              <w:rPr>
                <w:rFonts w:hint="eastAsia"/>
                <w:b/>
                <w:sz w:val="24"/>
                <w:lang w:eastAsia="zh-CN"/>
              </w:rPr>
              <w:t>、</w:t>
            </w:r>
            <w:r>
              <w:rPr>
                <w:rFonts w:hint="eastAsia"/>
                <w:b/>
                <w:sz w:val="24"/>
              </w:rPr>
              <w:t>施工期</w:t>
            </w:r>
          </w:p>
          <w:p>
            <w:pPr>
              <w:autoSpaceDE w:val="0"/>
              <w:autoSpaceDN w:val="0"/>
              <w:spacing w:line="360" w:lineRule="auto"/>
              <w:ind w:firstLine="480" w:firstLineChars="200"/>
              <w:rPr>
                <w:sz w:val="24"/>
              </w:rPr>
            </w:pPr>
            <w:r>
              <w:rPr>
                <w:rFonts w:hint="eastAsia"/>
                <w:bCs/>
                <w:sz w:val="24"/>
              </w:rPr>
              <w:t>本项目建设利用的构筑物为租赁</w:t>
            </w:r>
            <w:r>
              <w:rPr>
                <w:rFonts w:hint="eastAsia"/>
                <w:bCs/>
                <w:sz w:val="24"/>
                <w:lang w:eastAsia="zh-CN"/>
              </w:rPr>
              <w:t>现有</w:t>
            </w:r>
            <w:r>
              <w:rPr>
                <w:rFonts w:hint="eastAsia"/>
                <w:bCs/>
                <w:sz w:val="24"/>
              </w:rPr>
              <w:t>厂房，不新建厂房，</w:t>
            </w:r>
            <w:r>
              <w:rPr>
                <w:rFonts w:hint="eastAsia"/>
                <w:sz w:val="24"/>
              </w:rPr>
              <w:t>施工期仅为设备安装。施工工序较简单且持续时间较短，因此，本次评价不再对施工期污染工序进行分析。</w:t>
            </w:r>
          </w:p>
          <w:p>
            <w:pPr>
              <w:adjustRightInd w:val="0"/>
              <w:snapToGrid w:val="0"/>
              <w:spacing w:line="360" w:lineRule="auto"/>
              <w:ind w:firstLine="482" w:firstLineChars="200"/>
              <w:rPr>
                <w:b/>
                <w:sz w:val="24"/>
              </w:rPr>
            </w:pPr>
            <w:r>
              <w:rPr>
                <w:rFonts w:hint="eastAsia"/>
                <w:b/>
                <w:sz w:val="24"/>
              </w:rPr>
              <w:t>二</w:t>
            </w:r>
            <w:r>
              <w:rPr>
                <w:rFonts w:hint="eastAsia"/>
                <w:b/>
                <w:sz w:val="24"/>
                <w:lang w:eastAsia="zh-CN"/>
              </w:rPr>
              <w:t>、</w:t>
            </w:r>
            <w:r>
              <w:rPr>
                <w:rFonts w:hint="eastAsia"/>
                <w:b/>
                <w:sz w:val="24"/>
              </w:rPr>
              <w:t>运营期</w:t>
            </w:r>
          </w:p>
          <w:p>
            <w:pPr>
              <w:spacing w:line="336" w:lineRule="auto"/>
              <w:ind w:firstLine="482" w:firstLineChars="200"/>
              <w:rPr>
                <w:rFonts w:hint="eastAsia"/>
                <w:b/>
                <w:sz w:val="24"/>
              </w:rPr>
            </w:pPr>
            <w:r>
              <w:rPr>
                <w:rFonts w:hint="eastAsia"/>
                <w:b/>
                <w:sz w:val="24"/>
              </w:rPr>
              <w:t>1</w:t>
            </w:r>
            <w:r>
              <w:rPr>
                <w:rFonts w:hint="eastAsia"/>
                <w:b/>
                <w:sz w:val="24"/>
                <w:lang w:val="en-US" w:eastAsia="zh-CN"/>
              </w:rPr>
              <w:t>.</w:t>
            </w:r>
            <w:r>
              <w:rPr>
                <w:rFonts w:hint="eastAsia"/>
                <w:b/>
                <w:sz w:val="24"/>
              </w:rPr>
              <w:t>废气</w:t>
            </w:r>
          </w:p>
          <w:p>
            <w:pPr>
              <w:spacing w:line="360" w:lineRule="auto"/>
              <w:ind w:firstLine="456"/>
              <w:rPr>
                <w:rFonts w:hint="eastAsia"/>
                <w:sz w:val="24"/>
              </w:rPr>
            </w:pPr>
            <w:r>
              <w:rPr>
                <w:rFonts w:hint="eastAsia"/>
                <w:sz w:val="24"/>
              </w:rPr>
              <w:t>项目废气主要为</w:t>
            </w:r>
            <w:r>
              <w:rPr>
                <w:rFonts w:hint="eastAsia"/>
                <w:sz w:val="24"/>
                <w:lang w:eastAsia="zh-CN"/>
              </w:rPr>
              <w:t>焊接烟尘</w:t>
            </w:r>
            <w:r>
              <w:rPr>
                <w:rFonts w:hint="eastAsia"/>
                <w:sz w:val="24"/>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default" w:eastAsia="宋体"/>
                <w:sz w:val="24"/>
                <w:lang w:val="en-US" w:eastAsia="zh-CN"/>
              </w:rPr>
            </w:pPr>
            <w:r>
              <w:rPr>
                <w:rFonts w:ascii="宋体" w:hAnsi="宋体" w:eastAsia="宋体" w:cs="宋体"/>
                <w:b w:val="0"/>
                <w:i w:val="0"/>
                <w:color w:val="000000"/>
                <w:kern w:val="0"/>
                <w:sz w:val="24"/>
                <w:szCs w:val="24"/>
                <w:lang w:val="en-US" w:eastAsia="zh-CN" w:bidi="ar"/>
              </w:rPr>
              <w:t>根据建设单位提供资料，项目焊接工序年工作</w:t>
            </w:r>
            <w:r>
              <w:rPr>
                <w:rFonts w:hint="eastAsia" w:ascii="TimesNewRomanPSMT" w:hAnsi="TimesNewRomanPSMT" w:eastAsia="TimesNewRomanPSMT" w:cs="TimesNewRomanPSMT"/>
                <w:b w:val="0"/>
                <w:i w:val="0"/>
                <w:color w:val="000000"/>
                <w:kern w:val="0"/>
                <w:sz w:val="24"/>
                <w:szCs w:val="24"/>
                <w:lang w:val="en-US" w:eastAsia="zh-CN" w:bidi="ar"/>
              </w:rPr>
              <w:t>120</w:t>
            </w:r>
            <w:r>
              <w:rPr>
                <w:rFonts w:ascii="TimesNewRomanPSMT" w:hAnsi="TimesNewRomanPSMT" w:eastAsia="TimesNewRomanPSMT" w:cs="TimesNewRomanPSMT"/>
                <w:b w:val="0"/>
                <w:i w:val="0"/>
                <w:color w:val="000000"/>
                <w:kern w:val="0"/>
                <w:sz w:val="24"/>
                <w:szCs w:val="24"/>
                <w:lang w:val="en-US" w:eastAsia="zh-CN" w:bidi="ar"/>
              </w:rPr>
              <w:t>0h</w:t>
            </w:r>
            <w:r>
              <w:rPr>
                <w:rFonts w:ascii="宋体" w:hAnsi="宋体" w:eastAsia="宋体" w:cs="宋体"/>
                <w:b w:val="0"/>
                <w:i w:val="0"/>
                <w:color w:val="000000"/>
                <w:kern w:val="0"/>
                <w:sz w:val="24"/>
                <w:szCs w:val="24"/>
                <w:lang w:val="en-US" w:eastAsia="zh-CN" w:bidi="ar"/>
              </w:rPr>
              <w:t>，焊条消耗量为</w:t>
            </w:r>
            <w:r>
              <w:rPr>
                <w:rFonts w:hint="eastAsia" w:ascii="TimesNewRomanPSMT" w:hAnsi="TimesNewRomanPSMT" w:eastAsia="TimesNewRomanPSMT" w:cs="TimesNewRomanPSMT"/>
                <w:b w:val="0"/>
                <w:i w:val="0"/>
                <w:color w:val="000000"/>
                <w:kern w:val="0"/>
                <w:sz w:val="24"/>
                <w:szCs w:val="24"/>
                <w:lang w:val="en-US" w:eastAsia="zh-CN" w:bidi="ar"/>
              </w:rPr>
              <w:t>5</w:t>
            </w:r>
            <w:r>
              <w:rPr>
                <w:rFonts w:ascii="TimesNewRomanPSMT" w:hAnsi="TimesNewRomanPSMT" w:eastAsia="TimesNewRomanPSMT" w:cs="TimesNewRomanPSMT"/>
                <w:b w:val="0"/>
                <w:i w:val="0"/>
                <w:color w:val="000000"/>
                <w:kern w:val="0"/>
                <w:sz w:val="24"/>
                <w:szCs w:val="24"/>
                <w:lang w:val="en-US" w:eastAsia="zh-CN" w:bidi="ar"/>
              </w:rPr>
              <w:t>t/a</w:t>
            </w:r>
            <w:r>
              <w:rPr>
                <w:rFonts w:ascii="宋体" w:hAnsi="宋体" w:eastAsia="宋体" w:cs="宋体"/>
                <w:b w:val="0"/>
                <w:i w:val="0"/>
                <w:color w:val="000000"/>
                <w:kern w:val="0"/>
                <w:sz w:val="24"/>
                <w:szCs w:val="24"/>
                <w:lang w:val="en-US" w:eastAsia="zh-CN" w:bidi="ar"/>
              </w:rPr>
              <w:t>。根据《第二次全国污染源普查工艺污染源产排污系数手册》中</w:t>
            </w:r>
            <w:r>
              <w:rPr>
                <w:rFonts w:hint="eastAsia" w:ascii="宋体" w:hAnsi="宋体" w:eastAsia="宋体" w:cs="宋体"/>
                <w:b w:val="0"/>
                <w:i w:val="0"/>
                <w:color w:val="000000"/>
                <w:kern w:val="0"/>
                <w:sz w:val="24"/>
                <w:szCs w:val="24"/>
                <w:lang w:val="en-US" w:eastAsia="zh-CN" w:bidi="ar"/>
              </w:rPr>
              <w:t>“</w:t>
            </w:r>
            <w:r>
              <w:rPr>
                <w:rFonts w:ascii="TimesNewRomanPSMT" w:hAnsi="TimesNewRomanPSMT" w:eastAsia="TimesNewRomanPSMT" w:cs="TimesNewRomanPSMT"/>
                <w:b w:val="0"/>
                <w:i w:val="0"/>
                <w:color w:val="000000"/>
                <w:kern w:val="0"/>
                <w:sz w:val="24"/>
                <w:szCs w:val="24"/>
                <w:lang w:val="en-US" w:eastAsia="zh-CN" w:bidi="ar"/>
              </w:rPr>
              <w:t xml:space="preserve">33 </w:t>
            </w:r>
            <w:r>
              <w:rPr>
                <w:rFonts w:ascii="宋体" w:hAnsi="宋体" w:eastAsia="宋体" w:cs="宋体"/>
                <w:b w:val="0"/>
                <w:i w:val="0"/>
                <w:color w:val="000000"/>
                <w:kern w:val="0"/>
                <w:sz w:val="24"/>
                <w:szCs w:val="24"/>
                <w:lang w:val="en-US" w:eastAsia="zh-CN" w:bidi="ar"/>
              </w:rPr>
              <w:t>金属制品业焊接工段系数手册</w:t>
            </w:r>
            <w:r>
              <w:rPr>
                <w:rFonts w:hint="eastAsia" w:ascii="宋体" w:hAnsi="宋体" w:eastAsia="宋体" w:cs="宋体"/>
                <w:b w:val="0"/>
                <w:i w:val="0"/>
                <w:color w:val="000000"/>
                <w:kern w:val="0"/>
                <w:sz w:val="24"/>
                <w:szCs w:val="24"/>
                <w:lang w:val="en-US" w:eastAsia="zh-CN" w:bidi="ar"/>
              </w:rPr>
              <w:t>”</w:t>
            </w:r>
            <w:r>
              <w:rPr>
                <w:rFonts w:ascii="宋体" w:hAnsi="宋体" w:eastAsia="宋体" w:cs="宋体"/>
                <w:b w:val="0"/>
                <w:i w:val="0"/>
                <w:color w:val="000000"/>
                <w:kern w:val="0"/>
                <w:sz w:val="24"/>
                <w:szCs w:val="24"/>
                <w:lang w:val="en-US" w:eastAsia="zh-CN" w:bidi="ar"/>
              </w:rPr>
              <w:t>，平均每吨焊条的烟尘产生量为</w:t>
            </w:r>
            <w:r>
              <w:rPr>
                <w:rFonts w:ascii="TimesNewRomanPSMT" w:hAnsi="TimesNewRomanPSMT" w:eastAsia="TimesNewRomanPSMT" w:cs="TimesNewRomanPSMT"/>
                <w:b w:val="0"/>
                <w:i w:val="0"/>
                <w:color w:val="000000"/>
                <w:kern w:val="0"/>
                <w:sz w:val="24"/>
                <w:szCs w:val="24"/>
                <w:lang w:val="en-US" w:eastAsia="zh-CN" w:bidi="ar"/>
              </w:rPr>
              <w:t>20.17</w:t>
            </w:r>
            <w:r>
              <w:rPr>
                <w:rFonts w:ascii="宋体" w:hAnsi="宋体" w:eastAsia="宋体" w:cs="宋体"/>
                <w:b w:val="0"/>
                <w:i w:val="0"/>
                <w:color w:val="000000"/>
                <w:kern w:val="0"/>
                <w:sz w:val="24"/>
                <w:szCs w:val="24"/>
                <w:lang w:val="en-US" w:eastAsia="zh-CN" w:bidi="ar"/>
              </w:rPr>
              <w:t>千克</w:t>
            </w:r>
            <w:r>
              <w:rPr>
                <w:rFonts w:hint="eastAsia" w:ascii="宋体" w:hAnsi="宋体" w:cs="宋体"/>
                <w:b w:val="0"/>
                <w:i w:val="0"/>
                <w:color w:val="000000"/>
                <w:kern w:val="0"/>
                <w:sz w:val="24"/>
                <w:szCs w:val="24"/>
                <w:lang w:val="en-US" w:eastAsia="zh-CN" w:bidi="ar"/>
              </w:rPr>
              <w:t>，</w:t>
            </w:r>
            <w:r>
              <w:rPr>
                <w:rFonts w:ascii="宋体" w:hAnsi="宋体" w:eastAsia="宋体" w:cs="宋体"/>
                <w:b w:val="0"/>
                <w:i w:val="0"/>
                <w:color w:val="000000"/>
                <w:kern w:val="0"/>
                <w:sz w:val="24"/>
                <w:szCs w:val="24"/>
                <w:lang w:val="en-US" w:eastAsia="zh-CN" w:bidi="ar"/>
              </w:rPr>
              <w:t>因此</w:t>
            </w:r>
            <w:r>
              <w:rPr>
                <w:rFonts w:hint="eastAsia" w:ascii="宋体" w:hAnsi="宋体" w:cs="宋体"/>
                <w:b w:val="0"/>
                <w:i w:val="0"/>
                <w:color w:val="000000"/>
                <w:kern w:val="0"/>
                <w:sz w:val="24"/>
                <w:szCs w:val="24"/>
                <w:lang w:val="en-US" w:eastAsia="zh-CN" w:bidi="ar"/>
              </w:rPr>
              <w:t>，</w:t>
            </w:r>
            <w:r>
              <w:rPr>
                <w:rFonts w:ascii="宋体" w:hAnsi="宋体" w:eastAsia="宋体" w:cs="宋体"/>
                <w:b w:val="0"/>
                <w:i w:val="0"/>
                <w:color w:val="000000"/>
                <w:kern w:val="0"/>
                <w:sz w:val="24"/>
                <w:szCs w:val="24"/>
                <w:lang w:val="en-US" w:eastAsia="zh-CN" w:bidi="ar"/>
              </w:rPr>
              <w:t>项目焊接烟尘产生量为</w:t>
            </w:r>
            <w:r>
              <w:rPr>
                <w:rFonts w:ascii="TimesNewRomanPSMT" w:hAnsi="TimesNewRomanPSMT" w:eastAsia="TimesNewRomanPSMT" w:cs="TimesNewRomanPSMT"/>
                <w:b w:val="0"/>
                <w:i w:val="0"/>
                <w:color w:val="000000"/>
                <w:kern w:val="0"/>
                <w:sz w:val="24"/>
                <w:szCs w:val="24"/>
                <w:lang w:val="en-US" w:eastAsia="zh-CN" w:bidi="ar"/>
              </w:rPr>
              <w:t>0.</w:t>
            </w:r>
            <w:r>
              <w:rPr>
                <w:rFonts w:hint="eastAsia" w:ascii="TimesNewRomanPSMT" w:hAnsi="TimesNewRomanPSMT" w:eastAsia="TimesNewRomanPSMT" w:cs="TimesNewRomanPSMT"/>
                <w:b w:val="0"/>
                <w:i w:val="0"/>
                <w:color w:val="000000"/>
                <w:kern w:val="0"/>
                <w:sz w:val="24"/>
                <w:szCs w:val="24"/>
                <w:lang w:val="en-US" w:eastAsia="zh-CN" w:bidi="ar"/>
              </w:rPr>
              <w:t>1009</w:t>
            </w:r>
            <w:r>
              <w:rPr>
                <w:rFonts w:ascii="TimesNewRomanPSMT" w:hAnsi="TimesNewRomanPSMT" w:eastAsia="TimesNewRomanPSMT" w:cs="TimesNewRomanPSMT"/>
                <w:b w:val="0"/>
                <w:i w:val="0"/>
                <w:color w:val="000000"/>
                <w:kern w:val="0"/>
                <w:sz w:val="24"/>
                <w:szCs w:val="24"/>
                <w:lang w:val="en-US" w:eastAsia="zh-CN" w:bidi="ar"/>
              </w:rPr>
              <w:t>t/a</w:t>
            </w:r>
            <w:r>
              <w:rPr>
                <w:rFonts w:hint="eastAsia" w:ascii="TimesNewRomanPSMT" w:hAnsi="TimesNewRomanPSMT" w:eastAsia="TimesNewRomanPSMT" w:cs="TimesNewRomanPSMT"/>
                <w:b w:val="0"/>
                <w:i w:val="0"/>
                <w:color w:val="000000"/>
                <w:kern w:val="0"/>
                <w:sz w:val="24"/>
                <w:szCs w:val="24"/>
                <w:lang w:val="en-US" w:eastAsia="zh-CN" w:bidi="ar"/>
              </w:rPr>
              <w:t>、0.0841kg/h</w:t>
            </w:r>
            <w:r>
              <w:rPr>
                <w:rFonts w:ascii="宋体" w:hAnsi="宋体" w:eastAsia="宋体" w:cs="宋体"/>
                <w:b w:val="0"/>
                <w:i w:val="0"/>
                <w:color w:val="000000"/>
                <w:kern w:val="0"/>
                <w:sz w:val="24"/>
                <w:szCs w:val="24"/>
                <w:lang w:val="en-US" w:eastAsia="zh-CN" w:bidi="ar"/>
              </w:rPr>
              <w:t>。</w:t>
            </w:r>
            <w:r>
              <w:rPr>
                <w:rFonts w:hint="eastAsia"/>
                <w:sz w:val="24"/>
              </w:rPr>
              <w:t>建设单位</w:t>
            </w:r>
            <w:r>
              <w:rPr>
                <w:rFonts w:hint="eastAsia"/>
                <w:sz w:val="24"/>
                <w:lang w:eastAsia="zh-CN"/>
              </w:rPr>
              <w:t>每台焊机配套安装</w:t>
            </w:r>
            <w:r>
              <w:rPr>
                <w:rFonts w:hint="eastAsia"/>
                <w:sz w:val="24"/>
                <w:lang w:val="en-US" w:eastAsia="zh-CN"/>
              </w:rPr>
              <w:t>1台焊烟净化器，</w:t>
            </w:r>
            <w:r>
              <w:rPr>
                <w:rFonts w:hint="eastAsia"/>
                <w:sz w:val="24"/>
                <w:lang w:eastAsia="zh-CN"/>
              </w:rPr>
              <w:t>净化后的废气直接排放</w:t>
            </w:r>
            <w:r>
              <w:rPr>
                <w:rFonts w:hint="eastAsia"/>
                <w:sz w:val="24"/>
                <w:lang w:val="en-US" w:eastAsia="zh-CN"/>
              </w:rPr>
              <w:t>。焊接烟尘收集效率为80%，处理效率为95%，则焊接烟尘排放量为0.0242</w:t>
            </w:r>
            <w:r>
              <w:rPr>
                <w:rFonts w:ascii="TimesNewRomanPSMT" w:hAnsi="TimesNewRomanPSMT" w:eastAsia="TimesNewRomanPSMT" w:cs="TimesNewRomanPSMT"/>
                <w:b w:val="0"/>
                <w:i w:val="0"/>
                <w:color w:val="000000"/>
                <w:kern w:val="0"/>
                <w:sz w:val="24"/>
                <w:szCs w:val="24"/>
                <w:lang w:val="en-US" w:eastAsia="zh-CN" w:bidi="ar"/>
              </w:rPr>
              <w:t>t/a</w:t>
            </w:r>
            <w:r>
              <w:rPr>
                <w:rFonts w:hint="eastAsia" w:ascii="TimesNewRomanPSMT" w:hAnsi="TimesNewRomanPSMT" w:eastAsia="TimesNewRomanPSMT" w:cs="TimesNewRomanPSMT"/>
                <w:b w:val="0"/>
                <w:i w:val="0"/>
                <w:color w:val="000000"/>
                <w:kern w:val="0"/>
                <w:sz w:val="24"/>
                <w:szCs w:val="24"/>
                <w:lang w:val="en-US" w:eastAsia="zh-CN" w:bidi="ar"/>
              </w:rPr>
              <w:t>、0.0202kg/h</w:t>
            </w:r>
            <w:r>
              <w:rPr>
                <w:rFonts w:ascii="宋体" w:hAnsi="宋体" w:eastAsia="宋体" w:cs="宋体"/>
                <w:b w:val="0"/>
                <w:i w:val="0"/>
                <w:color w:val="000000"/>
                <w:kern w:val="0"/>
                <w:sz w:val="24"/>
                <w:szCs w:val="24"/>
                <w:lang w:val="en-US" w:eastAsia="zh-CN" w:bidi="ar"/>
              </w:rPr>
              <w:t>。</w:t>
            </w:r>
          </w:p>
          <w:p>
            <w:pPr>
              <w:autoSpaceDE w:val="0"/>
              <w:autoSpaceDN w:val="0"/>
              <w:spacing w:line="360" w:lineRule="auto"/>
              <w:ind w:firstLine="482" w:firstLineChars="200"/>
              <w:rPr>
                <w:b/>
                <w:bCs/>
                <w:sz w:val="24"/>
              </w:rPr>
            </w:pPr>
            <w:r>
              <w:rPr>
                <w:rFonts w:hint="eastAsia"/>
                <w:b/>
                <w:bCs/>
                <w:sz w:val="24"/>
                <w:lang w:val="en-US" w:eastAsia="zh-CN"/>
              </w:rPr>
              <w:t>2.</w:t>
            </w:r>
            <w:r>
              <w:rPr>
                <w:rFonts w:hint="eastAsia"/>
                <w:b/>
                <w:bCs/>
                <w:sz w:val="24"/>
              </w:rPr>
              <w:t>废水</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sz w:val="24"/>
                <w:lang w:val="en-US" w:eastAsia="zh-CN"/>
              </w:rPr>
            </w:pPr>
            <w:r>
              <w:rPr>
                <w:rFonts w:hint="eastAsia"/>
                <w:sz w:val="24"/>
                <w:szCs w:val="24"/>
              </w:rPr>
              <w:t>项目废</w:t>
            </w:r>
            <w:r>
              <w:rPr>
                <w:rFonts w:hint="eastAsia"/>
                <w:sz w:val="24"/>
                <w:lang w:val="en-US" w:eastAsia="zh-CN"/>
              </w:rPr>
              <w:t>水为员工生活污水、洗车废水。</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sz w:val="24"/>
                <w:szCs w:val="24"/>
                <w:lang w:eastAsia="zh-CN"/>
              </w:rPr>
            </w:pPr>
            <w:r>
              <w:rPr>
                <w:rFonts w:hint="eastAsia"/>
                <w:sz w:val="24"/>
                <w:szCs w:val="24"/>
                <w:lang w:eastAsia="zh-CN"/>
              </w:rPr>
              <w:t>（</w:t>
            </w:r>
            <w:r>
              <w:rPr>
                <w:rFonts w:hint="eastAsia"/>
                <w:sz w:val="24"/>
                <w:szCs w:val="24"/>
                <w:lang w:val="en-US" w:eastAsia="zh-CN"/>
              </w:rPr>
              <w:t>1</w:t>
            </w:r>
            <w:r>
              <w:rPr>
                <w:rFonts w:hint="eastAsia"/>
                <w:sz w:val="24"/>
                <w:szCs w:val="24"/>
                <w:lang w:eastAsia="zh-CN"/>
              </w:rPr>
              <w:t>）生活污水</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sz w:val="24"/>
                <w:szCs w:val="24"/>
                <w:lang w:eastAsia="zh-CN"/>
              </w:rPr>
            </w:pPr>
            <w:r>
              <w:rPr>
                <w:rFonts w:hint="eastAsia"/>
                <w:sz w:val="24"/>
                <w:szCs w:val="24"/>
                <w:lang w:eastAsia="zh-CN"/>
              </w:rPr>
              <w:t>本</w:t>
            </w:r>
            <w:r>
              <w:rPr>
                <w:rFonts w:hint="eastAsia"/>
                <w:sz w:val="24"/>
                <w:lang w:val="en-US" w:eastAsia="zh-CN"/>
              </w:rPr>
              <w:t>项目劳</w:t>
            </w:r>
            <w:r>
              <w:rPr>
                <w:rFonts w:hint="eastAsia"/>
                <w:sz w:val="24"/>
                <w:szCs w:val="24"/>
              </w:rPr>
              <w:t>动定员</w:t>
            </w:r>
            <w:r>
              <w:rPr>
                <w:rFonts w:hint="eastAsia"/>
                <w:sz w:val="24"/>
                <w:szCs w:val="24"/>
                <w:lang w:val="en-US" w:eastAsia="zh-CN"/>
              </w:rPr>
              <w:t>25</w:t>
            </w:r>
            <w:r>
              <w:rPr>
                <w:rFonts w:hint="eastAsia"/>
                <w:sz w:val="24"/>
                <w:szCs w:val="24"/>
              </w:rPr>
              <w:t>人</w:t>
            </w:r>
            <w:r>
              <w:rPr>
                <w:sz w:val="24"/>
                <w:szCs w:val="24"/>
              </w:rPr>
              <w:t>，</w:t>
            </w:r>
            <w:r>
              <w:rPr>
                <w:rFonts w:hint="eastAsia"/>
                <w:sz w:val="24"/>
                <w:szCs w:val="24"/>
              </w:rPr>
              <w:t>均不在厂内食宿</w:t>
            </w:r>
            <w:r>
              <w:rPr>
                <w:rFonts w:hint="eastAsia"/>
                <w:sz w:val="24"/>
                <w:szCs w:val="24"/>
                <w:lang w:eastAsia="zh-CN"/>
              </w:rPr>
              <w:t>。</w:t>
            </w:r>
            <w:r>
              <w:rPr>
                <w:rFonts w:hint="eastAsia"/>
                <w:sz w:val="24"/>
              </w:rPr>
              <w:t>根</w:t>
            </w:r>
            <w:r>
              <w:rPr>
                <w:sz w:val="24"/>
              </w:rPr>
              <w:t>据《河南省地方标准用水定额》（DB41T385-2014），按照每人每天用水定额</w:t>
            </w:r>
            <w:r>
              <w:rPr>
                <w:rFonts w:hint="eastAsia"/>
                <w:sz w:val="24"/>
                <w:lang w:val="en-US" w:eastAsia="zh-CN"/>
              </w:rPr>
              <w:t>4</w:t>
            </w:r>
            <w:r>
              <w:rPr>
                <w:sz w:val="24"/>
              </w:rPr>
              <w:t>0L，</w:t>
            </w:r>
            <w:r>
              <w:rPr>
                <w:rFonts w:hint="eastAsia"/>
                <w:sz w:val="24"/>
                <w:lang w:eastAsia="zh-CN"/>
              </w:rPr>
              <w:t>职工生活用水量为</w:t>
            </w:r>
            <w:r>
              <w:rPr>
                <w:rFonts w:hint="eastAsia"/>
                <w:sz w:val="24"/>
                <w:lang w:val="en-US" w:eastAsia="zh-CN"/>
              </w:rPr>
              <w:t>1</w:t>
            </w:r>
            <w:r>
              <w:rPr>
                <w:sz w:val="24"/>
                <w:szCs w:val="24"/>
              </w:rPr>
              <w:t>m</w:t>
            </w:r>
            <w:r>
              <w:rPr>
                <w:sz w:val="24"/>
                <w:szCs w:val="24"/>
                <w:vertAlign w:val="superscript"/>
              </w:rPr>
              <w:t>3</w:t>
            </w:r>
            <w:r>
              <w:rPr>
                <w:sz w:val="24"/>
                <w:szCs w:val="24"/>
              </w:rPr>
              <w:t>/d（</w:t>
            </w:r>
            <w:r>
              <w:rPr>
                <w:rFonts w:hint="eastAsia"/>
                <w:sz w:val="24"/>
                <w:szCs w:val="24"/>
                <w:lang w:val="en-US" w:eastAsia="zh-CN"/>
              </w:rPr>
              <w:t>300</w:t>
            </w:r>
            <w:r>
              <w:rPr>
                <w:rFonts w:hint="eastAsia"/>
                <w:sz w:val="24"/>
                <w:szCs w:val="24"/>
              </w:rPr>
              <w:t>m</w:t>
            </w:r>
            <w:r>
              <w:rPr>
                <w:rFonts w:hint="eastAsia"/>
                <w:sz w:val="24"/>
                <w:szCs w:val="24"/>
                <w:vertAlign w:val="superscript"/>
              </w:rPr>
              <w:t>3</w:t>
            </w:r>
            <w:r>
              <w:rPr>
                <w:rFonts w:hint="eastAsia"/>
                <w:sz w:val="24"/>
                <w:szCs w:val="24"/>
              </w:rPr>
              <w:t>/a</w:t>
            </w:r>
            <w:r>
              <w:rPr>
                <w:sz w:val="24"/>
                <w:szCs w:val="24"/>
              </w:rPr>
              <w:t>）</w:t>
            </w:r>
            <w:r>
              <w:rPr>
                <w:rFonts w:hint="eastAsia"/>
                <w:sz w:val="24"/>
                <w:lang w:eastAsia="zh-CN"/>
              </w:rPr>
              <w:t>，</w:t>
            </w:r>
            <w:r>
              <w:rPr>
                <w:sz w:val="24"/>
              </w:rPr>
              <w:t>排水系数按0.8计</w:t>
            </w:r>
            <w:r>
              <w:rPr>
                <w:rFonts w:hint="eastAsia"/>
                <w:sz w:val="24"/>
                <w:szCs w:val="24"/>
              </w:rPr>
              <w:t>，则生活污水产生量为0</w:t>
            </w:r>
            <w:r>
              <w:rPr>
                <w:rFonts w:hint="eastAsia"/>
                <w:sz w:val="24"/>
                <w:szCs w:val="24"/>
                <w:lang w:val="en-US" w:eastAsia="zh-CN"/>
              </w:rPr>
              <w:t>.8</w:t>
            </w:r>
            <w:r>
              <w:rPr>
                <w:sz w:val="24"/>
                <w:szCs w:val="24"/>
              </w:rPr>
              <w:t>m</w:t>
            </w:r>
            <w:r>
              <w:rPr>
                <w:sz w:val="24"/>
                <w:szCs w:val="24"/>
                <w:vertAlign w:val="superscript"/>
              </w:rPr>
              <w:t>3</w:t>
            </w:r>
            <w:r>
              <w:rPr>
                <w:sz w:val="24"/>
                <w:szCs w:val="24"/>
              </w:rPr>
              <w:t>/d（</w:t>
            </w:r>
            <w:r>
              <w:rPr>
                <w:rFonts w:hint="eastAsia"/>
                <w:sz w:val="24"/>
                <w:szCs w:val="24"/>
                <w:lang w:val="en-US" w:eastAsia="zh-CN"/>
              </w:rPr>
              <w:t>240</w:t>
            </w:r>
            <w:r>
              <w:rPr>
                <w:rFonts w:hint="eastAsia"/>
                <w:sz w:val="24"/>
                <w:szCs w:val="24"/>
              </w:rPr>
              <w:t>m</w:t>
            </w:r>
            <w:r>
              <w:rPr>
                <w:rFonts w:hint="eastAsia"/>
                <w:sz w:val="24"/>
                <w:szCs w:val="24"/>
                <w:vertAlign w:val="superscript"/>
              </w:rPr>
              <w:t>3</w:t>
            </w:r>
            <w:r>
              <w:rPr>
                <w:rFonts w:hint="eastAsia"/>
                <w:sz w:val="24"/>
                <w:szCs w:val="24"/>
              </w:rPr>
              <w:t>/a</w:t>
            </w:r>
            <w:r>
              <w:rPr>
                <w:sz w:val="24"/>
                <w:szCs w:val="24"/>
              </w:rPr>
              <w:t>）</w:t>
            </w:r>
            <w:r>
              <w:rPr>
                <w:rFonts w:hint="eastAsia"/>
                <w:sz w:val="24"/>
                <w:szCs w:val="24"/>
              </w:rPr>
              <w:t>，主要污染物浓度为COD 280mg/L、BOD</w:t>
            </w:r>
            <w:r>
              <w:rPr>
                <w:rFonts w:hint="eastAsia"/>
                <w:sz w:val="24"/>
                <w:szCs w:val="24"/>
                <w:vertAlign w:val="subscript"/>
              </w:rPr>
              <w:t xml:space="preserve">5 </w:t>
            </w:r>
            <w:r>
              <w:rPr>
                <w:rFonts w:hint="eastAsia"/>
                <w:sz w:val="24"/>
                <w:szCs w:val="24"/>
              </w:rPr>
              <w:t>180mg/L、SS 180mg/L、NH</w:t>
            </w:r>
            <w:r>
              <w:rPr>
                <w:rFonts w:hint="eastAsia"/>
                <w:sz w:val="24"/>
                <w:szCs w:val="24"/>
                <w:vertAlign w:val="subscript"/>
              </w:rPr>
              <w:t>3</w:t>
            </w:r>
            <w:r>
              <w:rPr>
                <w:rFonts w:hint="eastAsia"/>
                <w:sz w:val="24"/>
                <w:szCs w:val="24"/>
              </w:rPr>
              <w:t>-N 28mg/L。</w:t>
            </w:r>
            <w:r>
              <w:rPr>
                <w:rFonts w:hint="eastAsia"/>
                <w:bCs/>
                <w:sz w:val="24"/>
                <w:szCs w:val="24"/>
              </w:rPr>
              <w:t>经厂区内</w:t>
            </w:r>
            <w:r>
              <w:rPr>
                <w:rFonts w:hint="eastAsia"/>
                <w:bCs/>
                <w:sz w:val="24"/>
                <w:szCs w:val="24"/>
                <w:lang w:eastAsia="zh-CN"/>
              </w:rPr>
              <w:t>现</w:t>
            </w:r>
            <w:r>
              <w:rPr>
                <w:rFonts w:hint="eastAsia"/>
                <w:bCs/>
                <w:sz w:val="24"/>
                <w:szCs w:val="24"/>
              </w:rPr>
              <w:t>有</w:t>
            </w:r>
            <w:r>
              <w:rPr>
                <w:rFonts w:hint="eastAsia"/>
                <w:bCs/>
                <w:sz w:val="24"/>
                <w:szCs w:val="24"/>
                <w:lang w:eastAsia="zh-CN"/>
              </w:rPr>
              <w:t>三格式</w:t>
            </w:r>
            <w:r>
              <w:rPr>
                <w:rFonts w:hint="eastAsia"/>
                <w:bCs/>
                <w:sz w:val="24"/>
                <w:szCs w:val="24"/>
              </w:rPr>
              <w:t>化粪池处理后</w:t>
            </w:r>
            <w:r>
              <w:rPr>
                <w:rFonts w:hint="eastAsia"/>
                <w:bCs/>
                <w:sz w:val="24"/>
                <w:szCs w:val="24"/>
                <w:lang w:eastAsia="zh-CN"/>
              </w:rPr>
              <w:t>，</w:t>
            </w:r>
            <w:r>
              <w:rPr>
                <w:rFonts w:hint="eastAsia"/>
                <w:bCs/>
                <w:sz w:val="24"/>
                <w:szCs w:val="24"/>
              </w:rPr>
              <w:t>由专业服务队伍采用专业抽粪车辆定期对粪水、粪渣进行收集、有效利用和无害化处理</w:t>
            </w:r>
            <w:r>
              <w:rPr>
                <w:rFonts w:hint="eastAsia"/>
                <w:sz w:val="24"/>
                <w:szCs w:val="24"/>
                <w:lang w:eastAsia="zh-CN"/>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sz w:val="24"/>
                <w:szCs w:val="24"/>
                <w:lang w:val="en-US" w:eastAsia="zh-CN"/>
              </w:rPr>
            </w:pPr>
            <w:r>
              <w:rPr>
                <w:rFonts w:hint="eastAsia"/>
                <w:sz w:val="24"/>
                <w:szCs w:val="24"/>
                <w:lang w:val="en-US" w:eastAsia="zh-CN"/>
              </w:rPr>
              <w:t>（2）洗车废水</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lang w:val="en-US" w:eastAsia="zh-CN"/>
              </w:rPr>
            </w:pPr>
            <w:r>
              <w:rPr>
                <w:rFonts w:hint="eastAsia"/>
                <w:sz w:val="24"/>
                <w:szCs w:val="24"/>
                <w:lang w:val="en-US" w:eastAsia="zh-CN"/>
              </w:rPr>
              <w:t>为保持</w:t>
            </w:r>
            <w:r>
              <w:rPr>
                <w:rFonts w:hint="eastAsia" w:ascii="宋体" w:hAnsi="宋体" w:eastAsia="宋体" w:cs="宋体"/>
                <w:color w:val="000000"/>
                <w:kern w:val="0"/>
                <w:sz w:val="24"/>
                <w:szCs w:val="24"/>
                <w:lang w:val="en-US" w:eastAsia="zh-CN" w:bidi="ar"/>
              </w:rPr>
              <w:t>运输车辆清洁，减少道路扬尘产生，本项目在厂区出口处设置车辆冲洗池，对车辆轮胎及车厢进行冲洗。根据《建筑给水排水设计规范》（</w:t>
            </w:r>
            <w:r>
              <w:rPr>
                <w:rFonts w:hint="default" w:ascii="Times New Roman" w:hAnsi="Times New Roman" w:eastAsia="宋体" w:cs="Times New Roman"/>
                <w:color w:val="000000"/>
                <w:kern w:val="0"/>
                <w:sz w:val="24"/>
                <w:szCs w:val="24"/>
                <w:lang w:val="en-US" w:eastAsia="zh-CN" w:bidi="ar"/>
              </w:rPr>
              <w:t>GB50015-2009</w:t>
            </w:r>
            <w:r>
              <w:rPr>
                <w:rFonts w:hint="eastAsia" w:ascii="宋体" w:hAnsi="宋体" w:eastAsia="宋体" w:cs="宋体"/>
                <w:color w:val="000000"/>
                <w:kern w:val="0"/>
                <w:sz w:val="24"/>
                <w:szCs w:val="24"/>
                <w:lang w:val="en-US" w:eastAsia="zh-CN" w:bidi="ar"/>
              </w:rPr>
              <w:t>）中汽车冲洗用水定额，用水量为</w:t>
            </w:r>
            <w:r>
              <w:rPr>
                <w:rFonts w:hint="default" w:ascii="Times New Roman" w:hAnsi="Times New Roman" w:eastAsia="宋体" w:cs="Times New Roman"/>
                <w:color w:val="000000"/>
                <w:kern w:val="0"/>
                <w:sz w:val="24"/>
                <w:szCs w:val="24"/>
                <w:lang w:val="en-US" w:eastAsia="zh-CN" w:bidi="ar"/>
              </w:rPr>
              <w:t>80</w:t>
            </w:r>
            <w:r>
              <w:rPr>
                <w:rFonts w:hint="eastAsia" w:ascii="宋体" w:hAnsi="宋体" w:eastAsia="宋体" w:cs="宋体"/>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120L/</w:t>
            </w:r>
            <w:r>
              <w:rPr>
                <w:rFonts w:hint="eastAsia" w:ascii="宋体" w:hAnsi="宋体" w:eastAsia="宋体" w:cs="宋体"/>
                <w:color w:val="000000"/>
                <w:kern w:val="0"/>
                <w:sz w:val="24"/>
                <w:szCs w:val="24"/>
                <w:lang w:val="en-US" w:eastAsia="zh-CN" w:bidi="ar"/>
              </w:rPr>
              <w:t>辆</w:t>
            </w:r>
            <w:r>
              <w:rPr>
                <w:rFonts w:hint="default" w:ascii="Times New Roman" w:hAnsi="Times New Roman" w:eastAsia="宋体" w:cs="Times New Roman"/>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次，本次评价取平均值</w:t>
            </w:r>
            <w:r>
              <w:rPr>
                <w:rFonts w:hint="default" w:ascii="Times New Roman" w:hAnsi="Times New Roman" w:eastAsia="宋体" w:cs="Times New Roman"/>
                <w:color w:val="000000"/>
                <w:kern w:val="0"/>
                <w:sz w:val="24"/>
                <w:szCs w:val="24"/>
                <w:lang w:val="en-US" w:eastAsia="zh-CN" w:bidi="ar"/>
              </w:rPr>
              <w:t>100L/</w:t>
            </w:r>
            <w:r>
              <w:rPr>
                <w:rFonts w:hint="eastAsia" w:ascii="宋体" w:hAnsi="宋体" w:eastAsia="宋体" w:cs="宋体"/>
                <w:color w:val="000000"/>
                <w:kern w:val="0"/>
                <w:sz w:val="24"/>
                <w:szCs w:val="24"/>
                <w:lang w:val="en-US" w:eastAsia="zh-CN" w:bidi="ar"/>
              </w:rPr>
              <w:t>辆</w:t>
            </w:r>
            <w:r>
              <w:rPr>
                <w:rFonts w:hint="default" w:ascii="Times New Roman" w:hAnsi="Times New Roman" w:eastAsia="宋体" w:cs="Times New Roman"/>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次。本项目全年共计</w:t>
            </w:r>
            <w:r>
              <w:rPr>
                <w:rFonts w:hint="eastAsia" w:cs="Times New Roman"/>
                <w:color w:val="000000"/>
                <w:kern w:val="0"/>
                <w:sz w:val="24"/>
                <w:szCs w:val="24"/>
                <w:lang w:val="en-US" w:eastAsia="zh-CN" w:bidi="ar"/>
              </w:rPr>
              <w:t>100</w:t>
            </w:r>
            <w:r>
              <w:rPr>
                <w:rFonts w:hint="default" w:ascii="Times New Roman" w:hAnsi="Times New Roman" w:eastAsia="宋体" w:cs="Times New Roman"/>
                <w:color w:val="000000"/>
                <w:kern w:val="0"/>
                <w:sz w:val="24"/>
                <w:szCs w:val="24"/>
                <w:lang w:val="en-US" w:eastAsia="zh-CN" w:bidi="ar"/>
              </w:rPr>
              <w:t>0</w:t>
            </w:r>
            <w:r>
              <w:rPr>
                <w:rFonts w:hint="eastAsia" w:ascii="宋体" w:hAnsi="宋体" w:eastAsia="宋体" w:cs="宋体"/>
                <w:color w:val="000000"/>
                <w:kern w:val="0"/>
                <w:sz w:val="24"/>
                <w:szCs w:val="24"/>
                <w:lang w:val="en-US" w:eastAsia="zh-CN" w:bidi="ar"/>
              </w:rPr>
              <w:t>辆次，则项目车辆冲洗用水为</w:t>
            </w:r>
            <w:r>
              <w:rPr>
                <w:rFonts w:hint="eastAsia" w:cs="Times New Roman"/>
                <w:color w:val="000000"/>
                <w:kern w:val="0"/>
                <w:sz w:val="24"/>
                <w:szCs w:val="24"/>
                <w:lang w:val="en-US" w:eastAsia="zh-CN" w:bidi="ar"/>
              </w:rPr>
              <w:t>100</w:t>
            </w:r>
            <w:r>
              <w:rPr>
                <w:rFonts w:hint="default" w:ascii="Times New Roman" w:hAnsi="Times New Roman" w:eastAsia="宋体" w:cs="Times New Roman"/>
                <w:color w:val="000000"/>
                <w:kern w:val="0"/>
                <w:sz w:val="24"/>
                <w:szCs w:val="24"/>
                <w:lang w:val="en-US" w:eastAsia="zh-CN" w:bidi="ar"/>
              </w:rPr>
              <w:t>m</w:t>
            </w:r>
            <w:r>
              <w:rPr>
                <w:rFonts w:hint="default" w:ascii="Times New Roman" w:hAnsi="Times New Roman" w:eastAsia="宋体" w:cs="Times New Roman"/>
                <w:color w:val="000000"/>
                <w:kern w:val="0"/>
                <w:sz w:val="24"/>
                <w:szCs w:val="24"/>
                <w:vertAlign w:val="superscript"/>
                <w:lang w:val="en-US" w:eastAsia="zh-CN" w:bidi="ar"/>
              </w:rPr>
              <w:t>3</w:t>
            </w:r>
            <w:r>
              <w:rPr>
                <w:rFonts w:hint="default" w:ascii="Times New Roman" w:hAnsi="Times New Roman" w:eastAsia="宋体" w:cs="Times New Roman"/>
                <w:color w:val="000000"/>
                <w:kern w:val="0"/>
                <w:sz w:val="24"/>
                <w:szCs w:val="24"/>
                <w:lang w:val="en-US" w:eastAsia="zh-CN" w:bidi="ar"/>
              </w:rPr>
              <w:t>/a</w:t>
            </w:r>
            <w:r>
              <w:rPr>
                <w:rFonts w:hint="eastAsia" w:ascii="宋体" w:hAnsi="宋体" w:eastAsia="宋体" w:cs="宋体"/>
                <w:color w:val="000000"/>
                <w:kern w:val="0"/>
                <w:sz w:val="24"/>
                <w:szCs w:val="24"/>
                <w:lang w:val="en-US" w:eastAsia="zh-CN" w:bidi="ar"/>
              </w:rPr>
              <w:t>（</w:t>
            </w:r>
            <w:r>
              <w:rPr>
                <w:rFonts w:hint="eastAsia" w:cs="Times New Roman"/>
                <w:color w:val="000000"/>
                <w:kern w:val="0"/>
                <w:sz w:val="24"/>
                <w:szCs w:val="24"/>
                <w:lang w:val="en-US" w:eastAsia="zh-CN" w:bidi="ar"/>
              </w:rPr>
              <w:t>0.33</w:t>
            </w:r>
            <w:r>
              <w:rPr>
                <w:rFonts w:hint="default" w:ascii="Times New Roman" w:hAnsi="Times New Roman" w:eastAsia="宋体" w:cs="Times New Roman"/>
                <w:color w:val="000000"/>
                <w:kern w:val="0"/>
                <w:sz w:val="24"/>
                <w:szCs w:val="24"/>
                <w:lang w:val="en-US" w:eastAsia="zh-CN" w:bidi="ar"/>
              </w:rPr>
              <w:t>m</w:t>
            </w:r>
            <w:r>
              <w:rPr>
                <w:rFonts w:hint="default" w:ascii="Times New Roman" w:hAnsi="Times New Roman" w:eastAsia="宋体" w:cs="Times New Roman"/>
                <w:color w:val="000000"/>
                <w:kern w:val="0"/>
                <w:sz w:val="24"/>
                <w:szCs w:val="24"/>
                <w:vertAlign w:val="superscript"/>
                <w:lang w:val="en-US" w:eastAsia="zh-CN" w:bidi="ar"/>
              </w:rPr>
              <w:t>3</w:t>
            </w:r>
            <w:r>
              <w:rPr>
                <w:rFonts w:hint="default" w:ascii="Times New Roman" w:hAnsi="Times New Roman" w:eastAsia="宋体" w:cs="Times New Roman"/>
                <w:color w:val="000000"/>
                <w:kern w:val="0"/>
                <w:sz w:val="24"/>
                <w:szCs w:val="24"/>
                <w:lang w:val="en-US" w:eastAsia="zh-CN" w:bidi="ar"/>
              </w:rPr>
              <w:t>/d</w:t>
            </w:r>
            <w:r>
              <w:rPr>
                <w:rFonts w:hint="eastAsia" w:ascii="宋体" w:hAnsi="宋体" w:eastAsia="宋体" w:cs="宋体"/>
                <w:color w:val="000000"/>
                <w:kern w:val="0"/>
                <w:sz w:val="24"/>
                <w:szCs w:val="24"/>
                <w:lang w:val="en-US" w:eastAsia="zh-CN" w:bidi="ar"/>
              </w:rPr>
              <w:t>）</w:t>
            </w:r>
            <w:r>
              <w:rPr>
                <w:rFonts w:hint="eastAsia" w:ascii="宋体" w:hAnsi="宋体" w:cs="宋体"/>
                <w:color w:val="000000"/>
                <w:kern w:val="0"/>
                <w:sz w:val="24"/>
                <w:szCs w:val="24"/>
                <w:lang w:val="en-US" w:eastAsia="zh-CN" w:bidi="ar"/>
              </w:rPr>
              <w:t>，</w:t>
            </w:r>
            <w:r>
              <w:rPr>
                <w:rFonts w:hint="eastAsia"/>
                <w:bCs/>
                <w:sz w:val="24"/>
                <w:szCs w:val="24"/>
              </w:rPr>
              <w:t>产污系数按0.9计</w:t>
            </w:r>
            <w:r>
              <w:rPr>
                <w:rFonts w:hint="eastAsia" w:ascii="宋体" w:hAnsi="宋体" w:eastAsia="宋体" w:cs="宋体"/>
                <w:color w:val="000000"/>
                <w:kern w:val="0"/>
                <w:sz w:val="24"/>
                <w:szCs w:val="24"/>
                <w:lang w:val="en-US" w:eastAsia="zh-CN" w:bidi="ar"/>
              </w:rPr>
              <w:t>，则废水产生量为</w:t>
            </w:r>
            <w:r>
              <w:rPr>
                <w:rFonts w:hint="eastAsia" w:ascii="宋体" w:hAnsi="宋体" w:cs="宋体"/>
                <w:color w:val="000000"/>
                <w:kern w:val="0"/>
                <w:sz w:val="24"/>
                <w:szCs w:val="24"/>
                <w:lang w:val="en-US" w:eastAsia="zh-CN" w:bidi="ar"/>
              </w:rPr>
              <w:t>90</w:t>
            </w:r>
            <w:r>
              <w:rPr>
                <w:rFonts w:hint="default" w:ascii="Times New Roman" w:hAnsi="Times New Roman" w:eastAsia="宋体" w:cs="Times New Roman"/>
                <w:color w:val="000000"/>
                <w:kern w:val="0"/>
                <w:sz w:val="24"/>
                <w:szCs w:val="24"/>
                <w:lang w:val="en-US" w:eastAsia="zh-CN" w:bidi="ar"/>
              </w:rPr>
              <w:t>m</w:t>
            </w:r>
            <w:r>
              <w:rPr>
                <w:rFonts w:hint="default" w:ascii="Times New Roman" w:hAnsi="Times New Roman" w:eastAsia="宋体" w:cs="Times New Roman"/>
                <w:color w:val="000000"/>
                <w:kern w:val="0"/>
                <w:sz w:val="24"/>
                <w:szCs w:val="24"/>
                <w:vertAlign w:val="superscript"/>
                <w:lang w:val="en-US" w:eastAsia="zh-CN" w:bidi="ar"/>
              </w:rPr>
              <w:t>3</w:t>
            </w:r>
            <w:r>
              <w:rPr>
                <w:rFonts w:hint="default" w:ascii="Times New Roman" w:hAnsi="Times New Roman" w:eastAsia="宋体" w:cs="Times New Roman"/>
                <w:color w:val="000000"/>
                <w:kern w:val="0"/>
                <w:sz w:val="24"/>
                <w:szCs w:val="24"/>
                <w:lang w:val="en-US" w:eastAsia="zh-CN" w:bidi="ar"/>
              </w:rPr>
              <w:t>/a</w:t>
            </w:r>
            <w:r>
              <w:rPr>
                <w:rFonts w:hint="eastAsia" w:ascii="宋体" w:hAnsi="宋体" w:eastAsia="宋体" w:cs="宋体"/>
                <w:color w:val="000000"/>
                <w:kern w:val="0"/>
                <w:sz w:val="24"/>
                <w:szCs w:val="24"/>
                <w:lang w:val="en-US" w:eastAsia="zh-CN" w:bidi="ar"/>
              </w:rPr>
              <w:t>（</w:t>
            </w:r>
            <w:r>
              <w:rPr>
                <w:rFonts w:hint="eastAsia" w:cs="Times New Roman"/>
                <w:color w:val="000000"/>
                <w:kern w:val="0"/>
                <w:sz w:val="24"/>
                <w:szCs w:val="24"/>
                <w:lang w:val="en-US" w:eastAsia="zh-CN" w:bidi="ar"/>
              </w:rPr>
              <w:t>0.3</w:t>
            </w:r>
            <w:r>
              <w:rPr>
                <w:rFonts w:hint="default" w:ascii="Times New Roman" w:hAnsi="Times New Roman" w:eastAsia="宋体" w:cs="Times New Roman"/>
                <w:color w:val="000000"/>
                <w:kern w:val="0"/>
                <w:sz w:val="24"/>
                <w:szCs w:val="24"/>
                <w:lang w:val="en-US" w:eastAsia="zh-CN" w:bidi="ar"/>
              </w:rPr>
              <w:t>m</w:t>
            </w:r>
            <w:r>
              <w:rPr>
                <w:rFonts w:hint="default" w:ascii="Times New Roman" w:hAnsi="Times New Roman" w:eastAsia="宋体" w:cs="Times New Roman"/>
                <w:color w:val="000000"/>
                <w:kern w:val="0"/>
                <w:sz w:val="24"/>
                <w:szCs w:val="24"/>
                <w:vertAlign w:val="superscript"/>
                <w:lang w:val="en-US" w:eastAsia="zh-CN" w:bidi="ar"/>
              </w:rPr>
              <w:t>3</w:t>
            </w:r>
            <w:r>
              <w:rPr>
                <w:rFonts w:hint="default" w:ascii="Times New Roman" w:hAnsi="Times New Roman" w:eastAsia="宋体" w:cs="Times New Roman"/>
                <w:color w:val="000000"/>
                <w:kern w:val="0"/>
                <w:sz w:val="24"/>
                <w:szCs w:val="24"/>
                <w:lang w:val="en-US" w:eastAsia="zh-CN" w:bidi="ar"/>
              </w:rPr>
              <w:t>/d</w:t>
            </w:r>
            <w:r>
              <w:rPr>
                <w:rFonts w:hint="eastAsia" w:ascii="宋体" w:hAnsi="宋体" w:eastAsia="宋体" w:cs="宋体"/>
                <w:color w:val="000000"/>
                <w:kern w:val="0"/>
                <w:sz w:val="24"/>
                <w:szCs w:val="24"/>
                <w:lang w:val="en-US" w:eastAsia="zh-CN" w:bidi="ar"/>
              </w:rPr>
              <w:t>）。厂区设置有</w:t>
            </w:r>
            <w:r>
              <w:rPr>
                <w:rFonts w:hint="default" w:ascii="Times New Roman" w:hAnsi="Times New Roman" w:eastAsia="宋体" w:cs="Times New Roman"/>
                <w:color w:val="000000"/>
                <w:kern w:val="0"/>
                <w:sz w:val="24"/>
                <w:szCs w:val="24"/>
                <w:lang w:val="en-US" w:eastAsia="zh-CN" w:bidi="ar"/>
              </w:rPr>
              <w:t>1个</w:t>
            </w:r>
            <w:r>
              <w:rPr>
                <w:rFonts w:hint="default" w:ascii="Times New Roman" w:hAnsi="Times New Roman" w:cs="Times New Roman"/>
                <w:sz w:val="24"/>
                <w:szCs w:val="24"/>
              </w:rPr>
              <w:t>5.0m×3.0m×</w:t>
            </w:r>
            <w:r>
              <w:rPr>
                <w:rFonts w:hint="default" w:ascii="Times New Roman" w:hAnsi="Times New Roman" w:cs="Times New Roman"/>
                <w:sz w:val="24"/>
                <w:szCs w:val="24"/>
                <w:lang w:val="en-US" w:eastAsia="zh-CN"/>
              </w:rPr>
              <w:t>1.5</w:t>
            </w:r>
            <w:r>
              <w:rPr>
                <w:rFonts w:hint="default" w:ascii="Times New Roman" w:hAnsi="Times New Roman" w:cs="Times New Roman"/>
                <w:sz w:val="24"/>
                <w:szCs w:val="24"/>
              </w:rPr>
              <w:t>m</w:t>
            </w:r>
            <w:r>
              <w:rPr>
                <w:rFonts w:hint="eastAsia" w:ascii="宋体" w:hAnsi="宋体"/>
                <w:sz w:val="24"/>
                <w:szCs w:val="24"/>
                <w:lang w:eastAsia="zh-CN"/>
              </w:rPr>
              <w:t>的三级</w:t>
            </w:r>
            <w:r>
              <w:rPr>
                <w:rFonts w:hint="eastAsia" w:ascii="宋体" w:hAnsi="宋体" w:eastAsia="宋体" w:cs="宋体"/>
                <w:color w:val="000000"/>
                <w:kern w:val="0"/>
                <w:sz w:val="24"/>
                <w:szCs w:val="24"/>
                <w:lang w:val="en-US" w:eastAsia="zh-CN" w:bidi="ar"/>
              </w:rPr>
              <w:t>沉淀池，冲洗水通过车辆冲洗池底部的管沟排入沉淀池，经过沉淀池沉淀后用作</w:t>
            </w:r>
            <w:r>
              <w:rPr>
                <w:rFonts w:hint="eastAsia" w:ascii="宋体" w:hAnsi="宋体" w:cs="宋体"/>
                <w:color w:val="000000"/>
                <w:kern w:val="0"/>
                <w:sz w:val="24"/>
                <w:szCs w:val="24"/>
                <w:lang w:val="en-US" w:eastAsia="zh-CN" w:bidi="ar"/>
              </w:rPr>
              <w:t>道路洒水抑尘</w:t>
            </w:r>
            <w:r>
              <w:rPr>
                <w:rFonts w:hint="eastAsia" w:ascii="宋体" w:hAnsi="宋体" w:eastAsia="宋体" w:cs="宋体"/>
                <w:color w:val="000000"/>
                <w:kern w:val="0"/>
                <w:sz w:val="24"/>
                <w:szCs w:val="24"/>
                <w:lang w:val="en-US" w:eastAsia="zh-CN" w:bidi="ar"/>
              </w:rPr>
              <w:t>。</w:t>
            </w:r>
          </w:p>
          <w:p>
            <w:pPr>
              <w:autoSpaceDE w:val="0"/>
              <w:autoSpaceDN w:val="0"/>
              <w:spacing w:line="360" w:lineRule="auto"/>
              <w:ind w:firstLine="482" w:firstLineChars="200"/>
              <w:rPr>
                <w:b/>
                <w:bCs/>
                <w:sz w:val="24"/>
              </w:rPr>
            </w:pPr>
            <w:r>
              <w:rPr>
                <w:rFonts w:hint="eastAsia"/>
                <w:b/>
                <w:bCs/>
                <w:sz w:val="24"/>
                <w:lang w:val="en-US" w:eastAsia="zh-CN"/>
              </w:rPr>
              <w:t>3.</w:t>
            </w:r>
            <w:r>
              <w:rPr>
                <w:rFonts w:hint="eastAsia"/>
                <w:b/>
                <w:bCs/>
                <w:sz w:val="24"/>
              </w:rPr>
              <w:t>噪声</w:t>
            </w:r>
          </w:p>
          <w:p>
            <w:pPr>
              <w:spacing w:line="360" w:lineRule="auto"/>
              <w:ind w:firstLine="482"/>
              <w:rPr>
                <w:rFonts w:hint="eastAsia"/>
                <w:color w:val="auto"/>
                <w:sz w:val="24"/>
              </w:rPr>
            </w:pPr>
            <w:r>
              <w:rPr>
                <w:rFonts w:hint="eastAsia"/>
                <w:color w:val="auto"/>
                <w:sz w:val="24"/>
              </w:rPr>
              <w:t>本项目的噪声源主要为</w:t>
            </w:r>
            <w:r>
              <w:rPr>
                <w:rFonts w:hint="eastAsia"/>
                <w:color w:val="auto"/>
                <w:sz w:val="24"/>
                <w:lang w:eastAsia="zh-CN"/>
              </w:rPr>
              <w:t>调直机、龙门吊、电焊机、空气压缩机</w:t>
            </w:r>
            <w:r>
              <w:rPr>
                <w:rFonts w:hint="eastAsia"/>
                <w:color w:val="auto"/>
                <w:sz w:val="24"/>
              </w:rPr>
              <w:t>等，噪声源强在</w:t>
            </w:r>
            <w:r>
              <w:rPr>
                <w:rFonts w:hint="eastAsia"/>
                <w:color w:val="auto"/>
                <w:sz w:val="24"/>
                <w:lang w:val="en-US" w:eastAsia="zh-CN"/>
              </w:rPr>
              <w:t>65</w:t>
            </w:r>
            <w:r>
              <w:rPr>
                <w:rFonts w:hint="eastAsia"/>
                <w:color w:val="auto"/>
                <w:sz w:val="24"/>
              </w:rPr>
              <w:t>~</w:t>
            </w:r>
            <w:r>
              <w:rPr>
                <w:rFonts w:hint="eastAsia"/>
                <w:color w:val="auto"/>
                <w:sz w:val="24"/>
                <w:lang w:val="en-US" w:eastAsia="zh-CN"/>
              </w:rPr>
              <w:t>95</w:t>
            </w:r>
            <w:r>
              <w:rPr>
                <w:rFonts w:hint="eastAsia"/>
                <w:color w:val="auto"/>
                <w:sz w:val="24"/>
              </w:rPr>
              <w:t>dB（A），本项目主要设备噪声源强见表</w:t>
            </w:r>
            <w:r>
              <w:rPr>
                <w:rFonts w:hint="eastAsia"/>
                <w:color w:val="auto"/>
                <w:sz w:val="24"/>
                <w:lang w:val="en-US" w:eastAsia="zh-CN"/>
              </w:rPr>
              <w:t>12</w:t>
            </w:r>
            <w:r>
              <w:rPr>
                <w:rFonts w:hint="eastAsia"/>
                <w:color w:val="auto"/>
                <w:sz w:val="24"/>
              </w:rPr>
              <w:t>。</w:t>
            </w:r>
          </w:p>
          <w:p>
            <w:pPr>
              <w:pStyle w:val="38"/>
              <w:jc w:val="center"/>
              <w:rPr>
                <w:rFonts w:hint="eastAsia" w:ascii="黑体" w:hAnsi="黑体" w:eastAsia="黑体" w:cs="黑体"/>
                <w:b w:val="0"/>
                <w:bCs/>
                <w:color w:val="auto"/>
              </w:rPr>
            </w:pPr>
            <w:r>
              <w:rPr>
                <w:rFonts w:hint="eastAsia" w:ascii="黑体" w:hAnsi="黑体" w:eastAsia="黑体" w:cs="黑体"/>
                <w:b w:val="0"/>
                <w:bCs/>
                <w:color w:val="auto"/>
                <w:kern w:val="2"/>
                <w:szCs w:val="24"/>
              </w:rPr>
              <w:t>表</w:t>
            </w:r>
            <w:r>
              <w:rPr>
                <w:rFonts w:hint="eastAsia" w:ascii="黑体" w:hAnsi="黑体" w:eastAsia="黑体" w:cs="黑体"/>
                <w:b w:val="0"/>
                <w:bCs/>
                <w:color w:val="auto"/>
                <w:kern w:val="2"/>
                <w:szCs w:val="24"/>
                <w:lang w:val="en-US" w:eastAsia="zh-CN"/>
              </w:rPr>
              <w:t>12</w:t>
            </w:r>
            <w:r>
              <w:rPr>
                <w:rFonts w:hint="eastAsia" w:ascii="黑体" w:hAnsi="黑体" w:eastAsia="黑体" w:cs="黑体"/>
                <w:b w:val="0"/>
                <w:bCs/>
                <w:color w:val="auto"/>
                <w:kern w:val="2"/>
                <w:szCs w:val="24"/>
              </w:rPr>
              <w:t xml:space="preserve">  本项目主要生产设备噪声源强</w:t>
            </w:r>
          </w:p>
          <w:tbl>
            <w:tblPr>
              <w:tblStyle w:val="31"/>
              <w:tblW w:w="0" w:type="auto"/>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57" w:type="dxa"/>
                <w:left w:w="108" w:type="dxa"/>
                <w:bottom w:w="57" w:type="dxa"/>
                <w:right w:w="108" w:type="dxa"/>
              </w:tblCellMar>
            </w:tblPr>
            <w:tblGrid>
              <w:gridCol w:w="1817"/>
              <w:gridCol w:w="2329"/>
              <w:gridCol w:w="2481"/>
              <w:gridCol w:w="2444"/>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Times New Roman" w:hAnsi="Times New Roman" w:cs="Times New Roman"/>
                      <w:color w:val="auto"/>
                      <w:kern w:val="0"/>
                      <w:sz w:val="21"/>
                      <w:szCs w:val="21"/>
                    </w:rPr>
                  </w:pPr>
                  <w:r>
                    <w:rPr>
                      <w:rFonts w:hint="default" w:ascii="Times New Roman" w:hAnsi="Times New Roman" w:cs="Times New Roman"/>
                      <w:color w:val="auto"/>
                      <w:kern w:val="0"/>
                      <w:sz w:val="21"/>
                      <w:szCs w:val="21"/>
                    </w:rPr>
                    <w:t>序号</w:t>
                  </w:r>
                </w:p>
              </w:tc>
              <w:tc>
                <w:tcPr>
                  <w:tcW w:w="2329" w:type="dxa"/>
                  <w:noWrap w:val="0"/>
                  <w:vAlign w:val="center"/>
                </w:tcPr>
                <w:p>
                  <w:pPr>
                    <w:spacing w:line="240" w:lineRule="auto"/>
                    <w:jc w:val="center"/>
                    <w:rPr>
                      <w:rFonts w:hint="default" w:ascii="Times New Roman" w:hAnsi="Times New Roman" w:cs="Times New Roman"/>
                      <w:color w:val="auto"/>
                      <w:kern w:val="0"/>
                      <w:sz w:val="21"/>
                      <w:szCs w:val="21"/>
                    </w:rPr>
                  </w:pPr>
                  <w:r>
                    <w:rPr>
                      <w:rFonts w:hint="default" w:ascii="Times New Roman" w:hAnsi="Times New Roman" w:cs="Times New Roman"/>
                      <w:color w:val="auto"/>
                      <w:kern w:val="0"/>
                      <w:sz w:val="21"/>
                      <w:szCs w:val="21"/>
                    </w:rPr>
                    <w:t>噪声源</w:t>
                  </w:r>
                </w:p>
              </w:tc>
              <w:tc>
                <w:tcPr>
                  <w:tcW w:w="2481" w:type="dxa"/>
                  <w:noWrap w:val="0"/>
                  <w:vAlign w:val="center"/>
                </w:tcPr>
                <w:p>
                  <w:pPr>
                    <w:spacing w:line="240" w:lineRule="auto"/>
                    <w:jc w:val="center"/>
                    <w:rPr>
                      <w:rFonts w:hint="default" w:ascii="Times New Roman" w:hAnsi="Times New Roman" w:cs="Times New Roman"/>
                      <w:color w:val="auto"/>
                      <w:kern w:val="0"/>
                      <w:sz w:val="21"/>
                      <w:szCs w:val="21"/>
                    </w:rPr>
                  </w:pPr>
                  <w:r>
                    <w:rPr>
                      <w:rFonts w:hint="default" w:ascii="Times New Roman" w:hAnsi="Times New Roman" w:cs="Times New Roman"/>
                      <w:color w:val="auto"/>
                      <w:kern w:val="0"/>
                      <w:sz w:val="21"/>
                      <w:szCs w:val="21"/>
                    </w:rPr>
                    <w:t>数量（台</w:t>
                  </w:r>
                  <w:r>
                    <w:rPr>
                      <w:rFonts w:hint="eastAsia" w:ascii="Times New Roman" w:hAnsi="Times New Roman" w:cs="Times New Roman"/>
                      <w:color w:val="auto"/>
                      <w:kern w:val="0"/>
                      <w:sz w:val="21"/>
                      <w:szCs w:val="21"/>
                      <w:lang w:val="en-US" w:eastAsia="zh-CN"/>
                    </w:rPr>
                    <w:t>/套</w:t>
                  </w:r>
                  <w:r>
                    <w:rPr>
                      <w:rFonts w:hint="default" w:ascii="Times New Roman" w:hAnsi="Times New Roman" w:cs="Times New Roman"/>
                      <w:color w:val="auto"/>
                      <w:kern w:val="0"/>
                      <w:sz w:val="21"/>
                      <w:szCs w:val="21"/>
                    </w:rPr>
                    <w:t>）</w:t>
                  </w:r>
                </w:p>
              </w:tc>
              <w:tc>
                <w:tcPr>
                  <w:tcW w:w="2444" w:type="dxa"/>
                  <w:noWrap w:val="0"/>
                  <w:vAlign w:val="center"/>
                </w:tcPr>
                <w:p>
                  <w:pPr>
                    <w:spacing w:line="240" w:lineRule="auto"/>
                    <w:jc w:val="center"/>
                    <w:rPr>
                      <w:rFonts w:hint="default" w:ascii="Times New Roman" w:hAnsi="Times New Roman" w:cs="Times New Roman"/>
                      <w:color w:val="auto"/>
                      <w:kern w:val="0"/>
                      <w:sz w:val="21"/>
                      <w:szCs w:val="21"/>
                    </w:rPr>
                  </w:pPr>
                  <w:r>
                    <w:rPr>
                      <w:rFonts w:hint="default" w:ascii="Times New Roman" w:hAnsi="Times New Roman" w:cs="Times New Roman"/>
                      <w:color w:val="auto"/>
                      <w:kern w:val="0"/>
                      <w:sz w:val="21"/>
                      <w:szCs w:val="21"/>
                    </w:rPr>
                    <w:t>单台声功率级dB(A)</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Times New Roman" w:hAnsi="Times New Roman" w:cs="Times New Roman"/>
                      <w:bCs/>
                      <w:color w:val="auto"/>
                      <w:kern w:val="2"/>
                      <w:sz w:val="21"/>
                      <w:szCs w:val="21"/>
                      <w:lang w:val="en-US" w:eastAsia="zh-CN" w:bidi="ar-SA"/>
                    </w:rPr>
                  </w:pPr>
                  <w:r>
                    <w:rPr>
                      <w:rFonts w:hint="default" w:ascii="Times New Roman" w:hAnsi="Times New Roman" w:cs="Times New Roman"/>
                      <w:bCs/>
                      <w:color w:val="auto"/>
                      <w:kern w:val="2"/>
                      <w:sz w:val="21"/>
                      <w:szCs w:val="21"/>
                      <w:lang w:val="en-US" w:eastAsia="zh-CN" w:bidi="ar-SA"/>
                    </w:rPr>
                    <w:t>1</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龙门吊</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sz w:val="21"/>
                      <w:szCs w:val="21"/>
                      <w:lang w:val="en-US" w:eastAsia="zh-CN"/>
                    </w:rPr>
                    <w:t>4</w:t>
                  </w:r>
                </w:p>
              </w:tc>
              <w:tc>
                <w:tcPr>
                  <w:tcW w:w="2444" w:type="dxa"/>
                  <w:noWrap w:val="0"/>
                  <w:vAlign w:val="center"/>
                </w:tcPr>
                <w:p>
                  <w:pPr>
                    <w:spacing w:line="240" w:lineRule="auto"/>
                    <w:jc w:val="center"/>
                    <w:rPr>
                      <w:rFonts w:hint="default" w:ascii="Times New Roman" w:hAnsi="Times New Roman" w:cs="Times New Roman"/>
                      <w:bCs/>
                      <w:color w:val="auto"/>
                      <w:kern w:val="2"/>
                      <w:sz w:val="21"/>
                      <w:szCs w:val="21"/>
                      <w:lang w:val="en-US" w:eastAsia="zh-CN" w:bidi="ar-SA"/>
                    </w:rPr>
                  </w:pPr>
                  <w:r>
                    <w:rPr>
                      <w:rFonts w:hint="eastAsia" w:ascii="Times New Roman" w:hAnsi="Times New Roman" w:cs="Times New Roman"/>
                      <w:bCs/>
                      <w:color w:val="auto"/>
                      <w:kern w:val="2"/>
                      <w:sz w:val="21"/>
                      <w:szCs w:val="21"/>
                      <w:lang w:val="en-US" w:eastAsia="zh-CN" w:bidi="ar-SA"/>
                    </w:rPr>
                    <w:t>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Times New Roman" w:hAnsi="Times New Roman" w:cs="Times New Roman"/>
                      <w:color w:val="auto"/>
                      <w:kern w:val="0"/>
                      <w:sz w:val="21"/>
                      <w:szCs w:val="21"/>
                    </w:rPr>
                  </w:pPr>
                  <w:r>
                    <w:rPr>
                      <w:rFonts w:hint="default" w:ascii="Times New Roman" w:hAnsi="Times New Roman" w:cs="Times New Roman"/>
                      <w:color w:val="auto"/>
                      <w:kern w:val="0"/>
                      <w:sz w:val="21"/>
                      <w:szCs w:val="21"/>
                    </w:rPr>
                    <w:t>2</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运梁台车</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Times New Roman" w:hAnsi="Times New Roman" w:cs="Times New Roman"/>
                      <w:color w:val="auto"/>
                      <w:kern w:val="0"/>
                      <w:sz w:val="21"/>
                      <w:szCs w:val="21"/>
                    </w:rPr>
                  </w:pPr>
                  <w:r>
                    <w:rPr>
                      <w:rFonts w:hint="default" w:ascii="Times New Roman" w:hAnsi="Times New Roman" w:cs="Times New Roman"/>
                      <w:color w:val="auto"/>
                      <w:kern w:val="0"/>
                      <w:sz w:val="21"/>
                      <w:szCs w:val="21"/>
                    </w:rPr>
                    <w:t>3</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全自动加热蒸养机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3</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4</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弯曲机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70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5</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切断机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80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6</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调直机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7</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电焊机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4</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8</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氧焊</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9</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150KW发电机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95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10</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空气压缩机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95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11</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波纹管机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12</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数控张拉机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80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13</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数控压浆机</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80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14</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附着式振捣器</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8</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trPr>
              <w:tc>
                <w:tcPr>
                  <w:tcW w:w="1817" w:type="dxa"/>
                  <w:noWrap w:val="0"/>
                  <w:vAlign w:val="center"/>
                </w:tcPr>
                <w:p>
                  <w:pPr>
                    <w:spacing w:line="240" w:lineRule="auto"/>
                    <w:jc w:val="center"/>
                    <w:rPr>
                      <w:rFonts w:hint="default" w:ascii="宋体" w:hAnsi="宋体" w:eastAsia="宋体" w:cs="Times New Roman"/>
                      <w:kern w:val="2"/>
                      <w:sz w:val="21"/>
                      <w:szCs w:val="21"/>
                      <w:lang w:val="en-US" w:eastAsia="zh-CN" w:bidi="ar-SA"/>
                    </w:rPr>
                  </w:pPr>
                  <w:r>
                    <w:rPr>
                      <w:rFonts w:hint="eastAsia" w:ascii="宋体" w:hAnsi="宋体"/>
                      <w:sz w:val="21"/>
                      <w:szCs w:val="21"/>
                    </w:rPr>
                    <w:t>15</w:t>
                  </w:r>
                </w:p>
              </w:tc>
              <w:tc>
                <w:tcPr>
                  <w:tcW w:w="2329"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插入式振捣器</w:t>
                  </w:r>
                </w:p>
              </w:tc>
              <w:tc>
                <w:tcPr>
                  <w:tcW w:w="2481" w:type="dxa"/>
                  <w:noWrap w:val="0"/>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10</w:t>
                  </w:r>
                </w:p>
              </w:tc>
              <w:tc>
                <w:tcPr>
                  <w:tcW w:w="2444" w:type="dxa"/>
                  <w:noWrap w:val="0"/>
                  <w:vAlign w:val="center"/>
                </w:tcPr>
                <w:p>
                  <w:pPr>
                    <w:spacing w:line="240" w:lineRule="auto"/>
                    <w:jc w:val="center"/>
                    <w:rPr>
                      <w:rFonts w:hint="default" w:ascii="Times New Roman" w:hAnsi="Times New Roman" w:eastAsia="宋体" w:cs="Times New Roman"/>
                      <w:color w:val="auto"/>
                      <w:kern w:val="0"/>
                      <w:sz w:val="21"/>
                      <w:szCs w:val="21"/>
                      <w:lang w:val="en-US" w:eastAsia="zh-CN"/>
                    </w:rPr>
                  </w:pPr>
                  <w:r>
                    <w:rPr>
                      <w:rFonts w:hint="eastAsia" w:ascii="Times New Roman" w:hAnsi="Times New Roman" w:cs="Times New Roman"/>
                      <w:color w:val="auto"/>
                      <w:kern w:val="0"/>
                      <w:sz w:val="21"/>
                      <w:szCs w:val="21"/>
                      <w:lang w:val="en-US" w:eastAsia="zh-CN"/>
                    </w:rPr>
                    <w:t>75</w:t>
                  </w:r>
                </w:p>
              </w:tc>
            </w:tr>
          </w:tbl>
          <w:p>
            <w:pPr>
              <w:keepNext w:val="0"/>
              <w:keepLines w:val="0"/>
              <w:pageBreakBefore w:val="0"/>
              <w:widowControl w:val="0"/>
              <w:kinsoku/>
              <w:wordWrap/>
              <w:overflowPunct/>
              <w:topLinePunct w:val="0"/>
              <w:autoSpaceDE w:val="0"/>
              <w:autoSpaceDN w:val="0"/>
              <w:bidi w:val="0"/>
              <w:adjustRightInd/>
              <w:snapToGrid/>
              <w:spacing w:line="240" w:lineRule="exact"/>
              <w:ind w:firstLine="482" w:firstLineChars="200"/>
              <w:textAlignment w:val="auto"/>
              <w:rPr>
                <w:rFonts w:hint="eastAsia"/>
                <w:b/>
                <w:bCs/>
                <w:sz w:val="24"/>
                <w:lang w:val="en-US" w:eastAsia="zh-CN"/>
              </w:rPr>
            </w:pPr>
          </w:p>
          <w:p>
            <w:pPr>
              <w:autoSpaceDE w:val="0"/>
              <w:autoSpaceDN w:val="0"/>
              <w:spacing w:line="360" w:lineRule="auto"/>
              <w:ind w:firstLine="482" w:firstLineChars="200"/>
              <w:rPr>
                <w:b/>
                <w:sz w:val="24"/>
              </w:rPr>
            </w:pPr>
            <w:r>
              <w:rPr>
                <w:rFonts w:hint="eastAsia"/>
                <w:b/>
                <w:bCs/>
                <w:sz w:val="24"/>
                <w:lang w:val="en-US" w:eastAsia="zh-CN"/>
              </w:rPr>
              <w:t>4.</w:t>
            </w:r>
            <w:r>
              <w:rPr>
                <w:rFonts w:hint="eastAsia"/>
                <w:b/>
                <w:bCs/>
                <w:sz w:val="24"/>
              </w:rPr>
              <w:t>固体废物污染源</w:t>
            </w:r>
          </w:p>
          <w:p>
            <w:pPr>
              <w:adjustRightInd w:val="0"/>
              <w:snapToGrid w:val="0"/>
              <w:spacing w:line="360" w:lineRule="auto"/>
              <w:ind w:firstLine="480" w:firstLineChars="200"/>
              <w:rPr>
                <w:rFonts w:hint="eastAsia"/>
                <w:sz w:val="24"/>
                <w:szCs w:val="24"/>
              </w:rPr>
            </w:pPr>
            <w:r>
              <w:rPr>
                <w:rFonts w:hint="eastAsia"/>
                <w:sz w:val="24"/>
                <w:szCs w:val="24"/>
              </w:rPr>
              <w:t>项目固体废物有生活垃圾、</w:t>
            </w:r>
            <w:r>
              <w:rPr>
                <w:rFonts w:hint="eastAsia"/>
                <w:sz w:val="24"/>
                <w:szCs w:val="24"/>
                <w:lang w:eastAsia="zh-CN"/>
              </w:rPr>
              <w:t>废边角料</w:t>
            </w:r>
            <w:r>
              <w:rPr>
                <w:rFonts w:hint="eastAsia"/>
                <w:sz w:val="24"/>
                <w:szCs w:val="24"/>
              </w:rPr>
              <w:t>。</w:t>
            </w:r>
          </w:p>
          <w:p>
            <w:pPr>
              <w:adjustRightInd w:val="0"/>
              <w:snapToGrid w:val="0"/>
              <w:spacing w:line="360" w:lineRule="auto"/>
              <w:ind w:firstLine="456"/>
              <w:rPr>
                <w:rFonts w:hint="eastAsia"/>
                <w:sz w:val="24"/>
                <w:szCs w:val="24"/>
              </w:rPr>
            </w:pPr>
            <w:r>
              <w:rPr>
                <w:rFonts w:hint="eastAsia"/>
                <w:sz w:val="24"/>
                <w:szCs w:val="24"/>
              </w:rPr>
              <w:t>（1）生活垃圾</w:t>
            </w:r>
          </w:p>
          <w:p>
            <w:pPr>
              <w:adjustRightInd w:val="0"/>
              <w:snapToGrid w:val="0"/>
              <w:spacing w:line="360" w:lineRule="auto"/>
              <w:ind w:firstLine="456"/>
              <w:rPr>
                <w:rFonts w:hint="eastAsia"/>
                <w:sz w:val="24"/>
                <w:szCs w:val="24"/>
              </w:rPr>
            </w:pPr>
            <w:r>
              <w:rPr>
                <w:sz w:val="24"/>
                <w:szCs w:val="24"/>
              </w:rPr>
              <w:t>项目</w:t>
            </w:r>
            <w:r>
              <w:rPr>
                <w:rFonts w:hint="eastAsia"/>
                <w:sz w:val="24"/>
                <w:szCs w:val="24"/>
              </w:rPr>
              <w:t>劳动定员</w:t>
            </w:r>
            <w:r>
              <w:rPr>
                <w:rFonts w:hint="eastAsia"/>
                <w:sz w:val="24"/>
                <w:szCs w:val="24"/>
                <w:lang w:val="en-US" w:eastAsia="zh-CN"/>
              </w:rPr>
              <w:t>25</w:t>
            </w:r>
            <w:r>
              <w:rPr>
                <w:sz w:val="24"/>
                <w:szCs w:val="24"/>
              </w:rPr>
              <w:t>人，</w:t>
            </w:r>
            <w:r>
              <w:rPr>
                <w:rFonts w:hint="eastAsia"/>
                <w:sz w:val="24"/>
                <w:szCs w:val="24"/>
              </w:rPr>
              <w:t>年工作300天</w:t>
            </w:r>
            <w:r>
              <w:rPr>
                <w:rFonts w:hint="eastAsia"/>
                <w:sz w:val="24"/>
                <w:szCs w:val="24"/>
                <w:lang w:eastAsia="zh-CN"/>
              </w:rPr>
              <w:t>。根据《第一次全国污染源普查 城镇生活源产排污系数手册》，生活垃圾产量按0.6kg/(人·d)计，则生活垃圾产生量为</w:t>
            </w:r>
            <w:r>
              <w:rPr>
                <w:rFonts w:hint="eastAsia"/>
                <w:sz w:val="24"/>
                <w:szCs w:val="24"/>
                <w:lang w:val="en-US" w:eastAsia="zh-CN"/>
              </w:rPr>
              <w:t>15</w:t>
            </w:r>
            <w:r>
              <w:rPr>
                <w:rFonts w:hint="eastAsia"/>
                <w:sz w:val="24"/>
                <w:szCs w:val="24"/>
                <w:lang w:eastAsia="zh-CN"/>
              </w:rPr>
              <w:t>kg/d（</w:t>
            </w:r>
            <w:r>
              <w:rPr>
                <w:rFonts w:hint="eastAsia"/>
                <w:sz w:val="24"/>
                <w:szCs w:val="24"/>
                <w:lang w:val="en-US" w:eastAsia="zh-CN"/>
              </w:rPr>
              <w:t>4.5</w:t>
            </w:r>
            <w:r>
              <w:rPr>
                <w:rFonts w:hint="eastAsia"/>
                <w:sz w:val="24"/>
                <w:szCs w:val="24"/>
                <w:lang w:eastAsia="zh-CN"/>
              </w:rPr>
              <w:t>t/a）。</w:t>
            </w:r>
            <w:r>
              <w:rPr>
                <w:snapToGrid w:val="0"/>
                <w:sz w:val="24"/>
              </w:rPr>
              <w:t>生活垃圾在厂区内统一收集后</w:t>
            </w:r>
            <w:r>
              <w:rPr>
                <w:rFonts w:hint="eastAsia"/>
                <w:snapToGrid w:val="0"/>
                <w:sz w:val="24"/>
              </w:rPr>
              <w:t>，由环卫部门定期清运</w:t>
            </w:r>
            <w:r>
              <w:rPr>
                <w:rFonts w:hint="eastAsia"/>
                <w:sz w:val="24"/>
                <w:szCs w:val="24"/>
              </w:rPr>
              <w:t>。</w:t>
            </w:r>
          </w:p>
          <w:p>
            <w:pPr>
              <w:adjustRightInd w:val="0"/>
              <w:snapToGrid w:val="0"/>
              <w:spacing w:line="360" w:lineRule="auto"/>
              <w:ind w:firstLine="480" w:firstLineChars="200"/>
              <w:rPr>
                <w:rFonts w:hint="eastAsia"/>
                <w:sz w:val="24"/>
                <w:szCs w:val="24"/>
              </w:rPr>
            </w:pPr>
            <w:r>
              <w:rPr>
                <w:rFonts w:hint="eastAsia"/>
                <w:sz w:val="24"/>
                <w:szCs w:val="24"/>
              </w:rPr>
              <w:t>（2）</w:t>
            </w:r>
            <w:r>
              <w:rPr>
                <w:rFonts w:hint="eastAsia"/>
                <w:sz w:val="24"/>
                <w:szCs w:val="24"/>
                <w:lang w:eastAsia="zh-CN"/>
              </w:rPr>
              <w:t>废边角料</w:t>
            </w:r>
          </w:p>
          <w:p>
            <w:pPr>
              <w:adjustRightInd w:val="0"/>
              <w:snapToGrid w:val="0"/>
              <w:spacing w:line="360" w:lineRule="auto"/>
              <w:ind w:firstLine="456"/>
              <w:rPr>
                <w:rFonts w:hint="eastAsia"/>
                <w:sz w:val="24"/>
                <w:szCs w:val="24"/>
              </w:rPr>
            </w:pPr>
            <w:r>
              <w:rPr>
                <w:rFonts w:hint="eastAsia"/>
                <w:sz w:val="24"/>
                <w:szCs w:val="24"/>
                <w:lang w:eastAsia="zh-CN"/>
              </w:rPr>
              <w:t>钢筋切割过程中</w:t>
            </w:r>
            <w:r>
              <w:rPr>
                <w:rFonts w:hint="eastAsia"/>
                <w:sz w:val="24"/>
                <w:szCs w:val="24"/>
              </w:rPr>
              <w:t>，</w:t>
            </w:r>
            <w:r>
              <w:rPr>
                <w:rFonts w:hint="eastAsia"/>
                <w:sz w:val="24"/>
                <w:szCs w:val="24"/>
                <w:lang w:eastAsia="zh-CN"/>
              </w:rPr>
              <w:t>会产生钢筋废边角料，产生量约为</w:t>
            </w:r>
            <w:r>
              <w:rPr>
                <w:rFonts w:hint="eastAsia"/>
                <w:sz w:val="24"/>
                <w:szCs w:val="24"/>
                <w:lang w:val="en-US" w:eastAsia="zh-CN"/>
              </w:rPr>
              <w:t>10t/a，</w:t>
            </w:r>
            <w:r>
              <w:rPr>
                <w:rFonts w:hint="eastAsia"/>
                <w:sz w:val="24"/>
                <w:szCs w:val="24"/>
              </w:rPr>
              <w:t>属于一般固废</w:t>
            </w:r>
            <w:r>
              <w:rPr>
                <w:rFonts w:hint="eastAsia"/>
                <w:sz w:val="24"/>
                <w:szCs w:val="24"/>
                <w:lang w:eastAsia="zh-CN"/>
              </w:rPr>
              <w:t>，</w:t>
            </w:r>
            <w:r>
              <w:rPr>
                <w:sz w:val="24"/>
              </w:rPr>
              <w:t>集中收集后暂存于一般固废暂存间，</w:t>
            </w:r>
            <w:r>
              <w:rPr>
                <w:rFonts w:hint="eastAsia"/>
                <w:sz w:val="24"/>
              </w:rPr>
              <w:t>出售给专门的回收公司进行综合利用</w:t>
            </w:r>
            <w:r>
              <w:rPr>
                <w:rFonts w:hint="eastAsia"/>
                <w:sz w:val="24"/>
                <w:szCs w:val="24"/>
              </w:rPr>
              <w:t>。</w:t>
            </w:r>
          </w:p>
          <w:p>
            <w:pPr>
              <w:adjustRightInd w:val="0"/>
              <w:snapToGrid w:val="0"/>
              <w:spacing w:line="360" w:lineRule="auto"/>
              <w:ind w:firstLine="456"/>
              <w:rPr>
                <w:sz w:val="24"/>
              </w:rPr>
            </w:pPr>
          </w:p>
        </w:tc>
      </w:tr>
    </w:tbl>
    <w:p>
      <w:pPr>
        <w:adjustRightInd w:val="0"/>
        <w:snapToGrid w:val="0"/>
        <w:rPr>
          <w:rFonts w:ascii="黑体" w:eastAsia="黑体"/>
          <w:sz w:val="32"/>
        </w:rPr>
      </w:pPr>
      <w:r>
        <w:rPr>
          <w:rFonts w:hint="eastAsia" w:ascii="黑体" w:hAnsi="宋体" w:eastAsia="黑体"/>
          <w:sz w:val="32"/>
        </w:rPr>
        <w:t>建设项目主要污染物产生及排放情况</w:t>
      </w:r>
    </w:p>
    <w:tbl>
      <w:tblPr>
        <w:tblStyle w:val="31"/>
        <w:tblW w:w="930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446"/>
        <w:gridCol w:w="1742"/>
        <w:gridCol w:w="1510"/>
        <w:gridCol w:w="1163"/>
        <w:gridCol w:w="1385"/>
        <w:gridCol w:w="13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85" w:type="dxa"/>
            <w:vMerge w:val="restart"/>
            <w:tcBorders>
              <w:tl2br w:val="nil"/>
              <w:tr2bl w:val="nil"/>
            </w:tcBorders>
          </w:tcPr>
          <w:p>
            <w:pPr>
              <w:adjustRightInd w:val="0"/>
              <w:snapToGrid w:val="0"/>
              <w:spacing w:line="240" w:lineRule="auto"/>
              <w:jc w:val="right"/>
              <w:rPr>
                <w:b/>
                <w:sz w:val="24"/>
                <w:szCs w:val="24"/>
              </w:rPr>
            </w:pPr>
            <w:r>
              <w:rPr>
                <w:b/>
                <w:sz w:val="24"/>
                <w:szCs w:val="24"/>
              </w:rPr>
              <w:t>内容</w:t>
            </w:r>
          </w:p>
          <w:p>
            <w:pPr>
              <w:adjustRightInd w:val="0"/>
              <w:snapToGrid w:val="0"/>
              <w:spacing w:line="240" w:lineRule="auto"/>
              <w:rPr>
                <w:b/>
                <w:sz w:val="24"/>
                <w:szCs w:val="24"/>
              </w:rPr>
            </w:pPr>
          </w:p>
          <w:p>
            <w:pPr>
              <w:adjustRightInd w:val="0"/>
              <w:snapToGrid w:val="0"/>
              <w:spacing w:line="240" w:lineRule="auto"/>
              <w:ind w:right="120"/>
              <w:jc w:val="left"/>
              <w:rPr>
                <w:b/>
                <w:sz w:val="24"/>
                <w:szCs w:val="24"/>
              </w:rPr>
            </w:pPr>
            <w:r>
              <w:rPr>
                <w:rFonts w:hint="eastAsia"/>
                <w:b/>
                <w:sz w:val="24"/>
                <w:szCs w:val="24"/>
              </w:rPr>
              <w:t>类</w:t>
            </w:r>
            <w:r>
              <w:rPr>
                <w:b/>
                <w:sz w:val="24"/>
                <w:szCs w:val="24"/>
              </w:rPr>
              <w:t>型</w:t>
            </w:r>
          </w:p>
        </w:tc>
        <w:tc>
          <w:tcPr>
            <w:tcW w:w="1446" w:type="dxa"/>
            <w:vMerge w:val="restart"/>
            <w:tcBorders>
              <w:tl2br w:val="nil"/>
              <w:tr2bl w:val="nil"/>
            </w:tcBorders>
            <w:vAlign w:val="center"/>
          </w:tcPr>
          <w:p>
            <w:pPr>
              <w:adjustRightInd w:val="0"/>
              <w:snapToGrid w:val="0"/>
              <w:spacing w:line="240" w:lineRule="auto"/>
              <w:jc w:val="center"/>
              <w:rPr>
                <w:b/>
                <w:sz w:val="24"/>
                <w:szCs w:val="24"/>
              </w:rPr>
            </w:pPr>
            <w:r>
              <w:rPr>
                <w:b/>
                <w:sz w:val="24"/>
                <w:szCs w:val="24"/>
              </w:rPr>
              <w:t>排放源</w:t>
            </w:r>
          </w:p>
          <w:p>
            <w:pPr>
              <w:adjustRightInd w:val="0"/>
              <w:snapToGrid w:val="0"/>
              <w:spacing w:line="240" w:lineRule="auto"/>
              <w:jc w:val="center"/>
              <w:rPr>
                <w:b/>
                <w:sz w:val="24"/>
                <w:szCs w:val="24"/>
              </w:rPr>
            </w:pPr>
            <w:r>
              <w:rPr>
                <w:b/>
                <w:sz w:val="24"/>
                <w:szCs w:val="24"/>
              </w:rPr>
              <w:t>（编号）</w:t>
            </w:r>
          </w:p>
        </w:tc>
        <w:tc>
          <w:tcPr>
            <w:tcW w:w="1742" w:type="dxa"/>
            <w:vMerge w:val="restart"/>
            <w:tcBorders>
              <w:tl2br w:val="nil"/>
              <w:tr2bl w:val="nil"/>
            </w:tcBorders>
            <w:vAlign w:val="center"/>
          </w:tcPr>
          <w:p>
            <w:pPr>
              <w:adjustRightInd w:val="0"/>
              <w:snapToGrid w:val="0"/>
              <w:spacing w:line="240" w:lineRule="auto"/>
              <w:jc w:val="center"/>
              <w:rPr>
                <w:b/>
                <w:sz w:val="24"/>
                <w:szCs w:val="24"/>
              </w:rPr>
            </w:pPr>
            <w:r>
              <w:rPr>
                <w:b/>
                <w:sz w:val="24"/>
                <w:szCs w:val="24"/>
              </w:rPr>
              <w:t>污染物</w:t>
            </w:r>
          </w:p>
          <w:p>
            <w:pPr>
              <w:adjustRightInd w:val="0"/>
              <w:snapToGrid w:val="0"/>
              <w:spacing w:line="240" w:lineRule="auto"/>
              <w:jc w:val="center"/>
              <w:rPr>
                <w:b/>
                <w:sz w:val="24"/>
                <w:szCs w:val="24"/>
              </w:rPr>
            </w:pPr>
            <w:r>
              <w:rPr>
                <w:b/>
                <w:sz w:val="24"/>
                <w:szCs w:val="24"/>
              </w:rPr>
              <w:t>名称</w:t>
            </w:r>
          </w:p>
        </w:tc>
        <w:tc>
          <w:tcPr>
            <w:tcW w:w="2673" w:type="dxa"/>
            <w:gridSpan w:val="2"/>
            <w:tcBorders>
              <w:tl2br w:val="nil"/>
              <w:tr2bl w:val="nil"/>
            </w:tcBorders>
            <w:vAlign w:val="center"/>
          </w:tcPr>
          <w:p>
            <w:pPr>
              <w:adjustRightInd w:val="0"/>
              <w:snapToGrid w:val="0"/>
              <w:spacing w:line="240" w:lineRule="auto"/>
              <w:jc w:val="center"/>
              <w:rPr>
                <w:b/>
                <w:sz w:val="24"/>
                <w:szCs w:val="24"/>
              </w:rPr>
            </w:pPr>
            <w:r>
              <w:rPr>
                <w:b/>
                <w:sz w:val="24"/>
                <w:szCs w:val="24"/>
              </w:rPr>
              <w:t>处理前产生浓度</w:t>
            </w:r>
            <w:r>
              <w:rPr>
                <w:rFonts w:hint="eastAsia"/>
                <w:b/>
                <w:sz w:val="24"/>
                <w:szCs w:val="24"/>
              </w:rPr>
              <w:t>及</w:t>
            </w:r>
            <w:r>
              <w:rPr>
                <w:b/>
                <w:sz w:val="24"/>
                <w:szCs w:val="24"/>
              </w:rPr>
              <w:t>产生量（单位）</w:t>
            </w:r>
          </w:p>
        </w:tc>
        <w:tc>
          <w:tcPr>
            <w:tcW w:w="2761" w:type="dxa"/>
            <w:gridSpan w:val="2"/>
            <w:tcBorders>
              <w:tl2br w:val="nil"/>
              <w:tr2bl w:val="nil"/>
            </w:tcBorders>
            <w:vAlign w:val="center"/>
          </w:tcPr>
          <w:p>
            <w:pPr>
              <w:adjustRightInd w:val="0"/>
              <w:snapToGrid w:val="0"/>
              <w:spacing w:line="240" w:lineRule="auto"/>
              <w:jc w:val="center"/>
              <w:rPr>
                <w:b/>
                <w:sz w:val="24"/>
                <w:szCs w:val="24"/>
              </w:rPr>
            </w:pPr>
            <w:r>
              <w:rPr>
                <w:rFonts w:hint="eastAsia"/>
                <w:b/>
                <w:sz w:val="24"/>
                <w:szCs w:val="24"/>
              </w:rPr>
              <w:t>处理后</w:t>
            </w:r>
            <w:r>
              <w:rPr>
                <w:b/>
                <w:sz w:val="24"/>
                <w:szCs w:val="24"/>
              </w:rPr>
              <w:t>排放浓度及排放量</w:t>
            </w:r>
          </w:p>
          <w:p>
            <w:pPr>
              <w:adjustRightInd w:val="0"/>
              <w:snapToGrid w:val="0"/>
              <w:spacing w:line="240" w:lineRule="auto"/>
              <w:jc w:val="center"/>
              <w:rPr>
                <w:b/>
                <w:sz w:val="24"/>
                <w:szCs w:val="24"/>
              </w:rPr>
            </w:pPr>
            <w:r>
              <w:rPr>
                <w:b/>
                <w:sz w:val="24"/>
                <w:szCs w:val="24"/>
              </w:rPr>
              <w:t>（单位）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85" w:type="dxa"/>
            <w:vMerge w:val="continue"/>
            <w:tcBorders>
              <w:tl2br w:val="nil"/>
              <w:tr2bl w:val="nil"/>
            </w:tcBorders>
            <w:vAlign w:val="center"/>
          </w:tcPr>
          <w:p>
            <w:pPr>
              <w:adjustRightInd w:val="0"/>
              <w:snapToGrid w:val="0"/>
              <w:spacing w:line="240" w:lineRule="auto"/>
              <w:jc w:val="right"/>
              <w:rPr>
                <w:b/>
                <w:sz w:val="24"/>
                <w:szCs w:val="24"/>
              </w:rPr>
            </w:pPr>
          </w:p>
        </w:tc>
        <w:tc>
          <w:tcPr>
            <w:tcW w:w="1446" w:type="dxa"/>
            <w:vMerge w:val="continue"/>
            <w:tcBorders>
              <w:tl2br w:val="nil"/>
              <w:tr2bl w:val="nil"/>
            </w:tcBorders>
            <w:vAlign w:val="center"/>
          </w:tcPr>
          <w:p>
            <w:pPr>
              <w:adjustRightInd w:val="0"/>
              <w:snapToGrid w:val="0"/>
              <w:spacing w:line="240" w:lineRule="auto"/>
              <w:jc w:val="center"/>
              <w:rPr>
                <w:b/>
                <w:sz w:val="24"/>
                <w:szCs w:val="24"/>
              </w:rPr>
            </w:pPr>
          </w:p>
        </w:tc>
        <w:tc>
          <w:tcPr>
            <w:tcW w:w="1742" w:type="dxa"/>
            <w:vMerge w:val="continue"/>
            <w:tcBorders>
              <w:tl2br w:val="nil"/>
              <w:tr2bl w:val="nil"/>
            </w:tcBorders>
            <w:vAlign w:val="center"/>
          </w:tcPr>
          <w:p>
            <w:pPr>
              <w:adjustRightInd w:val="0"/>
              <w:snapToGrid w:val="0"/>
              <w:spacing w:line="240" w:lineRule="auto"/>
              <w:jc w:val="center"/>
              <w:rPr>
                <w:b/>
                <w:sz w:val="24"/>
                <w:szCs w:val="24"/>
              </w:rPr>
            </w:pPr>
          </w:p>
        </w:tc>
        <w:tc>
          <w:tcPr>
            <w:tcW w:w="1510" w:type="dxa"/>
            <w:tcBorders>
              <w:tl2br w:val="nil"/>
              <w:tr2bl w:val="nil"/>
            </w:tcBorders>
            <w:vAlign w:val="center"/>
          </w:tcPr>
          <w:p>
            <w:pPr>
              <w:adjustRightInd w:val="0"/>
              <w:snapToGrid w:val="0"/>
              <w:spacing w:line="240" w:lineRule="auto"/>
              <w:jc w:val="center"/>
              <w:rPr>
                <w:b/>
                <w:sz w:val="24"/>
                <w:szCs w:val="24"/>
              </w:rPr>
            </w:pPr>
            <w:r>
              <w:rPr>
                <w:rFonts w:hint="eastAsia"/>
                <w:b/>
                <w:sz w:val="24"/>
                <w:szCs w:val="24"/>
              </w:rPr>
              <w:t>浓度</w:t>
            </w:r>
          </w:p>
          <w:p>
            <w:pPr>
              <w:adjustRightInd w:val="0"/>
              <w:snapToGrid w:val="0"/>
              <w:spacing w:line="240" w:lineRule="auto"/>
              <w:jc w:val="center"/>
              <w:rPr>
                <w:b/>
                <w:sz w:val="24"/>
                <w:szCs w:val="24"/>
              </w:rPr>
            </w:pPr>
            <w:r>
              <w:rPr>
                <w:rFonts w:hint="eastAsia"/>
                <w:b/>
                <w:sz w:val="24"/>
                <w:szCs w:val="24"/>
              </w:rPr>
              <w:t>（单位）</w:t>
            </w:r>
          </w:p>
        </w:tc>
        <w:tc>
          <w:tcPr>
            <w:tcW w:w="1163" w:type="dxa"/>
            <w:tcBorders>
              <w:tl2br w:val="nil"/>
              <w:tr2bl w:val="nil"/>
            </w:tcBorders>
            <w:vAlign w:val="center"/>
          </w:tcPr>
          <w:p>
            <w:pPr>
              <w:adjustRightInd w:val="0"/>
              <w:snapToGrid w:val="0"/>
              <w:spacing w:line="240" w:lineRule="auto"/>
              <w:jc w:val="center"/>
              <w:rPr>
                <w:b/>
                <w:sz w:val="24"/>
                <w:szCs w:val="24"/>
              </w:rPr>
            </w:pPr>
            <w:r>
              <w:rPr>
                <w:rFonts w:hint="eastAsia"/>
                <w:b/>
                <w:sz w:val="24"/>
                <w:szCs w:val="24"/>
              </w:rPr>
              <w:t>产生量</w:t>
            </w:r>
          </w:p>
          <w:p>
            <w:pPr>
              <w:adjustRightInd w:val="0"/>
              <w:snapToGrid w:val="0"/>
              <w:spacing w:line="240" w:lineRule="auto"/>
              <w:jc w:val="center"/>
              <w:rPr>
                <w:b/>
                <w:sz w:val="24"/>
                <w:szCs w:val="24"/>
              </w:rPr>
            </w:pPr>
            <w:r>
              <w:rPr>
                <w:rFonts w:hint="eastAsia"/>
                <w:b/>
                <w:sz w:val="24"/>
                <w:szCs w:val="24"/>
              </w:rPr>
              <w:t>（单位）</w:t>
            </w:r>
          </w:p>
        </w:tc>
        <w:tc>
          <w:tcPr>
            <w:tcW w:w="1385" w:type="dxa"/>
            <w:tcBorders>
              <w:tl2br w:val="nil"/>
              <w:tr2bl w:val="nil"/>
            </w:tcBorders>
            <w:vAlign w:val="center"/>
          </w:tcPr>
          <w:p>
            <w:pPr>
              <w:adjustRightInd w:val="0"/>
              <w:snapToGrid w:val="0"/>
              <w:spacing w:line="240" w:lineRule="auto"/>
              <w:jc w:val="center"/>
              <w:rPr>
                <w:b/>
                <w:sz w:val="24"/>
                <w:szCs w:val="24"/>
              </w:rPr>
            </w:pPr>
            <w:r>
              <w:rPr>
                <w:rFonts w:hint="eastAsia"/>
                <w:b/>
                <w:sz w:val="24"/>
                <w:szCs w:val="24"/>
              </w:rPr>
              <w:t>浓度</w:t>
            </w:r>
          </w:p>
          <w:p>
            <w:pPr>
              <w:adjustRightInd w:val="0"/>
              <w:snapToGrid w:val="0"/>
              <w:spacing w:line="240" w:lineRule="auto"/>
              <w:jc w:val="center"/>
              <w:rPr>
                <w:b/>
                <w:sz w:val="24"/>
                <w:szCs w:val="24"/>
              </w:rPr>
            </w:pPr>
            <w:r>
              <w:rPr>
                <w:rFonts w:hint="eastAsia"/>
                <w:b/>
                <w:sz w:val="24"/>
                <w:szCs w:val="24"/>
              </w:rPr>
              <w:t>（单位）</w:t>
            </w:r>
          </w:p>
        </w:tc>
        <w:tc>
          <w:tcPr>
            <w:tcW w:w="1376" w:type="dxa"/>
            <w:tcBorders>
              <w:tl2br w:val="nil"/>
              <w:tr2bl w:val="nil"/>
            </w:tcBorders>
            <w:vAlign w:val="center"/>
          </w:tcPr>
          <w:p>
            <w:pPr>
              <w:adjustRightInd w:val="0"/>
              <w:snapToGrid w:val="0"/>
              <w:spacing w:line="240" w:lineRule="auto"/>
              <w:jc w:val="center"/>
              <w:rPr>
                <w:b/>
                <w:sz w:val="24"/>
                <w:szCs w:val="24"/>
              </w:rPr>
            </w:pPr>
            <w:r>
              <w:rPr>
                <w:rFonts w:hint="eastAsia"/>
                <w:b/>
                <w:sz w:val="24"/>
                <w:szCs w:val="24"/>
              </w:rPr>
              <w:t>排放量</w:t>
            </w:r>
          </w:p>
          <w:p>
            <w:pPr>
              <w:adjustRightInd w:val="0"/>
              <w:snapToGrid w:val="0"/>
              <w:spacing w:line="240" w:lineRule="auto"/>
              <w:jc w:val="center"/>
              <w:rPr>
                <w:b/>
                <w:sz w:val="24"/>
                <w:szCs w:val="24"/>
              </w:rPr>
            </w:pPr>
            <w:r>
              <w:rPr>
                <w:rFonts w:hint="eastAsia"/>
                <w:b/>
                <w:sz w:val="24"/>
                <w:szCs w:val="24"/>
              </w:rPr>
              <w:t>（单位）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31" w:hRule="atLeast"/>
          <w:jc w:val="center"/>
        </w:trPr>
        <w:tc>
          <w:tcPr>
            <w:tcW w:w="685" w:type="dxa"/>
            <w:tcBorders>
              <w:tl2br w:val="nil"/>
              <w:tr2bl w:val="nil"/>
            </w:tcBorders>
            <w:textDirection w:val="tbRlV"/>
            <w:vAlign w:val="center"/>
          </w:tcPr>
          <w:p>
            <w:pPr>
              <w:spacing w:line="240" w:lineRule="auto"/>
              <w:ind w:left="113" w:right="113"/>
              <w:jc w:val="center"/>
              <w:rPr>
                <w:b/>
                <w:sz w:val="24"/>
                <w:szCs w:val="24"/>
              </w:rPr>
            </w:pPr>
            <w:r>
              <w:rPr>
                <w:b/>
                <w:sz w:val="24"/>
                <w:szCs w:val="24"/>
              </w:rPr>
              <w:t>大气污染物</w:t>
            </w:r>
          </w:p>
        </w:tc>
        <w:tc>
          <w:tcPr>
            <w:tcW w:w="1446" w:type="dxa"/>
            <w:tcBorders>
              <w:tl2br w:val="nil"/>
              <w:tr2bl w:val="nil"/>
            </w:tcBorders>
            <w:vAlign w:val="center"/>
          </w:tcPr>
          <w:p>
            <w:pPr>
              <w:spacing w:line="240" w:lineRule="auto"/>
              <w:jc w:val="center"/>
              <w:rPr>
                <w:rFonts w:ascii="Times New Roman" w:hAnsi="Times New Roman" w:eastAsia="宋体" w:cs="Times New Roman"/>
                <w:kern w:val="2"/>
                <w:sz w:val="24"/>
                <w:szCs w:val="24"/>
                <w:lang w:val="en-US" w:eastAsia="zh-CN" w:bidi="ar-SA"/>
              </w:rPr>
            </w:pPr>
            <w:r>
              <w:rPr>
                <w:rFonts w:hint="eastAsia" w:cs="Times New Roman"/>
                <w:kern w:val="2"/>
                <w:sz w:val="24"/>
                <w:szCs w:val="24"/>
                <w:lang w:val="en-US" w:eastAsia="zh-CN" w:bidi="ar-SA"/>
              </w:rPr>
              <w:t>焊接</w:t>
            </w:r>
          </w:p>
        </w:tc>
        <w:tc>
          <w:tcPr>
            <w:tcW w:w="1742" w:type="dxa"/>
            <w:tcBorders>
              <w:tl2br w:val="nil"/>
              <w:tr2bl w:val="nil"/>
            </w:tcBorders>
            <w:vAlign w:val="center"/>
          </w:tcPr>
          <w:p>
            <w:pPr>
              <w:spacing w:line="240" w:lineRule="auto"/>
              <w:jc w:val="center"/>
              <w:rPr>
                <w:rFonts w:ascii="Times New Roman" w:hAnsi="Times New Roman" w:eastAsia="宋体" w:cs="Times New Roman"/>
                <w:kern w:val="2"/>
                <w:sz w:val="24"/>
                <w:szCs w:val="24"/>
                <w:lang w:val="en-US" w:eastAsia="zh-CN" w:bidi="ar-SA"/>
              </w:rPr>
            </w:pPr>
            <w:r>
              <w:rPr>
                <w:rFonts w:hint="eastAsia"/>
                <w:sz w:val="24"/>
                <w:szCs w:val="24"/>
              </w:rPr>
              <w:t>颗粒物</w:t>
            </w:r>
          </w:p>
        </w:tc>
        <w:tc>
          <w:tcPr>
            <w:tcW w:w="1510" w:type="dxa"/>
            <w:tcBorders>
              <w:tl2br w:val="nil"/>
              <w:tr2bl w:val="nil"/>
            </w:tcBorders>
            <w:shd w:val="clear" w:color="auto" w:fill="auto"/>
            <w:vAlign w:val="center"/>
          </w:tcPr>
          <w:p>
            <w:pPr>
              <w:keepNext w:val="0"/>
              <w:keepLines w:val="0"/>
              <w:widowControl/>
              <w:suppressLineNumbers w:val="0"/>
              <w:spacing w:line="240" w:lineRule="auto"/>
              <w:jc w:val="center"/>
              <w:textAlignment w:val="top"/>
              <w:rPr>
                <w:rFonts w:hint="default" w:ascii="Times New Roman" w:hAnsi="Times New Roman" w:eastAsia="宋体" w:cs="Times New Roman"/>
                <w:kern w:val="2"/>
                <w:sz w:val="24"/>
                <w:szCs w:val="24"/>
                <w:lang w:val="en-US" w:eastAsia="zh-CN" w:bidi="ar-SA"/>
              </w:rPr>
            </w:pPr>
            <w:r>
              <w:rPr>
                <w:rFonts w:hint="eastAsia" w:cs="Times New Roman"/>
                <w:kern w:val="0"/>
                <w:sz w:val="24"/>
                <w:szCs w:val="24"/>
                <w:lang w:val="en-US" w:eastAsia="zh-CN"/>
              </w:rPr>
              <w:t>/</w:t>
            </w:r>
          </w:p>
        </w:tc>
        <w:tc>
          <w:tcPr>
            <w:tcW w:w="1163" w:type="dxa"/>
            <w:tcBorders>
              <w:tl2br w:val="nil"/>
              <w:tr2bl w:val="nil"/>
            </w:tcBorders>
            <w:shd w:val="clear" w:color="auto" w:fill="auto"/>
            <w:vAlign w:val="center"/>
          </w:tcPr>
          <w:p>
            <w:pPr>
              <w:keepNext w:val="0"/>
              <w:keepLines w:val="0"/>
              <w:widowControl/>
              <w:suppressLineNumbers w:val="0"/>
              <w:spacing w:line="240" w:lineRule="auto"/>
              <w:jc w:val="center"/>
              <w:textAlignment w:val="top"/>
              <w:rPr>
                <w:rFonts w:hint="default" w:ascii="Times New Roman" w:hAnsi="Times New Roman" w:eastAsia="宋体" w:cs="Times New Roman"/>
                <w:kern w:val="2"/>
                <w:sz w:val="24"/>
                <w:szCs w:val="24"/>
                <w:lang w:val="en-US" w:eastAsia="zh-CN" w:bidi="ar-SA"/>
              </w:rPr>
            </w:pPr>
            <w:r>
              <w:rPr>
                <w:rFonts w:hint="eastAsia" w:cs="Times New Roman"/>
                <w:kern w:val="0"/>
                <w:sz w:val="24"/>
                <w:szCs w:val="24"/>
                <w:lang w:val="en-US" w:eastAsia="zh-CN"/>
              </w:rPr>
              <w:t>0.1009</w:t>
            </w:r>
            <w:r>
              <w:rPr>
                <w:rFonts w:hint="default" w:ascii="Times New Roman" w:hAnsi="Times New Roman" w:cs="Times New Roman"/>
                <w:kern w:val="0"/>
                <w:sz w:val="24"/>
                <w:szCs w:val="24"/>
              </w:rPr>
              <w:t>t/a</w:t>
            </w:r>
          </w:p>
        </w:tc>
        <w:tc>
          <w:tcPr>
            <w:tcW w:w="1385" w:type="dxa"/>
            <w:tcBorders>
              <w:tl2br w:val="nil"/>
              <w:tr2bl w:val="nil"/>
            </w:tcBorders>
            <w:vAlign w:val="center"/>
          </w:tcPr>
          <w:p>
            <w:pPr>
              <w:keepNext w:val="0"/>
              <w:keepLines w:val="0"/>
              <w:widowControl/>
              <w:suppressLineNumbers w:val="0"/>
              <w:spacing w:line="240" w:lineRule="auto"/>
              <w:jc w:val="center"/>
              <w:textAlignment w:val="top"/>
              <w:rPr>
                <w:rFonts w:hint="default" w:ascii="Times New Roman" w:hAnsi="Times New Roman" w:eastAsia="宋体" w:cs="Times New Roman"/>
                <w:kern w:val="2"/>
                <w:sz w:val="24"/>
                <w:szCs w:val="24"/>
                <w:lang w:val="en-US" w:eastAsia="zh-CN" w:bidi="ar-SA"/>
              </w:rPr>
            </w:pPr>
            <w:r>
              <w:rPr>
                <w:rFonts w:hint="eastAsia" w:cs="Times New Roman"/>
                <w:kern w:val="0"/>
                <w:sz w:val="24"/>
                <w:szCs w:val="24"/>
                <w:lang w:val="en-US" w:eastAsia="zh-CN"/>
              </w:rPr>
              <w:t>/</w:t>
            </w:r>
          </w:p>
        </w:tc>
        <w:tc>
          <w:tcPr>
            <w:tcW w:w="1376" w:type="dxa"/>
            <w:tcBorders>
              <w:tl2br w:val="nil"/>
              <w:tr2bl w:val="nil"/>
            </w:tcBorders>
            <w:vAlign w:val="center"/>
          </w:tcPr>
          <w:p>
            <w:pPr>
              <w:keepNext w:val="0"/>
              <w:keepLines w:val="0"/>
              <w:widowControl/>
              <w:suppressLineNumbers w:val="0"/>
              <w:spacing w:line="240" w:lineRule="auto"/>
              <w:jc w:val="center"/>
              <w:textAlignment w:val="top"/>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i w:val="0"/>
                <w:color w:val="000000"/>
                <w:kern w:val="0"/>
                <w:sz w:val="24"/>
                <w:szCs w:val="24"/>
                <w:u w:val="none"/>
                <w:lang w:val="en-US" w:eastAsia="zh-CN" w:bidi="ar"/>
              </w:rPr>
              <w:t>0.</w:t>
            </w:r>
            <w:r>
              <w:rPr>
                <w:rFonts w:hint="eastAsia" w:cs="Times New Roman"/>
                <w:i w:val="0"/>
                <w:color w:val="000000"/>
                <w:kern w:val="0"/>
                <w:sz w:val="24"/>
                <w:szCs w:val="24"/>
                <w:u w:val="none"/>
                <w:lang w:val="en-US" w:eastAsia="zh-CN" w:bidi="ar"/>
              </w:rPr>
              <w:t>0242</w:t>
            </w:r>
            <w:r>
              <w:rPr>
                <w:rFonts w:hint="default" w:ascii="Times New Roman" w:hAnsi="Times New Roman" w:cs="Times New Roman"/>
                <w:kern w:val="0"/>
                <w:sz w:val="24"/>
                <w:szCs w:val="24"/>
              </w:rPr>
              <w:t>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2" w:hRule="atLeast"/>
          <w:jc w:val="center"/>
        </w:trPr>
        <w:tc>
          <w:tcPr>
            <w:tcW w:w="685" w:type="dxa"/>
            <w:vMerge w:val="restart"/>
            <w:tcBorders>
              <w:tl2br w:val="nil"/>
              <w:tr2bl w:val="nil"/>
            </w:tcBorders>
            <w:textDirection w:val="tbRlV"/>
            <w:vAlign w:val="center"/>
          </w:tcPr>
          <w:p>
            <w:pPr>
              <w:spacing w:line="240" w:lineRule="auto"/>
              <w:ind w:left="113" w:right="113"/>
              <w:jc w:val="center"/>
              <w:rPr>
                <w:b/>
                <w:sz w:val="24"/>
                <w:szCs w:val="24"/>
              </w:rPr>
            </w:pPr>
            <w:r>
              <w:rPr>
                <w:b/>
                <w:sz w:val="24"/>
                <w:szCs w:val="24"/>
              </w:rPr>
              <w:t>水污染物</w:t>
            </w:r>
          </w:p>
        </w:tc>
        <w:tc>
          <w:tcPr>
            <w:tcW w:w="1446" w:type="dxa"/>
            <w:vMerge w:val="restart"/>
            <w:tcBorders>
              <w:tl2br w:val="nil"/>
              <w:tr2bl w:val="nil"/>
            </w:tcBorders>
            <w:vAlign w:val="center"/>
          </w:tcPr>
          <w:p>
            <w:pPr>
              <w:spacing w:line="240" w:lineRule="auto"/>
              <w:jc w:val="center"/>
              <w:rPr>
                <w:sz w:val="24"/>
                <w:szCs w:val="24"/>
              </w:rPr>
            </w:pPr>
            <w:r>
              <w:rPr>
                <w:rFonts w:hint="eastAsia"/>
                <w:sz w:val="24"/>
                <w:szCs w:val="24"/>
              </w:rPr>
              <w:t>生活污水</w:t>
            </w:r>
          </w:p>
        </w:tc>
        <w:tc>
          <w:tcPr>
            <w:tcW w:w="1742" w:type="dxa"/>
            <w:tcBorders>
              <w:tl2br w:val="nil"/>
              <w:tr2bl w:val="nil"/>
            </w:tcBorders>
            <w:vAlign w:val="center"/>
          </w:tcPr>
          <w:p>
            <w:pPr>
              <w:adjustRightInd w:val="0"/>
              <w:snapToGrid w:val="0"/>
              <w:jc w:val="center"/>
              <w:rPr>
                <w:rFonts w:hint="eastAsia" w:eastAsia="宋体"/>
                <w:sz w:val="24"/>
                <w:szCs w:val="24"/>
                <w:lang w:eastAsia="zh-CN"/>
              </w:rPr>
            </w:pPr>
            <w:r>
              <w:rPr>
                <w:rFonts w:hint="eastAsia"/>
                <w:sz w:val="24"/>
                <w:szCs w:val="24"/>
                <w:lang w:eastAsia="zh-CN"/>
              </w:rPr>
              <w:t>水量</w:t>
            </w:r>
          </w:p>
        </w:tc>
        <w:tc>
          <w:tcPr>
            <w:tcW w:w="2673" w:type="dxa"/>
            <w:gridSpan w:val="2"/>
            <w:tcBorders>
              <w:tl2br w:val="nil"/>
              <w:tr2bl w:val="nil"/>
            </w:tcBorders>
            <w:shd w:val="clear" w:color="auto" w:fill="auto"/>
            <w:vAlign w:val="center"/>
          </w:tcPr>
          <w:p>
            <w:pPr>
              <w:adjustRightInd w:val="0"/>
              <w:snapToGrid w:val="0"/>
              <w:jc w:val="center"/>
              <w:rPr>
                <w:sz w:val="24"/>
                <w:szCs w:val="24"/>
                <w:lang w:val="fr-FR"/>
              </w:rPr>
            </w:pPr>
            <w:r>
              <w:rPr>
                <w:rFonts w:hint="eastAsia" w:cs="Times New Roman"/>
                <w:bCs/>
                <w:sz w:val="24"/>
                <w:szCs w:val="24"/>
                <w:lang w:val="en-US" w:eastAsia="zh-CN"/>
              </w:rPr>
              <w:t>240</w:t>
            </w:r>
            <w:r>
              <w:rPr>
                <w:rFonts w:hint="eastAsia" w:ascii="Times New Roman" w:cs="Times New Roman"/>
                <w:bCs/>
                <w:sz w:val="24"/>
                <w:szCs w:val="24"/>
              </w:rPr>
              <w:t>m</w:t>
            </w:r>
            <w:r>
              <w:rPr>
                <w:rFonts w:hint="eastAsia" w:ascii="Times New Roman" w:cs="Times New Roman"/>
                <w:bCs/>
                <w:sz w:val="24"/>
                <w:szCs w:val="24"/>
                <w:vertAlign w:val="superscript"/>
              </w:rPr>
              <w:t>3</w:t>
            </w:r>
            <w:r>
              <w:rPr>
                <w:rFonts w:hint="eastAsia" w:ascii="Times New Roman" w:cs="Times New Roman"/>
                <w:bCs/>
                <w:sz w:val="24"/>
                <w:szCs w:val="24"/>
              </w:rPr>
              <w:t>/a</w:t>
            </w:r>
          </w:p>
        </w:tc>
        <w:tc>
          <w:tcPr>
            <w:tcW w:w="2761" w:type="dxa"/>
            <w:gridSpan w:val="2"/>
            <w:vMerge w:val="restart"/>
            <w:tcBorders>
              <w:tl2br w:val="nil"/>
              <w:tr2bl w:val="nil"/>
            </w:tcBorders>
            <w:vAlign w:val="center"/>
          </w:tcPr>
          <w:p>
            <w:pPr>
              <w:pStyle w:val="8"/>
              <w:spacing w:line="240" w:lineRule="auto"/>
              <w:ind w:firstLine="0"/>
              <w:jc w:val="center"/>
              <w:rPr>
                <w:sz w:val="24"/>
                <w:szCs w:val="24"/>
                <w:lang w:val="fr-FR"/>
              </w:rPr>
            </w:pPr>
            <w:r>
              <w:rPr>
                <w:rFonts w:hint="eastAsia"/>
                <w:sz w:val="24"/>
                <w:szCs w:val="24"/>
                <w:lang w:val="fr-FR"/>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2" w:hRule="atLeast"/>
          <w:jc w:val="center"/>
        </w:trPr>
        <w:tc>
          <w:tcPr>
            <w:tcW w:w="685" w:type="dxa"/>
            <w:vMerge w:val="continue"/>
            <w:tcBorders>
              <w:tl2br w:val="nil"/>
              <w:tr2bl w:val="nil"/>
            </w:tcBorders>
            <w:textDirection w:val="tbRlV"/>
            <w:vAlign w:val="center"/>
          </w:tcPr>
          <w:p>
            <w:pPr>
              <w:spacing w:line="240" w:lineRule="auto"/>
              <w:ind w:left="113" w:right="113"/>
              <w:jc w:val="center"/>
              <w:rPr>
                <w:b/>
                <w:sz w:val="24"/>
                <w:szCs w:val="24"/>
              </w:rPr>
            </w:pPr>
          </w:p>
        </w:tc>
        <w:tc>
          <w:tcPr>
            <w:tcW w:w="1446" w:type="dxa"/>
            <w:vMerge w:val="continue"/>
            <w:tcBorders>
              <w:tl2br w:val="nil"/>
              <w:tr2bl w:val="nil"/>
            </w:tcBorders>
            <w:vAlign w:val="center"/>
          </w:tcPr>
          <w:p>
            <w:pPr>
              <w:spacing w:line="240" w:lineRule="auto"/>
              <w:jc w:val="center"/>
              <w:rPr>
                <w:rFonts w:hint="eastAsia"/>
                <w:sz w:val="24"/>
                <w:szCs w:val="24"/>
              </w:rPr>
            </w:pPr>
          </w:p>
        </w:tc>
        <w:tc>
          <w:tcPr>
            <w:tcW w:w="1742" w:type="dxa"/>
            <w:tcBorders>
              <w:tl2br w:val="nil"/>
              <w:tr2bl w:val="nil"/>
            </w:tcBorders>
            <w:vAlign w:val="center"/>
          </w:tcPr>
          <w:p>
            <w:pPr>
              <w:adjustRightInd w:val="0"/>
              <w:snapToGrid w:val="0"/>
              <w:jc w:val="center"/>
              <w:rPr>
                <w:rFonts w:ascii="Times New Roman" w:hAnsi="Times New Roman" w:eastAsia="宋体" w:cs="Times New Roman"/>
                <w:kern w:val="2"/>
                <w:sz w:val="24"/>
                <w:szCs w:val="24"/>
                <w:lang w:val="en-US" w:eastAsia="zh-CN" w:bidi="ar-SA"/>
              </w:rPr>
            </w:pPr>
            <w:r>
              <w:rPr>
                <w:sz w:val="24"/>
                <w:szCs w:val="24"/>
              </w:rPr>
              <w:t>COD</w:t>
            </w:r>
          </w:p>
        </w:tc>
        <w:tc>
          <w:tcPr>
            <w:tcW w:w="2673" w:type="dxa"/>
            <w:gridSpan w:val="2"/>
            <w:tcBorders>
              <w:tl2br w:val="nil"/>
              <w:tr2bl w:val="nil"/>
            </w:tcBorders>
            <w:shd w:val="clear" w:color="auto" w:fill="auto"/>
            <w:vAlign w:val="center"/>
          </w:tcPr>
          <w:p>
            <w:pPr>
              <w:adjustRightInd w:val="0"/>
              <w:snapToGrid w:val="0"/>
              <w:jc w:val="center"/>
              <w:rPr>
                <w:rFonts w:hint="eastAsia" w:ascii="Times New Roman" w:hAnsi="Times New Roman" w:eastAsia="宋体" w:cs="Times New Roman"/>
                <w:kern w:val="2"/>
                <w:sz w:val="24"/>
                <w:szCs w:val="24"/>
                <w:lang w:val="fr-FR" w:eastAsia="zh-CN" w:bidi="ar-SA"/>
              </w:rPr>
            </w:pPr>
            <w:r>
              <w:rPr>
                <w:rFonts w:hint="eastAsia"/>
                <w:sz w:val="24"/>
                <w:szCs w:val="24"/>
              </w:rPr>
              <w:t>280</w:t>
            </w:r>
            <w:r>
              <w:rPr>
                <w:sz w:val="24"/>
                <w:szCs w:val="24"/>
              </w:rPr>
              <w:t>mg/L</w:t>
            </w:r>
            <w:r>
              <w:rPr>
                <w:rFonts w:hint="eastAsia"/>
                <w:sz w:val="24"/>
                <w:szCs w:val="24"/>
                <w:lang w:eastAsia="zh-CN"/>
              </w:rPr>
              <w:t>；</w:t>
            </w:r>
            <w:r>
              <w:rPr>
                <w:rFonts w:hint="eastAsia"/>
                <w:sz w:val="24"/>
                <w:szCs w:val="24"/>
              </w:rPr>
              <w:t>0.0</w:t>
            </w:r>
            <w:r>
              <w:rPr>
                <w:rFonts w:hint="eastAsia"/>
                <w:sz w:val="24"/>
                <w:szCs w:val="24"/>
                <w:lang w:val="en-US" w:eastAsia="zh-CN"/>
              </w:rPr>
              <w:t>672</w:t>
            </w:r>
            <w:r>
              <w:rPr>
                <w:sz w:val="24"/>
                <w:szCs w:val="24"/>
              </w:rPr>
              <w:t>t/a</w:t>
            </w:r>
          </w:p>
        </w:tc>
        <w:tc>
          <w:tcPr>
            <w:tcW w:w="2761" w:type="dxa"/>
            <w:gridSpan w:val="2"/>
            <w:vMerge w:val="continue"/>
            <w:tcBorders>
              <w:tl2br w:val="nil"/>
              <w:tr2bl w:val="nil"/>
            </w:tcBorders>
            <w:vAlign w:val="center"/>
          </w:tcPr>
          <w:p>
            <w:pPr>
              <w:pStyle w:val="8"/>
              <w:spacing w:line="240" w:lineRule="auto"/>
              <w:ind w:firstLine="0"/>
              <w:jc w:val="center"/>
              <w:rPr>
                <w:rFonts w:hint="eastAsia"/>
                <w:sz w:val="24"/>
                <w:szCs w:val="24"/>
                <w:lang w:val="fr-F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2" w:hRule="atLeast"/>
          <w:jc w:val="center"/>
        </w:trPr>
        <w:tc>
          <w:tcPr>
            <w:tcW w:w="685" w:type="dxa"/>
            <w:vMerge w:val="continue"/>
            <w:tcBorders>
              <w:tl2br w:val="nil"/>
              <w:tr2bl w:val="nil"/>
            </w:tcBorders>
            <w:textDirection w:val="tbRlV"/>
            <w:vAlign w:val="center"/>
          </w:tcPr>
          <w:p>
            <w:pPr>
              <w:spacing w:line="240" w:lineRule="auto"/>
              <w:ind w:left="113" w:right="113"/>
              <w:jc w:val="center"/>
              <w:rPr>
                <w:b/>
                <w:sz w:val="24"/>
                <w:szCs w:val="24"/>
              </w:rPr>
            </w:pPr>
          </w:p>
        </w:tc>
        <w:tc>
          <w:tcPr>
            <w:tcW w:w="1446" w:type="dxa"/>
            <w:vMerge w:val="continue"/>
            <w:tcBorders>
              <w:tl2br w:val="nil"/>
              <w:tr2bl w:val="nil"/>
            </w:tcBorders>
            <w:vAlign w:val="center"/>
          </w:tcPr>
          <w:p>
            <w:pPr>
              <w:spacing w:line="240" w:lineRule="auto"/>
              <w:jc w:val="center"/>
              <w:rPr>
                <w:rFonts w:hint="eastAsia"/>
                <w:sz w:val="24"/>
                <w:szCs w:val="24"/>
              </w:rPr>
            </w:pPr>
          </w:p>
        </w:tc>
        <w:tc>
          <w:tcPr>
            <w:tcW w:w="1742" w:type="dxa"/>
            <w:tcBorders>
              <w:tl2br w:val="nil"/>
              <w:tr2bl w:val="nil"/>
            </w:tcBorders>
            <w:vAlign w:val="center"/>
          </w:tcPr>
          <w:p>
            <w:pPr>
              <w:adjustRightInd w:val="0"/>
              <w:snapToGrid w:val="0"/>
              <w:jc w:val="center"/>
              <w:rPr>
                <w:rFonts w:hint="eastAsia"/>
                <w:sz w:val="24"/>
                <w:szCs w:val="24"/>
              </w:rPr>
            </w:pPr>
            <w:r>
              <w:rPr>
                <w:sz w:val="24"/>
                <w:szCs w:val="24"/>
              </w:rPr>
              <w:t>BOD</w:t>
            </w:r>
            <w:r>
              <w:rPr>
                <w:sz w:val="24"/>
                <w:szCs w:val="24"/>
                <w:vertAlign w:val="subscript"/>
              </w:rPr>
              <w:t>5</w:t>
            </w:r>
          </w:p>
        </w:tc>
        <w:tc>
          <w:tcPr>
            <w:tcW w:w="2673" w:type="dxa"/>
            <w:gridSpan w:val="2"/>
            <w:tcBorders>
              <w:tl2br w:val="nil"/>
              <w:tr2bl w:val="nil"/>
            </w:tcBorders>
            <w:shd w:val="clear" w:color="auto" w:fill="auto"/>
            <w:vAlign w:val="center"/>
          </w:tcPr>
          <w:p>
            <w:pPr>
              <w:adjustRightInd w:val="0"/>
              <w:snapToGrid w:val="0"/>
              <w:ind w:firstLine="240" w:firstLineChars="100"/>
              <w:rPr>
                <w:rFonts w:hint="eastAsia"/>
                <w:sz w:val="24"/>
                <w:szCs w:val="24"/>
                <w:lang w:val="fr-FR"/>
              </w:rPr>
            </w:pPr>
            <w:r>
              <w:rPr>
                <w:rFonts w:hint="eastAsia"/>
                <w:sz w:val="24"/>
                <w:szCs w:val="24"/>
              </w:rPr>
              <w:t>180</w:t>
            </w:r>
            <w:r>
              <w:rPr>
                <w:sz w:val="24"/>
                <w:szCs w:val="24"/>
              </w:rPr>
              <w:t>mg/L</w:t>
            </w:r>
            <w:r>
              <w:rPr>
                <w:rFonts w:hint="eastAsia"/>
                <w:sz w:val="24"/>
                <w:szCs w:val="24"/>
                <w:lang w:eastAsia="zh-CN"/>
              </w:rPr>
              <w:t>；</w:t>
            </w:r>
            <w:r>
              <w:rPr>
                <w:rFonts w:hint="eastAsia"/>
                <w:sz w:val="24"/>
                <w:szCs w:val="24"/>
              </w:rPr>
              <w:t>0.0</w:t>
            </w:r>
            <w:r>
              <w:rPr>
                <w:rFonts w:hint="eastAsia"/>
                <w:sz w:val="24"/>
                <w:szCs w:val="24"/>
                <w:lang w:val="en-US" w:eastAsia="zh-CN"/>
              </w:rPr>
              <w:t>432</w:t>
            </w:r>
            <w:r>
              <w:rPr>
                <w:sz w:val="24"/>
                <w:szCs w:val="24"/>
              </w:rPr>
              <w:t>t/a</w:t>
            </w:r>
          </w:p>
        </w:tc>
        <w:tc>
          <w:tcPr>
            <w:tcW w:w="2761" w:type="dxa"/>
            <w:gridSpan w:val="2"/>
            <w:vMerge w:val="continue"/>
            <w:tcBorders>
              <w:tl2br w:val="nil"/>
              <w:tr2bl w:val="nil"/>
            </w:tcBorders>
            <w:vAlign w:val="center"/>
          </w:tcPr>
          <w:p>
            <w:pPr>
              <w:pStyle w:val="8"/>
              <w:spacing w:line="240" w:lineRule="auto"/>
              <w:ind w:firstLine="0"/>
              <w:jc w:val="center"/>
              <w:rPr>
                <w:rFonts w:hint="eastAsia"/>
                <w:sz w:val="24"/>
                <w:szCs w:val="24"/>
                <w:lang w:val="fr-F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2" w:hRule="atLeast"/>
          <w:jc w:val="center"/>
        </w:trPr>
        <w:tc>
          <w:tcPr>
            <w:tcW w:w="685" w:type="dxa"/>
            <w:vMerge w:val="continue"/>
            <w:tcBorders>
              <w:tl2br w:val="nil"/>
              <w:tr2bl w:val="nil"/>
            </w:tcBorders>
            <w:textDirection w:val="tbRlV"/>
            <w:vAlign w:val="center"/>
          </w:tcPr>
          <w:p>
            <w:pPr>
              <w:spacing w:line="240" w:lineRule="auto"/>
              <w:ind w:left="113" w:right="113"/>
              <w:jc w:val="center"/>
              <w:rPr>
                <w:b/>
                <w:sz w:val="24"/>
                <w:szCs w:val="24"/>
              </w:rPr>
            </w:pPr>
          </w:p>
        </w:tc>
        <w:tc>
          <w:tcPr>
            <w:tcW w:w="1446" w:type="dxa"/>
            <w:vMerge w:val="continue"/>
            <w:tcBorders>
              <w:tl2br w:val="nil"/>
              <w:tr2bl w:val="nil"/>
            </w:tcBorders>
            <w:vAlign w:val="center"/>
          </w:tcPr>
          <w:p>
            <w:pPr>
              <w:spacing w:line="240" w:lineRule="auto"/>
              <w:jc w:val="center"/>
              <w:rPr>
                <w:rFonts w:hint="eastAsia"/>
                <w:sz w:val="24"/>
                <w:szCs w:val="24"/>
              </w:rPr>
            </w:pPr>
          </w:p>
        </w:tc>
        <w:tc>
          <w:tcPr>
            <w:tcW w:w="1742" w:type="dxa"/>
            <w:tcBorders>
              <w:tl2br w:val="nil"/>
              <w:tr2bl w:val="nil"/>
            </w:tcBorders>
            <w:vAlign w:val="center"/>
          </w:tcPr>
          <w:p>
            <w:pPr>
              <w:adjustRightInd w:val="0"/>
              <w:snapToGrid w:val="0"/>
              <w:jc w:val="center"/>
              <w:rPr>
                <w:rFonts w:hint="eastAsia"/>
                <w:sz w:val="24"/>
                <w:szCs w:val="24"/>
              </w:rPr>
            </w:pPr>
            <w:r>
              <w:rPr>
                <w:sz w:val="24"/>
                <w:szCs w:val="24"/>
              </w:rPr>
              <w:t>SS</w:t>
            </w:r>
          </w:p>
        </w:tc>
        <w:tc>
          <w:tcPr>
            <w:tcW w:w="2673" w:type="dxa"/>
            <w:gridSpan w:val="2"/>
            <w:tcBorders>
              <w:tl2br w:val="nil"/>
              <w:tr2bl w:val="nil"/>
            </w:tcBorders>
            <w:shd w:val="clear" w:color="auto" w:fill="auto"/>
            <w:vAlign w:val="center"/>
          </w:tcPr>
          <w:p>
            <w:pPr>
              <w:adjustRightInd w:val="0"/>
              <w:snapToGrid w:val="0"/>
              <w:jc w:val="center"/>
              <w:rPr>
                <w:rFonts w:hint="eastAsia"/>
                <w:sz w:val="24"/>
                <w:szCs w:val="24"/>
                <w:lang w:val="fr-FR"/>
              </w:rPr>
            </w:pPr>
            <w:r>
              <w:rPr>
                <w:rFonts w:hint="eastAsia"/>
                <w:sz w:val="24"/>
                <w:szCs w:val="24"/>
              </w:rPr>
              <w:t>180</w:t>
            </w:r>
            <w:r>
              <w:rPr>
                <w:sz w:val="24"/>
                <w:szCs w:val="24"/>
              </w:rPr>
              <w:t>mg/L</w:t>
            </w:r>
            <w:r>
              <w:rPr>
                <w:rFonts w:hint="eastAsia"/>
                <w:sz w:val="24"/>
                <w:szCs w:val="24"/>
                <w:lang w:eastAsia="zh-CN"/>
              </w:rPr>
              <w:t>；</w:t>
            </w:r>
            <w:r>
              <w:rPr>
                <w:rFonts w:hint="eastAsia"/>
                <w:sz w:val="24"/>
                <w:szCs w:val="24"/>
              </w:rPr>
              <w:t>0.0</w:t>
            </w:r>
            <w:r>
              <w:rPr>
                <w:rFonts w:hint="eastAsia"/>
                <w:sz w:val="24"/>
                <w:szCs w:val="24"/>
                <w:lang w:val="en-US" w:eastAsia="zh-CN"/>
              </w:rPr>
              <w:t>432</w:t>
            </w:r>
            <w:r>
              <w:rPr>
                <w:sz w:val="24"/>
                <w:szCs w:val="24"/>
              </w:rPr>
              <w:t>t/a</w:t>
            </w:r>
          </w:p>
        </w:tc>
        <w:tc>
          <w:tcPr>
            <w:tcW w:w="2761" w:type="dxa"/>
            <w:gridSpan w:val="2"/>
            <w:vMerge w:val="continue"/>
            <w:tcBorders>
              <w:tl2br w:val="nil"/>
              <w:tr2bl w:val="nil"/>
            </w:tcBorders>
            <w:vAlign w:val="center"/>
          </w:tcPr>
          <w:p>
            <w:pPr>
              <w:pStyle w:val="8"/>
              <w:spacing w:line="240" w:lineRule="auto"/>
              <w:ind w:firstLine="0"/>
              <w:jc w:val="center"/>
              <w:rPr>
                <w:rFonts w:hint="eastAsia"/>
                <w:sz w:val="24"/>
                <w:szCs w:val="24"/>
                <w:lang w:val="fr-F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2" w:hRule="atLeast"/>
          <w:jc w:val="center"/>
        </w:trPr>
        <w:tc>
          <w:tcPr>
            <w:tcW w:w="685" w:type="dxa"/>
            <w:vMerge w:val="continue"/>
            <w:tcBorders>
              <w:tl2br w:val="nil"/>
              <w:tr2bl w:val="nil"/>
            </w:tcBorders>
            <w:textDirection w:val="tbRlV"/>
            <w:vAlign w:val="center"/>
          </w:tcPr>
          <w:p>
            <w:pPr>
              <w:spacing w:line="240" w:lineRule="auto"/>
              <w:ind w:left="113" w:right="113"/>
              <w:jc w:val="center"/>
              <w:rPr>
                <w:b/>
                <w:sz w:val="24"/>
                <w:szCs w:val="24"/>
              </w:rPr>
            </w:pPr>
          </w:p>
        </w:tc>
        <w:tc>
          <w:tcPr>
            <w:tcW w:w="1446" w:type="dxa"/>
            <w:vMerge w:val="continue"/>
            <w:tcBorders>
              <w:tl2br w:val="nil"/>
              <w:tr2bl w:val="nil"/>
            </w:tcBorders>
            <w:vAlign w:val="center"/>
          </w:tcPr>
          <w:p>
            <w:pPr>
              <w:spacing w:line="240" w:lineRule="auto"/>
              <w:jc w:val="center"/>
              <w:rPr>
                <w:rFonts w:hint="eastAsia"/>
                <w:sz w:val="24"/>
                <w:szCs w:val="24"/>
              </w:rPr>
            </w:pPr>
          </w:p>
        </w:tc>
        <w:tc>
          <w:tcPr>
            <w:tcW w:w="1742" w:type="dxa"/>
            <w:tcBorders>
              <w:tl2br w:val="nil"/>
              <w:tr2bl w:val="nil"/>
            </w:tcBorders>
            <w:vAlign w:val="center"/>
          </w:tcPr>
          <w:p>
            <w:pPr>
              <w:adjustRightInd w:val="0"/>
              <w:snapToGrid w:val="0"/>
              <w:jc w:val="center"/>
              <w:rPr>
                <w:rFonts w:hint="eastAsia"/>
                <w:sz w:val="24"/>
                <w:szCs w:val="24"/>
              </w:rPr>
            </w:pPr>
            <w:r>
              <w:rPr>
                <w:sz w:val="24"/>
                <w:szCs w:val="24"/>
              </w:rPr>
              <w:t>NH</w:t>
            </w:r>
            <w:r>
              <w:rPr>
                <w:sz w:val="24"/>
                <w:szCs w:val="24"/>
                <w:vertAlign w:val="subscript"/>
              </w:rPr>
              <w:t>3</w:t>
            </w:r>
            <w:r>
              <w:rPr>
                <w:sz w:val="24"/>
                <w:szCs w:val="24"/>
              </w:rPr>
              <w:t>-N</w:t>
            </w:r>
          </w:p>
        </w:tc>
        <w:tc>
          <w:tcPr>
            <w:tcW w:w="2673" w:type="dxa"/>
            <w:gridSpan w:val="2"/>
            <w:tcBorders>
              <w:tl2br w:val="nil"/>
              <w:tr2bl w:val="nil"/>
            </w:tcBorders>
            <w:shd w:val="clear" w:color="auto" w:fill="auto"/>
            <w:vAlign w:val="center"/>
          </w:tcPr>
          <w:p>
            <w:pPr>
              <w:adjustRightInd w:val="0"/>
              <w:snapToGrid w:val="0"/>
              <w:jc w:val="center"/>
              <w:rPr>
                <w:rFonts w:hint="eastAsia"/>
                <w:sz w:val="24"/>
                <w:szCs w:val="24"/>
                <w:lang w:val="fr-FR"/>
              </w:rPr>
            </w:pPr>
            <w:r>
              <w:rPr>
                <w:rFonts w:hint="eastAsia"/>
                <w:sz w:val="24"/>
                <w:szCs w:val="24"/>
              </w:rPr>
              <w:t>28</w:t>
            </w:r>
            <w:r>
              <w:rPr>
                <w:sz w:val="24"/>
                <w:szCs w:val="24"/>
              </w:rPr>
              <w:t>mg/ L</w:t>
            </w:r>
            <w:r>
              <w:rPr>
                <w:rFonts w:hint="eastAsia"/>
                <w:sz w:val="24"/>
                <w:szCs w:val="24"/>
                <w:lang w:eastAsia="zh-CN"/>
              </w:rPr>
              <w:t>；</w:t>
            </w:r>
            <w:r>
              <w:rPr>
                <w:rFonts w:hint="eastAsia"/>
                <w:sz w:val="24"/>
                <w:szCs w:val="24"/>
              </w:rPr>
              <w:t>0.00</w:t>
            </w:r>
            <w:r>
              <w:rPr>
                <w:rFonts w:hint="eastAsia"/>
                <w:sz w:val="24"/>
                <w:szCs w:val="24"/>
                <w:lang w:val="en-US" w:eastAsia="zh-CN"/>
              </w:rPr>
              <w:t>67</w:t>
            </w:r>
            <w:r>
              <w:rPr>
                <w:sz w:val="24"/>
                <w:szCs w:val="24"/>
              </w:rPr>
              <w:t>t/a</w:t>
            </w:r>
          </w:p>
        </w:tc>
        <w:tc>
          <w:tcPr>
            <w:tcW w:w="2761" w:type="dxa"/>
            <w:gridSpan w:val="2"/>
            <w:vMerge w:val="continue"/>
            <w:tcBorders>
              <w:tl2br w:val="nil"/>
              <w:tr2bl w:val="nil"/>
            </w:tcBorders>
            <w:vAlign w:val="center"/>
          </w:tcPr>
          <w:p>
            <w:pPr>
              <w:pStyle w:val="8"/>
              <w:spacing w:line="240" w:lineRule="auto"/>
              <w:ind w:firstLine="0"/>
              <w:jc w:val="center"/>
              <w:rPr>
                <w:rFonts w:hint="eastAsia"/>
                <w:sz w:val="24"/>
                <w:szCs w:val="24"/>
                <w:lang w:val="fr-F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2" w:hRule="atLeast"/>
          <w:jc w:val="center"/>
        </w:trPr>
        <w:tc>
          <w:tcPr>
            <w:tcW w:w="685" w:type="dxa"/>
            <w:vMerge w:val="continue"/>
            <w:tcBorders>
              <w:tl2br w:val="nil"/>
              <w:tr2bl w:val="nil"/>
            </w:tcBorders>
            <w:textDirection w:val="tbRlV"/>
            <w:vAlign w:val="center"/>
          </w:tcPr>
          <w:p>
            <w:pPr>
              <w:spacing w:line="240" w:lineRule="auto"/>
              <w:ind w:left="113" w:right="113"/>
              <w:jc w:val="center"/>
              <w:rPr>
                <w:b/>
                <w:sz w:val="24"/>
                <w:szCs w:val="24"/>
              </w:rPr>
            </w:pPr>
          </w:p>
        </w:tc>
        <w:tc>
          <w:tcPr>
            <w:tcW w:w="1446" w:type="dxa"/>
            <w:tcBorders>
              <w:tl2br w:val="nil"/>
              <w:tr2bl w:val="nil"/>
            </w:tcBorders>
            <w:vAlign w:val="center"/>
          </w:tcPr>
          <w:p>
            <w:pPr>
              <w:spacing w:line="240" w:lineRule="auto"/>
              <w:jc w:val="center"/>
              <w:rPr>
                <w:rFonts w:hint="eastAsia" w:eastAsia="宋体"/>
                <w:sz w:val="24"/>
                <w:szCs w:val="24"/>
                <w:lang w:eastAsia="zh-CN"/>
              </w:rPr>
            </w:pPr>
            <w:r>
              <w:rPr>
                <w:rFonts w:hint="eastAsia"/>
                <w:sz w:val="24"/>
                <w:szCs w:val="24"/>
                <w:lang w:eastAsia="zh-CN"/>
              </w:rPr>
              <w:t>洗车废水</w:t>
            </w:r>
          </w:p>
        </w:tc>
        <w:tc>
          <w:tcPr>
            <w:tcW w:w="1742" w:type="dxa"/>
            <w:tcBorders>
              <w:tl2br w:val="nil"/>
              <w:tr2bl w:val="nil"/>
            </w:tcBorders>
            <w:vAlign w:val="center"/>
          </w:tcPr>
          <w:p>
            <w:pPr>
              <w:adjustRightInd w:val="0"/>
              <w:snapToGrid w:val="0"/>
              <w:jc w:val="center"/>
              <w:rPr>
                <w:sz w:val="24"/>
                <w:szCs w:val="24"/>
              </w:rPr>
            </w:pPr>
            <w:r>
              <w:rPr>
                <w:rFonts w:hint="eastAsia"/>
                <w:sz w:val="24"/>
                <w:szCs w:val="24"/>
                <w:lang w:eastAsia="zh-CN"/>
              </w:rPr>
              <w:t>水量</w:t>
            </w:r>
          </w:p>
        </w:tc>
        <w:tc>
          <w:tcPr>
            <w:tcW w:w="2673" w:type="dxa"/>
            <w:gridSpan w:val="2"/>
            <w:tcBorders>
              <w:tl2br w:val="nil"/>
              <w:tr2bl w:val="nil"/>
            </w:tcBorders>
            <w:shd w:val="clear" w:color="auto" w:fill="auto"/>
            <w:vAlign w:val="center"/>
          </w:tcPr>
          <w:p>
            <w:pPr>
              <w:adjustRightInd w:val="0"/>
              <w:snapToGrid w:val="0"/>
              <w:jc w:val="center"/>
              <w:rPr>
                <w:rFonts w:hint="default" w:eastAsia="宋体"/>
                <w:sz w:val="24"/>
                <w:szCs w:val="24"/>
                <w:lang w:val="en-US" w:eastAsia="zh-CN"/>
              </w:rPr>
            </w:pPr>
            <w:r>
              <w:rPr>
                <w:rFonts w:hint="eastAsia"/>
                <w:sz w:val="24"/>
                <w:szCs w:val="24"/>
                <w:lang w:val="en-US" w:eastAsia="zh-CN"/>
              </w:rPr>
              <w:t>90</w:t>
            </w:r>
            <w:r>
              <w:rPr>
                <w:rFonts w:hint="eastAsia" w:ascii="Times New Roman" w:cs="Times New Roman"/>
                <w:bCs/>
                <w:sz w:val="24"/>
                <w:szCs w:val="24"/>
              </w:rPr>
              <w:t>m</w:t>
            </w:r>
            <w:r>
              <w:rPr>
                <w:rFonts w:hint="eastAsia" w:ascii="Times New Roman" w:cs="Times New Roman"/>
                <w:bCs/>
                <w:sz w:val="24"/>
                <w:szCs w:val="24"/>
                <w:vertAlign w:val="superscript"/>
              </w:rPr>
              <w:t>3</w:t>
            </w:r>
            <w:r>
              <w:rPr>
                <w:rFonts w:hint="eastAsia" w:ascii="Times New Roman" w:cs="Times New Roman"/>
                <w:bCs/>
                <w:sz w:val="24"/>
                <w:szCs w:val="24"/>
              </w:rPr>
              <w:t>/a</w:t>
            </w:r>
          </w:p>
        </w:tc>
        <w:tc>
          <w:tcPr>
            <w:tcW w:w="2761" w:type="dxa"/>
            <w:gridSpan w:val="2"/>
            <w:tcBorders>
              <w:tl2br w:val="nil"/>
              <w:tr2bl w:val="nil"/>
            </w:tcBorders>
            <w:vAlign w:val="center"/>
          </w:tcPr>
          <w:p>
            <w:pPr>
              <w:pStyle w:val="8"/>
              <w:spacing w:line="240" w:lineRule="auto"/>
              <w:ind w:firstLine="0"/>
              <w:jc w:val="center"/>
              <w:rPr>
                <w:rFonts w:hint="eastAsia" w:eastAsia="宋体"/>
                <w:sz w:val="24"/>
                <w:szCs w:val="24"/>
                <w:lang w:val="en-US" w:eastAsia="zh-CN"/>
              </w:rPr>
            </w:pPr>
            <w:r>
              <w:rPr>
                <w:rFonts w:hint="eastAsia"/>
                <w:sz w:val="24"/>
                <w:szCs w:val="24"/>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11" w:hRule="atLeast"/>
          <w:jc w:val="center"/>
        </w:trPr>
        <w:tc>
          <w:tcPr>
            <w:tcW w:w="685" w:type="dxa"/>
            <w:vMerge w:val="restart"/>
            <w:tcBorders>
              <w:tl2br w:val="nil"/>
              <w:tr2bl w:val="nil"/>
            </w:tcBorders>
            <w:textDirection w:val="tbRlV"/>
            <w:vAlign w:val="center"/>
          </w:tcPr>
          <w:p>
            <w:pPr>
              <w:spacing w:line="240" w:lineRule="auto"/>
              <w:ind w:left="113" w:right="113"/>
              <w:jc w:val="center"/>
              <w:rPr>
                <w:b/>
                <w:color w:val="FF0000"/>
                <w:sz w:val="24"/>
                <w:szCs w:val="24"/>
              </w:rPr>
            </w:pPr>
            <w:r>
              <w:rPr>
                <w:rFonts w:hint="eastAsia"/>
                <w:b/>
                <w:sz w:val="24"/>
                <w:szCs w:val="24"/>
              </w:rPr>
              <w:t>固体废弃物</w:t>
            </w:r>
          </w:p>
        </w:tc>
        <w:tc>
          <w:tcPr>
            <w:tcW w:w="1446" w:type="dxa"/>
            <w:tcBorders>
              <w:tl2br w:val="nil"/>
              <w:tr2bl w:val="nil"/>
            </w:tcBorders>
            <w:vAlign w:val="center"/>
          </w:tcPr>
          <w:p>
            <w:pPr>
              <w:spacing w:line="240" w:lineRule="auto"/>
              <w:jc w:val="center"/>
              <w:rPr>
                <w:sz w:val="24"/>
                <w:szCs w:val="24"/>
              </w:rPr>
            </w:pPr>
            <w:r>
              <w:rPr>
                <w:rFonts w:hint="eastAsia"/>
                <w:sz w:val="24"/>
                <w:szCs w:val="24"/>
              </w:rPr>
              <w:t>职工生活</w:t>
            </w:r>
          </w:p>
        </w:tc>
        <w:tc>
          <w:tcPr>
            <w:tcW w:w="1742" w:type="dxa"/>
            <w:tcBorders>
              <w:tl2br w:val="nil"/>
              <w:tr2bl w:val="nil"/>
            </w:tcBorders>
            <w:vAlign w:val="center"/>
          </w:tcPr>
          <w:p>
            <w:pPr>
              <w:spacing w:line="240" w:lineRule="auto"/>
              <w:jc w:val="center"/>
              <w:rPr>
                <w:sz w:val="24"/>
                <w:szCs w:val="24"/>
              </w:rPr>
            </w:pPr>
            <w:r>
              <w:rPr>
                <w:rFonts w:hint="eastAsia"/>
                <w:sz w:val="24"/>
                <w:szCs w:val="24"/>
              </w:rPr>
              <w:t>生活垃圾</w:t>
            </w:r>
          </w:p>
        </w:tc>
        <w:tc>
          <w:tcPr>
            <w:tcW w:w="2673" w:type="dxa"/>
            <w:gridSpan w:val="2"/>
            <w:tcBorders>
              <w:tl2br w:val="nil"/>
              <w:tr2bl w:val="nil"/>
            </w:tcBorders>
            <w:shd w:val="clear" w:color="auto" w:fill="auto"/>
            <w:vAlign w:val="center"/>
          </w:tcPr>
          <w:p>
            <w:pPr>
              <w:pStyle w:val="8"/>
              <w:spacing w:line="240" w:lineRule="auto"/>
              <w:ind w:firstLine="0"/>
              <w:jc w:val="center"/>
              <w:rPr>
                <w:rFonts w:hint="default" w:eastAsia="宋体"/>
                <w:sz w:val="24"/>
                <w:szCs w:val="24"/>
                <w:lang w:val="en-US" w:eastAsia="zh-CN"/>
              </w:rPr>
            </w:pPr>
            <w:r>
              <w:rPr>
                <w:rFonts w:hint="eastAsia"/>
                <w:sz w:val="24"/>
                <w:szCs w:val="24"/>
                <w:lang w:val="en-US" w:eastAsia="zh-CN"/>
              </w:rPr>
              <w:t>4.5t/a</w:t>
            </w:r>
          </w:p>
        </w:tc>
        <w:tc>
          <w:tcPr>
            <w:tcW w:w="2761" w:type="dxa"/>
            <w:gridSpan w:val="2"/>
            <w:vMerge w:val="restart"/>
            <w:tcBorders>
              <w:tl2br w:val="nil"/>
              <w:tr2bl w:val="nil"/>
            </w:tcBorders>
            <w:vAlign w:val="center"/>
          </w:tcPr>
          <w:p>
            <w:pPr>
              <w:spacing w:line="240" w:lineRule="auto"/>
              <w:ind w:left="-130" w:leftChars="-62" w:right="212" w:firstLine="120" w:firstLineChars="50"/>
              <w:jc w:val="center"/>
              <w:rPr>
                <w:color w:val="FF0000"/>
                <w:sz w:val="24"/>
                <w:szCs w:val="24"/>
                <w:lang w:val="fr-FR"/>
              </w:rPr>
            </w:pPr>
            <w:r>
              <w:rPr>
                <w:rFonts w:hint="eastAsia"/>
                <w:sz w:val="24"/>
                <w:szCs w:val="24"/>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27" w:hRule="atLeast"/>
          <w:jc w:val="center"/>
        </w:trPr>
        <w:tc>
          <w:tcPr>
            <w:tcW w:w="685" w:type="dxa"/>
            <w:vMerge w:val="continue"/>
            <w:tcBorders>
              <w:tl2br w:val="nil"/>
              <w:tr2bl w:val="nil"/>
            </w:tcBorders>
            <w:textDirection w:val="tbRlV"/>
            <w:vAlign w:val="center"/>
          </w:tcPr>
          <w:p>
            <w:pPr>
              <w:spacing w:line="240" w:lineRule="auto"/>
              <w:ind w:left="113" w:right="113"/>
              <w:jc w:val="center"/>
              <w:rPr>
                <w:b/>
                <w:color w:val="FF0000"/>
                <w:sz w:val="24"/>
                <w:szCs w:val="24"/>
              </w:rPr>
            </w:pPr>
          </w:p>
        </w:tc>
        <w:tc>
          <w:tcPr>
            <w:tcW w:w="1446" w:type="dxa"/>
            <w:tcBorders>
              <w:tl2br w:val="nil"/>
              <w:tr2bl w:val="nil"/>
            </w:tcBorders>
            <w:shd w:val="clear" w:color="auto" w:fill="auto"/>
            <w:vAlign w:val="center"/>
          </w:tcPr>
          <w:p>
            <w:pPr>
              <w:spacing w:line="240" w:lineRule="auto"/>
              <w:jc w:val="center"/>
              <w:rPr>
                <w:rFonts w:hint="eastAsia" w:eastAsia="宋体"/>
                <w:sz w:val="24"/>
                <w:szCs w:val="24"/>
                <w:lang w:eastAsia="zh-CN"/>
              </w:rPr>
            </w:pPr>
            <w:r>
              <w:rPr>
                <w:rFonts w:hint="eastAsia"/>
                <w:sz w:val="24"/>
                <w:szCs w:val="24"/>
                <w:lang w:eastAsia="zh-CN"/>
              </w:rPr>
              <w:t>焊接工序</w:t>
            </w:r>
          </w:p>
        </w:tc>
        <w:tc>
          <w:tcPr>
            <w:tcW w:w="1742" w:type="dxa"/>
            <w:tcBorders>
              <w:tl2br w:val="nil"/>
              <w:tr2bl w:val="nil"/>
            </w:tcBorders>
            <w:vAlign w:val="center"/>
          </w:tcPr>
          <w:p>
            <w:pPr>
              <w:spacing w:line="240" w:lineRule="auto"/>
              <w:jc w:val="center"/>
              <w:rPr>
                <w:rFonts w:hint="eastAsia" w:eastAsia="宋体"/>
                <w:sz w:val="24"/>
                <w:szCs w:val="24"/>
                <w:lang w:eastAsia="zh-CN"/>
              </w:rPr>
            </w:pPr>
            <w:r>
              <w:rPr>
                <w:rFonts w:hint="eastAsia"/>
                <w:sz w:val="24"/>
                <w:szCs w:val="24"/>
                <w:lang w:eastAsia="zh-CN"/>
              </w:rPr>
              <w:t>废边角料</w:t>
            </w:r>
          </w:p>
        </w:tc>
        <w:tc>
          <w:tcPr>
            <w:tcW w:w="2673" w:type="dxa"/>
            <w:gridSpan w:val="2"/>
            <w:tcBorders>
              <w:tl2br w:val="nil"/>
              <w:tr2bl w:val="nil"/>
            </w:tcBorders>
            <w:vAlign w:val="center"/>
          </w:tcPr>
          <w:p>
            <w:pPr>
              <w:spacing w:line="240" w:lineRule="auto"/>
              <w:jc w:val="center"/>
              <w:rPr>
                <w:rFonts w:hint="default" w:eastAsia="宋体"/>
                <w:sz w:val="24"/>
                <w:szCs w:val="24"/>
                <w:lang w:val="en-US" w:eastAsia="zh-CN"/>
              </w:rPr>
            </w:pPr>
            <w:r>
              <w:rPr>
                <w:rFonts w:hint="eastAsia"/>
                <w:sz w:val="24"/>
                <w:szCs w:val="24"/>
                <w:lang w:val="en-US" w:eastAsia="zh-CN"/>
              </w:rPr>
              <w:t>10t/a</w:t>
            </w:r>
          </w:p>
        </w:tc>
        <w:tc>
          <w:tcPr>
            <w:tcW w:w="2761" w:type="dxa"/>
            <w:gridSpan w:val="2"/>
            <w:vMerge w:val="continue"/>
            <w:tcBorders>
              <w:tl2br w:val="nil"/>
              <w:tr2bl w:val="nil"/>
            </w:tcBorders>
            <w:vAlign w:val="center"/>
          </w:tcPr>
          <w:p>
            <w:pPr>
              <w:spacing w:line="240" w:lineRule="auto"/>
              <w:ind w:left="-130" w:leftChars="-62" w:right="212" w:firstLine="120" w:firstLineChars="50"/>
              <w:jc w:val="center"/>
              <w:rPr>
                <w:color w:val="FF0000"/>
                <w:sz w:val="24"/>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85" w:type="dxa"/>
            <w:tcBorders>
              <w:tl2br w:val="nil"/>
              <w:tr2bl w:val="nil"/>
            </w:tcBorders>
            <w:textDirection w:val="tbRlV"/>
            <w:vAlign w:val="center"/>
          </w:tcPr>
          <w:p>
            <w:pPr>
              <w:spacing w:line="240" w:lineRule="auto"/>
              <w:ind w:left="113" w:right="113"/>
              <w:jc w:val="center"/>
              <w:rPr>
                <w:b/>
                <w:color w:val="FF0000"/>
                <w:sz w:val="24"/>
                <w:szCs w:val="24"/>
              </w:rPr>
            </w:pPr>
            <w:r>
              <w:rPr>
                <w:b/>
                <w:color w:val="auto"/>
                <w:sz w:val="24"/>
                <w:szCs w:val="24"/>
              </w:rPr>
              <w:t>噪声</w:t>
            </w:r>
          </w:p>
        </w:tc>
        <w:tc>
          <w:tcPr>
            <w:tcW w:w="8622" w:type="dxa"/>
            <w:gridSpan w:val="6"/>
            <w:tcBorders>
              <w:tl2br w:val="nil"/>
              <w:tr2bl w:val="nil"/>
            </w:tcBorders>
            <w:vAlign w:val="center"/>
          </w:tcPr>
          <w:p>
            <w:pPr>
              <w:autoSpaceDE w:val="0"/>
              <w:autoSpaceDN w:val="0"/>
              <w:spacing w:line="240" w:lineRule="auto"/>
              <w:ind w:firstLine="480" w:firstLineChars="200"/>
              <w:rPr>
                <w:rFonts w:hint="eastAsia" w:eastAsiaTheme="minorEastAsia"/>
                <w:color w:val="FF0000"/>
                <w:sz w:val="24"/>
                <w:szCs w:val="24"/>
                <w:lang w:eastAsia="zh-CN"/>
              </w:rPr>
            </w:pPr>
            <w:r>
              <w:rPr>
                <w:rFonts w:hint="eastAsia"/>
                <w:color w:val="auto"/>
                <w:sz w:val="24"/>
              </w:rPr>
              <w:t>本项目的噪声源主要为</w:t>
            </w:r>
            <w:r>
              <w:rPr>
                <w:rFonts w:hint="eastAsia"/>
                <w:color w:val="auto"/>
                <w:sz w:val="24"/>
                <w:lang w:eastAsia="zh-CN"/>
              </w:rPr>
              <w:t>调直机、龙门吊、电焊机、空气压缩机</w:t>
            </w:r>
            <w:r>
              <w:rPr>
                <w:rFonts w:hint="eastAsia"/>
                <w:color w:val="auto"/>
                <w:sz w:val="24"/>
              </w:rPr>
              <w:t>等，噪声源强在</w:t>
            </w:r>
            <w:r>
              <w:rPr>
                <w:rFonts w:hint="eastAsia"/>
                <w:color w:val="auto"/>
                <w:sz w:val="24"/>
                <w:lang w:val="en-US" w:eastAsia="zh-CN"/>
              </w:rPr>
              <w:t>65</w:t>
            </w:r>
            <w:r>
              <w:rPr>
                <w:rFonts w:hint="eastAsia"/>
                <w:color w:val="auto"/>
                <w:sz w:val="24"/>
              </w:rPr>
              <w:t>~</w:t>
            </w:r>
            <w:r>
              <w:rPr>
                <w:rFonts w:hint="eastAsia"/>
                <w:color w:val="auto"/>
                <w:sz w:val="24"/>
                <w:lang w:val="en-US" w:eastAsia="zh-CN"/>
              </w:rPr>
              <w:t>95</w:t>
            </w:r>
            <w:r>
              <w:rPr>
                <w:rFonts w:hint="eastAsia"/>
                <w:color w:val="auto"/>
                <w:sz w:val="24"/>
              </w:rPr>
              <w:t>dB（A）</w:t>
            </w:r>
            <w:r>
              <w:rPr>
                <w:color w:val="auto"/>
                <w:sz w:val="24"/>
                <w:szCs w:val="24"/>
              </w:rPr>
              <w:t>，经减振、隔声后</w:t>
            </w:r>
            <w:r>
              <w:rPr>
                <w:rFonts w:hint="eastAsia"/>
                <w:bCs/>
                <w:color w:val="auto"/>
                <w:sz w:val="24"/>
                <w:szCs w:val="24"/>
              </w:rPr>
              <w:t>，</w:t>
            </w:r>
            <w:r>
              <w:rPr>
                <w:color w:val="auto"/>
                <w:sz w:val="24"/>
                <w:szCs w:val="24"/>
              </w:rPr>
              <w:t>本项目运营期</w:t>
            </w:r>
            <w:r>
              <w:rPr>
                <w:rFonts w:hint="eastAsia"/>
                <w:color w:val="auto"/>
                <w:sz w:val="24"/>
                <w:szCs w:val="24"/>
              </w:rPr>
              <w:t>厂区</w:t>
            </w:r>
            <w:r>
              <w:rPr>
                <w:rFonts w:hint="eastAsia"/>
                <w:color w:val="auto"/>
                <w:sz w:val="24"/>
                <w:szCs w:val="24"/>
                <w:lang w:eastAsia="zh-CN"/>
              </w:rPr>
              <w:t>各</w:t>
            </w:r>
            <w:r>
              <w:rPr>
                <w:color w:val="auto"/>
                <w:sz w:val="24"/>
                <w:szCs w:val="24"/>
              </w:rPr>
              <w:t>厂界噪声</w:t>
            </w:r>
            <w:r>
              <w:rPr>
                <w:rFonts w:hint="eastAsia"/>
                <w:color w:val="auto"/>
                <w:sz w:val="24"/>
                <w:szCs w:val="24"/>
                <w:lang w:eastAsia="zh-CN"/>
              </w:rPr>
              <w:t>贡献</w:t>
            </w:r>
            <w:r>
              <w:rPr>
                <w:rFonts w:hint="eastAsia"/>
                <w:color w:val="auto"/>
                <w:sz w:val="24"/>
                <w:szCs w:val="24"/>
              </w:rPr>
              <w:t>值均能</w:t>
            </w:r>
            <w:r>
              <w:rPr>
                <w:color w:val="auto"/>
                <w:sz w:val="24"/>
                <w:szCs w:val="24"/>
              </w:rPr>
              <w:t>满足《工业企业厂界环境噪声排放标准》（GB12348-2008）</w:t>
            </w:r>
            <w:r>
              <w:rPr>
                <w:rFonts w:hint="eastAsia"/>
                <w:color w:val="auto"/>
                <w:sz w:val="24"/>
                <w:szCs w:val="24"/>
              </w:rPr>
              <w:t>2</w:t>
            </w:r>
            <w:r>
              <w:rPr>
                <w:color w:val="auto"/>
                <w:sz w:val="24"/>
                <w:szCs w:val="24"/>
              </w:rPr>
              <w:t>类标准</w:t>
            </w:r>
            <w:r>
              <w:rPr>
                <w:rFonts w:hint="eastAsia" w:asciiTheme="minorEastAsia" w:hAnsiTheme="minorEastAsia" w:eastAsiaTheme="minorEastAsia"/>
                <w:color w:val="auto"/>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85" w:hRule="atLeast"/>
          <w:jc w:val="center"/>
        </w:trPr>
        <w:tc>
          <w:tcPr>
            <w:tcW w:w="685" w:type="dxa"/>
            <w:tcBorders>
              <w:tl2br w:val="nil"/>
              <w:tr2bl w:val="nil"/>
            </w:tcBorders>
            <w:textDirection w:val="tbRlV"/>
            <w:vAlign w:val="center"/>
          </w:tcPr>
          <w:p>
            <w:pPr>
              <w:spacing w:line="240" w:lineRule="auto"/>
              <w:ind w:left="113" w:right="113"/>
              <w:rPr>
                <w:b/>
                <w:sz w:val="24"/>
                <w:szCs w:val="24"/>
              </w:rPr>
            </w:pPr>
            <w:r>
              <w:rPr>
                <w:b/>
                <w:sz w:val="24"/>
                <w:szCs w:val="24"/>
              </w:rPr>
              <w:t>其他</w:t>
            </w:r>
          </w:p>
        </w:tc>
        <w:tc>
          <w:tcPr>
            <w:tcW w:w="8622" w:type="dxa"/>
            <w:gridSpan w:val="6"/>
            <w:tcBorders>
              <w:tl2br w:val="nil"/>
              <w:tr2bl w:val="nil"/>
            </w:tcBorders>
            <w:vAlign w:val="center"/>
          </w:tcPr>
          <w:p>
            <w:pPr>
              <w:spacing w:line="240" w:lineRule="auto"/>
              <w:ind w:left="-130" w:right="-92" w:firstLine="360" w:firstLineChars="150"/>
              <w:rPr>
                <w:sz w:val="24"/>
                <w:szCs w:val="24"/>
              </w:rPr>
            </w:pPr>
            <w:r>
              <w:rPr>
                <w:rFonts w:hint="eastAsia"/>
                <w:sz w:val="24"/>
                <w:szCs w:val="24"/>
              </w:rPr>
              <w:t>无</w:t>
            </w:r>
          </w:p>
          <w:p>
            <w:pPr>
              <w:spacing w:line="240" w:lineRule="auto"/>
              <w:ind w:left="-130" w:right="-92" w:firstLine="360" w:firstLineChars="150"/>
              <w:rPr>
                <w:sz w:val="24"/>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9307" w:type="dxa"/>
            <w:gridSpan w:val="7"/>
            <w:tcBorders>
              <w:tl2br w:val="nil"/>
              <w:tr2bl w:val="nil"/>
            </w:tcBorders>
          </w:tcPr>
          <w:p>
            <w:pPr>
              <w:adjustRightInd w:val="0"/>
              <w:snapToGrid w:val="0"/>
              <w:spacing w:line="240" w:lineRule="auto"/>
              <w:rPr>
                <w:b/>
                <w:sz w:val="24"/>
                <w:szCs w:val="24"/>
              </w:rPr>
            </w:pPr>
            <w:r>
              <w:rPr>
                <w:b/>
                <w:sz w:val="24"/>
                <w:szCs w:val="24"/>
              </w:rPr>
              <w:t>主要生态影响（不够时可附另页）：</w:t>
            </w: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p>
            <w:pPr>
              <w:pStyle w:val="2"/>
              <w:rPr>
                <w:b/>
                <w:color w:val="FF0000"/>
                <w:sz w:val="24"/>
                <w:szCs w:val="24"/>
              </w:rPr>
            </w:pPr>
          </w:p>
          <w:p>
            <w:pPr>
              <w:pStyle w:val="2"/>
              <w:rPr>
                <w:b/>
                <w:color w:val="FF0000"/>
                <w:sz w:val="24"/>
                <w:szCs w:val="24"/>
              </w:rPr>
            </w:pPr>
          </w:p>
          <w:p>
            <w:pPr>
              <w:pStyle w:val="2"/>
              <w:rPr>
                <w:b/>
                <w:color w:val="FF0000"/>
                <w:sz w:val="24"/>
                <w:szCs w:val="24"/>
              </w:rPr>
            </w:pPr>
          </w:p>
          <w:p>
            <w:pPr>
              <w:pStyle w:val="2"/>
              <w:rPr>
                <w:b/>
                <w:color w:val="FF0000"/>
                <w:sz w:val="24"/>
                <w:szCs w:val="24"/>
              </w:rPr>
            </w:pPr>
          </w:p>
          <w:p>
            <w:pPr>
              <w:pStyle w:val="2"/>
              <w:rPr>
                <w:b/>
                <w:color w:val="FF0000"/>
                <w:sz w:val="24"/>
                <w:szCs w:val="24"/>
              </w:rPr>
            </w:pP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p>
            <w:pPr>
              <w:adjustRightInd w:val="0"/>
              <w:snapToGrid w:val="0"/>
              <w:spacing w:line="240" w:lineRule="auto"/>
              <w:rPr>
                <w:b/>
                <w:color w:val="FF0000"/>
                <w:sz w:val="24"/>
                <w:szCs w:val="24"/>
              </w:rPr>
            </w:pPr>
          </w:p>
        </w:tc>
      </w:tr>
    </w:tbl>
    <w:p>
      <w:pPr>
        <w:adjustRightInd w:val="0"/>
        <w:snapToGrid w:val="0"/>
        <w:rPr>
          <w:rFonts w:ascii="黑体" w:eastAsia="黑体"/>
          <w:sz w:val="32"/>
        </w:rPr>
      </w:pPr>
      <w:r>
        <w:rPr>
          <w:rFonts w:hint="eastAsia" w:ascii="黑体" w:hAnsi="宋体" w:eastAsia="黑体"/>
          <w:sz w:val="32"/>
        </w:rPr>
        <w:t>环境影响分析</w:t>
      </w:r>
    </w:p>
    <w:tbl>
      <w:tblPr>
        <w:tblStyle w:val="31"/>
        <w:tblW w:w="9287"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autofit"/>
        <w:tblCellMar>
          <w:top w:w="0" w:type="dxa"/>
          <w:left w:w="108" w:type="dxa"/>
          <w:bottom w:w="0" w:type="dxa"/>
          <w:right w:w="108" w:type="dxa"/>
        </w:tblCellMar>
      </w:tblPr>
      <w:tblGrid>
        <w:gridCol w:w="9287"/>
      </w:tblGrid>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90" w:hRule="atLeast"/>
          <w:jc w:val="center"/>
        </w:trPr>
        <w:tc>
          <w:tcPr>
            <w:tcW w:w="9287" w:type="dxa"/>
            <w:tcBorders>
              <w:tl2br w:val="nil"/>
              <w:tr2bl w:val="nil"/>
            </w:tcBorders>
          </w:tcPr>
          <w:p>
            <w:pPr>
              <w:spacing w:line="360" w:lineRule="auto"/>
              <w:rPr>
                <w:rFonts w:ascii="Courier New" w:hAnsi="ISOCTEUR" w:cs="Courier New"/>
                <w:b/>
                <w:sz w:val="28"/>
                <w:szCs w:val="28"/>
              </w:rPr>
            </w:pPr>
            <w:r>
              <w:rPr>
                <w:rFonts w:hint="eastAsia" w:ascii="Courier New" w:hAnsi="ISOCTEUR" w:cs="Courier New"/>
                <w:b/>
                <w:sz w:val="28"/>
                <w:szCs w:val="28"/>
              </w:rPr>
              <w:t>施工期环境影响分析</w:t>
            </w:r>
          </w:p>
          <w:p>
            <w:pPr>
              <w:spacing w:line="360" w:lineRule="auto"/>
              <w:ind w:left="14" w:firstLine="553"/>
              <w:rPr>
                <w:color w:val="000000" w:themeColor="text1"/>
                <w:sz w:val="24"/>
                <w14:textFill>
                  <w14:solidFill>
                    <w14:schemeClr w14:val="tx1"/>
                  </w14:solidFill>
                </w14:textFill>
              </w:rPr>
            </w:pPr>
            <w:r>
              <w:rPr>
                <w:rFonts w:hint="eastAsia"/>
                <w:bCs/>
                <w:sz w:val="24"/>
              </w:rPr>
              <w:t>本项目建设利用的构筑物为租赁</w:t>
            </w:r>
            <w:r>
              <w:rPr>
                <w:rFonts w:hint="eastAsia"/>
                <w:bCs/>
                <w:sz w:val="24"/>
                <w:lang w:eastAsia="zh-CN"/>
              </w:rPr>
              <w:t>现有</w:t>
            </w:r>
            <w:r>
              <w:rPr>
                <w:rFonts w:hint="eastAsia"/>
                <w:bCs/>
                <w:sz w:val="24"/>
              </w:rPr>
              <w:t>厂房，不新建厂房，</w:t>
            </w:r>
            <w:r>
              <w:rPr>
                <w:rFonts w:hint="eastAsia"/>
                <w:sz w:val="24"/>
              </w:rPr>
              <w:t>施工期仅为设备安装。施工工序较简单且持续时间较短，因此，本次评价不再对施工期污染工序进行分析。</w:t>
            </w:r>
          </w:p>
        </w:tc>
      </w:tr>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9855" w:hRule="atLeast"/>
          <w:jc w:val="center"/>
        </w:trPr>
        <w:tc>
          <w:tcPr>
            <w:tcW w:w="9287" w:type="dxa"/>
            <w:tcBorders>
              <w:tl2br w:val="nil"/>
              <w:tr2bl w:val="nil"/>
            </w:tcBorders>
          </w:tcPr>
          <w:p>
            <w:pPr>
              <w:spacing w:line="360" w:lineRule="auto"/>
              <w:rPr>
                <w:sz w:val="24"/>
              </w:rPr>
            </w:pPr>
            <w:r>
              <w:rPr>
                <w:b/>
                <w:bCs/>
                <w:sz w:val="28"/>
                <w:szCs w:val="28"/>
              </w:rPr>
              <w:t>运营期环境影响分析：</w:t>
            </w:r>
          </w:p>
          <w:p>
            <w:pPr>
              <w:spacing w:line="360" w:lineRule="auto"/>
              <w:ind w:firstLine="480" w:firstLineChars="200"/>
              <w:rPr>
                <w:sz w:val="24"/>
              </w:rPr>
            </w:pPr>
            <w:r>
              <w:rPr>
                <w:rFonts w:hint="eastAsia"/>
                <w:sz w:val="24"/>
              </w:rPr>
              <w:t>根据工程分析，</w:t>
            </w:r>
            <w:r>
              <w:rPr>
                <w:sz w:val="24"/>
              </w:rPr>
              <w:t>项目运营期的污染源有</w:t>
            </w:r>
            <w:r>
              <w:rPr>
                <w:rFonts w:hint="eastAsia"/>
                <w:sz w:val="24"/>
              </w:rPr>
              <w:t>废气、</w:t>
            </w:r>
            <w:r>
              <w:rPr>
                <w:sz w:val="24"/>
              </w:rPr>
              <w:t>废水、噪声</w:t>
            </w:r>
            <w:r>
              <w:rPr>
                <w:rFonts w:hint="eastAsia"/>
                <w:sz w:val="24"/>
              </w:rPr>
              <w:t>、固废</w:t>
            </w:r>
            <w:r>
              <w:rPr>
                <w:sz w:val="24"/>
              </w:rPr>
              <w:t>。根据本项目的性质及工程概况，本项目运营期环境影响分析如下：</w:t>
            </w:r>
          </w:p>
          <w:p>
            <w:pPr>
              <w:keepNext/>
              <w:keepLines/>
              <w:spacing w:before="80" w:after="80" w:line="360" w:lineRule="auto"/>
              <w:ind w:firstLine="472" w:firstLineChars="196"/>
              <w:outlineLvl w:val="2"/>
              <w:rPr>
                <w:b/>
                <w:bCs/>
                <w:sz w:val="24"/>
              </w:rPr>
            </w:pPr>
            <w:r>
              <w:rPr>
                <w:rFonts w:hint="eastAsia"/>
                <w:b/>
                <w:bCs/>
                <w:sz w:val="24"/>
              </w:rPr>
              <w:t>1</w:t>
            </w:r>
            <w:r>
              <w:rPr>
                <w:rFonts w:hint="eastAsia"/>
                <w:b/>
                <w:bCs/>
                <w:sz w:val="24"/>
                <w:lang w:val="en-US" w:eastAsia="zh-CN"/>
              </w:rPr>
              <w:t>.</w:t>
            </w:r>
            <w:r>
              <w:rPr>
                <w:rFonts w:hint="eastAsia"/>
                <w:b/>
                <w:bCs/>
                <w:sz w:val="24"/>
              </w:rPr>
              <w:t>环境空气影响分析</w:t>
            </w:r>
          </w:p>
          <w:p>
            <w:pPr>
              <w:spacing w:line="384" w:lineRule="auto"/>
              <w:ind w:firstLine="482" w:firstLineChars="200"/>
              <w:jc w:val="left"/>
              <w:rPr>
                <w:b/>
                <w:bCs/>
                <w:color w:val="auto"/>
                <w:sz w:val="24"/>
              </w:rPr>
            </w:pPr>
            <w:r>
              <w:rPr>
                <w:rFonts w:hint="eastAsia"/>
                <w:b/>
                <w:bCs/>
                <w:color w:val="auto"/>
                <w:sz w:val="24"/>
              </w:rPr>
              <w:t>1.1</w:t>
            </w:r>
            <w:r>
              <w:rPr>
                <w:b/>
                <w:bCs/>
                <w:color w:val="auto"/>
                <w:sz w:val="24"/>
              </w:rPr>
              <w:t>评价因子和评价标准筛选</w:t>
            </w:r>
          </w:p>
          <w:p>
            <w:pPr>
              <w:autoSpaceDE w:val="0"/>
              <w:autoSpaceDN w:val="0"/>
              <w:spacing w:line="360" w:lineRule="auto"/>
              <w:ind w:firstLine="482"/>
              <w:rPr>
                <w:bCs/>
                <w:color w:val="auto"/>
                <w:sz w:val="24"/>
              </w:rPr>
            </w:pPr>
            <w:r>
              <w:rPr>
                <w:bCs/>
                <w:color w:val="auto"/>
                <w:sz w:val="24"/>
              </w:rPr>
              <w:t>本次评价TSP</w:t>
            </w:r>
            <w:r>
              <w:rPr>
                <w:bCs/>
                <w:color w:val="auto"/>
                <w:sz w:val="24"/>
                <w:szCs w:val="24"/>
              </w:rPr>
              <w:t>执行《环境空气质量标准》（GB3095-2012）</w:t>
            </w:r>
            <w:r>
              <w:rPr>
                <w:rFonts w:hint="eastAsia"/>
                <w:bCs/>
                <w:color w:val="auto"/>
                <w:sz w:val="24"/>
                <w:szCs w:val="24"/>
              </w:rPr>
              <w:t>及其2018年修改单</w:t>
            </w:r>
            <w:r>
              <w:rPr>
                <w:bCs/>
                <w:color w:val="auto"/>
                <w:sz w:val="24"/>
                <w:szCs w:val="24"/>
              </w:rPr>
              <w:t>二级标准。</w:t>
            </w:r>
            <w:r>
              <w:rPr>
                <w:color w:val="auto"/>
                <w:sz w:val="24"/>
                <w:szCs w:val="24"/>
              </w:rPr>
              <w:t>评价因子和评价标准表见表</w:t>
            </w:r>
            <w:r>
              <w:rPr>
                <w:rFonts w:hint="eastAsia"/>
                <w:color w:val="auto"/>
                <w:sz w:val="24"/>
                <w:szCs w:val="24"/>
                <w:lang w:val="en-US" w:eastAsia="zh-CN"/>
              </w:rPr>
              <w:t>13</w:t>
            </w:r>
            <w:r>
              <w:rPr>
                <w:bCs/>
                <w:color w:val="auto"/>
                <w:sz w:val="24"/>
              </w:rPr>
              <w:t>。</w:t>
            </w:r>
          </w:p>
          <w:p>
            <w:pPr>
              <w:spacing w:line="240" w:lineRule="auto"/>
              <w:jc w:val="center"/>
              <w:rPr>
                <w:rFonts w:hint="eastAsia" w:ascii="黑体" w:hAnsi="黑体" w:eastAsia="黑体" w:cs="黑体"/>
                <w:b w:val="0"/>
                <w:bCs w:val="0"/>
                <w:sz w:val="24"/>
                <w:highlight w:val="none"/>
                <w:lang w:eastAsia="zh-CN"/>
              </w:rPr>
            </w:pPr>
            <w:r>
              <w:rPr>
                <w:rFonts w:hint="eastAsia" w:ascii="黑体" w:hAnsi="黑体" w:eastAsia="黑体" w:cs="黑体"/>
                <w:b w:val="0"/>
                <w:bCs w:val="0"/>
                <w:sz w:val="24"/>
                <w:highlight w:val="none"/>
                <w:lang w:eastAsia="zh-CN"/>
              </w:rPr>
              <w:t>表</w:t>
            </w:r>
            <w:r>
              <w:rPr>
                <w:rFonts w:hint="eastAsia" w:ascii="黑体" w:hAnsi="黑体" w:eastAsia="黑体" w:cs="黑体"/>
                <w:b w:val="0"/>
                <w:bCs w:val="0"/>
                <w:sz w:val="24"/>
                <w:highlight w:val="none"/>
                <w:lang w:val="en-US" w:eastAsia="zh-CN"/>
              </w:rPr>
              <w:t>13</w:t>
            </w:r>
            <w:r>
              <w:rPr>
                <w:rFonts w:hint="eastAsia" w:ascii="黑体" w:hAnsi="黑体" w:eastAsia="黑体" w:cs="黑体"/>
                <w:b w:val="0"/>
                <w:bCs w:val="0"/>
                <w:sz w:val="24"/>
                <w:highlight w:val="none"/>
                <w:lang w:eastAsia="zh-CN"/>
              </w:rPr>
              <w:t xml:space="preserve">  评价标准</w:t>
            </w:r>
          </w:p>
          <w:tbl>
            <w:tblPr>
              <w:tblStyle w:val="31"/>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63"/>
              <w:gridCol w:w="2358"/>
              <w:gridCol w:w="1785"/>
              <w:gridCol w:w="416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3" w:hRule="atLeast"/>
                <w:tblHeader/>
                <w:jc w:val="center"/>
              </w:trPr>
              <w:tc>
                <w:tcPr>
                  <w:tcW w:w="421" w:type="pct"/>
                  <w:tcBorders>
                    <w:tl2br w:val="nil"/>
                    <w:tr2bl w:val="nil"/>
                  </w:tcBorders>
                  <w:vAlign w:val="center"/>
                </w:tcPr>
                <w:p>
                  <w:pPr>
                    <w:spacing w:line="240" w:lineRule="auto"/>
                    <w:jc w:val="center"/>
                    <w:rPr>
                      <w:bCs/>
                      <w:color w:val="auto"/>
                      <w:szCs w:val="21"/>
                    </w:rPr>
                  </w:pPr>
                  <w:r>
                    <w:rPr>
                      <w:bCs/>
                      <w:color w:val="auto"/>
                      <w:szCs w:val="21"/>
                    </w:rPr>
                    <w:t>序号</w:t>
                  </w:r>
                </w:p>
              </w:tc>
              <w:tc>
                <w:tcPr>
                  <w:tcW w:w="1300" w:type="pct"/>
                  <w:tcBorders>
                    <w:tl2br w:val="nil"/>
                    <w:tr2bl w:val="nil"/>
                  </w:tcBorders>
                  <w:vAlign w:val="center"/>
                </w:tcPr>
                <w:p>
                  <w:pPr>
                    <w:spacing w:line="240" w:lineRule="auto"/>
                    <w:jc w:val="center"/>
                    <w:rPr>
                      <w:bCs/>
                      <w:color w:val="auto"/>
                      <w:szCs w:val="21"/>
                    </w:rPr>
                  </w:pPr>
                  <w:r>
                    <w:rPr>
                      <w:bCs/>
                      <w:color w:val="auto"/>
                      <w:szCs w:val="21"/>
                    </w:rPr>
                    <w:t>污染物名称</w:t>
                  </w:r>
                </w:p>
              </w:tc>
              <w:tc>
                <w:tcPr>
                  <w:tcW w:w="984" w:type="pct"/>
                  <w:tcBorders>
                    <w:tl2br w:val="nil"/>
                    <w:tr2bl w:val="nil"/>
                  </w:tcBorders>
                  <w:vAlign w:val="center"/>
                </w:tcPr>
                <w:p>
                  <w:pPr>
                    <w:spacing w:line="240" w:lineRule="auto"/>
                    <w:jc w:val="center"/>
                    <w:rPr>
                      <w:bCs/>
                      <w:color w:val="auto"/>
                      <w:szCs w:val="21"/>
                    </w:rPr>
                  </w:pPr>
                  <w:r>
                    <w:rPr>
                      <w:rFonts w:hint="eastAsia"/>
                      <w:bCs/>
                      <w:color w:val="auto"/>
                      <w:szCs w:val="21"/>
                      <w:lang w:eastAsia="zh-CN"/>
                    </w:rPr>
                    <w:t>标准</w:t>
                  </w:r>
                  <w:r>
                    <w:rPr>
                      <w:bCs/>
                      <w:color w:val="auto"/>
                      <w:szCs w:val="21"/>
                    </w:rPr>
                    <w:t>值（μg/m</w:t>
                  </w:r>
                  <w:r>
                    <w:rPr>
                      <w:bCs/>
                      <w:color w:val="auto"/>
                      <w:szCs w:val="21"/>
                      <w:vertAlign w:val="superscript"/>
                    </w:rPr>
                    <w:t>3</w:t>
                  </w:r>
                  <w:r>
                    <w:rPr>
                      <w:bCs/>
                      <w:color w:val="auto"/>
                      <w:szCs w:val="21"/>
                    </w:rPr>
                    <w:t>）</w:t>
                  </w:r>
                </w:p>
              </w:tc>
              <w:tc>
                <w:tcPr>
                  <w:tcW w:w="2293" w:type="pct"/>
                  <w:tcBorders>
                    <w:tl2br w:val="nil"/>
                    <w:tr2bl w:val="nil"/>
                  </w:tcBorders>
                  <w:vAlign w:val="center"/>
                </w:tcPr>
                <w:p>
                  <w:pPr>
                    <w:spacing w:line="240" w:lineRule="auto"/>
                    <w:jc w:val="center"/>
                    <w:rPr>
                      <w:bCs/>
                      <w:color w:val="auto"/>
                      <w:szCs w:val="21"/>
                    </w:rPr>
                  </w:pPr>
                  <w:r>
                    <w:rPr>
                      <w:color w:val="auto"/>
                      <w:szCs w:val="21"/>
                    </w:rPr>
                    <w:t>标准来源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421" w:type="pct"/>
                  <w:tcBorders>
                    <w:tl2br w:val="nil"/>
                    <w:tr2bl w:val="nil"/>
                  </w:tcBorders>
                  <w:vAlign w:val="center"/>
                </w:tcPr>
                <w:p>
                  <w:pPr>
                    <w:spacing w:line="240" w:lineRule="auto"/>
                    <w:jc w:val="center"/>
                    <w:rPr>
                      <w:bCs/>
                      <w:color w:val="auto"/>
                      <w:szCs w:val="21"/>
                    </w:rPr>
                  </w:pPr>
                  <w:r>
                    <w:rPr>
                      <w:bCs/>
                      <w:color w:val="auto"/>
                      <w:szCs w:val="21"/>
                    </w:rPr>
                    <w:t>1</w:t>
                  </w:r>
                </w:p>
              </w:tc>
              <w:tc>
                <w:tcPr>
                  <w:tcW w:w="1300" w:type="pct"/>
                  <w:tcBorders>
                    <w:tl2br w:val="nil"/>
                    <w:tr2bl w:val="nil"/>
                  </w:tcBorders>
                  <w:vAlign w:val="center"/>
                </w:tcPr>
                <w:p>
                  <w:pPr>
                    <w:spacing w:line="240" w:lineRule="auto"/>
                    <w:jc w:val="center"/>
                    <w:rPr>
                      <w:rFonts w:ascii="Times New Roman" w:hAnsi="Times New Roman" w:eastAsia="宋体" w:cs="Times New Roman"/>
                      <w:bCs/>
                      <w:color w:val="auto"/>
                      <w:kern w:val="2"/>
                      <w:sz w:val="21"/>
                      <w:szCs w:val="21"/>
                      <w:lang w:val="en-US" w:eastAsia="zh-CN" w:bidi="ar-SA"/>
                    </w:rPr>
                  </w:pPr>
                  <w:r>
                    <w:rPr>
                      <w:bCs/>
                      <w:color w:val="auto"/>
                      <w:szCs w:val="21"/>
                    </w:rPr>
                    <w:t>TSP</w:t>
                  </w:r>
                </w:p>
              </w:tc>
              <w:tc>
                <w:tcPr>
                  <w:tcW w:w="984" w:type="pct"/>
                  <w:tcBorders>
                    <w:tl2br w:val="nil"/>
                    <w:tr2bl w:val="nil"/>
                  </w:tcBorders>
                  <w:vAlign w:val="center"/>
                </w:tcPr>
                <w:p>
                  <w:pPr>
                    <w:spacing w:line="240" w:lineRule="auto"/>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lang w:val="en-US" w:eastAsia="zh-CN"/>
                    </w:rPr>
                    <w:t>900</w:t>
                  </w:r>
                </w:p>
              </w:tc>
              <w:tc>
                <w:tcPr>
                  <w:tcW w:w="2293" w:type="pct"/>
                  <w:tcBorders>
                    <w:tl2br w:val="nil"/>
                    <w:tr2bl w:val="nil"/>
                  </w:tcBorders>
                  <w:vAlign w:val="center"/>
                </w:tcPr>
                <w:p>
                  <w:pPr>
                    <w:spacing w:line="240" w:lineRule="auto"/>
                    <w:jc w:val="center"/>
                    <w:rPr>
                      <w:bCs/>
                      <w:color w:val="auto"/>
                      <w:szCs w:val="21"/>
                    </w:rPr>
                  </w:pPr>
                  <w:r>
                    <w:rPr>
                      <w:bCs/>
                      <w:color w:val="auto"/>
                      <w:szCs w:val="21"/>
                    </w:rPr>
                    <w:t>《环境质量标准》（GB3095-2012）及其2018年修改单</w:t>
                  </w:r>
                </w:p>
              </w:tc>
            </w:tr>
          </w:tbl>
          <w:p>
            <w:pPr>
              <w:adjustRightInd w:val="0"/>
              <w:snapToGrid w:val="0"/>
              <w:spacing w:line="240" w:lineRule="exact"/>
              <w:ind w:firstLine="420" w:firstLineChars="200"/>
              <w:jc w:val="both"/>
              <w:rPr>
                <w:rFonts w:hint="default" w:eastAsia="宋体"/>
                <w:color w:val="auto"/>
                <w:sz w:val="24"/>
                <w:lang w:val="en-US" w:eastAsia="zh-CN"/>
              </w:rPr>
            </w:pPr>
            <w:r>
              <w:rPr>
                <w:rFonts w:ascii="Times New Roman" w:hAnsi="Times New Roman"/>
                <w:color w:val="auto"/>
                <w:sz w:val="21"/>
                <w:szCs w:val="21"/>
              </w:rPr>
              <w:t>注：</w:t>
            </w:r>
            <w:r>
              <w:rPr>
                <w:rFonts w:hint="eastAsia"/>
                <w:color w:val="auto"/>
                <w:sz w:val="21"/>
                <w:szCs w:val="21"/>
                <w:lang w:eastAsia="zh-CN"/>
              </w:rPr>
              <w:t>《</w:t>
            </w:r>
            <w:r>
              <w:rPr>
                <w:rFonts w:ascii="Times New Roman" w:hAnsi="Times New Roman"/>
                <w:color w:val="auto"/>
                <w:sz w:val="21"/>
                <w:szCs w:val="21"/>
              </w:rPr>
              <w:t>环境空气质量标准</w:t>
            </w:r>
            <w:r>
              <w:rPr>
                <w:rFonts w:hint="eastAsia"/>
                <w:color w:val="auto"/>
                <w:sz w:val="21"/>
                <w:szCs w:val="21"/>
                <w:lang w:eastAsia="zh-CN"/>
              </w:rPr>
              <w:t>》</w:t>
            </w:r>
            <w:r>
              <w:rPr>
                <w:rFonts w:ascii="Times New Roman" w:hAnsi="Times New Roman"/>
                <w:color w:val="auto"/>
                <w:sz w:val="21"/>
                <w:szCs w:val="21"/>
              </w:rPr>
              <w:t>（GB3095-2012）</w:t>
            </w:r>
            <w:r>
              <w:rPr>
                <w:rFonts w:hint="eastAsia" w:ascii="Times New Roman" w:hAnsi="Times New Roman"/>
                <w:color w:val="auto"/>
                <w:sz w:val="21"/>
                <w:szCs w:val="21"/>
                <w:lang w:eastAsia="zh-CN"/>
              </w:rPr>
              <w:t>及其</w:t>
            </w:r>
            <w:r>
              <w:rPr>
                <w:rFonts w:hint="eastAsia" w:ascii="Times New Roman" w:hAnsi="Times New Roman"/>
                <w:color w:val="auto"/>
                <w:sz w:val="21"/>
                <w:szCs w:val="21"/>
                <w:lang w:val="en-US" w:eastAsia="zh-CN"/>
              </w:rPr>
              <w:t>2018年修改单</w:t>
            </w:r>
            <w:r>
              <w:rPr>
                <w:rFonts w:ascii="Times New Roman" w:hAnsi="Times New Roman"/>
                <w:color w:val="auto"/>
                <w:sz w:val="21"/>
                <w:szCs w:val="21"/>
              </w:rPr>
              <w:t>中</w:t>
            </w:r>
            <w:r>
              <w:rPr>
                <w:rFonts w:hint="eastAsia"/>
                <w:color w:val="auto"/>
                <w:sz w:val="21"/>
                <w:szCs w:val="21"/>
                <w:vertAlign w:val="baseline"/>
                <w:lang w:val="en-US" w:eastAsia="zh-CN"/>
              </w:rPr>
              <w:t>TSP</w:t>
            </w:r>
            <w:r>
              <w:rPr>
                <w:rFonts w:ascii="Times New Roman" w:hAnsi="Times New Roman"/>
                <w:color w:val="auto"/>
                <w:sz w:val="21"/>
                <w:szCs w:val="21"/>
              </w:rPr>
              <w:t>无</w:t>
            </w:r>
            <w:r>
              <w:rPr>
                <w:rFonts w:hint="eastAsia"/>
                <w:color w:val="auto"/>
                <w:sz w:val="21"/>
                <w:szCs w:val="21"/>
                <w:lang w:val="en-US" w:eastAsia="zh-CN"/>
              </w:rPr>
              <w:t>1</w:t>
            </w:r>
            <w:r>
              <w:rPr>
                <w:rFonts w:ascii="Times New Roman" w:hAnsi="Times New Roman"/>
                <w:color w:val="auto"/>
                <w:sz w:val="21"/>
                <w:szCs w:val="21"/>
              </w:rPr>
              <w:t>小时质量标准，根据《环境影响评价技术导则——大气环境》（HJ2.2-2018）5.3.2.1中相关规定，此次预测评价标准</w:t>
            </w:r>
            <w:r>
              <w:rPr>
                <w:rFonts w:hint="eastAsia"/>
                <w:color w:val="auto"/>
                <w:sz w:val="21"/>
                <w:szCs w:val="21"/>
                <w:vertAlign w:val="baseline"/>
                <w:lang w:val="en-US" w:eastAsia="zh-CN"/>
              </w:rPr>
              <w:t>TSP</w:t>
            </w:r>
            <w:r>
              <w:rPr>
                <w:rFonts w:ascii="Times New Roman" w:hAnsi="Times New Roman"/>
                <w:color w:val="auto"/>
                <w:sz w:val="21"/>
                <w:szCs w:val="21"/>
              </w:rPr>
              <w:t>取</w:t>
            </w:r>
            <w:r>
              <w:rPr>
                <w:rFonts w:hint="eastAsia"/>
                <w:color w:val="auto"/>
                <w:sz w:val="21"/>
                <w:szCs w:val="21"/>
                <w:lang w:eastAsia="zh-CN"/>
              </w:rPr>
              <w:t>对应</w:t>
            </w:r>
            <w:r>
              <w:rPr>
                <w:rFonts w:ascii="Times New Roman" w:hAnsi="Times New Roman"/>
                <w:color w:val="auto"/>
                <w:sz w:val="21"/>
                <w:szCs w:val="21"/>
              </w:rPr>
              <w:t>日均值3倍，即</w:t>
            </w:r>
            <w:r>
              <w:rPr>
                <w:rFonts w:hint="default" w:ascii="Times New Roman" w:hAnsi="Times New Roman"/>
                <w:color w:val="auto"/>
                <w:sz w:val="21"/>
                <w:szCs w:val="21"/>
              </w:rPr>
              <w:t>：</w:t>
            </w:r>
            <w:r>
              <w:rPr>
                <w:rFonts w:hint="eastAsia"/>
                <w:color w:val="auto"/>
                <w:sz w:val="21"/>
                <w:szCs w:val="21"/>
                <w:vertAlign w:val="baseline"/>
                <w:lang w:val="en-US" w:eastAsia="zh-CN"/>
              </w:rPr>
              <w:t>900</w:t>
            </w:r>
            <w:r>
              <w:rPr>
                <w:rFonts w:hint="default" w:ascii="Times New Roman" w:hAnsi="Times New Roman"/>
                <w:color w:val="auto"/>
                <w:sz w:val="21"/>
                <w:szCs w:val="21"/>
              </w:rPr>
              <w:t>μg/m</w:t>
            </w:r>
            <w:r>
              <w:rPr>
                <w:rFonts w:hint="default" w:ascii="Times New Roman" w:hAnsi="Times New Roman"/>
                <w:color w:val="auto"/>
                <w:sz w:val="21"/>
                <w:szCs w:val="21"/>
                <w:vertAlign w:val="superscript"/>
              </w:rPr>
              <w:t>3</w:t>
            </w:r>
            <w:r>
              <w:rPr>
                <w:rFonts w:hint="eastAsia"/>
                <w:color w:val="auto"/>
                <w:sz w:val="21"/>
                <w:szCs w:val="21"/>
                <w:lang w:eastAsia="zh-CN"/>
              </w:rPr>
              <w:t>。</w:t>
            </w:r>
          </w:p>
          <w:p>
            <w:pPr>
              <w:keepNext/>
              <w:keepLines/>
              <w:spacing w:before="80" w:after="80" w:line="360" w:lineRule="auto"/>
              <w:ind w:firstLine="472" w:firstLineChars="196"/>
              <w:outlineLvl w:val="2"/>
              <w:rPr>
                <w:b/>
                <w:bCs/>
                <w:sz w:val="24"/>
              </w:rPr>
            </w:pPr>
            <w:r>
              <w:rPr>
                <w:rFonts w:hint="eastAsia"/>
                <w:b/>
                <w:bCs/>
                <w:sz w:val="24"/>
              </w:rPr>
              <w:t>1.</w:t>
            </w:r>
            <w:r>
              <w:rPr>
                <w:rFonts w:hint="eastAsia"/>
                <w:b/>
                <w:bCs/>
                <w:sz w:val="24"/>
                <w:lang w:val="en-US" w:eastAsia="zh-CN"/>
              </w:rPr>
              <w:t>2</w:t>
            </w:r>
            <w:r>
              <w:rPr>
                <w:rFonts w:hint="eastAsia"/>
                <w:b/>
                <w:bCs/>
                <w:sz w:val="24"/>
              </w:rPr>
              <w:t>预测参数</w:t>
            </w:r>
          </w:p>
          <w:p>
            <w:pPr>
              <w:spacing w:line="360" w:lineRule="auto"/>
              <w:ind w:firstLine="480" w:firstLineChars="200"/>
              <w:jc w:val="left"/>
              <w:rPr>
                <w:color w:val="auto"/>
                <w:sz w:val="24"/>
              </w:rPr>
            </w:pPr>
            <w:r>
              <w:rPr>
                <w:color w:val="auto"/>
                <w:sz w:val="24"/>
              </w:rPr>
              <w:t>根据《环境影响评价技术导则大气环境》（HJ2.2-20</w:t>
            </w:r>
            <w:r>
              <w:rPr>
                <w:rFonts w:hint="eastAsia"/>
                <w:color w:val="auto"/>
                <w:sz w:val="24"/>
              </w:rPr>
              <w:t>1</w:t>
            </w:r>
            <w:r>
              <w:rPr>
                <w:color w:val="auto"/>
                <w:sz w:val="24"/>
              </w:rPr>
              <w:t>8）规定的评价工作级别的划分原则和方法，选择推荐模式中的估算</w:t>
            </w:r>
            <w:r>
              <w:rPr>
                <w:rFonts w:hint="eastAsia"/>
                <w:color w:val="auto"/>
                <w:sz w:val="24"/>
              </w:rPr>
              <w:t>模型AERSCREEN</w:t>
            </w:r>
            <w:r>
              <w:rPr>
                <w:color w:val="auto"/>
                <w:sz w:val="24"/>
              </w:rPr>
              <w:t>对项目的大气环境评价工作进行分级。评价选取</w:t>
            </w:r>
            <w:r>
              <w:rPr>
                <w:rFonts w:hint="eastAsia"/>
                <w:color w:val="auto"/>
                <w:sz w:val="24"/>
              </w:rPr>
              <w:t>TSP</w:t>
            </w:r>
            <w:r>
              <w:rPr>
                <w:color w:val="auto"/>
                <w:sz w:val="24"/>
              </w:rPr>
              <w:t>计算其最大地面浓度占标率P</w:t>
            </w:r>
            <w:r>
              <w:rPr>
                <w:color w:val="auto"/>
                <w:sz w:val="24"/>
                <w:vertAlign w:val="subscript"/>
              </w:rPr>
              <w:t>i</w:t>
            </w:r>
            <w:r>
              <w:rPr>
                <w:color w:val="auto"/>
                <w:sz w:val="24"/>
              </w:rPr>
              <w:t>及第i个污染物的地面浓度达标准限值10%时所对应的最远距离D</w:t>
            </w:r>
            <w:r>
              <w:rPr>
                <w:color w:val="auto"/>
                <w:sz w:val="24"/>
                <w:vertAlign w:val="subscript"/>
              </w:rPr>
              <w:t>10%</w:t>
            </w:r>
            <w:r>
              <w:rPr>
                <w:color w:val="auto"/>
                <w:sz w:val="24"/>
              </w:rPr>
              <w:t>。</w:t>
            </w:r>
          </w:p>
          <w:p>
            <w:pPr>
              <w:spacing w:line="360" w:lineRule="auto"/>
              <w:ind w:firstLine="480" w:firstLineChars="200"/>
              <w:jc w:val="left"/>
              <w:rPr>
                <w:rFonts w:hint="eastAsia"/>
                <w:color w:val="auto"/>
                <w:sz w:val="24"/>
              </w:rPr>
            </w:pPr>
            <w:r>
              <w:rPr>
                <w:rFonts w:hint="eastAsia"/>
                <w:bCs/>
                <w:color w:val="auto"/>
                <w:sz w:val="24"/>
                <w:lang w:eastAsia="zh-CN"/>
              </w:rPr>
              <w:t>本项目</w:t>
            </w:r>
            <w:r>
              <w:rPr>
                <w:rFonts w:hint="eastAsia"/>
                <w:bCs/>
                <w:color w:val="auto"/>
                <w:sz w:val="24"/>
              </w:rPr>
              <w:t>排放污染物源强参数见表</w:t>
            </w:r>
            <w:r>
              <w:rPr>
                <w:rFonts w:hint="eastAsia"/>
                <w:bCs/>
                <w:color w:val="auto"/>
                <w:sz w:val="24"/>
                <w:lang w:val="en-US" w:eastAsia="zh-CN"/>
              </w:rPr>
              <w:t>14</w:t>
            </w:r>
            <w:r>
              <w:rPr>
                <w:rFonts w:hint="eastAsia"/>
                <w:bCs/>
                <w:color w:val="auto"/>
                <w:sz w:val="24"/>
                <w:lang w:eastAsia="zh-CN"/>
              </w:rPr>
              <w:t>，</w:t>
            </w:r>
            <w:r>
              <w:rPr>
                <w:rFonts w:hint="eastAsia"/>
                <w:bCs/>
                <w:color w:val="auto"/>
                <w:sz w:val="24"/>
              </w:rPr>
              <w:t>估算模型参数见表</w:t>
            </w:r>
            <w:r>
              <w:rPr>
                <w:rFonts w:hint="eastAsia"/>
                <w:bCs/>
                <w:color w:val="auto"/>
                <w:sz w:val="24"/>
                <w:lang w:val="en-US" w:eastAsia="zh-CN"/>
              </w:rPr>
              <w:t>15</w:t>
            </w:r>
            <w:r>
              <w:rPr>
                <w:rFonts w:hint="eastAsia"/>
                <w:color w:val="auto"/>
                <w:sz w:val="24"/>
              </w:rPr>
              <w:t>。</w:t>
            </w:r>
          </w:p>
          <w:p>
            <w:pPr>
              <w:spacing w:line="240" w:lineRule="auto"/>
              <w:jc w:val="center"/>
              <w:rPr>
                <w:rFonts w:hint="eastAsia" w:ascii="黑体" w:hAnsi="黑体" w:eastAsia="黑体" w:cs="黑体"/>
                <w:b w:val="0"/>
                <w:bCs w:val="0"/>
                <w:sz w:val="24"/>
                <w:highlight w:val="none"/>
                <w:lang w:eastAsia="zh-CN"/>
              </w:rPr>
            </w:pPr>
            <w:r>
              <w:rPr>
                <w:rFonts w:hint="eastAsia" w:ascii="黑体" w:hAnsi="黑体" w:eastAsia="黑体" w:cs="黑体"/>
                <w:b w:val="0"/>
                <w:bCs w:val="0"/>
                <w:sz w:val="24"/>
                <w:highlight w:val="none"/>
                <w:lang w:eastAsia="zh-CN"/>
              </w:rPr>
              <w:t>表</w:t>
            </w:r>
            <w:r>
              <w:rPr>
                <w:rFonts w:hint="eastAsia" w:ascii="黑体" w:hAnsi="黑体" w:eastAsia="黑体" w:cs="黑体"/>
                <w:b w:val="0"/>
                <w:bCs w:val="0"/>
                <w:sz w:val="24"/>
                <w:highlight w:val="none"/>
                <w:lang w:val="en-US" w:eastAsia="zh-CN"/>
              </w:rPr>
              <w:t>14</w:t>
            </w:r>
            <w:r>
              <w:rPr>
                <w:rFonts w:hint="eastAsia" w:ascii="黑体" w:hAnsi="黑体" w:eastAsia="黑体" w:cs="黑体"/>
                <w:b w:val="0"/>
                <w:bCs w:val="0"/>
                <w:sz w:val="24"/>
                <w:highlight w:val="none"/>
                <w:lang w:eastAsia="zh-CN"/>
              </w:rPr>
              <w:t xml:space="preserve">  无组织排放预测参数一览表</w:t>
            </w:r>
          </w:p>
          <w:tbl>
            <w:tblPr>
              <w:tblStyle w:val="32"/>
              <w:tblW w:w="9061" w:type="dxa"/>
              <w:tblInd w:w="-1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981"/>
              <w:gridCol w:w="1417"/>
              <w:gridCol w:w="1258"/>
              <w:gridCol w:w="1010"/>
              <w:gridCol w:w="1134"/>
              <w:gridCol w:w="1134"/>
              <w:gridCol w:w="112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981" w:type="dxa"/>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污染源</w:t>
                  </w:r>
                </w:p>
              </w:tc>
              <w:tc>
                <w:tcPr>
                  <w:tcW w:w="1417" w:type="dxa"/>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污染因子</w:t>
                  </w:r>
                </w:p>
              </w:tc>
              <w:tc>
                <w:tcPr>
                  <w:tcW w:w="1258" w:type="dxa"/>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年排放小时数（h）</w:t>
                  </w:r>
                </w:p>
              </w:tc>
              <w:tc>
                <w:tcPr>
                  <w:tcW w:w="1010" w:type="dxa"/>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速率（kg/h）</w:t>
                  </w:r>
                </w:p>
              </w:tc>
              <w:tc>
                <w:tcPr>
                  <w:tcW w:w="1134" w:type="dxa"/>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面源长度（m）</w:t>
                  </w:r>
                </w:p>
              </w:tc>
              <w:tc>
                <w:tcPr>
                  <w:tcW w:w="1134" w:type="dxa"/>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面源宽度（m）</w:t>
                  </w:r>
                </w:p>
              </w:tc>
              <w:tc>
                <w:tcPr>
                  <w:tcW w:w="1127" w:type="dxa"/>
                  <w:tcBorders>
                    <w:right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面源高度（m）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981" w:type="dxa"/>
                  <w:tcBorders>
                    <w:left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MF001（</w:t>
                  </w:r>
                  <w:r>
                    <w:rPr>
                      <w:rFonts w:hint="eastAsia" w:cs="Times New Roman"/>
                      <w:bCs/>
                      <w:color w:val="auto"/>
                      <w:szCs w:val="21"/>
                      <w:lang w:val="en-US" w:eastAsia="zh-CN"/>
                    </w:rPr>
                    <w:t>焊接加工区</w:t>
                  </w:r>
                  <w:r>
                    <w:rPr>
                      <w:rFonts w:hint="default" w:ascii="Times New Roman" w:hAnsi="Times New Roman" w:cs="Times New Roman"/>
                      <w:bCs/>
                      <w:color w:val="auto"/>
                      <w:szCs w:val="21"/>
                      <w:lang w:val="en-US" w:eastAsia="zh-CN"/>
                    </w:rPr>
                    <w:t>）</w:t>
                  </w:r>
                </w:p>
              </w:tc>
              <w:tc>
                <w:tcPr>
                  <w:tcW w:w="1417" w:type="dxa"/>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颗粒物</w:t>
                  </w:r>
                </w:p>
              </w:tc>
              <w:tc>
                <w:tcPr>
                  <w:tcW w:w="1258" w:type="dxa"/>
                  <w:vAlign w:val="center"/>
                </w:tcPr>
                <w:p>
                  <w:pPr>
                    <w:jc w:val="center"/>
                    <w:rPr>
                      <w:rFonts w:hint="default" w:ascii="宋体" w:hAnsi="宋体" w:eastAsia="宋体" w:cs="宋体"/>
                      <w:i w:val="0"/>
                      <w:color w:val="000000"/>
                      <w:sz w:val="22"/>
                      <w:szCs w:val="22"/>
                      <w:u w:val="none"/>
                      <w:lang w:val="en-US" w:eastAsia="zh-CN"/>
                    </w:rPr>
                  </w:pPr>
                  <w:r>
                    <w:rPr>
                      <w:rFonts w:hint="eastAsia" w:cs="Times New Roman"/>
                      <w:bCs/>
                      <w:color w:val="auto"/>
                      <w:szCs w:val="21"/>
                      <w:lang w:val="en-US" w:eastAsia="zh-CN"/>
                    </w:rPr>
                    <w:t>1200</w:t>
                  </w:r>
                </w:p>
              </w:tc>
              <w:tc>
                <w:tcPr>
                  <w:tcW w:w="1010" w:type="dxa"/>
                  <w:vAlign w:val="center"/>
                </w:tcPr>
                <w:p>
                  <w:pPr>
                    <w:keepNext w:val="0"/>
                    <w:keepLines w:val="0"/>
                    <w:widowControl/>
                    <w:suppressLineNumbers w:val="0"/>
                    <w:jc w:val="center"/>
                    <w:textAlignment w:val="top"/>
                    <w:rPr>
                      <w:rFonts w:hint="default" w:ascii="Times New Roman" w:hAnsi="Times New Roman" w:cs="Times New Roman"/>
                      <w:bCs/>
                      <w:color w:val="auto"/>
                      <w:szCs w:val="21"/>
                      <w:lang w:val="en-US" w:eastAsia="zh-CN"/>
                    </w:rPr>
                  </w:pPr>
                  <w:r>
                    <w:rPr>
                      <w:rFonts w:hint="default" w:ascii="Times New Roman" w:hAnsi="Times New Roman" w:cs="Times New Roman"/>
                      <w:color w:val="auto"/>
                      <w:sz w:val="21"/>
                      <w:szCs w:val="21"/>
                      <w:lang w:val="en-US" w:eastAsia="zh-CN"/>
                    </w:rPr>
                    <w:t>0.0</w:t>
                  </w:r>
                  <w:r>
                    <w:rPr>
                      <w:rFonts w:hint="eastAsia" w:cs="Times New Roman"/>
                      <w:color w:val="auto"/>
                      <w:sz w:val="21"/>
                      <w:szCs w:val="21"/>
                      <w:lang w:val="en-US" w:eastAsia="zh-CN"/>
                    </w:rPr>
                    <w:t>202</w:t>
                  </w:r>
                </w:p>
              </w:tc>
              <w:tc>
                <w:tcPr>
                  <w:tcW w:w="1134" w:type="dxa"/>
                  <w:vAlign w:val="center"/>
                </w:tcPr>
                <w:p>
                  <w:pPr>
                    <w:spacing w:line="240" w:lineRule="auto"/>
                    <w:jc w:val="center"/>
                    <w:rPr>
                      <w:rFonts w:hint="default" w:ascii="Times New Roman" w:hAnsi="Times New Roman" w:cs="Times New Roman"/>
                      <w:bCs/>
                      <w:color w:val="auto"/>
                      <w:szCs w:val="21"/>
                      <w:highlight w:val="none"/>
                      <w:lang w:val="en-US" w:eastAsia="zh-CN"/>
                    </w:rPr>
                  </w:pPr>
                  <w:r>
                    <w:rPr>
                      <w:rFonts w:hint="eastAsia" w:cs="Times New Roman"/>
                      <w:bCs/>
                      <w:color w:val="auto"/>
                      <w:szCs w:val="21"/>
                      <w:highlight w:val="none"/>
                      <w:lang w:val="en-US" w:eastAsia="zh-CN"/>
                    </w:rPr>
                    <w:t>40</w:t>
                  </w:r>
                </w:p>
              </w:tc>
              <w:tc>
                <w:tcPr>
                  <w:tcW w:w="1134" w:type="dxa"/>
                  <w:vAlign w:val="center"/>
                </w:tcPr>
                <w:p>
                  <w:pPr>
                    <w:spacing w:line="240" w:lineRule="auto"/>
                    <w:jc w:val="center"/>
                    <w:rPr>
                      <w:rFonts w:hint="default" w:ascii="Times New Roman" w:hAnsi="Times New Roman" w:cs="Times New Roman"/>
                      <w:bCs/>
                      <w:color w:val="auto"/>
                      <w:szCs w:val="21"/>
                      <w:highlight w:val="none"/>
                      <w:lang w:val="en-US" w:eastAsia="zh-CN"/>
                    </w:rPr>
                  </w:pPr>
                  <w:r>
                    <w:rPr>
                      <w:rFonts w:hint="eastAsia" w:cs="Times New Roman"/>
                      <w:bCs/>
                      <w:color w:val="auto"/>
                      <w:szCs w:val="21"/>
                      <w:highlight w:val="none"/>
                      <w:lang w:val="en-US" w:eastAsia="zh-CN"/>
                    </w:rPr>
                    <w:t>16</w:t>
                  </w:r>
                </w:p>
              </w:tc>
              <w:tc>
                <w:tcPr>
                  <w:tcW w:w="1127" w:type="dxa"/>
                  <w:tcBorders>
                    <w:right w:val="nil"/>
                  </w:tcBorders>
                  <w:vAlign w:val="center"/>
                </w:tcPr>
                <w:p>
                  <w:pPr>
                    <w:spacing w:line="240" w:lineRule="auto"/>
                    <w:jc w:val="center"/>
                    <w:rPr>
                      <w:rFonts w:hint="default" w:ascii="Times New Roman" w:hAnsi="Times New Roman" w:cs="Times New Roman"/>
                      <w:bCs/>
                      <w:color w:val="auto"/>
                      <w:szCs w:val="21"/>
                      <w:highlight w:val="none"/>
                      <w:lang w:val="en-US" w:eastAsia="zh-CN"/>
                    </w:rPr>
                  </w:pPr>
                  <w:r>
                    <w:rPr>
                      <w:rFonts w:hint="eastAsia" w:cs="Times New Roman"/>
                      <w:bCs/>
                      <w:color w:val="auto"/>
                      <w:szCs w:val="21"/>
                      <w:highlight w:val="none"/>
                      <w:lang w:val="en-US" w:eastAsia="zh-CN"/>
                    </w:rPr>
                    <w:t>1</w:t>
                  </w:r>
                </w:p>
              </w:tc>
            </w:tr>
          </w:tbl>
          <w:p>
            <w:pPr>
              <w:spacing w:line="240" w:lineRule="exact"/>
              <w:ind w:firstLine="482" w:firstLineChars="200"/>
              <w:jc w:val="center"/>
              <w:rPr>
                <w:rFonts w:asciiTheme="minorEastAsia" w:hAnsiTheme="minorEastAsia" w:eastAsiaTheme="minorEastAsia"/>
                <w:b/>
                <w:sz w:val="24"/>
              </w:rPr>
            </w:pPr>
          </w:p>
          <w:p>
            <w:pPr>
              <w:spacing w:line="240" w:lineRule="auto"/>
              <w:jc w:val="center"/>
              <w:rPr>
                <w:rFonts w:hint="eastAsia" w:ascii="黑体" w:hAnsi="黑体" w:eastAsia="黑体" w:cs="黑体"/>
                <w:b w:val="0"/>
                <w:bCs w:val="0"/>
                <w:sz w:val="24"/>
                <w:highlight w:val="none"/>
                <w:lang w:eastAsia="zh-CN"/>
              </w:rPr>
            </w:pPr>
            <w:r>
              <w:rPr>
                <w:rFonts w:hint="eastAsia" w:ascii="黑体" w:hAnsi="黑体" w:eastAsia="黑体" w:cs="黑体"/>
                <w:b w:val="0"/>
                <w:bCs w:val="0"/>
                <w:sz w:val="24"/>
                <w:highlight w:val="none"/>
                <w:lang w:eastAsia="zh-CN"/>
              </w:rPr>
              <w:t>表</w:t>
            </w:r>
            <w:r>
              <w:rPr>
                <w:rFonts w:hint="eastAsia" w:ascii="黑体" w:hAnsi="黑体" w:eastAsia="黑体" w:cs="黑体"/>
                <w:b w:val="0"/>
                <w:bCs w:val="0"/>
                <w:sz w:val="24"/>
                <w:highlight w:val="none"/>
                <w:lang w:val="en-US" w:eastAsia="zh-CN"/>
              </w:rPr>
              <w:t>15</w:t>
            </w:r>
            <w:r>
              <w:rPr>
                <w:rFonts w:hint="eastAsia" w:ascii="黑体" w:hAnsi="黑体" w:eastAsia="黑体" w:cs="黑体"/>
                <w:b w:val="0"/>
                <w:bCs w:val="0"/>
                <w:sz w:val="24"/>
                <w:highlight w:val="none"/>
                <w:lang w:eastAsia="zh-CN"/>
              </w:rPr>
              <w:t xml:space="preserve">  估算模型参数表</w:t>
            </w:r>
          </w:p>
          <w:tbl>
            <w:tblPr>
              <w:tblStyle w:val="31"/>
              <w:tblW w:w="4999"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2224"/>
              <w:gridCol w:w="4523"/>
              <w:gridCol w:w="2322"/>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3719" w:type="pct"/>
                  <w:gridSpan w:val="2"/>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参数</w:t>
                  </w:r>
                </w:p>
              </w:tc>
              <w:tc>
                <w:tcPr>
                  <w:tcW w:w="1280"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取值</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226" w:type="pct"/>
                  <w:vMerge w:val="restar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城市/农村选项</w:t>
                  </w:r>
                </w:p>
              </w:tc>
              <w:tc>
                <w:tcPr>
                  <w:tcW w:w="2493"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城市/农村</w:t>
                  </w:r>
                </w:p>
              </w:tc>
              <w:tc>
                <w:tcPr>
                  <w:tcW w:w="1280" w:type="pct"/>
                  <w:tcBorders>
                    <w:tl2br w:val="nil"/>
                    <w:tr2bl w:val="nil"/>
                  </w:tcBorders>
                  <w:vAlign w:val="center"/>
                </w:tcPr>
                <w:p>
                  <w:pPr>
                    <w:jc w:val="center"/>
                    <w:rPr>
                      <w:rFonts w:hint="default" w:ascii="Times New Roman" w:hAnsi="Times New Roman" w:cs="Times New Roman"/>
                      <w:bCs/>
                      <w:color w:val="auto"/>
                      <w:szCs w:val="21"/>
                      <w:lang w:val="en-US" w:eastAsia="zh-CN"/>
                    </w:rPr>
                  </w:pPr>
                  <w:r>
                    <w:rPr>
                      <w:rFonts w:hint="eastAsia"/>
                      <w:sz w:val="21"/>
                      <w:szCs w:val="21"/>
                    </w:rPr>
                    <w:t>农村</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226" w:type="pct"/>
                  <w:vMerge w:val="continue"/>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p>
              </w:tc>
              <w:tc>
                <w:tcPr>
                  <w:tcW w:w="2493"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人口数（城市选项时）</w:t>
                  </w:r>
                </w:p>
              </w:tc>
              <w:tc>
                <w:tcPr>
                  <w:tcW w:w="1280" w:type="pct"/>
                  <w:tcBorders>
                    <w:tl2br w:val="nil"/>
                    <w:tr2bl w:val="nil"/>
                  </w:tcBorders>
                  <w:vAlign w:val="center"/>
                </w:tcPr>
                <w:p>
                  <w:pPr>
                    <w:autoSpaceDE w:val="0"/>
                    <w:autoSpaceDN w:val="0"/>
                    <w:jc w:val="center"/>
                    <w:rPr>
                      <w:rFonts w:hint="default" w:ascii="Times New Roman" w:hAnsi="Times New Roman" w:cs="Times New Roman"/>
                      <w:bCs/>
                      <w:color w:val="auto"/>
                      <w:szCs w:val="21"/>
                      <w:lang w:val="en-US" w:eastAsia="zh-CN"/>
                    </w:rPr>
                  </w:pPr>
                  <w:r>
                    <w:rPr>
                      <w:rFonts w:hint="eastAsia"/>
                      <w:sz w:val="21"/>
                      <w:szCs w:val="21"/>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3719" w:type="pct"/>
                  <w:gridSpan w:val="2"/>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最高环境温度/</w:t>
                  </w:r>
                  <w:r>
                    <w:rPr>
                      <w:rFonts w:hint="eastAsia" w:ascii="Times New Roman" w:hAnsi="Times New Roman" w:cs="Times New Roman"/>
                      <w:bCs/>
                      <w:color w:val="auto"/>
                      <w:szCs w:val="21"/>
                      <w:lang w:val="en-US" w:eastAsia="zh-CN"/>
                    </w:rPr>
                    <w:t>℃</w:t>
                  </w:r>
                </w:p>
              </w:tc>
              <w:tc>
                <w:tcPr>
                  <w:tcW w:w="1280" w:type="pct"/>
                  <w:tcBorders>
                    <w:tl2br w:val="nil"/>
                    <w:tr2bl w:val="nil"/>
                  </w:tcBorders>
                  <w:vAlign w:val="center"/>
                </w:tcPr>
                <w:p>
                  <w:pPr>
                    <w:jc w:val="center"/>
                    <w:rPr>
                      <w:rFonts w:hint="default" w:ascii="Times New Roman" w:hAnsi="Times New Roman" w:cs="Times New Roman"/>
                      <w:bCs/>
                      <w:color w:val="auto"/>
                      <w:szCs w:val="21"/>
                      <w:lang w:val="en-US" w:eastAsia="zh-CN"/>
                    </w:rPr>
                  </w:pPr>
                  <w:r>
                    <w:rPr>
                      <w:rFonts w:hint="eastAsia"/>
                      <w:sz w:val="21"/>
                      <w:szCs w:val="21"/>
                    </w:rPr>
                    <w:t>41.6℃</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3719" w:type="pct"/>
                  <w:gridSpan w:val="2"/>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最低环境温度/</w:t>
                  </w:r>
                  <w:r>
                    <w:rPr>
                      <w:rFonts w:hint="eastAsia" w:ascii="Times New Roman" w:hAnsi="Times New Roman" w:cs="Times New Roman"/>
                      <w:bCs/>
                      <w:color w:val="auto"/>
                      <w:szCs w:val="21"/>
                      <w:lang w:val="en-US" w:eastAsia="zh-CN"/>
                    </w:rPr>
                    <w:t>℃</w:t>
                  </w:r>
                </w:p>
              </w:tc>
              <w:tc>
                <w:tcPr>
                  <w:tcW w:w="1280" w:type="pct"/>
                  <w:tcBorders>
                    <w:tl2br w:val="nil"/>
                    <w:tr2bl w:val="nil"/>
                  </w:tcBorders>
                  <w:vAlign w:val="center"/>
                </w:tcPr>
                <w:p>
                  <w:pPr>
                    <w:jc w:val="center"/>
                    <w:rPr>
                      <w:rFonts w:hint="default" w:ascii="Times New Roman" w:hAnsi="Times New Roman" w:cs="Times New Roman"/>
                      <w:bCs/>
                      <w:color w:val="auto"/>
                      <w:szCs w:val="21"/>
                      <w:lang w:val="en-US" w:eastAsia="zh-CN"/>
                    </w:rPr>
                  </w:pPr>
                  <w:r>
                    <w:rPr>
                      <w:rFonts w:hint="eastAsia"/>
                      <w:sz w:val="21"/>
                      <w:szCs w:val="21"/>
                    </w:rPr>
                    <w:t>-15.7℃</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3719" w:type="pct"/>
                  <w:gridSpan w:val="2"/>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土地利用类型</w:t>
                  </w:r>
                </w:p>
              </w:tc>
              <w:tc>
                <w:tcPr>
                  <w:tcW w:w="1280" w:type="pct"/>
                  <w:tcBorders>
                    <w:tl2br w:val="nil"/>
                    <w:tr2bl w:val="nil"/>
                  </w:tcBorders>
                  <w:vAlign w:val="center"/>
                </w:tcPr>
                <w:p>
                  <w:pPr>
                    <w:jc w:val="center"/>
                    <w:rPr>
                      <w:rFonts w:hint="default" w:ascii="Times New Roman" w:hAnsi="Times New Roman" w:cs="Times New Roman"/>
                      <w:bCs/>
                      <w:color w:val="auto"/>
                      <w:szCs w:val="21"/>
                      <w:lang w:val="en-US" w:eastAsia="zh-CN"/>
                    </w:rPr>
                  </w:pPr>
                  <w:r>
                    <w:rPr>
                      <w:rFonts w:hint="eastAsia"/>
                      <w:sz w:val="21"/>
                      <w:szCs w:val="21"/>
                    </w:rPr>
                    <w:t>耕地</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3719" w:type="pct"/>
                  <w:gridSpan w:val="2"/>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区域湿度条件</w:t>
                  </w:r>
                </w:p>
              </w:tc>
              <w:tc>
                <w:tcPr>
                  <w:tcW w:w="1280" w:type="pct"/>
                  <w:tcBorders>
                    <w:tl2br w:val="nil"/>
                    <w:tr2bl w:val="nil"/>
                  </w:tcBorders>
                  <w:vAlign w:val="center"/>
                </w:tcPr>
                <w:p>
                  <w:pPr>
                    <w:jc w:val="center"/>
                    <w:rPr>
                      <w:rFonts w:hint="default" w:ascii="Times New Roman" w:hAnsi="Times New Roman" w:cs="Times New Roman"/>
                      <w:bCs/>
                      <w:color w:val="auto"/>
                      <w:szCs w:val="21"/>
                      <w:lang w:val="en-US" w:eastAsia="zh-CN"/>
                    </w:rPr>
                  </w:pPr>
                  <w:r>
                    <w:rPr>
                      <w:rFonts w:hint="eastAsia"/>
                      <w:sz w:val="21"/>
                      <w:szCs w:val="21"/>
                    </w:rPr>
                    <w:t>中等湿度气候</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226" w:type="pct"/>
                  <w:vMerge w:val="restar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是否考虑地形</w:t>
                  </w:r>
                </w:p>
              </w:tc>
              <w:tc>
                <w:tcPr>
                  <w:tcW w:w="2493"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考虑地形</w:t>
                  </w:r>
                </w:p>
              </w:tc>
              <w:tc>
                <w:tcPr>
                  <w:tcW w:w="1280"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□是■否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226" w:type="pct"/>
                  <w:vMerge w:val="continue"/>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p>
              </w:tc>
              <w:tc>
                <w:tcPr>
                  <w:tcW w:w="2493"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地形数据分辨率/m</w:t>
                  </w:r>
                </w:p>
              </w:tc>
              <w:tc>
                <w:tcPr>
                  <w:tcW w:w="1280"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226" w:type="pct"/>
                  <w:vMerge w:val="restar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是否考虑岸线熏烟</w:t>
                  </w:r>
                </w:p>
              </w:tc>
              <w:tc>
                <w:tcPr>
                  <w:tcW w:w="2493"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考虑岸线熏烟</w:t>
                  </w:r>
                </w:p>
              </w:tc>
              <w:tc>
                <w:tcPr>
                  <w:tcW w:w="1280"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eastAsia" w:ascii="Times New Roman" w:hAnsi="Times New Roman" w:cs="Times New Roman"/>
                      <w:bCs/>
                      <w:color w:val="auto"/>
                      <w:szCs w:val="21"/>
                      <w:lang w:val="en-US" w:eastAsia="zh-CN"/>
                    </w:rPr>
                    <w:t>□是■否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226" w:type="pct"/>
                  <w:vMerge w:val="continue"/>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p>
              </w:tc>
              <w:tc>
                <w:tcPr>
                  <w:tcW w:w="2493"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岸线距离/km</w:t>
                  </w:r>
                </w:p>
              </w:tc>
              <w:tc>
                <w:tcPr>
                  <w:tcW w:w="1280"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1226" w:type="pct"/>
                  <w:vMerge w:val="continue"/>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p>
              </w:tc>
              <w:tc>
                <w:tcPr>
                  <w:tcW w:w="2493"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岸线方向/°</w:t>
                  </w:r>
                </w:p>
              </w:tc>
              <w:tc>
                <w:tcPr>
                  <w:tcW w:w="1280" w:type="pct"/>
                  <w:tcBorders>
                    <w:tl2br w:val="nil"/>
                    <w:tr2bl w:val="nil"/>
                  </w:tcBorders>
                  <w:vAlign w:val="center"/>
                </w:tcPr>
                <w:p>
                  <w:pPr>
                    <w:spacing w:line="240" w:lineRule="auto"/>
                    <w:jc w:val="center"/>
                    <w:rPr>
                      <w:rFonts w:hint="default" w:ascii="Times New Roman" w:hAnsi="Times New Roman" w:cs="Times New Roman"/>
                      <w:bCs/>
                      <w:color w:val="auto"/>
                      <w:szCs w:val="21"/>
                      <w:lang w:val="en-US" w:eastAsia="zh-CN"/>
                    </w:rPr>
                  </w:pPr>
                  <w:r>
                    <w:rPr>
                      <w:rFonts w:hint="default" w:ascii="Times New Roman" w:hAnsi="Times New Roman" w:cs="Times New Roman"/>
                      <w:bCs/>
                      <w:color w:val="auto"/>
                      <w:szCs w:val="21"/>
                      <w:lang w:val="en-US" w:eastAsia="zh-CN"/>
                    </w:rPr>
                    <w:t>/</w:t>
                  </w:r>
                </w:p>
              </w:tc>
            </w:tr>
          </w:tbl>
          <w:p>
            <w:pPr>
              <w:keepNext/>
              <w:keepLines/>
              <w:spacing w:before="80" w:after="80" w:line="240" w:lineRule="exact"/>
              <w:ind w:firstLine="472" w:firstLineChars="196"/>
              <w:outlineLvl w:val="2"/>
              <w:rPr>
                <w:b/>
                <w:bCs/>
                <w:sz w:val="24"/>
              </w:rPr>
            </w:pPr>
          </w:p>
          <w:p>
            <w:pPr>
              <w:keepNext/>
              <w:keepLines/>
              <w:spacing w:before="80" w:after="80" w:line="360" w:lineRule="auto"/>
              <w:ind w:firstLine="472" w:firstLineChars="196"/>
              <w:outlineLvl w:val="2"/>
              <w:rPr>
                <w:b/>
                <w:bCs/>
                <w:sz w:val="24"/>
              </w:rPr>
            </w:pPr>
            <w:r>
              <w:rPr>
                <w:rFonts w:hint="eastAsia"/>
                <w:b/>
                <w:bCs/>
                <w:sz w:val="24"/>
              </w:rPr>
              <w:t>1.</w:t>
            </w:r>
            <w:r>
              <w:rPr>
                <w:rFonts w:hint="eastAsia"/>
                <w:b/>
                <w:bCs/>
                <w:sz w:val="24"/>
                <w:lang w:val="en-US" w:eastAsia="zh-CN"/>
              </w:rPr>
              <w:t>3</w:t>
            </w:r>
            <w:r>
              <w:rPr>
                <w:rFonts w:hint="eastAsia"/>
                <w:b/>
                <w:sz w:val="24"/>
              </w:rPr>
              <w:t>大气环境影响预测</w:t>
            </w:r>
          </w:p>
          <w:p>
            <w:pPr>
              <w:spacing w:line="360" w:lineRule="auto"/>
              <w:ind w:firstLine="480" w:firstLineChars="200"/>
              <w:jc w:val="left"/>
              <w:rPr>
                <w:rFonts w:hint="eastAsia"/>
                <w:sz w:val="24"/>
              </w:rPr>
            </w:pPr>
            <w:r>
              <w:rPr>
                <w:sz w:val="24"/>
              </w:rPr>
              <w:t>根据《环境影响评价技术导则大气环境》（HJ2.2-20</w:t>
            </w:r>
            <w:r>
              <w:rPr>
                <w:rFonts w:hint="eastAsia"/>
                <w:sz w:val="24"/>
              </w:rPr>
              <w:t>1</w:t>
            </w:r>
            <w:r>
              <w:rPr>
                <w:sz w:val="24"/>
              </w:rPr>
              <w:t>8）规定的评价工作级别的划分原则和方法，选择推荐模式中的估算</w:t>
            </w:r>
            <w:r>
              <w:rPr>
                <w:rFonts w:hint="eastAsia"/>
                <w:sz w:val="24"/>
              </w:rPr>
              <w:t>模型AERSCREEN</w:t>
            </w:r>
            <w:r>
              <w:rPr>
                <w:sz w:val="24"/>
              </w:rPr>
              <w:t>对项目的大气环境评价工作进行分级。评价选取</w:t>
            </w:r>
            <w:r>
              <w:rPr>
                <w:rFonts w:hint="eastAsia"/>
                <w:sz w:val="24"/>
              </w:rPr>
              <w:t>TSP</w:t>
            </w:r>
            <w:r>
              <w:rPr>
                <w:sz w:val="24"/>
                <w:vertAlign w:val="subscript"/>
              </w:rPr>
              <w:t>0</w:t>
            </w:r>
            <w:r>
              <w:rPr>
                <w:sz w:val="24"/>
              </w:rPr>
              <w:t>计算其最大地面浓度占标率P</w:t>
            </w:r>
            <w:r>
              <w:rPr>
                <w:sz w:val="24"/>
                <w:vertAlign w:val="subscript"/>
              </w:rPr>
              <w:t>i</w:t>
            </w:r>
            <w:r>
              <w:rPr>
                <w:sz w:val="24"/>
              </w:rPr>
              <w:t>及第i个污染物的地面浓度达标准限值10%时所对应的最远距离D</w:t>
            </w:r>
            <w:r>
              <w:rPr>
                <w:sz w:val="24"/>
                <w:vertAlign w:val="subscript"/>
              </w:rPr>
              <w:t>10%</w:t>
            </w:r>
            <w:r>
              <w:rPr>
                <w:rFonts w:hint="eastAsia"/>
                <w:sz w:val="24"/>
                <w:vertAlign w:val="baseline"/>
                <w:lang w:eastAsia="zh-CN"/>
              </w:rPr>
              <w:t>，</w:t>
            </w:r>
            <w:r>
              <w:rPr>
                <w:rFonts w:hint="eastAsia"/>
                <w:sz w:val="24"/>
              </w:rPr>
              <w:t>预测结果见</w:t>
            </w:r>
            <w:r>
              <w:rPr>
                <w:rFonts w:hint="eastAsia"/>
                <w:sz w:val="24"/>
                <w:lang w:eastAsia="zh-CN"/>
              </w:rPr>
              <w:t>下</w:t>
            </w:r>
            <w:r>
              <w:rPr>
                <w:rFonts w:hint="eastAsia"/>
                <w:sz w:val="24"/>
              </w:rPr>
              <w:t>表。</w:t>
            </w:r>
          </w:p>
          <w:p>
            <w:pPr>
              <w:spacing w:line="240" w:lineRule="auto"/>
              <w:jc w:val="center"/>
              <w:rPr>
                <w:rFonts w:hint="eastAsia" w:ascii="黑体" w:hAnsi="黑体" w:eastAsia="黑体" w:cs="黑体"/>
                <w:b w:val="0"/>
                <w:bCs w:val="0"/>
                <w:color w:val="auto"/>
                <w:sz w:val="24"/>
                <w:highlight w:val="none"/>
                <w:lang w:eastAsia="zh-CN"/>
              </w:rPr>
            </w:pPr>
            <w:r>
              <w:rPr>
                <w:rFonts w:hint="eastAsia" w:ascii="黑体" w:hAnsi="黑体" w:eastAsia="黑体" w:cs="黑体"/>
                <w:b w:val="0"/>
                <w:bCs w:val="0"/>
                <w:color w:val="auto"/>
                <w:sz w:val="24"/>
                <w:highlight w:val="none"/>
                <w:lang w:eastAsia="zh-CN"/>
              </w:rPr>
              <w:t>表</w:t>
            </w:r>
            <w:r>
              <w:rPr>
                <w:rFonts w:hint="eastAsia" w:ascii="黑体" w:hAnsi="黑体" w:eastAsia="黑体" w:cs="黑体"/>
                <w:b w:val="0"/>
                <w:bCs w:val="0"/>
                <w:color w:val="auto"/>
                <w:sz w:val="24"/>
                <w:highlight w:val="none"/>
                <w:lang w:val="en-US" w:eastAsia="zh-CN"/>
              </w:rPr>
              <w:t>16</w:t>
            </w:r>
            <w:r>
              <w:rPr>
                <w:rFonts w:hint="eastAsia" w:ascii="黑体" w:hAnsi="黑体" w:eastAsia="黑体" w:cs="黑体"/>
                <w:b w:val="0"/>
                <w:bCs w:val="0"/>
                <w:color w:val="auto"/>
                <w:sz w:val="24"/>
                <w:highlight w:val="none"/>
                <w:lang w:eastAsia="zh-CN"/>
              </w:rPr>
              <w:t xml:space="preserve">  本项目排放污染物估算模型计算结果</w:t>
            </w:r>
          </w:p>
          <w:tbl>
            <w:tblPr>
              <w:tblStyle w:val="31"/>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379"/>
              <w:gridCol w:w="4181"/>
              <w:gridCol w:w="250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1312" w:type="pct"/>
                  <w:vMerge w:val="restart"/>
                  <w:tcBorders>
                    <w:tl2br w:val="single" w:color="auto" w:sz="4" w:space="0"/>
                  </w:tcBorders>
                  <w:vAlign w:val="center"/>
                </w:tcPr>
                <w:p>
                  <w:pPr>
                    <w:keepNext w:val="0"/>
                    <w:keepLines w:val="0"/>
                    <w:pageBreakBefore w:val="0"/>
                    <w:kinsoku/>
                    <w:wordWrap/>
                    <w:overflowPunct/>
                    <w:topLinePunct w:val="0"/>
                    <w:autoSpaceDE/>
                    <w:autoSpaceDN/>
                    <w:bidi w:val="0"/>
                    <w:adjustRightInd w:val="0"/>
                    <w:snapToGrid w:val="0"/>
                    <w:jc w:val="right"/>
                    <w:rPr>
                      <w:rFonts w:hint="default" w:ascii="Times New Roman" w:hAnsi="Times New Roman" w:cs="Times New Roman"/>
                      <w:sz w:val="21"/>
                      <w:szCs w:val="21"/>
                    </w:rPr>
                  </w:pPr>
                  <w:r>
                    <w:rPr>
                      <w:rFonts w:hint="default" w:ascii="Times New Roman" w:hAnsi="Times New Roman" w:cs="Times New Roman"/>
                      <w:sz w:val="21"/>
                      <w:szCs w:val="21"/>
                    </w:rPr>
                    <w:t>预测结果</w:t>
                  </w:r>
                </w:p>
                <w:p>
                  <w:pPr>
                    <w:keepNext w:val="0"/>
                    <w:keepLines w:val="0"/>
                    <w:pageBreakBefore w:val="0"/>
                    <w:kinsoku/>
                    <w:wordWrap/>
                    <w:overflowPunct/>
                    <w:topLinePunct w:val="0"/>
                    <w:autoSpaceDE/>
                    <w:autoSpaceDN/>
                    <w:bidi w:val="0"/>
                    <w:adjustRightInd w:val="0"/>
                    <w:snapToGrid w:val="0"/>
                    <w:jc w:val="center"/>
                    <w:rPr>
                      <w:rFonts w:hint="default" w:ascii="Times New Roman" w:hAnsi="Times New Roman" w:cs="Times New Roman"/>
                      <w:sz w:val="21"/>
                      <w:szCs w:val="21"/>
                    </w:rPr>
                  </w:pPr>
                </w:p>
                <w:p>
                  <w:pPr>
                    <w:keepNext w:val="0"/>
                    <w:keepLines w:val="0"/>
                    <w:pageBreakBefore w:val="0"/>
                    <w:kinsoku/>
                    <w:wordWrap/>
                    <w:overflowPunct/>
                    <w:topLinePunct w:val="0"/>
                    <w:autoSpaceDE/>
                    <w:autoSpaceDN/>
                    <w:bidi w:val="0"/>
                    <w:jc w:val="left"/>
                    <w:rPr>
                      <w:rFonts w:hint="default" w:ascii="Times New Roman" w:hAnsi="Times New Roman" w:cs="Times New Roman"/>
                      <w:bCs/>
                      <w:sz w:val="21"/>
                      <w:szCs w:val="21"/>
                    </w:rPr>
                  </w:pPr>
                  <w:r>
                    <w:rPr>
                      <w:rFonts w:hint="default" w:ascii="Times New Roman" w:hAnsi="Times New Roman" w:cs="Times New Roman"/>
                      <w:sz w:val="21"/>
                      <w:szCs w:val="21"/>
                    </w:rPr>
                    <w:t>距离（m）</w:t>
                  </w:r>
                </w:p>
              </w:tc>
              <w:tc>
                <w:tcPr>
                  <w:tcW w:w="3687" w:type="pct"/>
                  <w:gridSpan w:val="2"/>
                  <w:tcBorders>
                    <w:tl2br w:val="nil"/>
                    <w:tr2bl w:val="nil"/>
                  </w:tcBorders>
                  <w:vAlign w:val="center"/>
                </w:tcPr>
                <w:p>
                  <w:pPr>
                    <w:keepNext w:val="0"/>
                    <w:keepLines w:val="0"/>
                    <w:pageBreakBefore w:val="0"/>
                    <w:kinsoku/>
                    <w:wordWrap/>
                    <w:overflowPunct/>
                    <w:topLinePunct w:val="0"/>
                    <w:autoSpaceDE/>
                    <w:autoSpaceDN/>
                    <w:bidi w:val="0"/>
                    <w:jc w:val="center"/>
                    <w:rPr>
                      <w:rFonts w:hint="default" w:ascii="Times New Roman" w:hAnsi="Times New Roman" w:eastAsia="宋体" w:cs="Times New Roman"/>
                      <w:bCs/>
                      <w:sz w:val="21"/>
                      <w:szCs w:val="21"/>
                      <w:lang w:val="en-US" w:eastAsia="zh-CN"/>
                    </w:rPr>
                  </w:pPr>
                  <w:r>
                    <w:rPr>
                      <w:rFonts w:hint="eastAsia" w:cs="Times New Roman"/>
                      <w:bCs/>
                      <w:sz w:val="21"/>
                      <w:szCs w:val="21"/>
                      <w:lang w:val="en-US" w:eastAsia="zh-CN"/>
                    </w:rPr>
                    <w:t>TSP</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vMerge w:val="continue"/>
                  <w:tcBorders>
                    <w:tl2br w:val="nil"/>
                    <w:tr2bl w:val="nil"/>
                  </w:tcBorders>
                  <w:vAlign w:val="center"/>
                </w:tcPr>
                <w:p>
                  <w:pPr>
                    <w:keepNext w:val="0"/>
                    <w:keepLines w:val="0"/>
                    <w:pageBreakBefore w:val="0"/>
                    <w:widowControl/>
                    <w:kinsoku/>
                    <w:wordWrap/>
                    <w:overflowPunct/>
                    <w:topLinePunct w:val="0"/>
                    <w:autoSpaceDE/>
                    <w:autoSpaceDN/>
                    <w:bidi w:val="0"/>
                    <w:jc w:val="center"/>
                    <w:rPr>
                      <w:rFonts w:hint="default" w:ascii="Times New Roman" w:hAnsi="Times New Roman" w:cs="Times New Roman"/>
                      <w:bCs/>
                      <w:sz w:val="21"/>
                      <w:szCs w:val="21"/>
                    </w:rPr>
                  </w:pPr>
                </w:p>
              </w:tc>
              <w:tc>
                <w:tcPr>
                  <w:tcW w:w="2305" w:type="pct"/>
                  <w:tcBorders>
                    <w:tl2br w:val="nil"/>
                    <w:tr2bl w:val="nil"/>
                  </w:tcBorders>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bCs/>
                      <w:sz w:val="21"/>
                      <w:szCs w:val="21"/>
                    </w:rPr>
                  </w:pPr>
                  <w:r>
                    <w:rPr>
                      <w:rFonts w:hint="default" w:ascii="Times New Roman" w:hAnsi="Times New Roman" w:cs="Times New Roman"/>
                      <w:bCs/>
                      <w:sz w:val="21"/>
                      <w:szCs w:val="21"/>
                    </w:rPr>
                    <w:t>下风向预测浓度C</w:t>
                  </w:r>
                  <w:r>
                    <w:rPr>
                      <w:rFonts w:hint="default" w:ascii="Times New Roman" w:hAnsi="Times New Roman" w:cs="Times New Roman"/>
                      <w:bCs/>
                      <w:sz w:val="21"/>
                      <w:szCs w:val="21"/>
                      <w:vertAlign w:val="subscript"/>
                    </w:rPr>
                    <w:t>i1</w:t>
                  </w:r>
                  <w:r>
                    <w:rPr>
                      <w:rFonts w:hint="default" w:ascii="Times New Roman" w:hAnsi="Times New Roman" w:cs="Times New Roman"/>
                      <w:bCs/>
                      <w:sz w:val="21"/>
                      <w:szCs w:val="21"/>
                    </w:rPr>
                    <w:t>（mg/m</w:t>
                  </w:r>
                  <w:r>
                    <w:rPr>
                      <w:rFonts w:hint="default" w:ascii="Times New Roman" w:hAnsi="Times New Roman" w:cs="Times New Roman"/>
                      <w:bCs/>
                      <w:sz w:val="21"/>
                      <w:szCs w:val="21"/>
                      <w:vertAlign w:val="superscript"/>
                    </w:rPr>
                    <w:t>3</w:t>
                  </w:r>
                  <w:r>
                    <w:rPr>
                      <w:rFonts w:hint="default" w:ascii="Times New Roman" w:hAnsi="Times New Roman" w:cs="Times New Roman"/>
                      <w:bCs/>
                      <w:sz w:val="21"/>
                      <w:szCs w:val="21"/>
                    </w:rPr>
                    <w:t>）</w:t>
                  </w:r>
                </w:p>
              </w:tc>
              <w:tc>
                <w:tcPr>
                  <w:tcW w:w="1382" w:type="pct"/>
                  <w:tcBorders>
                    <w:tl2br w:val="nil"/>
                    <w:tr2bl w:val="nil"/>
                  </w:tcBorders>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bCs/>
                      <w:sz w:val="21"/>
                      <w:szCs w:val="21"/>
                    </w:rPr>
                  </w:pPr>
                  <w:r>
                    <w:rPr>
                      <w:rFonts w:hint="default" w:ascii="Times New Roman" w:hAnsi="Times New Roman" w:cs="Times New Roman"/>
                      <w:bCs/>
                      <w:sz w:val="21"/>
                      <w:szCs w:val="21"/>
                    </w:rPr>
                    <w:t>浓度占标率P</w:t>
                  </w:r>
                  <w:r>
                    <w:rPr>
                      <w:rFonts w:hint="default" w:ascii="Times New Roman" w:hAnsi="Times New Roman" w:cs="Times New Roman"/>
                      <w:bCs/>
                      <w:sz w:val="21"/>
                      <w:szCs w:val="21"/>
                      <w:vertAlign w:val="subscript"/>
                    </w:rPr>
                    <w:t>i1</w:t>
                  </w:r>
                  <w:r>
                    <w:rPr>
                      <w:rFonts w:hint="default" w:ascii="Times New Roman" w:hAnsi="Times New Roman" w:cs="Times New Roman"/>
                      <w:bCs/>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10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4.91E-03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0.55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25</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6.78E-03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0.75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6.01E-03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0.67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75</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4.49E-03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auto"/>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3.43E-03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0.38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200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2.78E-03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0.31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auto"/>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2.28E-03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400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1.82E-03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500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1.54E-03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0.17</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auto"/>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1.35E-03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0.15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auto"/>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1.21E-03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0.13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auto"/>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1.09E-03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auto"/>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1.00E-03</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0.11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1000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9.35E-04</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1500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7.09E-04</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0.08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2000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5.71E-04</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0.06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2500</w:t>
                  </w:r>
                </w:p>
              </w:tc>
              <w:tc>
                <w:tcPr>
                  <w:tcW w:w="2305"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5.01E-04</w:t>
                  </w:r>
                </w:p>
              </w:tc>
              <w:tc>
                <w:tcPr>
                  <w:tcW w:w="1382"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color w:val="auto"/>
                      <w:sz w:val="21"/>
                      <w:szCs w:val="21"/>
                    </w:rPr>
                  </w:pPr>
                  <w:r>
                    <w:rPr>
                      <w:rFonts w:hint="default" w:ascii="Times New Roman" w:hAnsi="Times New Roman" w:eastAsia="宋体" w:cs="Times New Roman"/>
                      <w:i w:val="0"/>
                      <w:color w:val="000000"/>
                      <w:kern w:val="0"/>
                      <w:sz w:val="21"/>
                      <w:szCs w:val="21"/>
                      <w:u w:val="none"/>
                      <w:lang w:val="en-US" w:eastAsia="zh-CN" w:bidi="ar"/>
                    </w:rPr>
                    <w:t>0.06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pageBreakBefore w:val="0"/>
                    <w:widowControl/>
                    <w:kinsoku/>
                    <w:wordWrap/>
                    <w:overflowPunct/>
                    <w:topLinePunct w:val="0"/>
                    <w:autoSpaceDE/>
                    <w:autoSpaceDN/>
                    <w:bidi w:val="0"/>
                    <w:ind w:left="-105" w:leftChars="-50" w:right="-105" w:rightChars="-50"/>
                    <w:jc w:val="center"/>
                    <w:rPr>
                      <w:rFonts w:hint="default" w:ascii="Times New Roman" w:hAnsi="Times New Roman" w:eastAsia="宋体" w:cs="Times New Roman"/>
                      <w:bCs/>
                      <w:kern w:val="2"/>
                      <w:sz w:val="21"/>
                      <w:szCs w:val="21"/>
                      <w:lang w:val="en-US" w:eastAsia="zh-CN" w:bidi="ar-SA"/>
                    </w:rPr>
                  </w:pPr>
                  <w:r>
                    <w:rPr>
                      <w:rFonts w:hint="default" w:ascii="Times New Roman" w:hAnsi="Times New Roman" w:cs="Times New Roman"/>
                      <w:bCs/>
                      <w:sz w:val="21"/>
                      <w:szCs w:val="21"/>
                    </w:rPr>
                    <w:t>下风向最大浓度</w:t>
                  </w:r>
                </w:p>
              </w:tc>
              <w:tc>
                <w:tcPr>
                  <w:tcW w:w="4181"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6.78E-03</w:t>
                  </w:r>
                </w:p>
              </w:tc>
              <w:tc>
                <w:tcPr>
                  <w:tcW w:w="250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0.75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312" w:type="pct"/>
                  <w:tcBorders>
                    <w:tl2br w:val="nil"/>
                    <w:tr2bl w:val="nil"/>
                  </w:tcBorders>
                  <w:vAlign w:val="center"/>
                </w:tcPr>
                <w:p>
                  <w:pPr>
                    <w:keepNext w:val="0"/>
                    <w:keepLines w:val="0"/>
                    <w:pageBreakBefore w:val="0"/>
                    <w:widowControl/>
                    <w:kinsoku/>
                    <w:wordWrap/>
                    <w:overflowPunct/>
                    <w:topLinePunct w:val="0"/>
                    <w:autoSpaceDE/>
                    <w:autoSpaceDN/>
                    <w:bidi w:val="0"/>
                    <w:ind w:left="-105" w:leftChars="-50" w:right="-105" w:rightChars="-50"/>
                    <w:jc w:val="center"/>
                    <w:rPr>
                      <w:rFonts w:hint="default" w:ascii="Times New Roman" w:hAnsi="Times New Roman" w:cs="Times New Roman"/>
                      <w:bCs/>
                      <w:sz w:val="21"/>
                      <w:szCs w:val="21"/>
                    </w:rPr>
                  </w:pPr>
                  <w:r>
                    <w:rPr>
                      <w:rFonts w:hint="default" w:ascii="Times New Roman" w:hAnsi="Times New Roman" w:cs="Times New Roman"/>
                      <w:bCs/>
                      <w:sz w:val="21"/>
                      <w:szCs w:val="21"/>
                    </w:rPr>
                    <w:t>最大浓度出现距离</w:t>
                  </w:r>
                </w:p>
              </w:tc>
              <w:tc>
                <w:tcPr>
                  <w:tcW w:w="3687" w:type="pct"/>
                  <w:gridSpan w:val="2"/>
                  <w:tcBorders>
                    <w:tl2br w:val="nil"/>
                    <w:tr2bl w:val="nil"/>
                  </w:tcBorders>
                  <w:vAlign w:val="center"/>
                </w:tcPr>
                <w:p>
                  <w:pPr>
                    <w:keepNext w:val="0"/>
                    <w:keepLines w:val="0"/>
                    <w:pageBreakBefore w:val="0"/>
                    <w:kinsoku/>
                    <w:wordWrap/>
                    <w:overflowPunct/>
                    <w:topLinePunct w:val="0"/>
                    <w:autoSpaceDE/>
                    <w:autoSpaceDN/>
                    <w:bidi w:val="0"/>
                    <w:jc w:val="center"/>
                    <w:rPr>
                      <w:rFonts w:hint="default" w:ascii="Times New Roman" w:hAnsi="Times New Roman" w:cs="Times New Roman"/>
                      <w:sz w:val="21"/>
                      <w:szCs w:val="21"/>
                      <w:lang w:val="en-US" w:eastAsia="zh-CN"/>
                    </w:rPr>
                  </w:pPr>
                  <w:r>
                    <w:rPr>
                      <w:rFonts w:hint="eastAsia" w:cs="Times New Roman"/>
                      <w:sz w:val="21"/>
                      <w:szCs w:val="21"/>
                      <w:lang w:val="en-US" w:eastAsia="zh-CN"/>
                    </w:rPr>
                    <w:t>25m</w:t>
                  </w:r>
                </w:p>
              </w:tc>
            </w:tr>
          </w:tbl>
          <w:p>
            <w:pPr>
              <w:pStyle w:val="38"/>
              <w:rPr>
                <w:rFonts w:hint="eastAsia" w:ascii="黑体" w:hAnsi="黑体" w:eastAsia="黑体" w:cs="黑体"/>
                <w:b w:val="0"/>
                <w:bCs w:val="0"/>
                <w:color w:val="auto"/>
                <w:sz w:val="24"/>
                <w:highlight w:val="none"/>
                <w:lang w:eastAsia="zh-CN"/>
              </w:rPr>
            </w:pPr>
          </w:p>
          <w:p>
            <w:pPr>
              <w:autoSpaceDE w:val="0"/>
              <w:autoSpaceDN w:val="0"/>
              <w:spacing w:line="360" w:lineRule="auto"/>
              <w:ind w:firstLine="480"/>
              <w:jc w:val="left"/>
              <w:rPr>
                <w:sz w:val="24"/>
              </w:rPr>
            </w:pPr>
            <w:r>
              <w:rPr>
                <w:rFonts w:hint="eastAsia"/>
                <w:sz w:val="24"/>
              </w:rPr>
              <w:t>由上表可知，</w:t>
            </w:r>
            <w:r>
              <w:rPr>
                <w:rFonts w:hint="eastAsia"/>
                <w:sz w:val="24"/>
                <w:lang w:eastAsia="zh-CN"/>
              </w:rPr>
              <w:t>本项目</w:t>
            </w:r>
            <w:r>
              <w:rPr>
                <w:rFonts w:hint="eastAsia"/>
                <w:sz w:val="24"/>
              </w:rPr>
              <w:t>排放颗粒物的最大占标率Pmax为</w:t>
            </w:r>
            <w:r>
              <w:rPr>
                <w:rFonts w:hint="eastAsia"/>
                <w:sz w:val="24"/>
                <w:lang w:val="en-US" w:eastAsia="zh-CN"/>
              </w:rPr>
              <w:t>0.75</w:t>
            </w:r>
            <w:r>
              <w:rPr>
                <w:rFonts w:hint="eastAsia"/>
                <w:sz w:val="24"/>
              </w:rPr>
              <w:t>%，</w:t>
            </w:r>
            <w:r>
              <w:rPr>
                <w:rFonts w:hint="eastAsia"/>
                <w:color w:val="auto"/>
                <w:sz w:val="24"/>
                <w:highlight w:val="none"/>
                <w:lang w:eastAsia="zh-CN"/>
              </w:rPr>
              <w:t>即</w:t>
            </w:r>
            <w:r>
              <w:rPr>
                <w:rFonts w:hint="default" w:ascii="Times New Roman" w:hAnsi="Times New Roman" w:cs="Times New Roman"/>
                <w:color w:val="auto"/>
                <w:sz w:val="24"/>
                <w:highlight w:val="none"/>
                <w:lang w:val="en-US" w:eastAsia="zh-CN"/>
              </w:rPr>
              <w:t>Pmax</w:t>
            </w:r>
            <w:r>
              <w:rPr>
                <w:rFonts w:hint="default" w:ascii="Times New Roman" w:hAnsi="Times New Roman" w:cs="Times New Roman"/>
                <w:color w:val="auto"/>
                <w:sz w:val="24"/>
                <w:highlight w:val="none"/>
              </w:rPr>
              <w:t>&lt;</w:t>
            </w:r>
            <w:r>
              <w:rPr>
                <w:rFonts w:hint="default" w:ascii="Times New Roman" w:hAnsi="Times New Roman" w:cs="Times New Roman"/>
                <w:color w:val="auto"/>
                <w:sz w:val="24"/>
                <w:highlight w:val="none"/>
                <w:lang w:val="en-US" w:eastAsia="zh-CN"/>
              </w:rPr>
              <w:t>1%</w:t>
            </w:r>
            <w:r>
              <w:rPr>
                <w:rFonts w:hint="default" w:ascii="Times New Roman" w:hAnsi="Times New Roman" w:cs="Times New Roman"/>
                <w:color w:val="auto"/>
                <w:sz w:val="24"/>
                <w:highlight w:val="none"/>
              </w:rPr>
              <w:t>。</w:t>
            </w:r>
            <w:r>
              <w:rPr>
                <w:rFonts w:hint="eastAsia"/>
                <w:sz w:val="24"/>
              </w:rPr>
              <w:t>。根据</w:t>
            </w:r>
            <w:r>
              <w:rPr>
                <w:sz w:val="24"/>
              </w:rPr>
              <w:t>《环境影响评价技术导则 大气环境》（HJ2.2-2018）评价等级为</w:t>
            </w:r>
            <w:r>
              <w:rPr>
                <w:rFonts w:hint="eastAsia"/>
                <w:sz w:val="24"/>
                <w:lang w:eastAsia="zh-CN"/>
              </w:rPr>
              <w:t>三</w:t>
            </w:r>
            <w:r>
              <w:rPr>
                <w:sz w:val="24"/>
              </w:rPr>
              <w:t>级</w:t>
            </w:r>
            <w:r>
              <w:rPr>
                <w:rFonts w:hint="eastAsia"/>
                <w:color w:val="auto"/>
                <w:sz w:val="24"/>
                <w:highlight w:val="none"/>
              </w:rPr>
              <w:t>，</w:t>
            </w:r>
            <w:r>
              <w:rPr>
                <w:rFonts w:hint="eastAsia"/>
                <w:color w:val="auto"/>
                <w:sz w:val="24"/>
                <w:highlight w:val="none"/>
                <w:lang w:eastAsia="zh-CN"/>
              </w:rPr>
              <w:t>不</w:t>
            </w:r>
            <w:r>
              <w:rPr>
                <w:rFonts w:hint="eastAsia"/>
                <w:color w:val="auto"/>
                <w:sz w:val="24"/>
                <w:highlight w:val="none"/>
              </w:rPr>
              <w:t>进行进一步</w:t>
            </w:r>
            <w:r>
              <w:rPr>
                <w:rFonts w:hint="eastAsia"/>
                <w:color w:val="auto"/>
                <w:sz w:val="24"/>
                <w:highlight w:val="none"/>
                <w:lang w:eastAsia="zh-CN"/>
              </w:rPr>
              <w:t>预测与评价</w:t>
            </w:r>
            <w:r>
              <w:rPr>
                <w:sz w:val="24"/>
              </w:rPr>
              <w:t>。</w:t>
            </w:r>
          </w:p>
          <w:p>
            <w:pPr>
              <w:spacing w:line="384" w:lineRule="auto"/>
              <w:ind w:firstLine="482" w:firstLineChars="200"/>
              <w:jc w:val="left"/>
              <w:rPr>
                <w:rFonts w:hint="eastAsia"/>
                <w:b/>
                <w:bCs/>
                <w:sz w:val="24"/>
                <w:lang w:val="en-US" w:eastAsia="zh-CN"/>
              </w:rPr>
            </w:pPr>
            <w:r>
              <w:rPr>
                <w:rFonts w:hint="eastAsia"/>
                <w:b/>
                <w:bCs/>
                <w:sz w:val="24"/>
                <w:lang w:val="en-US" w:eastAsia="zh-CN"/>
              </w:rPr>
              <w:t>1.4评价范围</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宋体"/>
                <w:color w:val="auto"/>
                <w:sz w:val="24"/>
                <w:szCs w:val="20"/>
                <w:lang w:val="en-US" w:eastAsia="zh-CN"/>
              </w:rPr>
            </w:pPr>
            <w:r>
              <w:rPr>
                <w:rFonts w:hint="eastAsia"/>
                <w:sz w:val="24"/>
                <w:lang w:val="en-US" w:eastAsia="zh-CN"/>
              </w:rPr>
              <w:t>本项目大气评价为三级评价，</w:t>
            </w:r>
            <w:r>
              <w:rPr>
                <w:rFonts w:hint="eastAsia" w:ascii="Times New Roman" w:hAnsi="Times New Roman"/>
                <w:color w:val="auto"/>
                <w:sz w:val="24"/>
                <w:szCs w:val="20"/>
              </w:rPr>
              <w:t>根据《环境影响评价技术导则 大气环境》（HJ2.2-2018）规定，</w:t>
            </w:r>
            <w:r>
              <w:rPr>
                <w:rFonts w:hint="eastAsia"/>
                <w:color w:val="auto"/>
                <w:sz w:val="24"/>
                <w:szCs w:val="20"/>
                <w:lang w:eastAsia="zh-CN"/>
              </w:rPr>
              <w:t>三级评价项目不需设置大气环境影响评价范围</w:t>
            </w:r>
            <w:r>
              <w:rPr>
                <w:rFonts w:hint="eastAsia" w:ascii="Times New Roman" w:hAnsi="Times New Roman"/>
                <w:color w:val="auto"/>
                <w:sz w:val="24"/>
                <w:szCs w:val="20"/>
                <w:lang w:val="en-US" w:eastAsia="zh-CN"/>
              </w:rPr>
              <w:t>。</w:t>
            </w:r>
          </w:p>
          <w:p>
            <w:pPr>
              <w:spacing w:line="384" w:lineRule="auto"/>
              <w:ind w:firstLine="482" w:firstLineChars="200"/>
              <w:jc w:val="left"/>
              <w:rPr>
                <w:b/>
                <w:sz w:val="24"/>
              </w:rPr>
            </w:pPr>
            <w:r>
              <w:rPr>
                <w:rFonts w:hint="eastAsia"/>
                <w:b/>
                <w:bCs/>
                <w:sz w:val="24"/>
              </w:rPr>
              <w:t>1.</w:t>
            </w:r>
            <w:r>
              <w:rPr>
                <w:rFonts w:hint="eastAsia"/>
                <w:b/>
                <w:bCs/>
                <w:sz w:val="24"/>
                <w:lang w:val="en-US" w:eastAsia="zh-CN"/>
              </w:rPr>
              <w:t>5</w:t>
            </w:r>
            <w:r>
              <w:rPr>
                <w:rFonts w:hint="eastAsia"/>
                <w:b/>
                <w:sz w:val="24"/>
              </w:rPr>
              <w:t>无组织排放废气厂界处预测</w:t>
            </w:r>
          </w:p>
          <w:p>
            <w:pPr>
              <w:spacing w:line="360" w:lineRule="auto"/>
              <w:ind w:firstLine="480" w:firstLineChars="200"/>
              <w:rPr>
                <w:sz w:val="24"/>
              </w:rPr>
            </w:pPr>
            <w:r>
              <w:rPr>
                <w:rFonts w:hint="eastAsia"/>
                <w:sz w:val="24"/>
              </w:rPr>
              <w:t>根据《环境影响评价技术导则大气环境》（</w:t>
            </w:r>
            <w:r>
              <w:rPr>
                <w:sz w:val="24"/>
              </w:rPr>
              <w:t>HJ/T2.2-20</w:t>
            </w:r>
            <w:r>
              <w:rPr>
                <w:rFonts w:hint="eastAsia"/>
                <w:sz w:val="24"/>
              </w:rPr>
              <w:t>1</w:t>
            </w:r>
            <w:r>
              <w:rPr>
                <w:sz w:val="24"/>
              </w:rPr>
              <w:t>8</w:t>
            </w:r>
            <w:r>
              <w:rPr>
                <w:rFonts w:hint="eastAsia"/>
                <w:sz w:val="24"/>
              </w:rPr>
              <w:t>）有关规定，采用</w:t>
            </w:r>
            <w:r>
              <w:rPr>
                <w:sz w:val="24"/>
              </w:rPr>
              <w:t>估算模型AERSCREEN</w:t>
            </w:r>
            <w:r>
              <w:rPr>
                <w:rFonts w:hint="eastAsia"/>
                <w:sz w:val="24"/>
              </w:rPr>
              <w:t>对无组织废气进行厂界浓度预测，其厂界浓度预测结果见表</w:t>
            </w:r>
            <w:r>
              <w:rPr>
                <w:rFonts w:hint="eastAsia"/>
                <w:sz w:val="24"/>
                <w:lang w:val="en-US" w:eastAsia="zh-CN"/>
              </w:rPr>
              <w:t>17</w:t>
            </w:r>
            <w:r>
              <w:rPr>
                <w:rFonts w:hint="eastAsia"/>
                <w:sz w:val="24"/>
              </w:rPr>
              <w:t>。</w:t>
            </w:r>
          </w:p>
          <w:p>
            <w:pPr>
              <w:spacing w:line="240" w:lineRule="auto"/>
              <w:jc w:val="center"/>
              <w:rPr>
                <w:rFonts w:hint="eastAsia" w:ascii="黑体" w:hAnsi="黑体" w:eastAsia="黑体" w:cs="黑体"/>
                <w:b w:val="0"/>
                <w:bCs w:val="0"/>
                <w:sz w:val="24"/>
                <w:highlight w:val="none"/>
                <w:lang w:eastAsia="zh-CN"/>
              </w:rPr>
            </w:pPr>
            <w:r>
              <w:rPr>
                <w:rFonts w:hint="eastAsia" w:ascii="黑体" w:hAnsi="黑体" w:eastAsia="黑体" w:cs="黑体"/>
                <w:b w:val="0"/>
                <w:bCs w:val="0"/>
                <w:sz w:val="24"/>
                <w:highlight w:val="none"/>
                <w:lang w:eastAsia="zh-CN"/>
              </w:rPr>
              <w:t>表</w:t>
            </w:r>
            <w:r>
              <w:rPr>
                <w:rFonts w:hint="eastAsia" w:ascii="黑体" w:hAnsi="黑体" w:eastAsia="黑体" w:cs="黑体"/>
                <w:b w:val="0"/>
                <w:bCs w:val="0"/>
                <w:sz w:val="24"/>
                <w:highlight w:val="none"/>
                <w:lang w:val="en-US" w:eastAsia="zh-CN"/>
              </w:rPr>
              <w:t>17</w:t>
            </w:r>
            <w:r>
              <w:rPr>
                <w:rFonts w:hint="eastAsia" w:ascii="黑体" w:hAnsi="黑体" w:eastAsia="黑体" w:cs="黑体"/>
                <w:b w:val="0"/>
                <w:bCs w:val="0"/>
                <w:sz w:val="24"/>
                <w:highlight w:val="none"/>
                <w:lang w:eastAsia="zh-CN"/>
              </w:rPr>
              <w:t xml:space="preserve">  无组织废气厂界浓度预测一览表</w:t>
            </w:r>
          </w:p>
          <w:tbl>
            <w:tblPr>
              <w:tblStyle w:val="31"/>
              <w:tblW w:w="9036" w:type="dxa"/>
              <w:tblInd w:w="4"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274"/>
              <w:gridCol w:w="894"/>
              <w:gridCol w:w="1069"/>
              <w:gridCol w:w="1343"/>
              <w:gridCol w:w="1255"/>
              <w:gridCol w:w="1796"/>
              <w:gridCol w:w="1405"/>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1274" w:type="dxa"/>
                  <w:tcBorders>
                    <w:tl2br w:val="nil"/>
                    <w:tr2bl w:val="nil"/>
                  </w:tcBorders>
                  <w:vAlign w:val="center"/>
                </w:tcPr>
                <w:p>
                  <w:pPr>
                    <w:pStyle w:val="8"/>
                    <w:ind w:firstLine="0"/>
                    <w:jc w:val="center"/>
                    <w:rPr>
                      <w:sz w:val="21"/>
                      <w:szCs w:val="21"/>
                    </w:rPr>
                  </w:pPr>
                  <w:r>
                    <w:rPr>
                      <w:sz w:val="21"/>
                      <w:szCs w:val="21"/>
                    </w:rPr>
                    <w:t>污染源</w:t>
                  </w:r>
                </w:p>
              </w:tc>
              <w:tc>
                <w:tcPr>
                  <w:tcW w:w="894" w:type="dxa"/>
                  <w:tcBorders>
                    <w:tl2br w:val="nil"/>
                    <w:tr2bl w:val="nil"/>
                  </w:tcBorders>
                  <w:vAlign w:val="center"/>
                </w:tcPr>
                <w:p>
                  <w:pPr>
                    <w:pStyle w:val="8"/>
                    <w:ind w:firstLine="0"/>
                    <w:jc w:val="center"/>
                    <w:rPr>
                      <w:sz w:val="21"/>
                      <w:szCs w:val="21"/>
                    </w:rPr>
                  </w:pPr>
                  <w:r>
                    <w:rPr>
                      <w:sz w:val="21"/>
                      <w:szCs w:val="21"/>
                    </w:rPr>
                    <w:t>污染物</w:t>
                  </w:r>
                </w:p>
              </w:tc>
              <w:tc>
                <w:tcPr>
                  <w:tcW w:w="1069" w:type="dxa"/>
                  <w:tcBorders>
                    <w:tl2br w:val="nil"/>
                    <w:tr2bl w:val="nil"/>
                  </w:tcBorders>
                  <w:vAlign w:val="center"/>
                </w:tcPr>
                <w:p>
                  <w:pPr>
                    <w:pStyle w:val="8"/>
                    <w:ind w:firstLine="0"/>
                    <w:jc w:val="center"/>
                    <w:rPr>
                      <w:sz w:val="21"/>
                      <w:szCs w:val="21"/>
                    </w:rPr>
                  </w:pPr>
                  <w:r>
                    <w:rPr>
                      <w:sz w:val="21"/>
                      <w:szCs w:val="21"/>
                    </w:rPr>
                    <w:t>排放速率（kg/h）</w:t>
                  </w:r>
                </w:p>
              </w:tc>
              <w:tc>
                <w:tcPr>
                  <w:tcW w:w="2598" w:type="dxa"/>
                  <w:gridSpan w:val="2"/>
                  <w:tcBorders>
                    <w:tl2br w:val="nil"/>
                    <w:tr2bl w:val="nil"/>
                  </w:tcBorders>
                  <w:vAlign w:val="center"/>
                </w:tcPr>
                <w:p>
                  <w:pPr>
                    <w:pStyle w:val="8"/>
                    <w:ind w:firstLine="0"/>
                    <w:jc w:val="center"/>
                    <w:rPr>
                      <w:sz w:val="21"/>
                      <w:szCs w:val="21"/>
                    </w:rPr>
                  </w:pPr>
                  <w:r>
                    <w:rPr>
                      <w:sz w:val="21"/>
                      <w:szCs w:val="21"/>
                    </w:rPr>
                    <w:t>厂界外1m处浓度（mg/m</w:t>
                  </w:r>
                  <w:r>
                    <w:rPr>
                      <w:sz w:val="21"/>
                      <w:szCs w:val="21"/>
                      <w:vertAlign w:val="superscript"/>
                    </w:rPr>
                    <w:t>3</w:t>
                  </w:r>
                  <w:r>
                    <w:rPr>
                      <w:sz w:val="21"/>
                      <w:szCs w:val="21"/>
                    </w:rPr>
                    <w:t>）</w:t>
                  </w:r>
                </w:p>
              </w:tc>
              <w:tc>
                <w:tcPr>
                  <w:tcW w:w="1796" w:type="dxa"/>
                  <w:tcBorders>
                    <w:tl2br w:val="nil"/>
                    <w:tr2bl w:val="nil"/>
                  </w:tcBorders>
                  <w:vAlign w:val="center"/>
                </w:tcPr>
                <w:p>
                  <w:pPr>
                    <w:pStyle w:val="8"/>
                    <w:ind w:firstLine="0"/>
                    <w:jc w:val="center"/>
                    <w:rPr>
                      <w:sz w:val="21"/>
                      <w:szCs w:val="21"/>
                    </w:rPr>
                  </w:pPr>
                  <w:r>
                    <w:rPr>
                      <w:rFonts w:hint="eastAsia"/>
                      <w:color w:val="auto"/>
                      <w:spacing w:val="-5"/>
                      <w:sz w:val="21"/>
                      <w:szCs w:val="21"/>
                    </w:rPr>
                    <w:t>标准名称</w:t>
                  </w:r>
                </w:p>
              </w:tc>
              <w:tc>
                <w:tcPr>
                  <w:tcW w:w="1405" w:type="dxa"/>
                  <w:tcBorders>
                    <w:tl2br w:val="nil"/>
                    <w:tr2bl w:val="nil"/>
                  </w:tcBorders>
                  <w:vAlign w:val="center"/>
                </w:tcPr>
                <w:p>
                  <w:pPr>
                    <w:pStyle w:val="8"/>
                    <w:ind w:firstLine="0"/>
                    <w:jc w:val="center"/>
                    <w:rPr>
                      <w:sz w:val="21"/>
                      <w:szCs w:val="21"/>
                    </w:rPr>
                  </w:pPr>
                  <w:r>
                    <w:rPr>
                      <w:rFonts w:hint="eastAsia"/>
                      <w:sz w:val="21"/>
                      <w:szCs w:val="21"/>
                    </w:rPr>
                    <w:t>浓度限值</w:t>
                  </w:r>
                  <w:r>
                    <w:rPr>
                      <w:sz w:val="21"/>
                      <w:szCs w:val="21"/>
                    </w:rPr>
                    <w:t>（mg/m</w:t>
                  </w:r>
                  <w:r>
                    <w:rPr>
                      <w:sz w:val="21"/>
                      <w:szCs w:val="21"/>
                      <w:vertAlign w:val="superscript"/>
                    </w:rPr>
                    <w:t>3</w:t>
                  </w:r>
                  <w:r>
                    <w:rPr>
                      <w:sz w:val="21"/>
                      <w:szCs w:val="21"/>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1274" w:type="dxa"/>
                  <w:vMerge w:val="restart"/>
                  <w:tcBorders>
                    <w:tl2br w:val="nil"/>
                    <w:tr2bl w:val="nil"/>
                  </w:tcBorders>
                  <w:vAlign w:val="center"/>
                </w:tcPr>
                <w:p>
                  <w:pPr>
                    <w:pStyle w:val="8"/>
                    <w:ind w:firstLine="0"/>
                    <w:jc w:val="center"/>
                    <w:rPr>
                      <w:sz w:val="21"/>
                      <w:szCs w:val="21"/>
                    </w:rPr>
                  </w:pPr>
                  <w:r>
                    <w:rPr>
                      <w:rFonts w:hint="default" w:ascii="Times New Roman" w:hAnsi="Times New Roman" w:cs="Times New Roman"/>
                      <w:bCs/>
                      <w:color w:val="auto"/>
                      <w:sz w:val="21"/>
                      <w:szCs w:val="21"/>
                      <w:lang w:val="en-US" w:eastAsia="zh-CN"/>
                    </w:rPr>
                    <w:t>MF001（</w:t>
                  </w:r>
                  <w:r>
                    <w:rPr>
                      <w:rFonts w:hint="eastAsia" w:cs="Times New Roman"/>
                      <w:bCs/>
                      <w:color w:val="auto"/>
                      <w:sz w:val="21"/>
                      <w:szCs w:val="21"/>
                      <w:lang w:val="en-US" w:eastAsia="zh-CN"/>
                    </w:rPr>
                    <w:t>生产车间</w:t>
                  </w:r>
                  <w:r>
                    <w:rPr>
                      <w:rFonts w:hint="default" w:ascii="Times New Roman" w:hAnsi="Times New Roman" w:cs="Times New Roman"/>
                      <w:bCs/>
                      <w:color w:val="auto"/>
                      <w:sz w:val="21"/>
                      <w:szCs w:val="21"/>
                      <w:lang w:val="en-US" w:eastAsia="zh-CN"/>
                    </w:rPr>
                    <w:t>）</w:t>
                  </w:r>
                </w:p>
              </w:tc>
              <w:tc>
                <w:tcPr>
                  <w:tcW w:w="894" w:type="dxa"/>
                  <w:vMerge w:val="restart"/>
                  <w:tcBorders>
                    <w:tl2br w:val="nil"/>
                    <w:tr2bl w:val="nil"/>
                  </w:tcBorders>
                  <w:vAlign w:val="center"/>
                </w:tcPr>
                <w:p>
                  <w:pPr>
                    <w:pStyle w:val="8"/>
                    <w:ind w:firstLine="0"/>
                    <w:jc w:val="center"/>
                    <w:rPr>
                      <w:sz w:val="21"/>
                      <w:szCs w:val="21"/>
                    </w:rPr>
                  </w:pPr>
                  <w:r>
                    <w:rPr>
                      <w:sz w:val="21"/>
                      <w:szCs w:val="21"/>
                    </w:rPr>
                    <w:t>颗粒物</w:t>
                  </w:r>
                </w:p>
              </w:tc>
              <w:tc>
                <w:tcPr>
                  <w:tcW w:w="1069" w:type="dxa"/>
                  <w:vMerge w:val="restart"/>
                  <w:tcBorders>
                    <w:tl2br w:val="nil"/>
                    <w:tr2bl w:val="nil"/>
                  </w:tcBorders>
                  <w:vAlign w:val="center"/>
                </w:tcPr>
                <w:p>
                  <w:pPr>
                    <w:keepNext w:val="0"/>
                    <w:keepLines w:val="0"/>
                    <w:widowControl/>
                    <w:suppressLineNumbers w:val="0"/>
                    <w:jc w:val="center"/>
                    <w:textAlignment w:val="center"/>
                    <w:rPr>
                      <w:rFonts w:hint="default" w:eastAsia="宋体"/>
                      <w:bCs/>
                      <w:sz w:val="21"/>
                      <w:szCs w:val="21"/>
                      <w:lang w:val="en-US" w:eastAsia="zh-CN"/>
                    </w:rPr>
                  </w:pPr>
                  <w:r>
                    <w:rPr>
                      <w:rFonts w:hint="default" w:ascii="Times New Roman" w:hAnsi="Times New Roman" w:eastAsia="宋体" w:cs="Times New Roman"/>
                      <w:i w:val="0"/>
                      <w:color w:val="000000"/>
                      <w:kern w:val="0"/>
                      <w:sz w:val="21"/>
                      <w:szCs w:val="21"/>
                      <w:u w:val="none"/>
                      <w:lang w:val="en-US" w:eastAsia="zh-CN" w:bidi="ar"/>
                    </w:rPr>
                    <w:t>0.0</w:t>
                  </w:r>
                  <w:r>
                    <w:rPr>
                      <w:rFonts w:hint="eastAsia" w:cs="Times New Roman"/>
                      <w:i w:val="0"/>
                      <w:color w:val="000000"/>
                      <w:kern w:val="0"/>
                      <w:sz w:val="21"/>
                      <w:szCs w:val="21"/>
                      <w:u w:val="none"/>
                      <w:lang w:val="en-US" w:eastAsia="zh-CN" w:bidi="ar"/>
                    </w:rPr>
                    <w:t>202</w:t>
                  </w:r>
                </w:p>
              </w:tc>
              <w:tc>
                <w:tcPr>
                  <w:tcW w:w="1343" w:type="dxa"/>
                  <w:tcBorders>
                    <w:tl2br w:val="nil"/>
                    <w:tr2bl w:val="nil"/>
                  </w:tcBorders>
                  <w:vAlign w:val="center"/>
                </w:tcPr>
                <w:p>
                  <w:pPr>
                    <w:pStyle w:val="115"/>
                    <w:spacing w:line="280" w:lineRule="exact"/>
                    <w:outlineLvl w:val="9"/>
                    <w:rPr>
                      <w:rFonts w:cs="Times New Roman"/>
                      <w:color w:val="auto"/>
                      <w:sz w:val="21"/>
                      <w:szCs w:val="21"/>
                    </w:rPr>
                  </w:pPr>
                  <w:r>
                    <w:rPr>
                      <w:rFonts w:hint="eastAsia" w:cs="Times New Roman"/>
                      <w:color w:val="auto"/>
                      <w:sz w:val="21"/>
                      <w:szCs w:val="21"/>
                    </w:rPr>
                    <w:t>东厂界</w:t>
                  </w:r>
                </w:p>
              </w:tc>
              <w:tc>
                <w:tcPr>
                  <w:tcW w:w="1255" w:type="dxa"/>
                  <w:tcBorders>
                    <w:tl2br w:val="nil"/>
                    <w:tr2bl w:val="nil"/>
                  </w:tcBorders>
                  <w:vAlign w:val="center"/>
                </w:tcPr>
                <w:p>
                  <w:pPr>
                    <w:pStyle w:val="115"/>
                    <w:spacing w:line="280" w:lineRule="exact"/>
                    <w:outlineLvl w:val="9"/>
                    <w:rPr>
                      <w:rFonts w:hint="default" w:cs="Times New Roman"/>
                      <w:color w:val="auto"/>
                      <w:sz w:val="21"/>
                      <w:szCs w:val="21"/>
                      <w:lang w:val="en-US"/>
                    </w:rPr>
                  </w:pPr>
                  <w:r>
                    <w:rPr>
                      <w:rFonts w:hint="eastAsia" w:cs="Times New Roman"/>
                      <w:i w:val="0"/>
                      <w:color w:val="000000"/>
                      <w:kern w:val="0"/>
                      <w:sz w:val="21"/>
                      <w:szCs w:val="21"/>
                      <w:u w:val="none"/>
                      <w:lang w:val="en-US" w:eastAsia="zh-CN" w:bidi="ar"/>
                    </w:rPr>
                    <w:t>6.78E-03</w:t>
                  </w:r>
                </w:p>
              </w:tc>
              <w:tc>
                <w:tcPr>
                  <w:tcW w:w="1796" w:type="dxa"/>
                  <w:vMerge w:val="restart"/>
                  <w:tcBorders>
                    <w:tl2br w:val="nil"/>
                    <w:tr2bl w:val="nil"/>
                  </w:tcBorders>
                  <w:vAlign w:val="center"/>
                </w:tcPr>
                <w:p>
                  <w:pPr>
                    <w:pStyle w:val="115"/>
                    <w:spacing w:line="280" w:lineRule="exact"/>
                    <w:outlineLvl w:val="9"/>
                    <w:rPr>
                      <w:rFonts w:hint="eastAsia" w:cs="Times New Roman"/>
                      <w:color w:val="auto"/>
                      <w:sz w:val="21"/>
                      <w:szCs w:val="21"/>
                    </w:rPr>
                  </w:pPr>
                  <w:r>
                    <w:rPr>
                      <w:rFonts w:ascii="Times New Roman" w:hAnsi="Times New Roman" w:cs="Times New Roman"/>
                      <w:color w:val="auto"/>
                      <w:sz w:val="21"/>
                      <w:szCs w:val="21"/>
                    </w:rPr>
                    <w:t>《大气污染物综合排放标准》（GB16297-1996）表2</w:t>
                  </w:r>
                </w:p>
              </w:tc>
              <w:tc>
                <w:tcPr>
                  <w:tcW w:w="1405" w:type="dxa"/>
                  <w:vMerge w:val="restart"/>
                  <w:tcBorders>
                    <w:tl2br w:val="nil"/>
                    <w:tr2bl w:val="nil"/>
                  </w:tcBorders>
                  <w:vAlign w:val="center"/>
                </w:tcPr>
                <w:p>
                  <w:pPr>
                    <w:pStyle w:val="115"/>
                    <w:spacing w:line="280" w:lineRule="exact"/>
                    <w:outlineLvl w:val="9"/>
                    <w:rPr>
                      <w:rFonts w:hint="default" w:eastAsia="宋体" w:cs="Times New Roman"/>
                      <w:color w:val="auto"/>
                      <w:sz w:val="21"/>
                      <w:szCs w:val="21"/>
                      <w:lang w:val="en-US" w:eastAsia="zh-CN"/>
                    </w:rPr>
                  </w:pPr>
                  <w:r>
                    <w:rPr>
                      <w:rFonts w:hint="eastAsia" w:cs="Times New Roman"/>
                      <w:color w:val="auto"/>
                      <w:sz w:val="21"/>
                      <w:szCs w:val="21"/>
                      <w:lang w:val="en-US" w:eastAsia="zh-CN"/>
                    </w:rPr>
                    <w:t>1.0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1274" w:type="dxa"/>
                  <w:vMerge w:val="continue"/>
                  <w:tcBorders>
                    <w:tl2br w:val="nil"/>
                    <w:tr2bl w:val="nil"/>
                  </w:tcBorders>
                  <w:vAlign w:val="center"/>
                </w:tcPr>
                <w:p>
                  <w:pPr>
                    <w:pStyle w:val="8"/>
                    <w:ind w:firstLine="0"/>
                    <w:jc w:val="center"/>
                    <w:rPr>
                      <w:sz w:val="21"/>
                      <w:szCs w:val="21"/>
                    </w:rPr>
                  </w:pPr>
                </w:p>
              </w:tc>
              <w:tc>
                <w:tcPr>
                  <w:tcW w:w="894" w:type="dxa"/>
                  <w:vMerge w:val="continue"/>
                  <w:tcBorders>
                    <w:tl2br w:val="nil"/>
                    <w:tr2bl w:val="nil"/>
                  </w:tcBorders>
                  <w:vAlign w:val="center"/>
                </w:tcPr>
                <w:p>
                  <w:pPr>
                    <w:pStyle w:val="8"/>
                    <w:ind w:firstLine="0"/>
                    <w:jc w:val="center"/>
                    <w:rPr>
                      <w:sz w:val="21"/>
                      <w:szCs w:val="21"/>
                    </w:rPr>
                  </w:pPr>
                </w:p>
              </w:tc>
              <w:tc>
                <w:tcPr>
                  <w:tcW w:w="1069" w:type="dxa"/>
                  <w:vMerge w:val="continue"/>
                  <w:tcBorders>
                    <w:tl2br w:val="nil"/>
                    <w:tr2bl w:val="nil"/>
                  </w:tcBorders>
                  <w:vAlign w:val="center"/>
                </w:tcPr>
                <w:p>
                  <w:pPr>
                    <w:pStyle w:val="8"/>
                    <w:ind w:firstLine="0"/>
                    <w:jc w:val="center"/>
                    <w:rPr>
                      <w:sz w:val="21"/>
                      <w:szCs w:val="21"/>
                    </w:rPr>
                  </w:pPr>
                </w:p>
              </w:tc>
              <w:tc>
                <w:tcPr>
                  <w:tcW w:w="1343" w:type="dxa"/>
                  <w:tcBorders>
                    <w:tl2br w:val="nil"/>
                    <w:tr2bl w:val="nil"/>
                  </w:tcBorders>
                  <w:vAlign w:val="center"/>
                </w:tcPr>
                <w:p>
                  <w:pPr>
                    <w:pStyle w:val="115"/>
                    <w:spacing w:line="280" w:lineRule="exact"/>
                    <w:outlineLvl w:val="9"/>
                    <w:rPr>
                      <w:rFonts w:cs="Times New Roman"/>
                      <w:color w:val="auto"/>
                      <w:sz w:val="21"/>
                      <w:szCs w:val="21"/>
                    </w:rPr>
                  </w:pPr>
                  <w:r>
                    <w:rPr>
                      <w:rFonts w:hint="eastAsia" w:cs="Times New Roman"/>
                      <w:color w:val="auto"/>
                      <w:sz w:val="21"/>
                      <w:szCs w:val="21"/>
                    </w:rPr>
                    <w:t>西厂界</w:t>
                  </w:r>
                </w:p>
              </w:tc>
              <w:tc>
                <w:tcPr>
                  <w:tcW w:w="1255" w:type="dxa"/>
                  <w:tcBorders>
                    <w:tl2br w:val="nil"/>
                    <w:tr2bl w:val="nil"/>
                  </w:tcBorders>
                  <w:vAlign w:val="center"/>
                </w:tcPr>
                <w:p>
                  <w:pPr>
                    <w:spacing w:line="280" w:lineRule="exact"/>
                    <w:jc w:val="center"/>
                    <w:outlineLvl w:val="9"/>
                    <w:rPr>
                      <w:rFonts w:hint="default" w:eastAsia="宋体" w:cs="Times New Roman"/>
                      <w:color w:val="auto"/>
                      <w:sz w:val="21"/>
                      <w:szCs w:val="21"/>
                      <w:lang w:val="en-US" w:eastAsia="zh-CN"/>
                    </w:rPr>
                  </w:pPr>
                  <w:r>
                    <w:rPr>
                      <w:rFonts w:hint="eastAsia" w:cs="Times New Roman"/>
                      <w:i w:val="0"/>
                      <w:color w:val="000000"/>
                      <w:kern w:val="0"/>
                      <w:sz w:val="21"/>
                      <w:szCs w:val="21"/>
                      <w:u w:val="none"/>
                      <w:lang w:val="en-US" w:eastAsia="zh-CN" w:bidi="ar"/>
                    </w:rPr>
                    <w:t>6.01E-03</w:t>
                  </w:r>
                </w:p>
              </w:tc>
              <w:tc>
                <w:tcPr>
                  <w:tcW w:w="1796" w:type="dxa"/>
                  <w:vMerge w:val="continue"/>
                  <w:tcBorders>
                    <w:tl2br w:val="nil"/>
                    <w:tr2bl w:val="nil"/>
                  </w:tcBorders>
                  <w:vAlign w:val="center"/>
                </w:tcPr>
                <w:p>
                  <w:pPr>
                    <w:pStyle w:val="115"/>
                    <w:spacing w:line="280" w:lineRule="exact"/>
                    <w:outlineLvl w:val="9"/>
                    <w:rPr>
                      <w:rFonts w:hint="eastAsia" w:cs="Times New Roman"/>
                      <w:color w:val="auto"/>
                      <w:sz w:val="21"/>
                      <w:szCs w:val="21"/>
                    </w:rPr>
                  </w:pPr>
                </w:p>
              </w:tc>
              <w:tc>
                <w:tcPr>
                  <w:tcW w:w="1405" w:type="dxa"/>
                  <w:vMerge w:val="continue"/>
                  <w:tcBorders>
                    <w:tl2br w:val="nil"/>
                    <w:tr2bl w:val="nil"/>
                  </w:tcBorders>
                  <w:vAlign w:val="center"/>
                </w:tcPr>
                <w:p>
                  <w:pPr>
                    <w:pStyle w:val="115"/>
                    <w:spacing w:line="280" w:lineRule="exact"/>
                    <w:outlineLvl w:val="9"/>
                    <w:rPr>
                      <w:rFonts w:cs="Times New Roman"/>
                      <w:color w:val="auto"/>
                      <w:sz w:val="21"/>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1274" w:type="dxa"/>
                  <w:vMerge w:val="continue"/>
                  <w:tcBorders>
                    <w:tl2br w:val="nil"/>
                    <w:tr2bl w:val="nil"/>
                  </w:tcBorders>
                  <w:vAlign w:val="center"/>
                </w:tcPr>
                <w:p>
                  <w:pPr>
                    <w:pStyle w:val="8"/>
                    <w:ind w:firstLine="0"/>
                    <w:jc w:val="center"/>
                    <w:rPr>
                      <w:sz w:val="21"/>
                      <w:szCs w:val="21"/>
                    </w:rPr>
                  </w:pPr>
                </w:p>
              </w:tc>
              <w:tc>
                <w:tcPr>
                  <w:tcW w:w="894" w:type="dxa"/>
                  <w:vMerge w:val="continue"/>
                  <w:tcBorders>
                    <w:tl2br w:val="nil"/>
                    <w:tr2bl w:val="nil"/>
                  </w:tcBorders>
                  <w:vAlign w:val="center"/>
                </w:tcPr>
                <w:p>
                  <w:pPr>
                    <w:pStyle w:val="8"/>
                    <w:ind w:firstLine="0"/>
                    <w:jc w:val="center"/>
                    <w:rPr>
                      <w:sz w:val="21"/>
                      <w:szCs w:val="21"/>
                    </w:rPr>
                  </w:pPr>
                </w:p>
              </w:tc>
              <w:tc>
                <w:tcPr>
                  <w:tcW w:w="1069" w:type="dxa"/>
                  <w:vMerge w:val="continue"/>
                  <w:tcBorders>
                    <w:tl2br w:val="nil"/>
                    <w:tr2bl w:val="nil"/>
                  </w:tcBorders>
                  <w:vAlign w:val="center"/>
                </w:tcPr>
                <w:p>
                  <w:pPr>
                    <w:pStyle w:val="8"/>
                    <w:ind w:firstLine="0"/>
                    <w:jc w:val="center"/>
                    <w:rPr>
                      <w:sz w:val="21"/>
                      <w:szCs w:val="21"/>
                    </w:rPr>
                  </w:pPr>
                </w:p>
              </w:tc>
              <w:tc>
                <w:tcPr>
                  <w:tcW w:w="1343" w:type="dxa"/>
                  <w:tcBorders>
                    <w:tl2br w:val="nil"/>
                    <w:tr2bl w:val="nil"/>
                  </w:tcBorders>
                  <w:vAlign w:val="center"/>
                </w:tcPr>
                <w:p>
                  <w:pPr>
                    <w:pStyle w:val="115"/>
                    <w:spacing w:line="280" w:lineRule="exact"/>
                    <w:outlineLvl w:val="9"/>
                    <w:rPr>
                      <w:rFonts w:cs="Times New Roman"/>
                      <w:color w:val="auto"/>
                      <w:sz w:val="21"/>
                      <w:szCs w:val="21"/>
                    </w:rPr>
                  </w:pPr>
                  <w:r>
                    <w:rPr>
                      <w:rFonts w:hint="eastAsia" w:cs="Times New Roman"/>
                      <w:color w:val="auto"/>
                      <w:sz w:val="21"/>
                      <w:szCs w:val="21"/>
                    </w:rPr>
                    <w:t>南厂界</w:t>
                  </w:r>
                </w:p>
              </w:tc>
              <w:tc>
                <w:tcPr>
                  <w:tcW w:w="1255" w:type="dxa"/>
                  <w:tcBorders>
                    <w:tl2br w:val="nil"/>
                    <w:tr2bl w:val="nil"/>
                  </w:tcBorders>
                  <w:vAlign w:val="center"/>
                </w:tcPr>
                <w:p>
                  <w:pPr>
                    <w:spacing w:line="280" w:lineRule="exact"/>
                    <w:jc w:val="center"/>
                    <w:outlineLvl w:val="9"/>
                    <w:rPr>
                      <w:rFonts w:hint="default" w:eastAsia="宋体" w:cs="Times New Roman"/>
                      <w:color w:val="auto"/>
                      <w:sz w:val="21"/>
                      <w:szCs w:val="21"/>
                      <w:lang w:val="en-US" w:eastAsia="zh-CN"/>
                    </w:rPr>
                  </w:pPr>
                  <w:r>
                    <w:rPr>
                      <w:rFonts w:hint="eastAsia" w:cs="Times New Roman"/>
                      <w:i w:val="0"/>
                      <w:color w:val="000000"/>
                      <w:kern w:val="0"/>
                      <w:sz w:val="21"/>
                      <w:szCs w:val="21"/>
                      <w:u w:val="none"/>
                      <w:lang w:val="en-US" w:eastAsia="zh-CN" w:bidi="ar"/>
                    </w:rPr>
                    <w:t>3.60E-03</w:t>
                  </w:r>
                </w:p>
              </w:tc>
              <w:tc>
                <w:tcPr>
                  <w:tcW w:w="1796" w:type="dxa"/>
                  <w:vMerge w:val="continue"/>
                  <w:tcBorders>
                    <w:tl2br w:val="nil"/>
                    <w:tr2bl w:val="nil"/>
                  </w:tcBorders>
                  <w:vAlign w:val="center"/>
                </w:tcPr>
                <w:p>
                  <w:pPr>
                    <w:pStyle w:val="115"/>
                    <w:spacing w:line="280" w:lineRule="exact"/>
                    <w:outlineLvl w:val="9"/>
                    <w:rPr>
                      <w:rFonts w:hint="eastAsia" w:cs="Times New Roman"/>
                      <w:color w:val="auto"/>
                      <w:sz w:val="21"/>
                      <w:szCs w:val="21"/>
                    </w:rPr>
                  </w:pPr>
                </w:p>
              </w:tc>
              <w:tc>
                <w:tcPr>
                  <w:tcW w:w="1405" w:type="dxa"/>
                  <w:vMerge w:val="continue"/>
                  <w:tcBorders>
                    <w:tl2br w:val="nil"/>
                    <w:tr2bl w:val="nil"/>
                  </w:tcBorders>
                  <w:vAlign w:val="center"/>
                </w:tcPr>
                <w:p>
                  <w:pPr>
                    <w:pStyle w:val="115"/>
                    <w:spacing w:line="280" w:lineRule="exact"/>
                    <w:outlineLvl w:val="9"/>
                    <w:rPr>
                      <w:rFonts w:cs="Times New Roman"/>
                      <w:color w:val="auto"/>
                      <w:sz w:val="21"/>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1274" w:type="dxa"/>
                  <w:vMerge w:val="continue"/>
                  <w:tcBorders>
                    <w:tl2br w:val="nil"/>
                    <w:tr2bl w:val="nil"/>
                  </w:tcBorders>
                  <w:vAlign w:val="center"/>
                </w:tcPr>
                <w:p>
                  <w:pPr>
                    <w:pStyle w:val="8"/>
                    <w:ind w:firstLine="0"/>
                    <w:jc w:val="center"/>
                    <w:rPr>
                      <w:sz w:val="21"/>
                      <w:szCs w:val="21"/>
                    </w:rPr>
                  </w:pPr>
                </w:p>
              </w:tc>
              <w:tc>
                <w:tcPr>
                  <w:tcW w:w="894" w:type="dxa"/>
                  <w:vMerge w:val="continue"/>
                  <w:tcBorders>
                    <w:tl2br w:val="nil"/>
                    <w:tr2bl w:val="nil"/>
                  </w:tcBorders>
                  <w:vAlign w:val="center"/>
                </w:tcPr>
                <w:p>
                  <w:pPr>
                    <w:pStyle w:val="8"/>
                    <w:ind w:firstLine="0"/>
                    <w:jc w:val="center"/>
                    <w:rPr>
                      <w:sz w:val="21"/>
                      <w:szCs w:val="21"/>
                    </w:rPr>
                  </w:pPr>
                </w:p>
              </w:tc>
              <w:tc>
                <w:tcPr>
                  <w:tcW w:w="1069" w:type="dxa"/>
                  <w:vMerge w:val="continue"/>
                  <w:tcBorders>
                    <w:tl2br w:val="nil"/>
                    <w:tr2bl w:val="nil"/>
                  </w:tcBorders>
                  <w:vAlign w:val="center"/>
                </w:tcPr>
                <w:p>
                  <w:pPr>
                    <w:pStyle w:val="8"/>
                    <w:ind w:firstLine="0"/>
                    <w:jc w:val="center"/>
                    <w:rPr>
                      <w:sz w:val="21"/>
                      <w:szCs w:val="21"/>
                    </w:rPr>
                  </w:pPr>
                </w:p>
              </w:tc>
              <w:tc>
                <w:tcPr>
                  <w:tcW w:w="1343" w:type="dxa"/>
                  <w:tcBorders>
                    <w:tl2br w:val="nil"/>
                    <w:tr2bl w:val="nil"/>
                  </w:tcBorders>
                  <w:vAlign w:val="center"/>
                </w:tcPr>
                <w:p>
                  <w:pPr>
                    <w:pStyle w:val="115"/>
                    <w:spacing w:line="280" w:lineRule="exact"/>
                    <w:outlineLvl w:val="9"/>
                    <w:rPr>
                      <w:rFonts w:cs="Times New Roman"/>
                      <w:color w:val="auto"/>
                      <w:sz w:val="21"/>
                      <w:szCs w:val="21"/>
                    </w:rPr>
                  </w:pPr>
                  <w:r>
                    <w:rPr>
                      <w:rFonts w:hint="eastAsia" w:cs="Times New Roman"/>
                      <w:color w:val="auto"/>
                      <w:sz w:val="21"/>
                      <w:szCs w:val="21"/>
                    </w:rPr>
                    <w:t>北厂界</w:t>
                  </w:r>
                </w:p>
              </w:tc>
              <w:tc>
                <w:tcPr>
                  <w:tcW w:w="1255" w:type="dxa"/>
                  <w:tcBorders>
                    <w:tl2br w:val="nil"/>
                    <w:tr2bl w:val="nil"/>
                  </w:tcBorders>
                  <w:vAlign w:val="center"/>
                </w:tcPr>
                <w:p>
                  <w:pPr>
                    <w:spacing w:line="280" w:lineRule="exact"/>
                    <w:jc w:val="center"/>
                    <w:outlineLvl w:val="9"/>
                    <w:rPr>
                      <w:rFonts w:hint="default" w:eastAsia="宋体" w:cs="Times New Roman"/>
                      <w:color w:val="auto"/>
                      <w:sz w:val="21"/>
                      <w:szCs w:val="21"/>
                      <w:lang w:val="en-US" w:eastAsia="zh-CN"/>
                    </w:rPr>
                  </w:pPr>
                  <w:r>
                    <w:rPr>
                      <w:rFonts w:hint="eastAsia" w:cs="Times New Roman"/>
                      <w:i w:val="0"/>
                      <w:color w:val="000000"/>
                      <w:kern w:val="0"/>
                      <w:sz w:val="21"/>
                      <w:szCs w:val="21"/>
                      <w:u w:val="none"/>
                      <w:lang w:val="en-US" w:eastAsia="zh-CN" w:bidi="ar"/>
                    </w:rPr>
                    <w:t>4.91E-03</w:t>
                  </w:r>
                </w:p>
              </w:tc>
              <w:tc>
                <w:tcPr>
                  <w:tcW w:w="1796" w:type="dxa"/>
                  <w:vMerge w:val="continue"/>
                  <w:tcBorders>
                    <w:tl2br w:val="nil"/>
                    <w:tr2bl w:val="nil"/>
                  </w:tcBorders>
                  <w:vAlign w:val="center"/>
                </w:tcPr>
                <w:p>
                  <w:pPr>
                    <w:pStyle w:val="115"/>
                    <w:spacing w:line="280" w:lineRule="exact"/>
                    <w:outlineLvl w:val="9"/>
                    <w:rPr>
                      <w:rFonts w:hint="eastAsia" w:cs="Times New Roman"/>
                      <w:color w:val="auto"/>
                      <w:sz w:val="21"/>
                      <w:szCs w:val="21"/>
                    </w:rPr>
                  </w:pPr>
                </w:p>
              </w:tc>
              <w:tc>
                <w:tcPr>
                  <w:tcW w:w="1405" w:type="dxa"/>
                  <w:vMerge w:val="continue"/>
                  <w:tcBorders>
                    <w:tl2br w:val="nil"/>
                    <w:tr2bl w:val="nil"/>
                  </w:tcBorders>
                  <w:vAlign w:val="center"/>
                </w:tcPr>
                <w:p>
                  <w:pPr>
                    <w:pStyle w:val="115"/>
                    <w:spacing w:line="280" w:lineRule="exact"/>
                    <w:outlineLvl w:val="9"/>
                    <w:rPr>
                      <w:rFonts w:cs="Times New Roman"/>
                      <w:color w:val="auto"/>
                      <w:sz w:val="21"/>
                      <w:szCs w:val="21"/>
                    </w:rPr>
                  </w:pPr>
                </w:p>
              </w:tc>
            </w:tr>
          </w:tbl>
          <w:p>
            <w:pPr>
              <w:spacing w:line="240" w:lineRule="exact"/>
              <w:ind w:firstLine="480" w:firstLineChars="200"/>
              <w:jc w:val="left"/>
              <w:rPr>
                <w:rFonts w:hAnsi="宋体"/>
                <w:sz w:val="24"/>
              </w:rPr>
            </w:pPr>
          </w:p>
          <w:p>
            <w:pPr>
              <w:spacing w:line="360" w:lineRule="auto"/>
              <w:ind w:firstLine="480" w:firstLineChars="200"/>
              <w:rPr>
                <w:bCs/>
                <w:color w:val="auto"/>
                <w:sz w:val="24"/>
                <w:szCs w:val="24"/>
              </w:rPr>
            </w:pPr>
            <w:r>
              <w:rPr>
                <w:sz w:val="24"/>
              </w:rPr>
              <w:t>经预测，无组织排放</w:t>
            </w:r>
            <w:r>
              <w:rPr>
                <w:rFonts w:hint="eastAsia"/>
                <w:sz w:val="24"/>
              </w:rPr>
              <w:t>颗粒物厂界</w:t>
            </w:r>
            <w:r>
              <w:rPr>
                <w:sz w:val="24"/>
              </w:rPr>
              <w:t>浓度</w:t>
            </w:r>
            <w:r>
              <w:rPr>
                <w:rFonts w:hint="eastAsia"/>
                <w:sz w:val="24"/>
              </w:rPr>
              <w:t>能</w:t>
            </w:r>
            <w:r>
              <w:rPr>
                <w:sz w:val="24"/>
              </w:rPr>
              <w:t>满足《大气污染物综合排放标准》（GB16297-1996）表2二级标准</w:t>
            </w:r>
            <w:r>
              <w:rPr>
                <w:rFonts w:hint="eastAsia"/>
                <w:sz w:val="24"/>
              </w:rPr>
              <w:t>（颗粒物周界外浓度限值1.0</w:t>
            </w:r>
            <w:r>
              <w:rPr>
                <w:sz w:val="24"/>
              </w:rPr>
              <w:t>mg/m</w:t>
            </w:r>
            <w:r>
              <w:rPr>
                <w:sz w:val="24"/>
                <w:vertAlign w:val="superscript"/>
              </w:rPr>
              <w:t>3</w:t>
            </w:r>
            <w:r>
              <w:rPr>
                <w:rFonts w:hint="eastAsia"/>
                <w:sz w:val="24"/>
              </w:rPr>
              <w:t>）</w:t>
            </w:r>
            <w:r>
              <w:rPr>
                <w:bCs/>
                <w:color w:val="auto"/>
                <w:sz w:val="24"/>
                <w:szCs w:val="24"/>
              </w:rPr>
              <w:t>。</w:t>
            </w:r>
          </w:p>
          <w:p>
            <w:pPr>
              <w:autoSpaceDE w:val="0"/>
              <w:autoSpaceDN w:val="0"/>
              <w:spacing w:line="360" w:lineRule="auto"/>
              <w:ind w:firstLine="462"/>
              <w:rPr>
                <w:rFonts w:eastAsiaTheme="minorEastAsia"/>
                <w:b/>
                <w:spacing w:val="-5"/>
                <w:sz w:val="24"/>
              </w:rPr>
            </w:pPr>
            <w:r>
              <w:rPr>
                <w:rFonts w:eastAsiaTheme="minorEastAsia"/>
                <w:b/>
                <w:spacing w:val="-5"/>
                <w:sz w:val="24"/>
              </w:rPr>
              <w:t>1.</w:t>
            </w:r>
            <w:r>
              <w:rPr>
                <w:rFonts w:hint="eastAsia" w:eastAsiaTheme="minorEastAsia"/>
                <w:b/>
                <w:spacing w:val="-5"/>
                <w:sz w:val="24"/>
                <w:lang w:val="en-US" w:eastAsia="zh-CN"/>
              </w:rPr>
              <w:t>6</w:t>
            </w:r>
            <w:r>
              <w:rPr>
                <w:rFonts w:hint="eastAsia" w:eastAsiaTheme="minorEastAsia"/>
                <w:b/>
                <w:spacing w:val="-5"/>
                <w:sz w:val="24"/>
              </w:rPr>
              <w:t>本项目</w:t>
            </w:r>
            <w:r>
              <w:rPr>
                <w:rFonts w:eastAsiaTheme="minorEastAsia"/>
                <w:b/>
                <w:spacing w:val="-5"/>
                <w:sz w:val="24"/>
              </w:rPr>
              <w:t>污染物排放量核算</w:t>
            </w:r>
          </w:p>
          <w:p>
            <w:pPr>
              <w:autoSpaceDE w:val="0"/>
              <w:autoSpaceDN w:val="0"/>
              <w:spacing w:line="360" w:lineRule="auto"/>
              <w:ind w:firstLine="460"/>
              <w:rPr>
                <w:rFonts w:eastAsiaTheme="minorEastAsia"/>
                <w:spacing w:val="-5"/>
                <w:sz w:val="24"/>
              </w:rPr>
            </w:pPr>
            <w:r>
              <w:rPr>
                <w:rFonts w:hint="eastAsia" w:eastAsiaTheme="minorEastAsia"/>
                <w:spacing w:val="-5"/>
                <w:sz w:val="24"/>
              </w:rPr>
              <w:t>本项目</w:t>
            </w:r>
            <w:r>
              <w:rPr>
                <w:rFonts w:eastAsiaTheme="minorEastAsia"/>
                <w:spacing w:val="-5"/>
                <w:sz w:val="24"/>
              </w:rPr>
              <w:t>无组织排放量核算表见表</w:t>
            </w:r>
            <w:r>
              <w:rPr>
                <w:rFonts w:hint="eastAsia" w:eastAsiaTheme="minorEastAsia"/>
                <w:spacing w:val="-5"/>
                <w:sz w:val="24"/>
                <w:lang w:val="en-US" w:eastAsia="zh-CN"/>
              </w:rPr>
              <w:t>18</w:t>
            </w:r>
            <w:r>
              <w:rPr>
                <w:rFonts w:eastAsiaTheme="minorEastAsia"/>
                <w:spacing w:val="-5"/>
                <w:sz w:val="24"/>
              </w:rPr>
              <w:t>，大气污染物年排放量核算表见表</w:t>
            </w:r>
            <w:r>
              <w:rPr>
                <w:rFonts w:hint="eastAsia" w:eastAsiaTheme="minorEastAsia"/>
                <w:spacing w:val="-5"/>
                <w:sz w:val="24"/>
                <w:lang w:val="en-US" w:eastAsia="zh-CN"/>
              </w:rPr>
              <w:t>19</w:t>
            </w:r>
            <w:r>
              <w:rPr>
                <w:rFonts w:eastAsiaTheme="minorEastAsia"/>
                <w:spacing w:val="-5"/>
                <w:sz w:val="24"/>
              </w:rPr>
              <w:t>。</w:t>
            </w:r>
          </w:p>
          <w:p>
            <w:pPr>
              <w:spacing w:line="240" w:lineRule="auto"/>
              <w:jc w:val="center"/>
              <w:rPr>
                <w:rFonts w:hint="eastAsia" w:ascii="黑体" w:hAnsi="黑体" w:eastAsia="黑体" w:cs="黑体"/>
                <w:b w:val="0"/>
                <w:bCs w:val="0"/>
                <w:sz w:val="24"/>
                <w:highlight w:val="none"/>
                <w:lang w:eastAsia="zh-CN"/>
              </w:rPr>
            </w:pPr>
            <w:r>
              <w:rPr>
                <w:rFonts w:hint="eastAsia" w:ascii="黑体" w:hAnsi="黑体" w:eastAsia="黑体" w:cs="黑体"/>
                <w:b w:val="0"/>
                <w:bCs w:val="0"/>
                <w:sz w:val="24"/>
                <w:highlight w:val="none"/>
                <w:lang w:eastAsia="zh-CN"/>
              </w:rPr>
              <w:t>表</w:t>
            </w:r>
            <w:r>
              <w:rPr>
                <w:rFonts w:hint="eastAsia" w:ascii="黑体" w:hAnsi="黑体" w:eastAsia="黑体" w:cs="黑体"/>
                <w:b w:val="0"/>
                <w:bCs w:val="0"/>
                <w:sz w:val="24"/>
                <w:highlight w:val="none"/>
                <w:lang w:val="en-US" w:eastAsia="zh-CN"/>
              </w:rPr>
              <w:t>18</w:t>
            </w:r>
            <w:r>
              <w:rPr>
                <w:rFonts w:hint="eastAsia" w:ascii="黑体" w:hAnsi="黑体" w:eastAsia="黑体" w:cs="黑体"/>
                <w:b w:val="0"/>
                <w:bCs w:val="0"/>
                <w:sz w:val="24"/>
                <w:highlight w:val="none"/>
                <w:lang w:eastAsia="zh-CN"/>
              </w:rPr>
              <w:t xml:space="preserve">  本项目大气污染物无组织排放量核算表</w:t>
            </w:r>
          </w:p>
          <w:tbl>
            <w:tblPr>
              <w:tblStyle w:val="32"/>
              <w:tblW w:w="9060" w:type="dxa"/>
              <w:tblInd w:w="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62"/>
              <w:gridCol w:w="1134"/>
              <w:gridCol w:w="850"/>
              <w:gridCol w:w="1135"/>
              <w:gridCol w:w="3078"/>
              <w:gridCol w:w="1178"/>
              <w:gridCol w:w="11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62" w:type="dxa"/>
                  <w:tcBorders>
                    <w:left w:val="nil"/>
                  </w:tcBorders>
                  <w:vAlign w:val="center"/>
                </w:tcPr>
                <w:p>
                  <w:pPr>
                    <w:autoSpaceDE w:val="0"/>
                    <w:autoSpaceDN w:val="0"/>
                    <w:jc w:val="center"/>
                    <w:rPr>
                      <w:rFonts w:hint="default" w:ascii="Times New Roman" w:hAnsi="Times New Roman" w:cs="Times New Roman" w:eastAsiaTheme="minorEastAsia"/>
                      <w:spacing w:val="-5"/>
                      <w:szCs w:val="21"/>
                    </w:rPr>
                  </w:pPr>
                  <w:r>
                    <w:rPr>
                      <w:rFonts w:eastAsiaTheme="minorEastAsia"/>
                      <w:spacing w:val="-5"/>
                      <w:szCs w:val="21"/>
                    </w:rPr>
                    <w:t>序号</w:t>
                  </w:r>
                </w:p>
              </w:tc>
              <w:tc>
                <w:tcPr>
                  <w:tcW w:w="1134" w:type="dxa"/>
                  <w:vAlign w:val="center"/>
                </w:tcPr>
                <w:p>
                  <w:pPr>
                    <w:autoSpaceDE w:val="0"/>
                    <w:autoSpaceDN w:val="0"/>
                    <w:jc w:val="center"/>
                    <w:rPr>
                      <w:rFonts w:hint="default" w:ascii="Times New Roman" w:hAnsi="Times New Roman" w:cs="Times New Roman" w:eastAsiaTheme="minorEastAsia"/>
                      <w:spacing w:val="-5"/>
                      <w:szCs w:val="21"/>
                      <w:lang w:val="en-US" w:eastAsia="zh-CN"/>
                    </w:rPr>
                  </w:pPr>
                  <w:r>
                    <w:rPr>
                      <w:rFonts w:eastAsiaTheme="minorEastAsia"/>
                      <w:spacing w:val="-5"/>
                      <w:szCs w:val="21"/>
                    </w:rPr>
                    <w:t>产污环节</w:t>
                  </w:r>
                </w:p>
              </w:tc>
              <w:tc>
                <w:tcPr>
                  <w:tcW w:w="850" w:type="dxa"/>
                  <w:vAlign w:val="center"/>
                </w:tcPr>
                <w:p>
                  <w:pPr>
                    <w:autoSpaceDE w:val="0"/>
                    <w:autoSpaceDN w:val="0"/>
                    <w:jc w:val="center"/>
                    <w:rPr>
                      <w:rFonts w:hint="default" w:ascii="Times New Roman" w:hAnsi="Times New Roman" w:cs="Times New Roman" w:eastAsiaTheme="minorEastAsia"/>
                      <w:spacing w:val="-5"/>
                      <w:szCs w:val="21"/>
                    </w:rPr>
                  </w:pPr>
                  <w:r>
                    <w:rPr>
                      <w:rFonts w:eastAsiaTheme="minorEastAsia"/>
                      <w:spacing w:val="-5"/>
                      <w:szCs w:val="21"/>
                    </w:rPr>
                    <w:t>污染物</w:t>
                  </w:r>
                </w:p>
              </w:tc>
              <w:tc>
                <w:tcPr>
                  <w:tcW w:w="1135" w:type="dxa"/>
                  <w:vAlign w:val="center"/>
                </w:tcPr>
                <w:p>
                  <w:pPr>
                    <w:autoSpaceDE w:val="0"/>
                    <w:autoSpaceDN w:val="0"/>
                    <w:jc w:val="center"/>
                    <w:rPr>
                      <w:rFonts w:hint="default" w:ascii="Times New Roman" w:hAnsi="Times New Roman" w:cs="Times New Roman" w:eastAsiaTheme="minorEastAsia"/>
                      <w:spacing w:val="-5"/>
                      <w:szCs w:val="21"/>
                    </w:rPr>
                  </w:pPr>
                  <w:r>
                    <w:rPr>
                      <w:rFonts w:eastAsiaTheme="minorEastAsia"/>
                      <w:spacing w:val="-5"/>
                      <w:szCs w:val="21"/>
                    </w:rPr>
                    <w:t>主要污染防治措施</w:t>
                  </w:r>
                </w:p>
              </w:tc>
              <w:tc>
                <w:tcPr>
                  <w:tcW w:w="3078" w:type="dxa"/>
                  <w:vAlign w:val="center"/>
                </w:tcPr>
                <w:p>
                  <w:pPr>
                    <w:autoSpaceDE w:val="0"/>
                    <w:autoSpaceDN w:val="0"/>
                    <w:jc w:val="center"/>
                    <w:rPr>
                      <w:rFonts w:hint="eastAsia" w:ascii="Times New Roman" w:hAnsi="Times New Roman" w:eastAsia="宋体" w:cs="Times New Roman"/>
                      <w:spacing w:val="-5"/>
                      <w:szCs w:val="21"/>
                      <w:lang w:eastAsia="zh-CN"/>
                    </w:rPr>
                  </w:pPr>
                  <w:r>
                    <w:rPr>
                      <w:rFonts w:eastAsiaTheme="minorEastAsia"/>
                      <w:spacing w:val="-5"/>
                      <w:szCs w:val="21"/>
                    </w:rPr>
                    <w:t>标准名称</w:t>
                  </w:r>
                </w:p>
              </w:tc>
              <w:tc>
                <w:tcPr>
                  <w:tcW w:w="1178" w:type="dxa"/>
                  <w:vAlign w:val="center"/>
                </w:tcPr>
                <w:p>
                  <w:pPr>
                    <w:autoSpaceDE w:val="0"/>
                    <w:autoSpaceDN w:val="0"/>
                    <w:jc w:val="center"/>
                    <w:rPr>
                      <w:rFonts w:hint="default" w:ascii="Times New Roman" w:hAnsi="Times New Roman" w:cs="Times New Roman" w:eastAsiaTheme="minorEastAsia"/>
                      <w:spacing w:val="-5"/>
                      <w:szCs w:val="21"/>
                    </w:rPr>
                  </w:pPr>
                  <w:r>
                    <w:rPr>
                      <w:rFonts w:eastAsiaTheme="minorEastAsia"/>
                      <w:spacing w:val="-5"/>
                      <w:szCs w:val="21"/>
                    </w:rPr>
                    <w:t>浓度限值（</w:t>
                  </w:r>
                  <w:r>
                    <w:rPr>
                      <w:rFonts w:eastAsiaTheme="minorEastAsia"/>
                      <w:szCs w:val="21"/>
                    </w:rPr>
                    <w:t>mg/m</w:t>
                  </w:r>
                  <w:r>
                    <w:rPr>
                      <w:rFonts w:eastAsiaTheme="minorEastAsia"/>
                      <w:szCs w:val="21"/>
                      <w:vertAlign w:val="superscript"/>
                    </w:rPr>
                    <w:t>3</w:t>
                  </w:r>
                  <w:r>
                    <w:rPr>
                      <w:rFonts w:eastAsiaTheme="minorEastAsia"/>
                      <w:spacing w:val="-5"/>
                      <w:szCs w:val="21"/>
                    </w:rPr>
                    <w:t>）</w:t>
                  </w:r>
                </w:p>
              </w:tc>
              <w:tc>
                <w:tcPr>
                  <w:tcW w:w="1123" w:type="dxa"/>
                  <w:tcBorders>
                    <w:right w:val="nil"/>
                  </w:tcBorders>
                  <w:vAlign w:val="center"/>
                </w:tcPr>
                <w:p>
                  <w:pPr>
                    <w:autoSpaceDE w:val="0"/>
                    <w:autoSpaceDN w:val="0"/>
                    <w:jc w:val="center"/>
                    <w:rPr>
                      <w:rFonts w:hint="default" w:ascii="Times New Roman" w:hAnsi="Times New Roman" w:cs="Times New Roman" w:eastAsiaTheme="minorEastAsia"/>
                      <w:spacing w:val="-5"/>
                      <w:szCs w:val="21"/>
                      <w:lang w:val="en-US" w:eastAsia="zh-CN"/>
                    </w:rPr>
                  </w:pPr>
                  <w:r>
                    <w:rPr>
                      <w:rFonts w:eastAsiaTheme="minorEastAsia"/>
                      <w:spacing w:val="-5"/>
                      <w:szCs w:val="21"/>
                    </w:rPr>
                    <w:t>年排放量（t/a）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62" w:type="dxa"/>
                  <w:tcBorders>
                    <w:left w:val="nil"/>
                  </w:tcBorders>
                  <w:vAlign w:val="center"/>
                </w:tcPr>
                <w:p>
                  <w:pPr>
                    <w:autoSpaceDE w:val="0"/>
                    <w:autoSpaceDN w:val="0"/>
                    <w:jc w:val="center"/>
                    <w:rPr>
                      <w:rFonts w:hint="default" w:ascii="Times New Roman" w:hAnsi="Times New Roman" w:cs="Times New Roman" w:eastAsiaTheme="minorEastAsia"/>
                      <w:spacing w:val="-5"/>
                      <w:kern w:val="2"/>
                      <w:sz w:val="21"/>
                      <w:szCs w:val="21"/>
                      <w:lang w:val="en-US" w:eastAsia="zh-CN" w:bidi="ar-SA"/>
                    </w:rPr>
                  </w:pPr>
                  <w:r>
                    <w:rPr>
                      <w:rFonts w:hint="default" w:ascii="Times New Roman" w:hAnsi="Times New Roman" w:cs="Times New Roman" w:eastAsiaTheme="minorEastAsia"/>
                      <w:spacing w:val="-5"/>
                      <w:szCs w:val="21"/>
                    </w:rPr>
                    <w:t>1</w:t>
                  </w:r>
                </w:p>
              </w:tc>
              <w:tc>
                <w:tcPr>
                  <w:tcW w:w="1134" w:type="dxa"/>
                  <w:vAlign w:val="center"/>
                </w:tcPr>
                <w:p>
                  <w:pPr>
                    <w:autoSpaceDE w:val="0"/>
                    <w:autoSpaceDN w:val="0"/>
                    <w:jc w:val="center"/>
                    <w:rPr>
                      <w:rFonts w:hint="default" w:ascii="Times New Roman" w:hAnsi="Times New Roman" w:cs="Times New Roman" w:eastAsiaTheme="minorEastAsia"/>
                      <w:spacing w:val="-5"/>
                      <w:kern w:val="2"/>
                      <w:sz w:val="21"/>
                      <w:szCs w:val="21"/>
                      <w:lang w:val="en-US" w:eastAsia="zh-CN" w:bidi="ar-SA"/>
                    </w:rPr>
                  </w:pPr>
                  <w:r>
                    <w:rPr>
                      <w:rFonts w:hint="default" w:ascii="Times New Roman" w:hAnsi="Times New Roman" w:cs="Times New Roman" w:eastAsiaTheme="minorEastAsia"/>
                      <w:spacing w:val="-5"/>
                      <w:szCs w:val="21"/>
                      <w:lang w:val="en-US" w:eastAsia="zh-CN"/>
                    </w:rPr>
                    <w:t>MF001</w:t>
                  </w:r>
                </w:p>
              </w:tc>
              <w:tc>
                <w:tcPr>
                  <w:tcW w:w="850" w:type="dxa"/>
                  <w:vAlign w:val="center"/>
                </w:tcPr>
                <w:p>
                  <w:pPr>
                    <w:autoSpaceDE w:val="0"/>
                    <w:autoSpaceDN w:val="0"/>
                    <w:jc w:val="center"/>
                    <w:rPr>
                      <w:rFonts w:hint="default" w:ascii="Times New Roman" w:hAnsi="Times New Roman" w:cs="Times New Roman" w:eastAsiaTheme="minorEastAsia"/>
                      <w:spacing w:val="-5"/>
                      <w:kern w:val="2"/>
                      <w:sz w:val="21"/>
                      <w:szCs w:val="21"/>
                      <w:lang w:val="en-US" w:eastAsia="zh-CN" w:bidi="ar-SA"/>
                    </w:rPr>
                  </w:pPr>
                  <w:r>
                    <w:rPr>
                      <w:rFonts w:hint="default" w:ascii="Times New Roman" w:hAnsi="Times New Roman" w:cs="Times New Roman" w:eastAsiaTheme="minorEastAsia"/>
                      <w:spacing w:val="-5"/>
                      <w:szCs w:val="21"/>
                    </w:rPr>
                    <w:t>颗粒物</w:t>
                  </w:r>
                </w:p>
              </w:tc>
              <w:tc>
                <w:tcPr>
                  <w:tcW w:w="1135" w:type="dxa"/>
                  <w:vAlign w:val="center"/>
                </w:tcPr>
                <w:p>
                  <w:pPr>
                    <w:autoSpaceDE w:val="0"/>
                    <w:autoSpaceDN w:val="0"/>
                    <w:jc w:val="center"/>
                    <w:rPr>
                      <w:rFonts w:hint="default" w:ascii="Times New Roman" w:hAnsi="Times New Roman" w:cs="Times New Roman" w:eastAsiaTheme="minorEastAsia"/>
                      <w:spacing w:val="-5"/>
                      <w:kern w:val="2"/>
                      <w:sz w:val="21"/>
                      <w:szCs w:val="21"/>
                      <w:lang w:val="en-US" w:eastAsia="zh-CN" w:bidi="ar-SA"/>
                    </w:rPr>
                  </w:pPr>
                  <w:r>
                    <w:rPr>
                      <w:rFonts w:hint="default" w:ascii="Times New Roman" w:hAnsi="Times New Roman" w:cs="Times New Roman" w:eastAsiaTheme="minorEastAsia"/>
                      <w:szCs w:val="21"/>
                    </w:rPr>
                    <w:t>车间密闭</w:t>
                  </w:r>
                </w:p>
              </w:tc>
              <w:tc>
                <w:tcPr>
                  <w:tcW w:w="3078" w:type="dxa"/>
                  <w:vAlign w:val="center"/>
                </w:tcPr>
                <w:p>
                  <w:pPr>
                    <w:autoSpaceDE w:val="0"/>
                    <w:autoSpaceDN w:val="0"/>
                    <w:jc w:val="center"/>
                    <w:rPr>
                      <w:rFonts w:hint="default" w:ascii="Times New Roman" w:hAnsi="Times New Roman" w:eastAsia="宋体" w:cs="Times New Roman"/>
                      <w:spacing w:val="-5"/>
                      <w:kern w:val="2"/>
                      <w:sz w:val="21"/>
                      <w:szCs w:val="21"/>
                      <w:lang w:val="en-US" w:eastAsia="zh-CN" w:bidi="ar-SA"/>
                    </w:rPr>
                  </w:pPr>
                  <w:r>
                    <w:rPr>
                      <w:rFonts w:hint="default" w:ascii="Times New Roman" w:hAnsi="Times New Roman" w:cs="Times New Roman" w:eastAsiaTheme="minorEastAsia"/>
                      <w:spacing w:val="-5"/>
                      <w:szCs w:val="21"/>
                    </w:rPr>
                    <w:t>《大气污染物综合排放标准》（GB16297-1996）表2</w:t>
                  </w:r>
                </w:p>
              </w:tc>
              <w:tc>
                <w:tcPr>
                  <w:tcW w:w="1178" w:type="dxa"/>
                  <w:vAlign w:val="center"/>
                </w:tcPr>
                <w:p>
                  <w:pPr>
                    <w:autoSpaceDE w:val="0"/>
                    <w:autoSpaceDN w:val="0"/>
                    <w:jc w:val="center"/>
                    <w:rPr>
                      <w:rFonts w:hint="default" w:ascii="Times New Roman" w:hAnsi="Times New Roman" w:cs="Times New Roman" w:eastAsiaTheme="minorEastAsia"/>
                      <w:spacing w:val="-5"/>
                      <w:kern w:val="2"/>
                      <w:sz w:val="21"/>
                      <w:szCs w:val="21"/>
                      <w:lang w:val="en-US" w:eastAsia="zh-CN" w:bidi="ar-SA"/>
                    </w:rPr>
                  </w:pPr>
                  <w:r>
                    <w:rPr>
                      <w:rFonts w:hint="default" w:ascii="Times New Roman" w:hAnsi="Times New Roman" w:cs="Times New Roman" w:eastAsiaTheme="minorEastAsia"/>
                      <w:spacing w:val="-5"/>
                      <w:szCs w:val="21"/>
                    </w:rPr>
                    <w:t>1.0</w:t>
                  </w:r>
                </w:p>
              </w:tc>
              <w:tc>
                <w:tcPr>
                  <w:tcW w:w="1123" w:type="dxa"/>
                  <w:tcBorders>
                    <w:right w:val="nil"/>
                  </w:tcBorders>
                  <w:vAlign w:val="center"/>
                </w:tcPr>
                <w:p>
                  <w:pPr>
                    <w:keepNext w:val="0"/>
                    <w:keepLines w:val="0"/>
                    <w:widowControl/>
                    <w:suppressLineNumbers w:val="0"/>
                    <w:jc w:val="center"/>
                    <w:textAlignment w:val="center"/>
                    <w:rPr>
                      <w:rFonts w:hint="default" w:ascii="Times New Roman" w:hAnsi="Times New Roman" w:cs="Times New Roman" w:eastAsiaTheme="minorEastAsia"/>
                      <w:spacing w:val="-5"/>
                      <w:kern w:val="2"/>
                      <w:sz w:val="21"/>
                      <w:szCs w:val="21"/>
                      <w:lang w:val="en-US" w:eastAsia="zh-CN" w:bidi="ar-SA"/>
                    </w:rPr>
                  </w:pPr>
                  <w:r>
                    <w:rPr>
                      <w:rFonts w:hint="eastAsia" w:cs="Times New Roman" w:eastAsiaTheme="minorEastAsia"/>
                      <w:spacing w:val="-5"/>
                      <w:szCs w:val="21"/>
                      <w:lang w:val="en-US" w:eastAsia="zh-CN"/>
                    </w:rPr>
                    <w:t>0.0242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060" w:type="dxa"/>
                  <w:gridSpan w:val="7"/>
                  <w:tcBorders>
                    <w:left w:val="nil"/>
                    <w:right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ascii="Times New Roman" w:hAnsi="Times New Roman" w:cs="Times New Roman"/>
                      <w:i w:val="0"/>
                      <w:color w:val="000000"/>
                      <w:kern w:val="0"/>
                      <w:sz w:val="21"/>
                      <w:szCs w:val="21"/>
                      <w:u w:val="none"/>
                      <w:lang w:val="en-US" w:eastAsia="zh-CN" w:bidi="ar"/>
                    </w:rPr>
                    <w:t>无组织排放总计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546" w:type="dxa"/>
                  <w:gridSpan w:val="3"/>
                  <w:tcBorders>
                    <w:left w:val="nil"/>
                  </w:tcBorders>
                  <w:vAlign w:val="center"/>
                </w:tcPr>
                <w:p>
                  <w:pPr>
                    <w:autoSpaceDE w:val="0"/>
                    <w:autoSpaceDN w:val="0"/>
                    <w:jc w:val="center"/>
                    <w:rPr>
                      <w:rFonts w:hint="eastAsia" w:eastAsiaTheme="minorEastAsia"/>
                      <w:spacing w:val="-5"/>
                      <w:szCs w:val="21"/>
                    </w:rPr>
                  </w:pPr>
                  <w:r>
                    <w:rPr>
                      <w:rFonts w:hint="eastAsia" w:ascii="Times New Roman" w:hAnsi="Times New Roman" w:cs="Times New Roman"/>
                      <w:i w:val="0"/>
                      <w:color w:val="000000"/>
                      <w:kern w:val="0"/>
                      <w:sz w:val="21"/>
                      <w:szCs w:val="21"/>
                      <w:u w:val="none"/>
                      <w:lang w:val="en-US" w:eastAsia="zh-CN" w:bidi="ar"/>
                    </w:rPr>
                    <w:t>无组织排放总计</w:t>
                  </w:r>
                </w:p>
              </w:tc>
              <w:tc>
                <w:tcPr>
                  <w:tcW w:w="4213" w:type="dxa"/>
                  <w:gridSpan w:val="2"/>
                  <w:vAlign w:val="center"/>
                </w:tcPr>
                <w:p>
                  <w:pPr>
                    <w:autoSpaceDE w:val="0"/>
                    <w:autoSpaceDN w:val="0"/>
                    <w:jc w:val="center"/>
                    <w:rPr>
                      <w:rFonts w:ascii="Times New Roman" w:hAnsi="Times New Roman" w:cs="Times New Roman"/>
                      <w:sz w:val="21"/>
                      <w:szCs w:val="21"/>
                    </w:rPr>
                  </w:pPr>
                  <w:r>
                    <w:rPr>
                      <w:rFonts w:eastAsiaTheme="minorEastAsia"/>
                      <w:spacing w:val="-5"/>
                      <w:szCs w:val="21"/>
                    </w:rPr>
                    <w:t>颗粒物</w:t>
                  </w:r>
                </w:p>
              </w:tc>
              <w:tc>
                <w:tcPr>
                  <w:tcW w:w="2301" w:type="dxa"/>
                  <w:gridSpan w:val="2"/>
                  <w:tcBorders>
                    <w:right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cs="Times New Roman" w:eastAsiaTheme="minorEastAsia"/>
                      <w:spacing w:val="-5"/>
                      <w:szCs w:val="21"/>
                      <w:lang w:val="en-US" w:eastAsia="zh-CN"/>
                    </w:rPr>
                    <w:t>0.0242</w:t>
                  </w:r>
                </w:p>
              </w:tc>
            </w:tr>
          </w:tbl>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bCs w:val="0"/>
                <w:sz w:val="24"/>
                <w:highlight w:val="none"/>
                <w:lang w:eastAsia="zh-CN"/>
              </w:rPr>
            </w:pPr>
          </w:p>
          <w:p>
            <w:pPr>
              <w:spacing w:line="240" w:lineRule="auto"/>
              <w:jc w:val="center"/>
              <w:rPr>
                <w:rFonts w:hint="eastAsia" w:ascii="黑体" w:hAnsi="黑体" w:eastAsia="黑体" w:cs="黑体"/>
                <w:b w:val="0"/>
                <w:bCs w:val="0"/>
                <w:sz w:val="24"/>
                <w:highlight w:val="none"/>
                <w:lang w:eastAsia="zh-CN"/>
              </w:rPr>
            </w:pPr>
            <w:r>
              <w:rPr>
                <w:rFonts w:hint="eastAsia" w:ascii="黑体" w:hAnsi="黑体" w:eastAsia="黑体" w:cs="黑体"/>
                <w:b w:val="0"/>
                <w:bCs w:val="0"/>
                <w:sz w:val="24"/>
                <w:highlight w:val="none"/>
                <w:lang w:eastAsia="zh-CN"/>
              </w:rPr>
              <w:t>表</w:t>
            </w:r>
            <w:r>
              <w:rPr>
                <w:rFonts w:hint="eastAsia" w:ascii="黑体" w:hAnsi="黑体" w:eastAsia="黑体" w:cs="黑体"/>
                <w:b w:val="0"/>
                <w:bCs w:val="0"/>
                <w:sz w:val="24"/>
                <w:highlight w:val="none"/>
                <w:lang w:val="en-US" w:eastAsia="zh-CN"/>
              </w:rPr>
              <w:t>19</w:t>
            </w:r>
            <w:r>
              <w:rPr>
                <w:rFonts w:hint="eastAsia" w:ascii="黑体" w:hAnsi="黑体" w:eastAsia="黑体" w:cs="黑体"/>
                <w:b w:val="0"/>
                <w:bCs w:val="0"/>
                <w:sz w:val="24"/>
                <w:highlight w:val="none"/>
                <w:lang w:eastAsia="zh-CN"/>
              </w:rPr>
              <w:t xml:space="preserve">  本项目大气污染物年排放量核算表</w:t>
            </w:r>
          </w:p>
          <w:tbl>
            <w:tblPr>
              <w:tblStyle w:val="31"/>
              <w:tblW w:w="4999"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836"/>
              <w:gridCol w:w="2431"/>
              <w:gridCol w:w="480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12" w:type="pct"/>
                  <w:tcBorders>
                    <w:tl2br w:val="nil"/>
                    <w:tr2bl w:val="nil"/>
                  </w:tcBorders>
                  <w:vAlign w:val="center"/>
                </w:tcPr>
                <w:p>
                  <w:pPr>
                    <w:autoSpaceDE w:val="0"/>
                    <w:autoSpaceDN w:val="0"/>
                    <w:spacing w:line="240" w:lineRule="auto"/>
                    <w:jc w:val="center"/>
                    <w:rPr>
                      <w:color w:val="auto"/>
                      <w:szCs w:val="21"/>
                    </w:rPr>
                  </w:pPr>
                  <w:r>
                    <w:rPr>
                      <w:rFonts w:eastAsiaTheme="minorEastAsia"/>
                      <w:spacing w:val="-5"/>
                      <w:szCs w:val="21"/>
                    </w:rPr>
                    <w:t>序号</w:t>
                  </w:r>
                </w:p>
              </w:tc>
              <w:tc>
                <w:tcPr>
                  <w:tcW w:w="1340" w:type="pct"/>
                  <w:tcBorders>
                    <w:tl2br w:val="nil"/>
                    <w:tr2bl w:val="nil"/>
                  </w:tcBorders>
                  <w:vAlign w:val="center"/>
                </w:tcPr>
                <w:p>
                  <w:pPr>
                    <w:autoSpaceDE w:val="0"/>
                    <w:autoSpaceDN w:val="0"/>
                    <w:spacing w:line="240" w:lineRule="auto"/>
                    <w:jc w:val="center"/>
                    <w:rPr>
                      <w:color w:val="auto"/>
                      <w:szCs w:val="21"/>
                    </w:rPr>
                  </w:pPr>
                  <w:r>
                    <w:rPr>
                      <w:rFonts w:eastAsiaTheme="minorEastAsia"/>
                      <w:spacing w:val="-5"/>
                      <w:szCs w:val="21"/>
                    </w:rPr>
                    <w:t>污染物</w:t>
                  </w:r>
                </w:p>
              </w:tc>
              <w:tc>
                <w:tcPr>
                  <w:tcW w:w="2647" w:type="pct"/>
                  <w:tcBorders>
                    <w:tl2br w:val="nil"/>
                    <w:tr2bl w:val="nil"/>
                  </w:tcBorders>
                  <w:vAlign w:val="center"/>
                </w:tcPr>
                <w:p>
                  <w:pPr>
                    <w:autoSpaceDE w:val="0"/>
                    <w:autoSpaceDN w:val="0"/>
                    <w:spacing w:line="240" w:lineRule="auto"/>
                    <w:jc w:val="center"/>
                    <w:rPr>
                      <w:color w:val="auto"/>
                      <w:szCs w:val="21"/>
                    </w:rPr>
                  </w:pPr>
                  <w:r>
                    <w:rPr>
                      <w:rFonts w:eastAsiaTheme="minorEastAsia"/>
                      <w:spacing w:val="-5"/>
                      <w:szCs w:val="21"/>
                    </w:rPr>
                    <w:t>年排放量（t/a）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12" w:type="pct"/>
                  <w:tcBorders>
                    <w:tl2br w:val="nil"/>
                    <w:tr2bl w:val="nil"/>
                  </w:tcBorders>
                  <w:vAlign w:val="center"/>
                </w:tcPr>
                <w:p>
                  <w:pPr>
                    <w:autoSpaceDE w:val="0"/>
                    <w:autoSpaceDN w:val="0"/>
                    <w:spacing w:line="240" w:lineRule="auto"/>
                    <w:jc w:val="center"/>
                    <w:rPr>
                      <w:rFonts w:hint="eastAsia" w:eastAsia="宋体"/>
                      <w:color w:val="auto"/>
                      <w:spacing w:val="-5"/>
                      <w:szCs w:val="21"/>
                      <w:lang w:eastAsia="zh-CN"/>
                    </w:rPr>
                  </w:pPr>
                  <w:r>
                    <w:rPr>
                      <w:rFonts w:eastAsiaTheme="minorEastAsia"/>
                      <w:spacing w:val="-5"/>
                      <w:szCs w:val="21"/>
                    </w:rPr>
                    <w:t>1</w:t>
                  </w:r>
                </w:p>
              </w:tc>
              <w:tc>
                <w:tcPr>
                  <w:tcW w:w="1340" w:type="pct"/>
                  <w:tcBorders>
                    <w:tl2br w:val="nil"/>
                    <w:tr2bl w:val="nil"/>
                  </w:tcBorders>
                  <w:vAlign w:val="center"/>
                </w:tcPr>
                <w:p>
                  <w:pPr>
                    <w:autoSpaceDE w:val="0"/>
                    <w:autoSpaceDN w:val="0"/>
                    <w:spacing w:line="240" w:lineRule="auto"/>
                    <w:jc w:val="center"/>
                    <w:rPr>
                      <w:color w:val="auto"/>
                      <w:sz w:val="21"/>
                      <w:szCs w:val="21"/>
                    </w:rPr>
                  </w:pPr>
                  <w:r>
                    <w:rPr>
                      <w:rFonts w:eastAsiaTheme="minorEastAsia"/>
                      <w:spacing w:val="-5"/>
                      <w:szCs w:val="21"/>
                    </w:rPr>
                    <w:t>颗粒物</w:t>
                  </w:r>
                </w:p>
              </w:tc>
              <w:tc>
                <w:tcPr>
                  <w:tcW w:w="2647" w:type="pct"/>
                  <w:tcBorders>
                    <w:tl2br w:val="nil"/>
                    <w:tr2bl w:val="nil"/>
                  </w:tcBorders>
                  <w:vAlign w:val="center"/>
                </w:tcPr>
                <w:p>
                  <w:pPr>
                    <w:autoSpaceDE w:val="0"/>
                    <w:autoSpaceDN w:val="0"/>
                    <w:spacing w:line="240" w:lineRule="auto"/>
                    <w:jc w:val="center"/>
                    <w:rPr>
                      <w:rFonts w:hint="default"/>
                      <w:color w:val="auto"/>
                      <w:szCs w:val="21"/>
                      <w:lang w:val="en-US"/>
                    </w:rPr>
                  </w:pPr>
                  <w:r>
                    <w:rPr>
                      <w:rFonts w:hint="eastAsia" w:eastAsiaTheme="minorEastAsia"/>
                      <w:spacing w:val="-5"/>
                      <w:lang w:val="en-US" w:eastAsia="zh-CN"/>
                    </w:rPr>
                    <w:t>0.0242</w:t>
                  </w:r>
                </w:p>
              </w:tc>
            </w:tr>
          </w:tbl>
          <w:p>
            <w:pPr>
              <w:autoSpaceDE w:val="0"/>
              <w:autoSpaceDN w:val="0"/>
              <w:spacing w:line="240" w:lineRule="auto"/>
              <w:jc w:val="center"/>
              <w:rPr>
                <w:rFonts w:hint="eastAsia" w:ascii="黑体" w:hAnsi="黑体" w:eastAsia="黑体" w:cs="黑体"/>
                <w:b w:val="0"/>
                <w:bCs/>
                <w:color w:val="auto"/>
                <w:spacing w:val="-5"/>
                <w:sz w:val="24"/>
              </w:rPr>
            </w:pPr>
          </w:p>
          <w:p>
            <w:pPr>
              <w:autoSpaceDE w:val="0"/>
              <w:autoSpaceDN w:val="0"/>
              <w:spacing w:line="360" w:lineRule="auto"/>
              <w:ind w:firstLine="462" w:firstLineChars="200"/>
              <w:rPr>
                <w:rFonts w:hint="eastAsia"/>
                <w:b/>
                <w:color w:val="auto"/>
                <w:spacing w:val="-5"/>
                <w:sz w:val="24"/>
                <w:lang w:eastAsia="zh-CN"/>
              </w:rPr>
            </w:pPr>
            <w:r>
              <w:rPr>
                <w:rFonts w:hint="eastAsia"/>
                <w:b/>
                <w:color w:val="auto"/>
                <w:spacing w:val="-5"/>
                <w:sz w:val="24"/>
              </w:rPr>
              <w:t>1.</w:t>
            </w:r>
            <w:r>
              <w:rPr>
                <w:rFonts w:hint="eastAsia"/>
                <w:b/>
                <w:color w:val="auto"/>
                <w:spacing w:val="-5"/>
                <w:sz w:val="24"/>
                <w:lang w:val="en-US" w:eastAsia="zh-CN"/>
              </w:rPr>
              <w:t>7</w:t>
            </w:r>
            <w:r>
              <w:rPr>
                <w:rFonts w:hint="eastAsia"/>
                <w:b/>
                <w:color w:val="auto"/>
                <w:spacing w:val="-5"/>
                <w:sz w:val="24"/>
                <w:lang w:eastAsia="zh-CN"/>
              </w:rPr>
              <w:t>污染源监测计划</w:t>
            </w:r>
          </w:p>
          <w:p>
            <w:pPr>
              <w:spacing w:line="240" w:lineRule="auto"/>
              <w:jc w:val="center"/>
              <w:rPr>
                <w:rFonts w:hint="eastAsia" w:ascii="黑体" w:hAnsi="黑体" w:eastAsia="黑体" w:cs="黑体"/>
                <w:b w:val="0"/>
                <w:bCs w:val="0"/>
                <w:sz w:val="24"/>
                <w:highlight w:val="none"/>
                <w:lang w:eastAsia="zh-CN"/>
              </w:rPr>
            </w:pPr>
            <w:r>
              <w:rPr>
                <w:rFonts w:hint="eastAsia" w:ascii="黑体" w:hAnsi="黑体" w:eastAsia="黑体" w:cs="黑体"/>
                <w:b w:val="0"/>
                <w:bCs w:val="0"/>
                <w:sz w:val="24"/>
                <w:highlight w:val="none"/>
                <w:lang w:eastAsia="zh-CN"/>
              </w:rPr>
              <w:t>表</w:t>
            </w:r>
            <w:r>
              <w:rPr>
                <w:rFonts w:hint="eastAsia" w:ascii="黑体" w:hAnsi="黑体" w:eastAsia="黑体" w:cs="黑体"/>
                <w:b w:val="0"/>
                <w:bCs w:val="0"/>
                <w:sz w:val="24"/>
                <w:highlight w:val="none"/>
                <w:lang w:val="en-US" w:eastAsia="zh-CN"/>
              </w:rPr>
              <w:t>20</w:t>
            </w:r>
            <w:r>
              <w:rPr>
                <w:rFonts w:hint="eastAsia" w:ascii="黑体" w:hAnsi="黑体" w:eastAsia="黑体" w:cs="黑体"/>
                <w:b w:val="0"/>
                <w:bCs w:val="0"/>
                <w:sz w:val="24"/>
                <w:highlight w:val="none"/>
                <w:lang w:eastAsia="zh-CN"/>
              </w:rPr>
              <w:t xml:space="preserve">  </w:t>
            </w:r>
            <w:r>
              <w:rPr>
                <w:rFonts w:hint="eastAsia" w:ascii="黑体" w:hAnsi="黑体" w:eastAsia="黑体" w:cs="黑体"/>
                <w:b w:val="0"/>
                <w:bCs w:val="0"/>
                <w:sz w:val="24"/>
                <w:highlight w:val="none"/>
                <w:lang w:val="en-US" w:eastAsia="zh-CN"/>
              </w:rPr>
              <w:t>污染源监测计划</w:t>
            </w:r>
          </w:p>
          <w:tbl>
            <w:tblPr>
              <w:tblStyle w:val="31"/>
              <w:tblW w:w="907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668"/>
              <w:gridCol w:w="1327"/>
              <w:gridCol w:w="1605"/>
              <w:gridCol w:w="44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68" w:type="dxa"/>
                  <w:tcBorders>
                    <w:left w:val="nil"/>
                  </w:tcBorders>
                  <w:vAlign w:val="center"/>
                </w:tcPr>
                <w:p>
                  <w:pPr>
                    <w:spacing w:line="240" w:lineRule="auto"/>
                    <w:jc w:val="center"/>
                    <w:rPr>
                      <w:rFonts w:ascii="Times New Roman" w:hAnsi="Times New Roman" w:eastAsia="宋体" w:cs="Times New Roman"/>
                      <w:color w:val="auto"/>
                      <w:kern w:val="2"/>
                      <w:sz w:val="21"/>
                      <w:szCs w:val="21"/>
                      <w:lang w:val="en-US" w:eastAsia="zh-CN" w:bidi="ar-SA"/>
                    </w:rPr>
                  </w:pPr>
                  <w:r>
                    <w:rPr>
                      <w:color w:val="auto"/>
                      <w:sz w:val="21"/>
                      <w:szCs w:val="21"/>
                    </w:rPr>
                    <w:t>监测</w:t>
                  </w:r>
                  <w:r>
                    <w:rPr>
                      <w:rFonts w:hint="eastAsia"/>
                      <w:color w:val="auto"/>
                      <w:sz w:val="21"/>
                      <w:szCs w:val="21"/>
                    </w:rPr>
                    <w:t>点位</w:t>
                  </w:r>
                </w:p>
              </w:tc>
              <w:tc>
                <w:tcPr>
                  <w:tcW w:w="1327" w:type="dxa"/>
                  <w:vAlign w:val="center"/>
                </w:tcPr>
                <w:p>
                  <w:pPr>
                    <w:spacing w:line="240" w:lineRule="auto"/>
                    <w:jc w:val="center"/>
                    <w:rPr>
                      <w:rFonts w:ascii="Times New Roman" w:hAnsi="Times New Roman" w:eastAsia="宋体" w:cs="Times New Roman"/>
                      <w:color w:val="auto"/>
                      <w:kern w:val="2"/>
                      <w:sz w:val="21"/>
                      <w:szCs w:val="21"/>
                      <w:lang w:val="en-US" w:eastAsia="zh-CN" w:bidi="ar-SA"/>
                    </w:rPr>
                  </w:pPr>
                  <w:r>
                    <w:rPr>
                      <w:color w:val="auto"/>
                      <w:sz w:val="21"/>
                      <w:szCs w:val="21"/>
                    </w:rPr>
                    <w:t>监测</w:t>
                  </w:r>
                  <w:r>
                    <w:rPr>
                      <w:rFonts w:hint="eastAsia"/>
                      <w:color w:val="auto"/>
                      <w:sz w:val="21"/>
                      <w:szCs w:val="21"/>
                    </w:rPr>
                    <w:t>指标</w:t>
                  </w:r>
                </w:p>
              </w:tc>
              <w:tc>
                <w:tcPr>
                  <w:tcW w:w="1605" w:type="dxa"/>
                  <w:vAlign w:val="center"/>
                </w:tcPr>
                <w:p>
                  <w:pPr>
                    <w:spacing w:line="240" w:lineRule="auto"/>
                    <w:jc w:val="center"/>
                    <w:rPr>
                      <w:rFonts w:ascii="Times New Roman" w:hAnsi="Times New Roman" w:eastAsia="宋体" w:cs="Times New Roman"/>
                      <w:color w:val="auto"/>
                      <w:kern w:val="2"/>
                      <w:sz w:val="21"/>
                      <w:szCs w:val="21"/>
                      <w:lang w:val="en-US" w:eastAsia="zh-CN" w:bidi="ar-SA"/>
                    </w:rPr>
                  </w:pPr>
                  <w:r>
                    <w:rPr>
                      <w:color w:val="auto"/>
                      <w:sz w:val="21"/>
                      <w:szCs w:val="21"/>
                    </w:rPr>
                    <w:t>监测频</w:t>
                  </w:r>
                  <w:r>
                    <w:rPr>
                      <w:rFonts w:hint="eastAsia"/>
                      <w:color w:val="auto"/>
                      <w:sz w:val="21"/>
                      <w:szCs w:val="21"/>
                    </w:rPr>
                    <w:t>次</w:t>
                  </w:r>
                </w:p>
              </w:tc>
              <w:tc>
                <w:tcPr>
                  <w:tcW w:w="4471" w:type="dxa"/>
                  <w:tcBorders>
                    <w:right w:val="nil"/>
                  </w:tcBorders>
                  <w:vAlign w:val="center"/>
                </w:tcPr>
                <w:p>
                  <w:pPr>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color w:val="auto"/>
                      <w:sz w:val="21"/>
                      <w:szCs w:val="21"/>
                    </w:rPr>
                    <w:t>执行排放标准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68" w:type="dxa"/>
                  <w:tcBorders>
                    <w:left w:val="nil"/>
                  </w:tcBorders>
                  <w:vAlign w:val="center"/>
                </w:tcPr>
                <w:p>
                  <w:pPr>
                    <w:keepNext w:val="0"/>
                    <w:keepLines w:val="0"/>
                    <w:widowControl/>
                    <w:suppressLineNumbers w:val="0"/>
                    <w:jc w:val="center"/>
                    <w:textAlignment w:val="center"/>
                    <w:rPr>
                      <w:rFonts w:hint="default" w:ascii="Times New Roman" w:hAnsi="Times New Roman" w:cs="Times New Roman" w:eastAsiaTheme="minorEastAsia"/>
                      <w:color w:val="auto"/>
                      <w:kern w:val="2"/>
                      <w:sz w:val="21"/>
                      <w:szCs w:val="21"/>
                      <w:lang w:val="en-US" w:eastAsia="zh-CN" w:bidi="ar-SA"/>
                    </w:rPr>
                  </w:pPr>
                  <w:r>
                    <w:rPr>
                      <w:color w:val="auto"/>
                      <w:sz w:val="21"/>
                      <w:szCs w:val="21"/>
                    </w:rPr>
                    <w:t>厂界</w:t>
                  </w:r>
                  <w:r>
                    <w:rPr>
                      <w:rFonts w:hint="eastAsia"/>
                      <w:color w:val="auto"/>
                      <w:sz w:val="21"/>
                      <w:szCs w:val="21"/>
                      <w:lang w:eastAsia="zh-CN"/>
                    </w:rPr>
                    <w:t>外</w:t>
                  </w:r>
                </w:p>
              </w:tc>
              <w:tc>
                <w:tcPr>
                  <w:tcW w:w="1327" w:type="dxa"/>
                  <w:vAlign w:val="center"/>
                </w:tcPr>
                <w:p>
                  <w:pPr>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color w:val="auto"/>
                      <w:sz w:val="21"/>
                      <w:szCs w:val="21"/>
                    </w:rPr>
                    <w:t>颗粒物</w:t>
                  </w:r>
                </w:p>
              </w:tc>
              <w:tc>
                <w:tcPr>
                  <w:tcW w:w="1605" w:type="dxa"/>
                  <w:vAlign w:val="center"/>
                </w:tcPr>
                <w:p>
                  <w:pPr>
                    <w:spacing w:line="240" w:lineRule="auto"/>
                    <w:jc w:val="center"/>
                    <w:rPr>
                      <w:rFonts w:ascii="Times New Roman" w:hAnsi="Times New Roman" w:eastAsia="宋体" w:cs="Times New Roman"/>
                      <w:color w:val="auto"/>
                      <w:kern w:val="2"/>
                      <w:sz w:val="21"/>
                      <w:szCs w:val="21"/>
                      <w:lang w:val="en-US" w:eastAsia="zh-CN" w:bidi="ar-SA"/>
                    </w:rPr>
                  </w:pPr>
                  <w:r>
                    <w:rPr>
                      <w:color w:val="auto"/>
                      <w:sz w:val="21"/>
                      <w:szCs w:val="21"/>
                    </w:rPr>
                    <w:t>每年1次</w:t>
                  </w:r>
                </w:p>
              </w:tc>
              <w:tc>
                <w:tcPr>
                  <w:tcW w:w="4471" w:type="dxa"/>
                  <w:tcBorders>
                    <w:right w:val="nil"/>
                  </w:tcBorders>
                  <w:vAlign w:val="center"/>
                </w:tcPr>
                <w:p>
                  <w:pPr>
                    <w:spacing w:line="240" w:lineRule="auto"/>
                    <w:jc w:val="center"/>
                    <w:rPr>
                      <w:rFonts w:hint="eastAsia"/>
                      <w:color w:val="auto"/>
                      <w:sz w:val="21"/>
                      <w:szCs w:val="21"/>
                    </w:rPr>
                  </w:pPr>
                  <w:r>
                    <w:rPr>
                      <w:rFonts w:hint="eastAsia"/>
                      <w:color w:val="auto"/>
                      <w:sz w:val="21"/>
                      <w:szCs w:val="21"/>
                    </w:rPr>
                    <w:t>《</w:t>
                  </w:r>
                  <w:r>
                    <w:rPr>
                      <w:color w:val="auto"/>
                      <w:sz w:val="21"/>
                      <w:szCs w:val="21"/>
                    </w:rPr>
                    <w:t>大气污染物综合排放标准》（GB16297-1996）表2</w:t>
                  </w:r>
                </w:p>
              </w:tc>
            </w:tr>
          </w:tbl>
          <w:p>
            <w:pPr>
              <w:spacing w:line="240" w:lineRule="exact"/>
              <w:jc w:val="center"/>
              <w:rPr>
                <w:rFonts w:hAnsiTheme="minorEastAsia" w:eastAsiaTheme="minorEastAsia"/>
                <w:b/>
                <w:bCs/>
                <w:color w:val="auto"/>
                <w:sz w:val="24"/>
              </w:rPr>
            </w:pPr>
          </w:p>
          <w:p>
            <w:pPr>
              <w:keepNext/>
              <w:keepLines/>
              <w:spacing w:before="80" w:after="80" w:line="360" w:lineRule="auto"/>
              <w:ind w:firstLine="472" w:firstLineChars="196"/>
              <w:outlineLvl w:val="2"/>
              <w:rPr>
                <w:rFonts w:hint="default" w:eastAsia="宋体"/>
                <w:b/>
                <w:bCs/>
                <w:color w:val="auto"/>
                <w:sz w:val="24"/>
                <w:lang w:val="en-US" w:eastAsia="zh-CN"/>
              </w:rPr>
            </w:pPr>
            <w:r>
              <w:rPr>
                <w:rFonts w:hint="eastAsia"/>
                <w:b/>
                <w:bCs/>
                <w:color w:val="auto"/>
                <w:sz w:val="24"/>
                <w:lang w:val="en-US" w:eastAsia="zh-CN"/>
              </w:rPr>
              <w:t>1.8</w:t>
            </w:r>
            <w:r>
              <w:rPr>
                <w:rFonts w:hint="eastAsia"/>
                <w:b/>
                <w:bCs/>
                <w:color w:val="auto"/>
                <w:kern w:val="0"/>
                <w:sz w:val="24"/>
              </w:rPr>
              <w:t>大气环境影响评价自查表</w:t>
            </w:r>
          </w:p>
          <w:p>
            <w:pPr>
              <w:spacing w:line="336" w:lineRule="auto"/>
              <w:ind w:firstLine="480" w:firstLineChars="200"/>
              <w:jc w:val="left"/>
              <w:rPr>
                <w:rFonts w:hint="eastAsia"/>
                <w:color w:val="auto"/>
                <w:kern w:val="0"/>
                <w:sz w:val="24"/>
              </w:rPr>
            </w:pPr>
            <w:r>
              <w:rPr>
                <w:rFonts w:hint="eastAsia"/>
                <w:color w:val="auto"/>
                <w:kern w:val="0"/>
                <w:sz w:val="24"/>
              </w:rPr>
              <w:t>本项目大气环境影响评价自查表见表</w:t>
            </w:r>
            <w:r>
              <w:rPr>
                <w:rFonts w:hint="eastAsia"/>
                <w:color w:val="auto"/>
                <w:kern w:val="0"/>
                <w:sz w:val="24"/>
                <w:lang w:val="en-US" w:eastAsia="zh-CN"/>
              </w:rPr>
              <w:t>21</w:t>
            </w:r>
            <w:r>
              <w:rPr>
                <w:rFonts w:hint="eastAsia"/>
                <w:color w:val="auto"/>
                <w:kern w:val="0"/>
                <w:sz w:val="24"/>
              </w:rPr>
              <w:t>。</w:t>
            </w:r>
          </w:p>
          <w:p>
            <w:pPr>
              <w:autoSpaceDE w:val="0"/>
              <w:autoSpaceDN w:val="0"/>
              <w:adjustRightInd w:val="0"/>
              <w:snapToGrid w:val="0"/>
              <w:jc w:val="center"/>
              <w:rPr>
                <w:rFonts w:hint="eastAsia" w:ascii="黑体" w:hAnsi="黑体" w:eastAsia="黑体" w:cs="黑体"/>
                <w:b w:val="0"/>
                <w:bCs/>
                <w:color w:val="auto"/>
                <w:sz w:val="24"/>
              </w:rPr>
            </w:pPr>
            <w:r>
              <w:rPr>
                <w:rFonts w:hint="eastAsia" w:ascii="黑体" w:hAnsi="黑体" w:eastAsia="黑体" w:cs="黑体"/>
                <w:b w:val="0"/>
                <w:bCs/>
                <w:color w:val="auto"/>
                <w:sz w:val="24"/>
                <w:lang w:eastAsia="zh-CN"/>
              </w:rPr>
              <w:t>表</w:t>
            </w:r>
            <w:r>
              <w:rPr>
                <w:rFonts w:hint="eastAsia" w:ascii="黑体" w:hAnsi="黑体" w:eastAsia="黑体" w:cs="黑体"/>
                <w:b w:val="0"/>
                <w:bCs/>
                <w:color w:val="auto"/>
                <w:sz w:val="24"/>
                <w:lang w:val="en-US" w:eastAsia="zh-CN"/>
              </w:rPr>
              <w:t xml:space="preserve">21  </w:t>
            </w:r>
            <w:r>
              <w:rPr>
                <w:rFonts w:hint="eastAsia" w:ascii="黑体" w:hAnsi="黑体" w:eastAsia="黑体" w:cs="黑体"/>
                <w:b w:val="0"/>
                <w:bCs/>
                <w:color w:val="auto"/>
                <w:sz w:val="24"/>
              </w:rPr>
              <w:t>本项目大气环境影响评价自查表</w:t>
            </w:r>
          </w:p>
          <w:tbl>
            <w:tblPr>
              <w:tblStyle w:val="31"/>
              <w:tblW w:w="9041" w:type="dxa"/>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422"/>
              <w:gridCol w:w="1057"/>
              <w:gridCol w:w="1233"/>
              <w:gridCol w:w="174"/>
              <w:gridCol w:w="122"/>
              <w:gridCol w:w="639"/>
              <w:gridCol w:w="408"/>
              <w:gridCol w:w="482"/>
              <w:gridCol w:w="462"/>
              <w:gridCol w:w="197"/>
              <w:gridCol w:w="381"/>
              <w:gridCol w:w="285"/>
              <w:gridCol w:w="481"/>
              <w:gridCol w:w="278"/>
              <w:gridCol w:w="95"/>
              <w:gridCol w:w="329"/>
              <w:gridCol w:w="239"/>
              <w:gridCol w:w="440"/>
              <w:gridCol w:w="128"/>
              <w:gridCol w:w="109"/>
              <w:gridCol w:w="547"/>
              <w:gridCol w:w="54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1477" w:type="dxa"/>
                  <w:gridSpan w:val="2"/>
                  <w:tcBorders>
                    <w:tl2br w:val="nil"/>
                    <w:tr2bl w:val="nil"/>
                  </w:tcBorders>
                  <w:vAlign w:val="center"/>
                </w:tcPr>
                <w:p>
                  <w:pPr>
                    <w:jc w:val="center"/>
                    <w:rPr>
                      <w:color w:val="auto"/>
                      <w:sz w:val="21"/>
                      <w:szCs w:val="21"/>
                    </w:rPr>
                  </w:pPr>
                  <w:r>
                    <w:rPr>
                      <w:rFonts w:hAnsi="Calibri"/>
                      <w:color w:val="auto"/>
                      <w:sz w:val="21"/>
                      <w:szCs w:val="21"/>
                    </w:rPr>
                    <w:t>工作内容</w:t>
                  </w:r>
                </w:p>
              </w:tc>
              <w:tc>
                <w:tcPr>
                  <w:tcW w:w="7564" w:type="dxa"/>
                  <w:gridSpan w:val="20"/>
                  <w:tcBorders>
                    <w:tl2br w:val="nil"/>
                    <w:tr2bl w:val="nil"/>
                  </w:tcBorders>
                  <w:vAlign w:val="center"/>
                </w:tcPr>
                <w:p>
                  <w:pPr>
                    <w:jc w:val="center"/>
                    <w:rPr>
                      <w:color w:val="auto"/>
                      <w:sz w:val="21"/>
                      <w:szCs w:val="21"/>
                    </w:rPr>
                  </w:pPr>
                  <w:r>
                    <w:rPr>
                      <w:rFonts w:hAnsi="Calibri"/>
                      <w:color w:val="auto"/>
                      <w:sz w:val="21"/>
                      <w:szCs w:val="21"/>
                    </w:rPr>
                    <w:t>自查项目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restart"/>
                  <w:tcBorders>
                    <w:tl2br w:val="nil"/>
                    <w:tr2bl w:val="nil"/>
                  </w:tcBorders>
                  <w:vAlign w:val="center"/>
                </w:tcPr>
                <w:p>
                  <w:pPr>
                    <w:jc w:val="center"/>
                    <w:rPr>
                      <w:color w:val="auto"/>
                      <w:sz w:val="21"/>
                      <w:szCs w:val="21"/>
                    </w:rPr>
                  </w:pPr>
                  <w:r>
                    <w:rPr>
                      <w:rFonts w:hAnsi="Calibri"/>
                      <w:color w:val="auto"/>
                      <w:sz w:val="21"/>
                      <w:szCs w:val="21"/>
                    </w:rPr>
                    <w:t>评价等级与范围</w:t>
                  </w:r>
                </w:p>
              </w:tc>
              <w:tc>
                <w:tcPr>
                  <w:tcW w:w="1055" w:type="dxa"/>
                  <w:tcBorders>
                    <w:tl2br w:val="nil"/>
                    <w:tr2bl w:val="nil"/>
                  </w:tcBorders>
                  <w:vAlign w:val="center"/>
                </w:tcPr>
                <w:p>
                  <w:pPr>
                    <w:jc w:val="center"/>
                    <w:rPr>
                      <w:color w:val="auto"/>
                      <w:sz w:val="21"/>
                      <w:szCs w:val="21"/>
                    </w:rPr>
                  </w:pPr>
                  <w:r>
                    <w:rPr>
                      <w:rFonts w:hAnsi="Calibri"/>
                      <w:color w:val="auto"/>
                      <w:sz w:val="21"/>
                      <w:szCs w:val="21"/>
                    </w:rPr>
                    <w:t>评价等级</w:t>
                  </w:r>
                </w:p>
              </w:tc>
              <w:tc>
                <w:tcPr>
                  <w:tcW w:w="2165" w:type="dxa"/>
                  <w:gridSpan w:val="4"/>
                  <w:tcBorders>
                    <w:tl2br w:val="nil"/>
                    <w:tr2bl w:val="nil"/>
                  </w:tcBorders>
                  <w:vAlign w:val="center"/>
                </w:tcPr>
                <w:p>
                  <w:pPr>
                    <w:jc w:val="center"/>
                    <w:rPr>
                      <w:color w:val="auto"/>
                      <w:sz w:val="21"/>
                      <w:szCs w:val="21"/>
                    </w:rPr>
                  </w:pPr>
                  <w:r>
                    <w:rPr>
                      <w:rFonts w:hAnsi="Calibri"/>
                      <w:color w:val="auto"/>
                      <w:sz w:val="21"/>
                      <w:szCs w:val="21"/>
                    </w:rPr>
                    <w:t>一级</w:t>
                  </w:r>
                  <w:r>
                    <w:rPr>
                      <w:color w:val="auto"/>
                      <w:sz w:val="21"/>
                      <w:szCs w:val="21"/>
                    </w:rPr>
                    <w:t>□</w:t>
                  </w:r>
                </w:p>
              </w:tc>
              <w:tc>
                <w:tcPr>
                  <w:tcW w:w="2935" w:type="dxa"/>
                  <w:gridSpan w:val="8"/>
                  <w:tcBorders>
                    <w:tl2br w:val="nil"/>
                    <w:tr2bl w:val="nil"/>
                  </w:tcBorders>
                  <w:vAlign w:val="center"/>
                </w:tcPr>
                <w:p>
                  <w:pPr>
                    <w:jc w:val="center"/>
                    <w:rPr>
                      <w:color w:val="auto"/>
                      <w:sz w:val="21"/>
                      <w:szCs w:val="21"/>
                    </w:rPr>
                  </w:pPr>
                  <w:r>
                    <w:rPr>
                      <w:rFonts w:hAnsi="Calibri"/>
                      <w:color w:val="auto"/>
                      <w:sz w:val="21"/>
                      <w:szCs w:val="21"/>
                    </w:rPr>
                    <w:t>二级</w:t>
                  </w:r>
                  <w:r>
                    <w:rPr>
                      <w:rFonts w:hint="eastAsia" w:hAnsi="MS Gothic"/>
                      <w:color w:val="auto"/>
                      <w:sz w:val="21"/>
                      <w:szCs w:val="21"/>
                      <w:lang w:eastAsia="zh-CN"/>
                    </w:rPr>
                    <w:t>□</w:t>
                  </w:r>
                </w:p>
              </w:tc>
              <w:tc>
                <w:tcPr>
                  <w:tcW w:w="2464" w:type="dxa"/>
                  <w:gridSpan w:val="8"/>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三级</w:t>
                  </w:r>
                  <w:r>
                    <w:rPr>
                      <w:rFonts w:hint="eastAsia" w:hAnsi="MS Gothic"/>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评价范围</w:t>
                  </w:r>
                </w:p>
              </w:tc>
              <w:tc>
                <w:tcPr>
                  <w:tcW w:w="2165" w:type="dxa"/>
                  <w:gridSpan w:val="4"/>
                  <w:tcBorders>
                    <w:tl2br w:val="nil"/>
                    <w:tr2bl w:val="nil"/>
                  </w:tcBorders>
                  <w:vAlign w:val="center"/>
                </w:tcPr>
                <w:p>
                  <w:pPr>
                    <w:jc w:val="center"/>
                    <w:rPr>
                      <w:color w:val="auto"/>
                      <w:sz w:val="21"/>
                      <w:szCs w:val="21"/>
                    </w:rPr>
                  </w:pPr>
                  <w:r>
                    <w:rPr>
                      <w:rFonts w:hAnsi="Calibri"/>
                      <w:color w:val="auto"/>
                      <w:sz w:val="21"/>
                      <w:szCs w:val="21"/>
                    </w:rPr>
                    <w:t>边长</w:t>
                  </w:r>
                  <w:r>
                    <w:rPr>
                      <w:color w:val="auto"/>
                      <w:sz w:val="21"/>
                      <w:szCs w:val="21"/>
                    </w:rPr>
                    <w:t>=50km□</w:t>
                  </w:r>
                </w:p>
              </w:tc>
              <w:tc>
                <w:tcPr>
                  <w:tcW w:w="2935" w:type="dxa"/>
                  <w:gridSpan w:val="8"/>
                  <w:tcBorders>
                    <w:tl2br w:val="nil"/>
                    <w:tr2bl w:val="nil"/>
                  </w:tcBorders>
                  <w:vAlign w:val="center"/>
                </w:tcPr>
                <w:p>
                  <w:pPr>
                    <w:jc w:val="center"/>
                    <w:rPr>
                      <w:color w:val="auto"/>
                      <w:sz w:val="21"/>
                      <w:szCs w:val="21"/>
                    </w:rPr>
                  </w:pPr>
                  <w:r>
                    <w:rPr>
                      <w:rFonts w:hAnsi="Calibri"/>
                      <w:color w:val="auto"/>
                      <w:sz w:val="21"/>
                      <w:szCs w:val="21"/>
                    </w:rPr>
                    <w:t>边长</w:t>
                  </w:r>
                  <w:r>
                    <w:rPr>
                      <w:color w:val="auto"/>
                      <w:sz w:val="21"/>
                      <w:szCs w:val="21"/>
                    </w:rPr>
                    <w:t>5~50km□</w:t>
                  </w:r>
                </w:p>
              </w:tc>
              <w:tc>
                <w:tcPr>
                  <w:tcW w:w="2464" w:type="dxa"/>
                  <w:gridSpan w:val="8"/>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边长</w:t>
                  </w:r>
                  <w:r>
                    <w:rPr>
                      <w:color w:val="auto"/>
                      <w:sz w:val="21"/>
                      <w:szCs w:val="21"/>
                    </w:rPr>
                    <w:t>=5km</w:t>
                  </w:r>
                  <w:r>
                    <w:rPr>
                      <w:rFonts w:hint="eastAsia" w:hAnsi="MS Gothic"/>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restart"/>
                  <w:tcBorders>
                    <w:tl2br w:val="nil"/>
                    <w:tr2bl w:val="nil"/>
                  </w:tcBorders>
                  <w:vAlign w:val="center"/>
                </w:tcPr>
                <w:p>
                  <w:pPr>
                    <w:jc w:val="center"/>
                    <w:rPr>
                      <w:color w:val="auto"/>
                      <w:sz w:val="21"/>
                      <w:szCs w:val="21"/>
                    </w:rPr>
                  </w:pPr>
                  <w:r>
                    <w:rPr>
                      <w:rFonts w:hAnsi="Calibri"/>
                      <w:color w:val="auto"/>
                      <w:sz w:val="21"/>
                      <w:szCs w:val="21"/>
                    </w:rPr>
                    <w:t>评价因子</w:t>
                  </w:r>
                </w:p>
              </w:tc>
              <w:tc>
                <w:tcPr>
                  <w:tcW w:w="1055" w:type="dxa"/>
                  <w:tcBorders>
                    <w:tl2br w:val="nil"/>
                    <w:tr2bl w:val="nil"/>
                  </w:tcBorders>
                  <w:vAlign w:val="center"/>
                </w:tcPr>
                <w:p>
                  <w:pPr>
                    <w:jc w:val="center"/>
                    <w:rPr>
                      <w:color w:val="auto"/>
                      <w:sz w:val="21"/>
                      <w:szCs w:val="21"/>
                    </w:rPr>
                  </w:pPr>
                  <w:r>
                    <w:rPr>
                      <w:color w:val="auto"/>
                      <w:sz w:val="21"/>
                      <w:szCs w:val="21"/>
                    </w:rPr>
                    <w:t>SO</w:t>
                  </w:r>
                  <w:r>
                    <w:rPr>
                      <w:color w:val="auto"/>
                      <w:sz w:val="21"/>
                      <w:szCs w:val="21"/>
                      <w:vertAlign w:val="subscript"/>
                    </w:rPr>
                    <w:t>2</w:t>
                  </w:r>
                  <w:r>
                    <w:rPr>
                      <w:color w:val="auto"/>
                      <w:sz w:val="21"/>
                      <w:szCs w:val="21"/>
                    </w:rPr>
                    <w:t>+NO</w:t>
                  </w:r>
                  <w:r>
                    <w:rPr>
                      <w:color w:val="auto"/>
                      <w:sz w:val="21"/>
                      <w:szCs w:val="21"/>
                      <w:vertAlign w:val="subscript"/>
                    </w:rPr>
                    <w:t>X</w:t>
                  </w:r>
                  <w:r>
                    <w:rPr>
                      <w:rFonts w:hAnsi="Calibri"/>
                      <w:color w:val="auto"/>
                      <w:sz w:val="21"/>
                      <w:szCs w:val="21"/>
                    </w:rPr>
                    <w:t>排放量</w:t>
                  </w:r>
                </w:p>
              </w:tc>
              <w:tc>
                <w:tcPr>
                  <w:tcW w:w="2165" w:type="dxa"/>
                  <w:gridSpan w:val="4"/>
                  <w:tcBorders>
                    <w:tl2br w:val="nil"/>
                    <w:tr2bl w:val="nil"/>
                  </w:tcBorders>
                  <w:vAlign w:val="center"/>
                </w:tcPr>
                <w:p>
                  <w:pPr>
                    <w:jc w:val="center"/>
                    <w:rPr>
                      <w:color w:val="auto"/>
                      <w:sz w:val="21"/>
                      <w:szCs w:val="21"/>
                    </w:rPr>
                  </w:pPr>
                  <w:r>
                    <w:rPr>
                      <w:color w:val="auto"/>
                      <w:sz w:val="21"/>
                      <w:szCs w:val="21"/>
                    </w:rPr>
                    <w:t>≥2000t/a□</w:t>
                  </w:r>
                </w:p>
              </w:tc>
              <w:tc>
                <w:tcPr>
                  <w:tcW w:w="2935" w:type="dxa"/>
                  <w:gridSpan w:val="8"/>
                  <w:tcBorders>
                    <w:tl2br w:val="nil"/>
                    <w:tr2bl w:val="nil"/>
                  </w:tcBorders>
                  <w:vAlign w:val="center"/>
                </w:tcPr>
                <w:p>
                  <w:pPr>
                    <w:jc w:val="center"/>
                    <w:rPr>
                      <w:color w:val="auto"/>
                      <w:sz w:val="21"/>
                      <w:szCs w:val="21"/>
                    </w:rPr>
                  </w:pPr>
                  <w:r>
                    <w:rPr>
                      <w:color w:val="auto"/>
                      <w:sz w:val="21"/>
                      <w:szCs w:val="21"/>
                    </w:rPr>
                    <w:t>500~2000t/a□</w:t>
                  </w:r>
                </w:p>
              </w:tc>
              <w:tc>
                <w:tcPr>
                  <w:tcW w:w="2464" w:type="dxa"/>
                  <w:gridSpan w:val="8"/>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w:t>
                  </w:r>
                  <w:r>
                    <w:rPr>
                      <w:color w:val="auto"/>
                      <w:sz w:val="21"/>
                      <w:szCs w:val="21"/>
                    </w:rPr>
                    <w:t>500t/a</w:t>
                  </w:r>
                  <w:r>
                    <w:rPr>
                      <w:rFonts w:hAnsi="MS Gothic" w:eastAsia="MS Gothic"/>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评价因子</w:t>
                  </w:r>
                </w:p>
              </w:tc>
              <w:tc>
                <w:tcPr>
                  <w:tcW w:w="5100" w:type="dxa"/>
                  <w:gridSpan w:val="12"/>
                  <w:tcBorders>
                    <w:tl2br w:val="nil"/>
                    <w:tr2bl w:val="nil"/>
                  </w:tcBorders>
                  <w:vAlign w:val="center"/>
                </w:tcPr>
                <w:p>
                  <w:pPr>
                    <w:jc w:val="center"/>
                    <w:rPr>
                      <w:color w:val="auto"/>
                      <w:sz w:val="21"/>
                      <w:szCs w:val="21"/>
                    </w:rPr>
                  </w:pPr>
                  <w:r>
                    <w:rPr>
                      <w:rFonts w:hAnsi="Calibri"/>
                      <w:color w:val="auto"/>
                      <w:sz w:val="21"/>
                      <w:szCs w:val="21"/>
                    </w:rPr>
                    <w:t>基本污染物（</w:t>
                  </w:r>
                  <w:r>
                    <w:rPr>
                      <w:rFonts w:hint="eastAsia"/>
                      <w:color w:val="auto"/>
                      <w:sz w:val="21"/>
                      <w:szCs w:val="21"/>
                      <w:lang w:val="en-US" w:eastAsia="zh-CN"/>
                    </w:rPr>
                    <w:t xml:space="preserve"> </w:t>
                  </w:r>
                  <w:r>
                    <w:rPr>
                      <w:rFonts w:hAnsi="Calibri"/>
                      <w:color w:val="auto"/>
                      <w:sz w:val="21"/>
                      <w:szCs w:val="21"/>
                    </w:rPr>
                    <w:t>）</w:t>
                  </w:r>
                </w:p>
                <w:p>
                  <w:pPr>
                    <w:jc w:val="center"/>
                    <w:rPr>
                      <w:color w:val="auto"/>
                      <w:sz w:val="21"/>
                      <w:szCs w:val="21"/>
                    </w:rPr>
                  </w:pPr>
                  <w:r>
                    <w:rPr>
                      <w:rFonts w:hAnsi="Calibri"/>
                      <w:color w:val="auto"/>
                      <w:sz w:val="21"/>
                      <w:szCs w:val="21"/>
                    </w:rPr>
                    <w:t>其他污染物（</w:t>
                  </w:r>
                  <w:r>
                    <w:rPr>
                      <w:rFonts w:hint="eastAsia" w:hAnsi="Calibri"/>
                      <w:color w:val="auto"/>
                      <w:sz w:val="21"/>
                      <w:szCs w:val="21"/>
                      <w:lang w:val="en-US" w:eastAsia="zh-CN"/>
                    </w:rPr>
                    <w:t>TSP</w:t>
                  </w:r>
                  <w:r>
                    <w:rPr>
                      <w:rFonts w:hAnsi="Calibri"/>
                      <w:color w:val="auto"/>
                      <w:sz w:val="21"/>
                      <w:szCs w:val="21"/>
                    </w:rPr>
                    <w:t>）</w:t>
                  </w:r>
                </w:p>
              </w:tc>
              <w:tc>
                <w:tcPr>
                  <w:tcW w:w="2464" w:type="dxa"/>
                  <w:gridSpan w:val="8"/>
                  <w:tcBorders>
                    <w:tl2br w:val="nil"/>
                    <w:tr2bl w:val="nil"/>
                  </w:tcBorders>
                  <w:vAlign w:val="center"/>
                </w:tcPr>
                <w:p>
                  <w:pPr>
                    <w:jc w:val="center"/>
                    <w:rPr>
                      <w:color w:val="auto"/>
                      <w:sz w:val="21"/>
                      <w:szCs w:val="21"/>
                    </w:rPr>
                  </w:pPr>
                  <w:r>
                    <w:rPr>
                      <w:rFonts w:hAnsi="Calibri"/>
                      <w:color w:val="auto"/>
                      <w:sz w:val="21"/>
                      <w:szCs w:val="21"/>
                    </w:rPr>
                    <w:t>包括二次</w:t>
                  </w:r>
                  <w:r>
                    <w:rPr>
                      <w:color w:val="auto"/>
                      <w:sz w:val="21"/>
                      <w:szCs w:val="21"/>
                    </w:rPr>
                    <w:t>PM</w:t>
                  </w:r>
                  <w:r>
                    <w:rPr>
                      <w:color w:val="auto"/>
                      <w:sz w:val="21"/>
                      <w:szCs w:val="21"/>
                      <w:vertAlign w:val="subscript"/>
                    </w:rPr>
                    <w:t>2.5</w:t>
                  </w:r>
                  <w:r>
                    <w:rPr>
                      <w:color w:val="auto"/>
                      <w:sz w:val="21"/>
                      <w:szCs w:val="21"/>
                    </w:rPr>
                    <w:t>□</w:t>
                  </w:r>
                </w:p>
                <w:p>
                  <w:pPr>
                    <w:jc w:val="center"/>
                    <w:rPr>
                      <w:color w:val="auto"/>
                      <w:sz w:val="21"/>
                      <w:szCs w:val="21"/>
                    </w:rPr>
                  </w:pPr>
                  <w:r>
                    <w:rPr>
                      <w:rFonts w:hAnsi="Calibri"/>
                      <w:color w:val="auto"/>
                      <w:sz w:val="21"/>
                      <w:szCs w:val="21"/>
                    </w:rPr>
                    <w:t>不包括二次</w:t>
                  </w:r>
                  <w:r>
                    <w:rPr>
                      <w:color w:val="auto"/>
                      <w:sz w:val="21"/>
                      <w:szCs w:val="21"/>
                    </w:rPr>
                    <w:t>PM</w:t>
                  </w:r>
                  <w:r>
                    <w:rPr>
                      <w:color w:val="auto"/>
                      <w:sz w:val="21"/>
                      <w:szCs w:val="21"/>
                      <w:vertAlign w:val="subscript"/>
                    </w:rPr>
                    <w:t>2.5</w:t>
                  </w:r>
                  <w:r>
                    <w:rPr>
                      <w:rFonts w:hAnsi="MS Gothic" w:eastAsia="MS Gothic"/>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tcBorders>
                    <w:tl2br w:val="nil"/>
                    <w:tr2bl w:val="nil"/>
                  </w:tcBorders>
                  <w:vAlign w:val="center"/>
                </w:tcPr>
                <w:p>
                  <w:pPr>
                    <w:jc w:val="center"/>
                    <w:rPr>
                      <w:color w:val="auto"/>
                      <w:sz w:val="21"/>
                      <w:szCs w:val="21"/>
                    </w:rPr>
                  </w:pPr>
                  <w:r>
                    <w:rPr>
                      <w:rFonts w:hAnsi="Calibri"/>
                      <w:color w:val="auto"/>
                      <w:sz w:val="21"/>
                      <w:szCs w:val="21"/>
                    </w:rPr>
                    <w:t>评价标准</w:t>
                  </w:r>
                </w:p>
              </w:tc>
              <w:tc>
                <w:tcPr>
                  <w:tcW w:w="1055" w:type="dxa"/>
                  <w:tcBorders>
                    <w:tl2br w:val="nil"/>
                    <w:tr2bl w:val="nil"/>
                  </w:tcBorders>
                  <w:vAlign w:val="center"/>
                </w:tcPr>
                <w:p>
                  <w:pPr>
                    <w:jc w:val="center"/>
                    <w:rPr>
                      <w:color w:val="auto"/>
                      <w:sz w:val="21"/>
                      <w:szCs w:val="21"/>
                    </w:rPr>
                  </w:pPr>
                  <w:r>
                    <w:rPr>
                      <w:rFonts w:hAnsi="Calibri"/>
                      <w:color w:val="auto"/>
                      <w:sz w:val="21"/>
                      <w:szCs w:val="21"/>
                    </w:rPr>
                    <w:t>评价标准</w:t>
                  </w:r>
                </w:p>
              </w:tc>
              <w:tc>
                <w:tcPr>
                  <w:tcW w:w="2165" w:type="dxa"/>
                  <w:gridSpan w:val="4"/>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国家标准</w:t>
                  </w:r>
                  <w:r>
                    <w:rPr>
                      <w:rFonts w:hAnsi="MS Gothic" w:eastAsia="MS Gothic"/>
                      <w:color w:val="auto"/>
                      <w:sz w:val="21"/>
                      <w:szCs w:val="21"/>
                    </w:rPr>
                    <w:t>☑</w:t>
                  </w:r>
                </w:p>
              </w:tc>
              <w:tc>
                <w:tcPr>
                  <w:tcW w:w="2230" w:type="dxa"/>
                  <w:gridSpan w:val="6"/>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地方标准</w:t>
                  </w:r>
                  <w:r>
                    <w:rPr>
                      <w:rFonts w:hint="eastAsia" w:hAnsi="MS Gothic" w:eastAsia="宋体"/>
                      <w:color w:val="auto"/>
                      <w:sz w:val="21"/>
                      <w:szCs w:val="21"/>
                      <w:lang w:eastAsia="zh-CN"/>
                    </w:rPr>
                    <w:t>□</w:t>
                  </w:r>
                </w:p>
              </w:tc>
              <w:tc>
                <w:tcPr>
                  <w:tcW w:w="1958" w:type="dxa"/>
                  <w:gridSpan w:val="7"/>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附录</w:t>
                  </w:r>
                  <w:r>
                    <w:rPr>
                      <w:color w:val="auto"/>
                      <w:sz w:val="21"/>
                      <w:szCs w:val="21"/>
                    </w:rPr>
                    <w:t>D</w:t>
                  </w:r>
                  <w:r>
                    <w:rPr>
                      <w:rFonts w:hint="eastAsia" w:hAnsi="MS Gothic" w:eastAsia="宋体"/>
                      <w:color w:val="auto"/>
                      <w:sz w:val="21"/>
                      <w:szCs w:val="21"/>
                      <w:lang w:eastAsia="zh-CN"/>
                    </w:rPr>
                    <w:t>□</w:t>
                  </w:r>
                </w:p>
              </w:tc>
              <w:tc>
                <w:tcPr>
                  <w:tcW w:w="1211" w:type="dxa"/>
                  <w:gridSpan w:val="3"/>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其他标准</w:t>
                  </w:r>
                  <w:r>
                    <w:rPr>
                      <w:rFonts w:hint="eastAsia" w:hAnsi="MS Gothic" w:eastAsia="宋体"/>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restart"/>
                  <w:tcBorders>
                    <w:tl2br w:val="nil"/>
                    <w:tr2bl w:val="nil"/>
                  </w:tcBorders>
                  <w:vAlign w:val="center"/>
                </w:tcPr>
                <w:p>
                  <w:pPr>
                    <w:jc w:val="center"/>
                    <w:rPr>
                      <w:color w:val="auto"/>
                      <w:sz w:val="21"/>
                      <w:szCs w:val="21"/>
                    </w:rPr>
                  </w:pPr>
                  <w:r>
                    <w:rPr>
                      <w:rFonts w:hAnsi="Calibri"/>
                      <w:color w:val="auto"/>
                      <w:sz w:val="21"/>
                      <w:szCs w:val="21"/>
                    </w:rPr>
                    <w:t>现状评价</w:t>
                  </w:r>
                </w:p>
              </w:tc>
              <w:tc>
                <w:tcPr>
                  <w:tcW w:w="1055" w:type="dxa"/>
                  <w:tcBorders>
                    <w:tl2br w:val="nil"/>
                    <w:tr2bl w:val="nil"/>
                  </w:tcBorders>
                  <w:vAlign w:val="center"/>
                </w:tcPr>
                <w:p>
                  <w:pPr>
                    <w:jc w:val="center"/>
                    <w:rPr>
                      <w:color w:val="auto"/>
                      <w:sz w:val="21"/>
                      <w:szCs w:val="21"/>
                    </w:rPr>
                  </w:pPr>
                  <w:r>
                    <w:rPr>
                      <w:rFonts w:hAnsi="Calibri"/>
                      <w:color w:val="auto"/>
                      <w:sz w:val="21"/>
                      <w:szCs w:val="21"/>
                    </w:rPr>
                    <w:t>环境功能区</w:t>
                  </w:r>
                </w:p>
              </w:tc>
              <w:tc>
                <w:tcPr>
                  <w:tcW w:w="2165" w:type="dxa"/>
                  <w:gridSpan w:val="4"/>
                  <w:tcBorders>
                    <w:tl2br w:val="nil"/>
                    <w:tr2bl w:val="nil"/>
                  </w:tcBorders>
                  <w:vAlign w:val="center"/>
                </w:tcPr>
                <w:p>
                  <w:pPr>
                    <w:jc w:val="center"/>
                    <w:rPr>
                      <w:color w:val="auto"/>
                      <w:sz w:val="21"/>
                      <w:szCs w:val="21"/>
                    </w:rPr>
                  </w:pPr>
                  <w:r>
                    <w:rPr>
                      <w:rFonts w:hAnsi="Calibri"/>
                      <w:color w:val="auto"/>
                      <w:sz w:val="21"/>
                      <w:szCs w:val="21"/>
                    </w:rPr>
                    <w:t>一类区</w:t>
                  </w:r>
                  <w:r>
                    <w:rPr>
                      <w:color w:val="auto"/>
                      <w:sz w:val="21"/>
                      <w:szCs w:val="21"/>
                    </w:rPr>
                    <w:t>□</w:t>
                  </w:r>
                </w:p>
              </w:tc>
              <w:tc>
                <w:tcPr>
                  <w:tcW w:w="3389" w:type="dxa"/>
                  <w:gridSpan w:val="10"/>
                  <w:tcBorders>
                    <w:tl2br w:val="nil"/>
                    <w:tr2bl w:val="nil"/>
                  </w:tcBorders>
                  <w:vAlign w:val="center"/>
                </w:tcPr>
                <w:p>
                  <w:pPr>
                    <w:jc w:val="center"/>
                    <w:rPr>
                      <w:color w:val="auto"/>
                      <w:sz w:val="21"/>
                      <w:szCs w:val="21"/>
                    </w:rPr>
                  </w:pPr>
                  <w:r>
                    <w:rPr>
                      <w:rFonts w:hAnsi="Calibri"/>
                      <w:color w:val="auto"/>
                      <w:sz w:val="21"/>
                      <w:szCs w:val="21"/>
                    </w:rPr>
                    <w:t>二类区</w:t>
                  </w:r>
                  <w:r>
                    <w:rPr>
                      <w:rFonts w:hAnsi="MS Gothic" w:eastAsia="MS Gothic"/>
                      <w:color w:val="auto"/>
                      <w:sz w:val="21"/>
                      <w:szCs w:val="21"/>
                    </w:rPr>
                    <w:t>☑</w:t>
                  </w:r>
                </w:p>
              </w:tc>
              <w:tc>
                <w:tcPr>
                  <w:tcW w:w="2010" w:type="dxa"/>
                  <w:gridSpan w:val="6"/>
                  <w:tcBorders>
                    <w:tl2br w:val="nil"/>
                    <w:tr2bl w:val="nil"/>
                  </w:tcBorders>
                  <w:vAlign w:val="center"/>
                </w:tcPr>
                <w:p>
                  <w:pPr>
                    <w:jc w:val="center"/>
                    <w:rPr>
                      <w:color w:val="auto"/>
                      <w:sz w:val="21"/>
                      <w:szCs w:val="21"/>
                    </w:rPr>
                  </w:pPr>
                  <w:r>
                    <w:rPr>
                      <w:rFonts w:hAnsi="Calibri"/>
                      <w:color w:val="auto"/>
                      <w:sz w:val="21"/>
                      <w:szCs w:val="21"/>
                    </w:rPr>
                    <w:t>一类区和二类区</w:t>
                  </w:r>
                  <w:r>
                    <w:rPr>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评价基准年</w:t>
                  </w:r>
                </w:p>
              </w:tc>
              <w:tc>
                <w:tcPr>
                  <w:tcW w:w="7564" w:type="dxa"/>
                  <w:gridSpan w:val="20"/>
                  <w:tcBorders>
                    <w:tl2br w:val="nil"/>
                    <w:tr2bl w:val="nil"/>
                  </w:tcBorders>
                  <w:vAlign w:val="center"/>
                </w:tcPr>
                <w:p>
                  <w:pPr>
                    <w:jc w:val="center"/>
                    <w:rPr>
                      <w:color w:val="auto"/>
                      <w:sz w:val="21"/>
                      <w:szCs w:val="21"/>
                    </w:rPr>
                  </w:pPr>
                  <w:r>
                    <w:rPr>
                      <w:rFonts w:hAnsi="Calibri"/>
                      <w:color w:val="auto"/>
                      <w:sz w:val="21"/>
                      <w:szCs w:val="21"/>
                    </w:rPr>
                    <w:t>（</w:t>
                  </w:r>
                  <w:r>
                    <w:rPr>
                      <w:color w:val="auto"/>
                      <w:sz w:val="21"/>
                      <w:szCs w:val="21"/>
                    </w:rPr>
                    <w:t>201</w:t>
                  </w:r>
                  <w:r>
                    <w:rPr>
                      <w:rFonts w:hint="eastAsia"/>
                      <w:color w:val="auto"/>
                      <w:sz w:val="21"/>
                      <w:szCs w:val="21"/>
                      <w:lang w:val="en-US" w:eastAsia="zh-CN"/>
                    </w:rPr>
                    <w:t>8</w:t>
                  </w:r>
                  <w:r>
                    <w:rPr>
                      <w:rFonts w:hAnsi="Calibri"/>
                      <w:color w:val="auto"/>
                      <w:sz w:val="21"/>
                      <w:szCs w:val="21"/>
                    </w:rPr>
                    <w:t>）年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环境空气质量现状调查数据来源</w:t>
                  </w:r>
                </w:p>
              </w:tc>
              <w:tc>
                <w:tcPr>
                  <w:tcW w:w="2165" w:type="dxa"/>
                  <w:gridSpan w:val="4"/>
                  <w:tcBorders>
                    <w:tl2br w:val="nil"/>
                    <w:tr2bl w:val="nil"/>
                  </w:tcBorders>
                  <w:vAlign w:val="center"/>
                </w:tcPr>
                <w:p>
                  <w:pPr>
                    <w:jc w:val="center"/>
                    <w:rPr>
                      <w:color w:val="auto"/>
                      <w:sz w:val="21"/>
                      <w:szCs w:val="21"/>
                    </w:rPr>
                  </w:pPr>
                  <w:r>
                    <w:rPr>
                      <w:rFonts w:hAnsi="Calibri"/>
                      <w:color w:val="auto"/>
                      <w:sz w:val="21"/>
                      <w:szCs w:val="21"/>
                    </w:rPr>
                    <w:t>长期例行监测数据</w:t>
                  </w:r>
                  <w:r>
                    <w:rPr>
                      <w:color w:val="auto"/>
                      <w:sz w:val="21"/>
                      <w:szCs w:val="21"/>
                    </w:rPr>
                    <w:t>□</w:t>
                  </w:r>
                </w:p>
              </w:tc>
              <w:tc>
                <w:tcPr>
                  <w:tcW w:w="3389" w:type="dxa"/>
                  <w:gridSpan w:val="10"/>
                  <w:tcBorders>
                    <w:tl2br w:val="nil"/>
                    <w:tr2bl w:val="nil"/>
                  </w:tcBorders>
                  <w:vAlign w:val="center"/>
                </w:tcPr>
                <w:p>
                  <w:pPr>
                    <w:jc w:val="center"/>
                    <w:rPr>
                      <w:color w:val="auto"/>
                      <w:sz w:val="21"/>
                      <w:szCs w:val="21"/>
                    </w:rPr>
                  </w:pPr>
                  <w:r>
                    <w:rPr>
                      <w:rFonts w:hAnsi="Calibri"/>
                      <w:color w:val="auto"/>
                      <w:sz w:val="21"/>
                      <w:szCs w:val="21"/>
                    </w:rPr>
                    <w:t>主管部门发布的数据</w:t>
                  </w:r>
                  <w:r>
                    <w:rPr>
                      <w:rFonts w:hAnsi="MS Gothic" w:eastAsia="MS Gothic"/>
                      <w:color w:val="auto"/>
                      <w:sz w:val="21"/>
                      <w:szCs w:val="21"/>
                    </w:rPr>
                    <w:t>☑</w:t>
                  </w:r>
                </w:p>
              </w:tc>
              <w:tc>
                <w:tcPr>
                  <w:tcW w:w="2010" w:type="dxa"/>
                  <w:gridSpan w:val="6"/>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现状补充监测</w:t>
                  </w:r>
                  <w:r>
                    <w:rPr>
                      <w:rFonts w:hint="eastAsia" w:hAnsi="MS Gothic" w:eastAsia="宋体"/>
                      <w:color w:val="auto"/>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现状评价</w:t>
                  </w:r>
                </w:p>
              </w:tc>
              <w:tc>
                <w:tcPr>
                  <w:tcW w:w="3711" w:type="dxa"/>
                  <w:gridSpan w:val="8"/>
                  <w:tcBorders>
                    <w:tl2br w:val="nil"/>
                    <w:tr2bl w:val="nil"/>
                  </w:tcBorders>
                  <w:vAlign w:val="center"/>
                </w:tcPr>
                <w:p>
                  <w:pPr>
                    <w:jc w:val="center"/>
                    <w:rPr>
                      <w:color w:val="auto"/>
                      <w:sz w:val="21"/>
                      <w:szCs w:val="21"/>
                    </w:rPr>
                  </w:pPr>
                  <w:r>
                    <w:rPr>
                      <w:rFonts w:hAnsi="Calibri"/>
                      <w:color w:val="auto"/>
                      <w:sz w:val="21"/>
                      <w:szCs w:val="21"/>
                    </w:rPr>
                    <w:t>达标区</w:t>
                  </w:r>
                  <w:r>
                    <w:rPr>
                      <w:color w:val="auto"/>
                      <w:sz w:val="21"/>
                      <w:szCs w:val="21"/>
                    </w:rPr>
                    <w:t>□</w:t>
                  </w:r>
                </w:p>
              </w:tc>
              <w:tc>
                <w:tcPr>
                  <w:tcW w:w="3853" w:type="dxa"/>
                  <w:gridSpan w:val="12"/>
                  <w:tcBorders>
                    <w:tl2br w:val="nil"/>
                    <w:tr2bl w:val="nil"/>
                  </w:tcBorders>
                  <w:vAlign w:val="center"/>
                </w:tcPr>
                <w:p>
                  <w:pPr>
                    <w:jc w:val="center"/>
                    <w:rPr>
                      <w:color w:val="auto"/>
                      <w:sz w:val="21"/>
                      <w:szCs w:val="21"/>
                    </w:rPr>
                  </w:pPr>
                  <w:r>
                    <w:rPr>
                      <w:rFonts w:hAnsi="Calibri"/>
                      <w:color w:val="auto"/>
                      <w:sz w:val="21"/>
                      <w:szCs w:val="21"/>
                    </w:rPr>
                    <w:t>不达标区</w:t>
                  </w:r>
                  <w:r>
                    <w:rPr>
                      <w:rFonts w:hAnsi="MS Gothic" w:eastAsia="MS Gothic"/>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tcBorders>
                    <w:tl2br w:val="nil"/>
                    <w:tr2bl w:val="nil"/>
                  </w:tcBorders>
                  <w:vAlign w:val="center"/>
                </w:tcPr>
                <w:p>
                  <w:pPr>
                    <w:jc w:val="center"/>
                    <w:rPr>
                      <w:color w:val="auto"/>
                      <w:sz w:val="21"/>
                      <w:szCs w:val="21"/>
                    </w:rPr>
                  </w:pPr>
                  <w:r>
                    <w:rPr>
                      <w:rFonts w:hAnsi="Calibri"/>
                      <w:color w:val="auto"/>
                      <w:sz w:val="21"/>
                      <w:szCs w:val="21"/>
                    </w:rPr>
                    <w:t>污染源调查</w:t>
                  </w:r>
                </w:p>
              </w:tc>
              <w:tc>
                <w:tcPr>
                  <w:tcW w:w="1055" w:type="dxa"/>
                  <w:tcBorders>
                    <w:tl2br w:val="nil"/>
                    <w:tr2bl w:val="nil"/>
                  </w:tcBorders>
                  <w:vAlign w:val="center"/>
                </w:tcPr>
                <w:p>
                  <w:pPr>
                    <w:jc w:val="center"/>
                    <w:rPr>
                      <w:color w:val="auto"/>
                      <w:sz w:val="21"/>
                      <w:szCs w:val="21"/>
                    </w:rPr>
                  </w:pPr>
                  <w:r>
                    <w:rPr>
                      <w:rFonts w:hAnsi="Calibri"/>
                      <w:color w:val="auto"/>
                      <w:sz w:val="21"/>
                      <w:szCs w:val="21"/>
                    </w:rPr>
                    <w:t>调查内容</w:t>
                  </w:r>
                </w:p>
              </w:tc>
              <w:tc>
                <w:tcPr>
                  <w:tcW w:w="2165" w:type="dxa"/>
                  <w:gridSpan w:val="4"/>
                  <w:tcBorders>
                    <w:tl2br w:val="nil"/>
                    <w:tr2bl w:val="nil"/>
                  </w:tcBorders>
                  <w:vAlign w:val="center"/>
                </w:tcPr>
                <w:p>
                  <w:pPr>
                    <w:jc w:val="center"/>
                    <w:rPr>
                      <w:color w:val="auto"/>
                      <w:sz w:val="21"/>
                      <w:szCs w:val="21"/>
                    </w:rPr>
                  </w:pPr>
                  <w:r>
                    <w:rPr>
                      <w:rFonts w:hAnsi="Calibri"/>
                      <w:color w:val="auto"/>
                      <w:sz w:val="21"/>
                      <w:szCs w:val="21"/>
                    </w:rPr>
                    <w:t>本项目正常排放源</w:t>
                  </w:r>
                  <w:r>
                    <w:rPr>
                      <w:rFonts w:hAnsi="MS Gothic" w:eastAsia="MS Gothic"/>
                      <w:color w:val="auto"/>
                      <w:sz w:val="21"/>
                      <w:szCs w:val="21"/>
                    </w:rPr>
                    <w:t>☑</w:t>
                  </w:r>
                </w:p>
                <w:p>
                  <w:pPr>
                    <w:jc w:val="center"/>
                    <w:rPr>
                      <w:rFonts w:hint="eastAsia" w:eastAsia="宋体"/>
                      <w:color w:val="auto"/>
                      <w:sz w:val="21"/>
                      <w:szCs w:val="21"/>
                      <w:lang w:eastAsia="zh-CN"/>
                    </w:rPr>
                  </w:pPr>
                  <w:r>
                    <w:rPr>
                      <w:rFonts w:hAnsi="Calibri"/>
                      <w:color w:val="auto"/>
                      <w:sz w:val="21"/>
                      <w:szCs w:val="21"/>
                    </w:rPr>
                    <w:t>本项目非正常排放源</w:t>
                  </w:r>
                  <w:r>
                    <w:rPr>
                      <w:rFonts w:hint="eastAsia" w:hAnsi="MS Gothic" w:eastAsia="宋体"/>
                      <w:color w:val="auto"/>
                      <w:sz w:val="21"/>
                      <w:szCs w:val="21"/>
                      <w:lang w:eastAsia="zh-CN"/>
                    </w:rPr>
                    <w:t>□</w:t>
                  </w:r>
                </w:p>
                <w:p>
                  <w:pPr>
                    <w:jc w:val="center"/>
                    <w:rPr>
                      <w:rFonts w:hint="eastAsia" w:eastAsia="宋体"/>
                      <w:color w:val="auto"/>
                      <w:sz w:val="21"/>
                      <w:szCs w:val="21"/>
                      <w:lang w:eastAsia="zh-CN"/>
                    </w:rPr>
                  </w:pPr>
                  <w:r>
                    <w:rPr>
                      <w:rFonts w:hAnsi="Calibri"/>
                      <w:color w:val="auto"/>
                      <w:sz w:val="21"/>
                      <w:szCs w:val="21"/>
                    </w:rPr>
                    <w:t>现有污染源</w:t>
                  </w:r>
                  <w:r>
                    <w:rPr>
                      <w:rFonts w:hint="eastAsia" w:hAnsi="MS Gothic" w:eastAsia="宋体"/>
                      <w:color w:val="auto"/>
                      <w:sz w:val="21"/>
                      <w:szCs w:val="21"/>
                      <w:lang w:eastAsia="zh-CN"/>
                    </w:rPr>
                    <w:t>□</w:t>
                  </w:r>
                </w:p>
              </w:tc>
              <w:tc>
                <w:tcPr>
                  <w:tcW w:w="1937" w:type="dxa"/>
                  <w:gridSpan w:val="5"/>
                  <w:tcBorders>
                    <w:tl2br w:val="nil"/>
                    <w:tr2bl w:val="nil"/>
                  </w:tcBorders>
                  <w:vAlign w:val="center"/>
                </w:tcPr>
                <w:p>
                  <w:pPr>
                    <w:jc w:val="center"/>
                    <w:rPr>
                      <w:color w:val="auto"/>
                      <w:sz w:val="21"/>
                      <w:szCs w:val="21"/>
                    </w:rPr>
                  </w:pPr>
                  <w:r>
                    <w:rPr>
                      <w:rFonts w:hAnsi="Calibri"/>
                      <w:color w:val="auto"/>
                      <w:sz w:val="21"/>
                      <w:szCs w:val="21"/>
                    </w:rPr>
                    <w:t>拟替代的污染源</w:t>
                  </w:r>
                  <w:r>
                    <w:rPr>
                      <w:color w:val="auto"/>
                      <w:sz w:val="21"/>
                      <w:szCs w:val="21"/>
                    </w:rPr>
                    <w:t>□</w:t>
                  </w:r>
                </w:p>
              </w:tc>
              <w:tc>
                <w:tcPr>
                  <w:tcW w:w="2124" w:type="dxa"/>
                  <w:gridSpan w:val="7"/>
                  <w:tcBorders>
                    <w:tl2br w:val="nil"/>
                    <w:tr2bl w:val="nil"/>
                  </w:tcBorders>
                  <w:vAlign w:val="center"/>
                </w:tcPr>
                <w:p>
                  <w:pPr>
                    <w:jc w:val="center"/>
                    <w:rPr>
                      <w:color w:val="auto"/>
                      <w:sz w:val="21"/>
                      <w:szCs w:val="21"/>
                    </w:rPr>
                  </w:pPr>
                  <w:r>
                    <w:rPr>
                      <w:rFonts w:hAnsi="Calibri"/>
                      <w:color w:val="auto"/>
                      <w:sz w:val="21"/>
                      <w:szCs w:val="21"/>
                    </w:rPr>
                    <w:t>其他在建、拟建项目污染源</w:t>
                  </w:r>
                  <w:r>
                    <w:rPr>
                      <w:color w:val="auto"/>
                      <w:sz w:val="21"/>
                      <w:szCs w:val="21"/>
                    </w:rPr>
                    <w:t>□</w:t>
                  </w:r>
                </w:p>
              </w:tc>
              <w:tc>
                <w:tcPr>
                  <w:tcW w:w="1338" w:type="dxa"/>
                  <w:gridSpan w:val="4"/>
                  <w:tcBorders>
                    <w:tl2br w:val="nil"/>
                    <w:tr2bl w:val="nil"/>
                  </w:tcBorders>
                  <w:vAlign w:val="center"/>
                </w:tcPr>
                <w:p>
                  <w:pPr>
                    <w:jc w:val="center"/>
                    <w:rPr>
                      <w:color w:val="auto"/>
                      <w:sz w:val="21"/>
                      <w:szCs w:val="21"/>
                    </w:rPr>
                  </w:pPr>
                  <w:r>
                    <w:rPr>
                      <w:rFonts w:hAnsi="Calibri"/>
                      <w:color w:val="auto"/>
                      <w:sz w:val="21"/>
                      <w:szCs w:val="21"/>
                    </w:rPr>
                    <w:t>区域污染源</w:t>
                  </w:r>
                  <w:r>
                    <w:rPr>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restart"/>
                  <w:tcBorders>
                    <w:tl2br w:val="nil"/>
                    <w:tr2bl w:val="nil"/>
                  </w:tcBorders>
                  <w:vAlign w:val="center"/>
                </w:tcPr>
                <w:p>
                  <w:pPr>
                    <w:jc w:val="center"/>
                    <w:rPr>
                      <w:color w:val="auto"/>
                      <w:sz w:val="21"/>
                      <w:szCs w:val="21"/>
                    </w:rPr>
                  </w:pPr>
                  <w:r>
                    <w:rPr>
                      <w:rFonts w:hAnsi="Calibri"/>
                      <w:color w:val="auto"/>
                      <w:sz w:val="21"/>
                      <w:szCs w:val="21"/>
                    </w:rPr>
                    <w:t>大气环境影响预测与评价</w:t>
                  </w:r>
                </w:p>
              </w:tc>
              <w:tc>
                <w:tcPr>
                  <w:tcW w:w="1055" w:type="dxa"/>
                  <w:tcBorders>
                    <w:tl2br w:val="nil"/>
                    <w:tr2bl w:val="nil"/>
                  </w:tcBorders>
                  <w:vAlign w:val="center"/>
                </w:tcPr>
                <w:p>
                  <w:pPr>
                    <w:jc w:val="center"/>
                    <w:rPr>
                      <w:color w:val="auto"/>
                      <w:sz w:val="21"/>
                      <w:szCs w:val="21"/>
                    </w:rPr>
                  </w:pPr>
                  <w:r>
                    <w:rPr>
                      <w:rFonts w:hAnsi="Calibri"/>
                      <w:color w:val="auto"/>
                      <w:sz w:val="21"/>
                      <w:szCs w:val="21"/>
                    </w:rPr>
                    <w:t>预测模型</w:t>
                  </w:r>
                </w:p>
              </w:tc>
              <w:tc>
                <w:tcPr>
                  <w:tcW w:w="1231" w:type="dxa"/>
                  <w:tcBorders>
                    <w:tl2br w:val="nil"/>
                    <w:tr2bl w:val="nil"/>
                  </w:tcBorders>
                  <w:vAlign w:val="center"/>
                </w:tcPr>
                <w:p>
                  <w:pPr>
                    <w:jc w:val="center"/>
                    <w:rPr>
                      <w:color w:val="auto"/>
                      <w:sz w:val="21"/>
                      <w:szCs w:val="21"/>
                    </w:rPr>
                  </w:pPr>
                  <w:r>
                    <w:rPr>
                      <w:color w:val="auto"/>
                      <w:sz w:val="21"/>
                      <w:szCs w:val="21"/>
                    </w:rPr>
                    <w:t>AERMOD□</w:t>
                  </w:r>
                </w:p>
              </w:tc>
              <w:tc>
                <w:tcPr>
                  <w:tcW w:w="934" w:type="dxa"/>
                  <w:gridSpan w:val="3"/>
                  <w:tcBorders>
                    <w:tl2br w:val="nil"/>
                    <w:tr2bl w:val="nil"/>
                  </w:tcBorders>
                  <w:vAlign w:val="center"/>
                </w:tcPr>
                <w:p>
                  <w:pPr>
                    <w:jc w:val="center"/>
                    <w:rPr>
                      <w:color w:val="auto"/>
                      <w:sz w:val="21"/>
                      <w:szCs w:val="21"/>
                    </w:rPr>
                  </w:pPr>
                  <w:r>
                    <w:rPr>
                      <w:color w:val="auto"/>
                      <w:sz w:val="21"/>
                      <w:szCs w:val="21"/>
                    </w:rPr>
                    <w:t>ADMS□</w:t>
                  </w:r>
                </w:p>
              </w:tc>
              <w:tc>
                <w:tcPr>
                  <w:tcW w:w="1546" w:type="dxa"/>
                  <w:gridSpan w:val="4"/>
                  <w:tcBorders>
                    <w:tl2br w:val="nil"/>
                    <w:tr2bl w:val="nil"/>
                  </w:tcBorders>
                  <w:vAlign w:val="center"/>
                </w:tcPr>
                <w:p>
                  <w:pPr>
                    <w:jc w:val="center"/>
                    <w:rPr>
                      <w:color w:val="auto"/>
                      <w:sz w:val="21"/>
                      <w:szCs w:val="21"/>
                    </w:rPr>
                  </w:pPr>
                  <w:r>
                    <w:rPr>
                      <w:color w:val="auto"/>
                      <w:sz w:val="21"/>
                      <w:szCs w:val="21"/>
                    </w:rPr>
                    <w:t>AUSTAL2000□</w:t>
                  </w:r>
                </w:p>
              </w:tc>
              <w:tc>
                <w:tcPr>
                  <w:tcW w:w="1518" w:type="dxa"/>
                  <w:gridSpan w:val="5"/>
                  <w:tcBorders>
                    <w:tl2br w:val="nil"/>
                    <w:tr2bl w:val="nil"/>
                  </w:tcBorders>
                  <w:vAlign w:val="center"/>
                </w:tcPr>
                <w:p>
                  <w:pPr>
                    <w:jc w:val="center"/>
                    <w:rPr>
                      <w:color w:val="auto"/>
                      <w:sz w:val="21"/>
                      <w:szCs w:val="21"/>
                    </w:rPr>
                  </w:pPr>
                  <w:r>
                    <w:rPr>
                      <w:color w:val="auto"/>
                      <w:sz w:val="21"/>
                      <w:szCs w:val="21"/>
                    </w:rPr>
                    <w:t>EDMS/AEDT□</w:t>
                  </w:r>
                </w:p>
              </w:tc>
              <w:tc>
                <w:tcPr>
                  <w:tcW w:w="1243" w:type="dxa"/>
                  <w:gridSpan w:val="5"/>
                  <w:tcBorders>
                    <w:tl2br w:val="nil"/>
                    <w:tr2bl w:val="nil"/>
                  </w:tcBorders>
                  <w:vAlign w:val="center"/>
                </w:tcPr>
                <w:p>
                  <w:pPr>
                    <w:jc w:val="center"/>
                    <w:rPr>
                      <w:color w:val="auto"/>
                      <w:sz w:val="21"/>
                      <w:szCs w:val="21"/>
                    </w:rPr>
                  </w:pPr>
                  <w:r>
                    <w:rPr>
                      <w:color w:val="auto"/>
                      <w:sz w:val="21"/>
                      <w:szCs w:val="21"/>
                    </w:rPr>
                    <w:t>CALPUFF□</w:t>
                  </w:r>
                </w:p>
              </w:tc>
              <w:tc>
                <w:tcPr>
                  <w:tcW w:w="546" w:type="dxa"/>
                  <w:tcBorders>
                    <w:tl2br w:val="nil"/>
                    <w:tr2bl w:val="nil"/>
                  </w:tcBorders>
                  <w:vAlign w:val="center"/>
                </w:tcPr>
                <w:p>
                  <w:pPr>
                    <w:jc w:val="center"/>
                    <w:rPr>
                      <w:color w:val="auto"/>
                      <w:sz w:val="21"/>
                      <w:szCs w:val="21"/>
                    </w:rPr>
                  </w:pPr>
                  <w:r>
                    <w:rPr>
                      <w:rFonts w:hAnsi="Calibri"/>
                      <w:color w:val="auto"/>
                      <w:sz w:val="21"/>
                      <w:szCs w:val="21"/>
                    </w:rPr>
                    <w:t>网格模型</w:t>
                  </w:r>
                  <w:r>
                    <w:rPr>
                      <w:color w:val="auto"/>
                      <w:sz w:val="21"/>
                      <w:szCs w:val="21"/>
                    </w:rPr>
                    <w:t>□</w:t>
                  </w:r>
                </w:p>
              </w:tc>
              <w:tc>
                <w:tcPr>
                  <w:tcW w:w="546" w:type="dxa"/>
                  <w:tcBorders>
                    <w:tl2br w:val="nil"/>
                    <w:tr2bl w:val="nil"/>
                  </w:tcBorders>
                  <w:vAlign w:val="center"/>
                </w:tcPr>
                <w:p>
                  <w:pPr>
                    <w:jc w:val="center"/>
                    <w:rPr>
                      <w:color w:val="auto"/>
                      <w:sz w:val="21"/>
                      <w:szCs w:val="21"/>
                    </w:rPr>
                  </w:pPr>
                  <w:r>
                    <w:rPr>
                      <w:rFonts w:hAnsi="Calibri"/>
                      <w:color w:val="auto"/>
                      <w:sz w:val="21"/>
                      <w:szCs w:val="21"/>
                    </w:rPr>
                    <w:t>其他</w:t>
                  </w:r>
                  <w:r>
                    <w:rPr>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预测范围</w:t>
                  </w:r>
                </w:p>
              </w:tc>
              <w:tc>
                <w:tcPr>
                  <w:tcW w:w="2165" w:type="dxa"/>
                  <w:gridSpan w:val="4"/>
                  <w:tcBorders>
                    <w:tl2br w:val="nil"/>
                    <w:tr2bl w:val="nil"/>
                  </w:tcBorders>
                  <w:vAlign w:val="center"/>
                </w:tcPr>
                <w:p>
                  <w:pPr>
                    <w:jc w:val="center"/>
                    <w:rPr>
                      <w:color w:val="auto"/>
                      <w:sz w:val="21"/>
                      <w:szCs w:val="21"/>
                    </w:rPr>
                  </w:pPr>
                  <w:r>
                    <w:rPr>
                      <w:rFonts w:hAnsi="Calibri"/>
                      <w:color w:val="auto"/>
                      <w:sz w:val="21"/>
                      <w:szCs w:val="21"/>
                    </w:rPr>
                    <w:t>边长</w:t>
                  </w:r>
                  <w:r>
                    <w:rPr>
                      <w:color w:val="auto"/>
                      <w:sz w:val="21"/>
                      <w:szCs w:val="21"/>
                    </w:rPr>
                    <w:t>≥50km□</w:t>
                  </w:r>
                </w:p>
              </w:tc>
              <w:tc>
                <w:tcPr>
                  <w:tcW w:w="3064" w:type="dxa"/>
                  <w:gridSpan w:val="9"/>
                  <w:tcBorders>
                    <w:tl2br w:val="nil"/>
                    <w:tr2bl w:val="nil"/>
                  </w:tcBorders>
                  <w:vAlign w:val="center"/>
                </w:tcPr>
                <w:p>
                  <w:pPr>
                    <w:jc w:val="center"/>
                    <w:rPr>
                      <w:color w:val="auto"/>
                      <w:sz w:val="21"/>
                      <w:szCs w:val="21"/>
                    </w:rPr>
                  </w:pPr>
                  <w:r>
                    <w:rPr>
                      <w:rFonts w:hAnsi="Calibri"/>
                      <w:color w:val="auto"/>
                      <w:sz w:val="21"/>
                      <w:szCs w:val="21"/>
                    </w:rPr>
                    <w:t>边长</w:t>
                  </w:r>
                  <w:r>
                    <w:rPr>
                      <w:color w:val="auto"/>
                      <w:sz w:val="21"/>
                      <w:szCs w:val="21"/>
                    </w:rPr>
                    <w:t>5~50km□</w:t>
                  </w:r>
                </w:p>
              </w:tc>
              <w:tc>
                <w:tcPr>
                  <w:tcW w:w="2335" w:type="dxa"/>
                  <w:gridSpan w:val="7"/>
                  <w:tcBorders>
                    <w:tl2br w:val="nil"/>
                    <w:tr2bl w:val="nil"/>
                  </w:tcBorders>
                  <w:vAlign w:val="center"/>
                </w:tcPr>
                <w:p>
                  <w:pPr>
                    <w:jc w:val="center"/>
                    <w:rPr>
                      <w:color w:val="auto"/>
                      <w:sz w:val="21"/>
                      <w:szCs w:val="21"/>
                    </w:rPr>
                  </w:pPr>
                  <w:r>
                    <w:rPr>
                      <w:rFonts w:hAnsi="Calibri"/>
                      <w:color w:val="auto"/>
                      <w:sz w:val="21"/>
                      <w:szCs w:val="21"/>
                    </w:rPr>
                    <w:t>边长</w:t>
                  </w:r>
                  <w:r>
                    <w:rPr>
                      <w:color w:val="auto"/>
                      <w:sz w:val="21"/>
                      <w:szCs w:val="21"/>
                    </w:rPr>
                    <w:t>=5km□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预测因子</w:t>
                  </w:r>
                </w:p>
              </w:tc>
              <w:tc>
                <w:tcPr>
                  <w:tcW w:w="3516" w:type="dxa"/>
                  <w:gridSpan w:val="7"/>
                  <w:tcBorders>
                    <w:tl2br w:val="nil"/>
                    <w:tr2bl w:val="nil"/>
                  </w:tcBorders>
                  <w:vAlign w:val="center"/>
                </w:tcPr>
                <w:p>
                  <w:pPr>
                    <w:jc w:val="center"/>
                    <w:rPr>
                      <w:color w:val="auto"/>
                      <w:sz w:val="21"/>
                      <w:szCs w:val="21"/>
                    </w:rPr>
                  </w:pPr>
                  <w:r>
                    <w:rPr>
                      <w:rFonts w:hAnsi="Calibri"/>
                      <w:color w:val="auto"/>
                      <w:sz w:val="21"/>
                      <w:szCs w:val="21"/>
                    </w:rPr>
                    <w:t>预测因子（无）</w:t>
                  </w:r>
                </w:p>
              </w:tc>
              <w:tc>
                <w:tcPr>
                  <w:tcW w:w="4048" w:type="dxa"/>
                  <w:gridSpan w:val="13"/>
                  <w:tcBorders>
                    <w:tl2br w:val="nil"/>
                    <w:tr2bl w:val="nil"/>
                  </w:tcBorders>
                  <w:vAlign w:val="center"/>
                </w:tcPr>
                <w:p>
                  <w:pPr>
                    <w:jc w:val="center"/>
                    <w:rPr>
                      <w:color w:val="auto"/>
                      <w:sz w:val="21"/>
                      <w:szCs w:val="21"/>
                    </w:rPr>
                  </w:pPr>
                  <w:r>
                    <w:rPr>
                      <w:rFonts w:hAnsi="Calibri"/>
                      <w:color w:val="auto"/>
                      <w:sz w:val="21"/>
                      <w:szCs w:val="21"/>
                    </w:rPr>
                    <w:t>包括二次</w:t>
                  </w:r>
                  <w:r>
                    <w:rPr>
                      <w:color w:val="auto"/>
                      <w:sz w:val="21"/>
                      <w:szCs w:val="21"/>
                    </w:rPr>
                    <w:t>PM</w:t>
                  </w:r>
                  <w:r>
                    <w:rPr>
                      <w:color w:val="auto"/>
                      <w:sz w:val="21"/>
                      <w:szCs w:val="21"/>
                      <w:vertAlign w:val="subscript"/>
                    </w:rPr>
                    <w:t>2.5</w:t>
                  </w:r>
                  <w:r>
                    <w:rPr>
                      <w:color w:val="auto"/>
                      <w:sz w:val="21"/>
                      <w:szCs w:val="21"/>
                    </w:rPr>
                    <w:t>□</w:t>
                  </w:r>
                </w:p>
                <w:p>
                  <w:pPr>
                    <w:jc w:val="center"/>
                    <w:rPr>
                      <w:color w:val="auto"/>
                      <w:sz w:val="21"/>
                      <w:szCs w:val="21"/>
                    </w:rPr>
                  </w:pPr>
                  <w:r>
                    <w:rPr>
                      <w:rFonts w:hAnsi="Calibri"/>
                      <w:color w:val="auto"/>
                      <w:sz w:val="21"/>
                      <w:szCs w:val="21"/>
                    </w:rPr>
                    <w:t>不包括二次</w:t>
                  </w:r>
                  <w:r>
                    <w:rPr>
                      <w:color w:val="auto"/>
                      <w:sz w:val="21"/>
                      <w:szCs w:val="21"/>
                    </w:rPr>
                    <w:t>PM</w:t>
                  </w:r>
                  <w:r>
                    <w:rPr>
                      <w:color w:val="auto"/>
                      <w:sz w:val="21"/>
                      <w:szCs w:val="21"/>
                      <w:vertAlign w:val="subscript"/>
                    </w:rPr>
                    <w:t>2.5</w:t>
                  </w:r>
                  <w:r>
                    <w:rPr>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正常排放短期浓度贡献值</w:t>
                  </w:r>
                </w:p>
              </w:tc>
              <w:tc>
                <w:tcPr>
                  <w:tcW w:w="3516" w:type="dxa"/>
                  <w:gridSpan w:val="7"/>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本项目</w:t>
                  </w:r>
                  <w:r>
                    <w:rPr>
                      <w:rFonts w:hAnsi="Calibri"/>
                      <w:color w:val="auto"/>
                      <w:sz w:val="21"/>
                      <w:szCs w:val="21"/>
                    </w:rPr>
                    <w:t>最大占标率</w:t>
                  </w:r>
                  <w:r>
                    <w:rPr>
                      <w:color w:val="auto"/>
                      <w:sz w:val="21"/>
                      <w:szCs w:val="21"/>
                    </w:rPr>
                    <w:t>≤100%□</w:t>
                  </w:r>
                </w:p>
              </w:tc>
              <w:tc>
                <w:tcPr>
                  <w:tcW w:w="4048" w:type="dxa"/>
                  <w:gridSpan w:val="13"/>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本项目</w:t>
                  </w:r>
                  <w:r>
                    <w:rPr>
                      <w:rFonts w:hAnsi="Calibri"/>
                      <w:color w:val="auto"/>
                      <w:sz w:val="21"/>
                      <w:szCs w:val="21"/>
                    </w:rPr>
                    <w:t>最大占标率＞</w:t>
                  </w:r>
                  <w:r>
                    <w:rPr>
                      <w:color w:val="auto"/>
                      <w:sz w:val="21"/>
                      <w:szCs w:val="21"/>
                    </w:rPr>
                    <w:t>100%□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vMerge w:val="restart"/>
                  <w:tcBorders>
                    <w:tl2br w:val="nil"/>
                    <w:tr2bl w:val="nil"/>
                  </w:tcBorders>
                  <w:vAlign w:val="center"/>
                </w:tcPr>
                <w:p>
                  <w:pPr>
                    <w:jc w:val="center"/>
                    <w:rPr>
                      <w:color w:val="auto"/>
                      <w:sz w:val="21"/>
                      <w:szCs w:val="21"/>
                    </w:rPr>
                  </w:pPr>
                  <w:r>
                    <w:rPr>
                      <w:rFonts w:hAnsi="Calibri"/>
                      <w:color w:val="auto"/>
                      <w:sz w:val="21"/>
                      <w:szCs w:val="21"/>
                    </w:rPr>
                    <w:t>正常排放年均浓度贡献值</w:t>
                  </w:r>
                </w:p>
              </w:tc>
              <w:tc>
                <w:tcPr>
                  <w:tcW w:w="1527" w:type="dxa"/>
                  <w:gridSpan w:val="3"/>
                  <w:tcBorders>
                    <w:tl2br w:val="nil"/>
                    <w:tr2bl w:val="nil"/>
                  </w:tcBorders>
                  <w:vAlign w:val="center"/>
                </w:tcPr>
                <w:p>
                  <w:pPr>
                    <w:jc w:val="center"/>
                    <w:rPr>
                      <w:color w:val="auto"/>
                      <w:sz w:val="21"/>
                      <w:szCs w:val="21"/>
                    </w:rPr>
                  </w:pPr>
                  <w:r>
                    <w:rPr>
                      <w:rFonts w:hAnsi="Calibri"/>
                      <w:color w:val="auto"/>
                      <w:sz w:val="21"/>
                      <w:szCs w:val="21"/>
                    </w:rPr>
                    <w:t>一类区</w:t>
                  </w:r>
                </w:p>
              </w:tc>
              <w:tc>
                <w:tcPr>
                  <w:tcW w:w="3315" w:type="dxa"/>
                  <w:gridSpan w:val="8"/>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本项目</w:t>
                  </w:r>
                  <w:r>
                    <w:rPr>
                      <w:rFonts w:hAnsi="Calibri"/>
                      <w:color w:val="auto"/>
                      <w:sz w:val="21"/>
                      <w:szCs w:val="21"/>
                    </w:rPr>
                    <w:t>最大占标率</w:t>
                  </w:r>
                  <w:r>
                    <w:rPr>
                      <w:color w:val="auto"/>
                      <w:sz w:val="21"/>
                      <w:szCs w:val="21"/>
                    </w:rPr>
                    <w:t>≤10%□</w:t>
                  </w:r>
                </w:p>
              </w:tc>
              <w:tc>
                <w:tcPr>
                  <w:tcW w:w="2722" w:type="dxa"/>
                  <w:gridSpan w:val="9"/>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本项目</w:t>
                  </w:r>
                  <w:r>
                    <w:rPr>
                      <w:rFonts w:hAnsi="Calibri"/>
                      <w:color w:val="auto"/>
                      <w:sz w:val="21"/>
                      <w:szCs w:val="21"/>
                    </w:rPr>
                    <w:t>最大占标率＞</w:t>
                  </w:r>
                  <w:r>
                    <w:rPr>
                      <w:color w:val="auto"/>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vMerge w:val="continue"/>
                  <w:tcBorders>
                    <w:tl2br w:val="nil"/>
                    <w:tr2bl w:val="nil"/>
                  </w:tcBorders>
                  <w:vAlign w:val="center"/>
                </w:tcPr>
                <w:p>
                  <w:pPr>
                    <w:jc w:val="center"/>
                    <w:rPr>
                      <w:color w:val="auto"/>
                      <w:sz w:val="21"/>
                      <w:szCs w:val="21"/>
                    </w:rPr>
                  </w:pPr>
                </w:p>
              </w:tc>
              <w:tc>
                <w:tcPr>
                  <w:tcW w:w="1527" w:type="dxa"/>
                  <w:gridSpan w:val="3"/>
                  <w:tcBorders>
                    <w:tl2br w:val="nil"/>
                    <w:tr2bl w:val="nil"/>
                  </w:tcBorders>
                  <w:vAlign w:val="center"/>
                </w:tcPr>
                <w:p>
                  <w:pPr>
                    <w:jc w:val="center"/>
                    <w:rPr>
                      <w:color w:val="auto"/>
                      <w:sz w:val="21"/>
                      <w:szCs w:val="21"/>
                    </w:rPr>
                  </w:pPr>
                  <w:r>
                    <w:rPr>
                      <w:rFonts w:hAnsi="Calibri"/>
                      <w:color w:val="auto"/>
                      <w:sz w:val="21"/>
                      <w:szCs w:val="21"/>
                    </w:rPr>
                    <w:t>二类区</w:t>
                  </w:r>
                </w:p>
              </w:tc>
              <w:tc>
                <w:tcPr>
                  <w:tcW w:w="3315" w:type="dxa"/>
                  <w:gridSpan w:val="8"/>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本项目</w:t>
                  </w:r>
                  <w:r>
                    <w:rPr>
                      <w:rFonts w:hAnsi="Calibri"/>
                      <w:color w:val="auto"/>
                      <w:sz w:val="21"/>
                      <w:szCs w:val="21"/>
                    </w:rPr>
                    <w:t>最大占标率</w:t>
                  </w:r>
                  <w:r>
                    <w:rPr>
                      <w:color w:val="auto"/>
                      <w:sz w:val="21"/>
                      <w:szCs w:val="21"/>
                    </w:rPr>
                    <w:t>≤30%□</w:t>
                  </w:r>
                </w:p>
              </w:tc>
              <w:tc>
                <w:tcPr>
                  <w:tcW w:w="2722" w:type="dxa"/>
                  <w:gridSpan w:val="9"/>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本项目</w:t>
                  </w:r>
                  <w:r>
                    <w:rPr>
                      <w:rFonts w:hAnsi="Calibri"/>
                      <w:color w:val="auto"/>
                      <w:sz w:val="21"/>
                      <w:szCs w:val="21"/>
                    </w:rPr>
                    <w:t>最大占标率＞</w:t>
                  </w:r>
                  <w:r>
                    <w:rPr>
                      <w:color w:val="auto"/>
                      <w:sz w:val="21"/>
                      <w:szCs w:val="21"/>
                    </w:rPr>
                    <w:t>30%□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非正常排放</w:t>
                  </w:r>
                  <w:r>
                    <w:rPr>
                      <w:color w:val="auto"/>
                      <w:sz w:val="21"/>
                      <w:szCs w:val="21"/>
                    </w:rPr>
                    <w:t>1h</w:t>
                  </w:r>
                  <w:r>
                    <w:rPr>
                      <w:rFonts w:hAnsi="Calibri"/>
                      <w:color w:val="auto"/>
                      <w:sz w:val="21"/>
                      <w:szCs w:val="21"/>
                    </w:rPr>
                    <w:t>浓度贡献值</w:t>
                  </w:r>
                </w:p>
              </w:tc>
              <w:tc>
                <w:tcPr>
                  <w:tcW w:w="1527" w:type="dxa"/>
                  <w:gridSpan w:val="3"/>
                  <w:tcBorders>
                    <w:tl2br w:val="nil"/>
                    <w:tr2bl w:val="nil"/>
                  </w:tcBorders>
                  <w:vAlign w:val="center"/>
                </w:tcPr>
                <w:p>
                  <w:pPr>
                    <w:jc w:val="center"/>
                    <w:rPr>
                      <w:color w:val="auto"/>
                      <w:sz w:val="21"/>
                      <w:szCs w:val="21"/>
                    </w:rPr>
                  </w:pPr>
                  <w:r>
                    <w:rPr>
                      <w:rFonts w:hAnsi="Calibri"/>
                      <w:color w:val="auto"/>
                      <w:sz w:val="21"/>
                      <w:szCs w:val="21"/>
                    </w:rPr>
                    <w:t>非正常持续时长（）</w:t>
                  </w:r>
                  <w:r>
                    <w:rPr>
                      <w:color w:val="auto"/>
                      <w:sz w:val="21"/>
                      <w:szCs w:val="21"/>
                    </w:rPr>
                    <w:t>h</w:t>
                  </w:r>
                </w:p>
              </w:tc>
              <w:tc>
                <w:tcPr>
                  <w:tcW w:w="3315" w:type="dxa"/>
                  <w:gridSpan w:val="8"/>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非正常</w:t>
                  </w:r>
                  <w:r>
                    <w:rPr>
                      <w:rFonts w:hAnsi="Calibri"/>
                      <w:color w:val="auto"/>
                      <w:sz w:val="21"/>
                      <w:szCs w:val="21"/>
                    </w:rPr>
                    <w:t>最大占标率</w:t>
                  </w:r>
                  <w:r>
                    <w:rPr>
                      <w:color w:val="auto"/>
                      <w:sz w:val="21"/>
                      <w:szCs w:val="21"/>
                    </w:rPr>
                    <w:t>≤100%□</w:t>
                  </w:r>
                </w:p>
              </w:tc>
              <w:tc>
                <w:tcPr>
                  <w:tcW w:w="2722" w:type="dxa"/>
                  <w:gridSpan w:val="9"/>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非正常</w:t>
                  </w:r>
                  <w:r>
                    <w:rPr>
                      <w:rFonts w:hAnsi="Calibri"/>
                      <w:color w:val="auto"/>
                      <w:sz w:val="21"/>
                      <w:szCs w:val="21"/>
                    </w:rPr>
                    <w:t>最大占标率＞</w:t>
                  </w:r>
                  <w:r>
                    <w:rPr>
                      <w:color w:val="auto"/>
                      <w:sz w:val="21"/>
                      <w:szCs w:val="21"/>
                    </w:rPr>
                    <w:t>100%□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保证率日平均浓度和年平均浓度叠加值</w:t>
                  </w:r>
                </w:p>
              </w:tc>
              <w:tc>
                <w:tcPr>
                  <w:tcW w:w="3516" w:type="dxa"/>
                  <w:gridSpan w:val="7"/>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叠加</w:t>
                  </w:r>
                  <w:r>
                    <w:rPr>
                      <w:rFonts w:hAnsi="Calibri"/>
                      <w:color w:val="auto"/>
                      <w:sz w:val="21"/>
                      <w:szCs w:val="21"/>
                    </w:rPr>
                    <w:t>达标</w:t>
                  </w:r>
                  <w:r>
                    <w:rPr>
                      <w:color w:val="auto"/>
                      <w:sz w:val="21"/>
                      <w:szCs w:val="21"/>
                    </w:rPr>
                    <w:t>□</w:t>
                  </w:r>
                </w:p>
              </w:tc>
              <w:tc>
                <w:tcPr>
                  <w:tcW w:w="4048" w:type="dxa"/>
                  <w:gridSpan w:val="13"/>
                  <w:tcBorders>
                    <w:tl2br w:val="nil"/>
                    <w:tr2bl w:val="nil"/>
                  </w:tcBorders>
                  <w:vAlign w:val="center"/>
                </w:tcPr>
                <w:p>
                  <w:pPr>
                    <w:jc w:val="center"/>
                    <w:rPr>
                      <w:color w:val="auto"/>
                      <w:sz w:val="21"/>
                      <w:szCs w:val="21"/>
                    </w:rPr>
                  </w:pPr>
                  <w:r>
                    <w:rPr>
                      <w:color w:val="auto"/>
                      <w:sz w:val="21"/>
                      <w:szCs w:val="21"/>
                    </w:rPr>
                    <w:t>C</w:t>
                  </w:r>
                  <w:r>
                    <w:rPr>
                      <w:rFonts w:hAnsi="Calibri"/>
                      <w:color w:val="auto"/>
                      <w:sz w:val="21"/>
                      <w:szCs w:val="21"/>
                      <w:vertAlign w:val="subscript"/>
                    </w:rPr>
                    <w:t>叠加</w:t>
                  </w:r>
                  <w:r>
                    <w:rPr>
                      <w:rFonts w:hAnsi="Calibri"/>
                      <w:color w:val="auto"/>
                      <w:sz w:val="21"/>
                      <w:szCs w:val="21"/>
                    </w:rPr>
                    <w:t>不达标</w:t>
                  </w:r>
                  <w:r>
                    <w:rPr>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区域环境质量的整体变化情况</w:t>
                  </w:r>
                </w:p>
              </w:tc>
              <w:tc>
                <w:tcPr>
                  <w:tcW w:w="3516" w:type="dxa"/>
                  <w:gridSpan w:val="7"/>
                  <w:tcBorders>
                    <w:tl2br w:val="nil"/>
                    <w:tr2bl w:val="nil"/>
                  </w:tcBorders>
                  <w:vAlign w:val="center"/>
                </w:tcPr>
                <w:p>
                  <w:pPr>
                    <w:jc w:val="center"/>
                    <w:rPr>
                      <w:color w:val="auto"/>
                      <w:sz w:val="21"/>
                      <w:szCs w:val="21"/>
                    </w:rPr>
                  </w:pPr>
                  <w:r>
                    <w:rPr>
                      <w:color w:val="auto"/>
                      <w:sz w:val="21"/>
                      <w:szCs w:val="21"/>
                    </w:rPr>
                    <w:t>k≤-20%□</w:t>
                  </w:r>
                </w:p>
              </w:tc>
              <w:tc>
                <w:tcPr>
                  <w:tcW w:w="4048" w:type="dxa"/>
                  <w:gridSpan w:val="13"/>
                  <w:tcBorders>
                    <w:tl2br w:val="nil"/>
                    <w:tr2bl w:val="nil"/>
                  </w:tcBorders>
                  <w:vAlign w:val="center"/>
                </w:tcPr>
                <w:p>
                  <w:pPr>
                    <w:jc w:val="center"/>
                    <w:rPr>
                      <w:color w:val="auto"/>
                      <w:sz w:val="21"/>
                      <w:szCs w:val="21"/>
                    </w:rPr>
                  </w:pPr>
                  <w:r>
                    <w:rPr>
                      <w:color w:val="auto"/>
                      <w:sz w:val="21"/>
                      <w:szCs w:val="21"/>
                    </w:rPr>
                    <w:t>k</w:t>
                  </w:r>
                  <w:r>
                    <w:rPr>
                      <w:rFonts w:hAnsi="Calibri"/>
                      <w:color w:val="auto"/>
                      <w:sz w:val="21"/>
                      <w:szCs w:val="21"/>
                    </w:rPr>
                    <w:t>＞</w:t>
                  </w:r>
                  <w:r>
                    <w:rPr>
                      <w:color w:val="auto"/>
                      <w:sz w:val="21"/>
                      <w:szCs w:val="21"/>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restart"/>
                  <w:tcBorders>
                    <w:tl2br w:val="nil"/>
                    <w:tr2bl w:val="nil"/>
                  </w:tcBorders>
                  <w:vAlign w:val="center"/>
                </w:tcPr>
                <w:p>
                  <w:pPr>
                    <w:jc w:val="center"/>
                    <w:rPr>
                      <w:color w:val="auto"/>
                      <w:sz w:val="21"/>
                      <w:szCs w:val="21"/>
                    </w:rPr>
                  </w:pPr>
                  <w:r>
                    <w:rPr>
                      <w:rFonts w:hAnsi="Calibri"/>
                      <w:color w:val="auto"/>
                      <w:sz w:val="21"/>
                      <w:szCs w:val="21"/>
                    </w:rPr>
                    <w:t>环境监测计划</w:t>
                  </w:r>
                </w:p>
              </w:tc>
              <w:tc>
                <w:tcPr>
                  <w:tcW w:w="1055" w:type="dxa"/>
                  <w:tcBorders>
                    <w:tl2br w:val="nil"/>
                    <w:tr2bl w:val="nil"/>
                  </w:tcBorders>
                  <w:vAlign w:val="center"/>
                </w:tcPr>
                <w:p>
                  <w:pPr>
                    <w:jc w:val="center"/>
                    <w:rPr>
                      <w:color w:val="auto"/>
                      <w:sz w:val="21"/>
                      <w:szCs w:val="21"/>
                    </w:rPr>
                  </w:pPr>
                  <w:r>
                    <w:rPr>
                      <w:rFonts w:hAnsi="Calibri"/>
                      <w:color w:val="auto"/>
                      <w:sz w:val="21"/>
                      <w:szCs w:val="21"/>
                    </w:rPr>
                    <w:t>污染源监测</w:t>
                  </w:r>
                </w:p>
              </w:tc>
              <w:tc>
                <w:tcPr>
                  <w:tcW w:w="2573" w:type="dxa"/>
                  <w:gridSpan w:val="5"/>
                  <w:tcBorders>
                    <w:tl2br w:val="nil"/>
                    <w:tr2bl w:val="nil"/>
                  </w:tcBorders>
                  <w:vAlign w:val="center"/>
                </w:tcPr>
                <w:p>
                  <w:pPr>
                    <w:jc w:val="center"/>
                    <w:rPr>
                      <w:color w:val="auto"/>
                      <w:sz w:val="21"/>
                      <w:szCs w:val="21"/>
                    </w:rPr>
                  </w:pPr>
                  <w:r>
                    <w:rPr>
                      <w:rFonts w:hAnsi="Calibri"/>
                      <w:color w:val="auto"/>
                      <w:sz w:val="21"/>
                      <w:szCs w:val="21"/>
                    </w:rPr>
                    <w:t>监测因子：（</w:t>
                  </w:r>
                  <w:r>
                    <w:rPr>
                      <w:rFonts w:hint="eastAsia"/>
                      <w:color w:val="auto"/>
                      <w:sz w:val="21"/>
                      <w:szCs w:val="21"/>
                    </w:rPr>
                    <w:t>颗粒物</w:t>
                  </w:r>
                  <w:r>
                    <w:rPr>
                      <w:rFonts w:hAnsi="Calibri"/>
                      <w:color w:val="auto"/>
                      <w:sz w:val="21"/>
                      <w:szCs w:val="21"/>
                    </w:rPr>
                    <w:t>）</w:t>
                  </w:r>
                </w:p>
              </w:tc>
              <w:tc>
                <w:tcPr>
                  <w:tcW w:w="3217" w:type="dxa"/>
                  <w:gridSpan w:val="10"/>
                  <w:tcBorders>
                    <w:tl2br w:val="nil"/>
                    <w:tr2bl w:val="nil"/>
                  </w:tcBorders>
                  <w:vAlign w:val="center"/>
                </w:tcPr>
                <w:p>
                  <w:pPr>
                    <w:jc w:val="center"/>
                    <w:rPr>
                      <w:rFonts w:hint="eastAsia" w:eastAsia="宋体"/>
                      <w:color w:val="auto"/>
                      <w:sz w:val="21"/>
                      <w:szCs w:val="21"/>
                      <w:lang w:eastAsia="zh-CN"/>
                    </w:rPr>
                  </w:pPr>
                  <w:r>
                    <w:rPr>
                      <w:rFonts w:hAnsi="Calibri"/>
                      <w:color w:val="auto"/>
                      <w:sz w:val="21"/>
                      <w:szCs w:val="21"/>
                    </w:rPr>
                    <w:t>有组织废气监测</w:t>
                  </w:r>
                  <w:r>
                    <w:rPr>
                      <w:rFonts w:hint="eastAsia" w:hAnsi="MS Gothic" w:eastAsia="宋体"/>
                      <w:color w:val="auto"/>
                      <w:sz w:val="21"/>
                      <w:szCs w:val="21"/>
                      <w:lang w:eastAsia="zh-CN"/>
                    </w:rPr>
                    <w:t>□</w:t>
                  </w:r>
                </w:p>
                <w:p>
                  <w:pPr>
                    <w:jc w:val="center"/>
                    <w:rPr>
                      <w:color w:val="auto"/>
                      <w:sz w:val="21"/>
                      <w:szCs w:val="21"/>
                    </w:rPr>
                  </w:pPr>
                  <w:r>
                    <w:rPr>
                      <w:rFonts w:hAnsi="Calibri"/>
                      <w:color w:val="auto"/>
                      <w:sz w:val="21"/>
                      <w:szCs w:val="21"/>
                    </w:rPr>
                    <w:t>无组织废气监测</w:t>
                  </w:r>
                  <w:r>
                    <w:rPr>
                      <w:rFonts w:hAnsi="MS Gothic" w:eastAsia="MS Gothic"/>
                      <w:color w:val="auto"/>
                      <w:sz w:val="21"/>
                      <w:szCs w:val="21"/>
                    </w:rPr>
                    <w:t>☑</w:t>
                  </w:r>
                </w:p>
              </w:tc>
              <w:tc>
                <w:tcPr>
                  <w:tcW w:w="1774" w:type="dxa"/>
                  <w:gridSpan w:val="5"/>
                  <w:tcBorders>
                    <w:tl2br w:val="nil"/>
                    <w:tr2bl w:val="nil"/>
                  </w:tcBorders>
                  <w:vAlign w:val="center"/>
                </w:tcPr>
                <w:p>
                  <w:pPr>
                    <w:jc w:val="center"/>
                    <w:rPr>
                      <w:color w:val="auto"/>
                      <w:sz w:val="21"/>
                      <w:szCs w:val="21"/>
                    </w:rPr>
                  </w:pPr>
                  <w:r>
                    <w:rPr>
                      <w:rFonts w:hAnsi="Calibri"/>
                      <w:color w:val="auto"/>
                      <w:sz w:val="21"/>
                      <w:szCs w:val="21"/>
                    </w:rPr>
                    <w:t>无监测</w:t>
                  </w:r>
                  <w:r>
                    <w:rPr>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环境质量监测</w:t>
                  </w:r>
                </w:p>
              </w:tc>
              <w:tc>
                <w:tcPr>
                  <w:tcW w:w="2573" w:type="dxa"/>
                  <w:gridSpan w:val="5"/>
                  <w:tcBorders>
                    <w:tl2br w:val="nil"/>
                    <w:tr2bl w:val="nil"/>
                  </w:tcBorders>
                  <w:vAlign w:val="center"/>
                </w:tcPr>
                <w:p>
                  <w:pPr>
                    <w:jc w:val="center"/>
                    <w:rPr>
                      <w:color w:val="auto"/>
                      <w:sz w:val="21"/>
                      <w:szCs w:val="21"/>
                    </w:rPr>
                  </w:pPr>
                  <w:r>
                    <w:rPr>
                      <w:rFonts w:hAnsi="Calibri"/>
                      <w:color w:val="auto"/>
                      <w:sz w:val="21"/>
                      <w:szCs w:val="21"/>
                    </w:rPr>
                    <w:t>监测因子：（</w:t>
                  </w:r>
                  <w:r>
                    <w:rPr>
                      <w:rFonts w:hint="eastAsia"/>
                      <w:color w:val="auto"/>
                      <w:sz w:val="21"/>
                      <w:szCs w:val="21"/>
                    </w:rPr>
                    <w:t>无</w:t>
                  </w:r>
                  <w:r>
                    <w:rPr>
                      <w:rFonts w:hAnsi="Calibri"/>
                      <w:color w:val="auto"/>
                      <w:sz w:val="21"/>
                      <w:szCs w:val="21"/>
                    </w:rPr>
                    <w:t>）</w:t>
                  </w:r>
                </w:p>
              </w:tc>
              <w:tc>
                <w:tcPr>
                  <w:tcW w:w="3217" w:type="dxa"/>
                  <w:gridSpan w:val="10"/>
                  <w:tcBorders>
                    <w:tl2br w:val="nil"/>
                    <w:tr2bl w:val="nil"/>
                  </w:tcBorders>
                  <w:vAlign w:val="center"/>
                </w:tcPr>
                <w:p>
                  <w:pPr>
                    <w:jc w:val="center"/>
                    <w:rPr>
                      <w:color w:val="auto"/>
                      <w:sz w:val="21"/>
                      <w:szCs w:val="21"/>
                    </w:rPr>
                  </w:pPr>
                  <w:r>
                    <w:rPr>
                      <w:rFonts w:hAnsi="Calibri"/>
                      <w:color w:val="auto"/>
                      <w:sz w:val="21"/>
                      <w:szCs w:val="21"/>
                    </w:rPr>
                    <w:t>监测点位数（</w:t>
                  </w:r>
                  <w:r>
                    <w:rPr>
                      <w:rFonts w:hint="eastAsia"/>
                      <w:color w:val="auto"/>
                      <w:sz w:val="21"/>
                      <w:szCs w:val="21"/>
                    </w:rPr>
                    <w:t xml:space="preserve"> </w:t>
                  </w:r>
                  <w:r>
                    <w:rPr>
                      <w:rFonts w:hAnsi="Calibri"/>
                      <w:color w:val="auto"/>
                      <w:sz w:val="21"/>
                      <w:szCs w:val="21"/>
                    </w:rPr>
                    <w:t>）</w:t>
                  </w:r>
                </w:p>
              </w:tc>
              <w:tc>
                <w:tcPr>
                  <w:tcW w:w="1774" w:type="dxa"/>
                  <w:gridSpan w:val="5"/>
                  <w:tcBorders>
                    <w:tl2br w:val="nil"/>
                    <w:tr2bl w:val="nil"/>
                  </w:tcBorders>
                  <w:vAlign w:val="center"/>
                </w:tcPr>
                <w:p>
                  <w:pPr>
                    <w:jc w:val="center"/>
                    <w:rPr>
                      <w:color w:val="auto"/>
                      <w:sz w:val="21"/>
                      <w:szCs w:val="21"/>
                    </w:rPr>
                  </w:pPr>
                  <w:r>
                    <w:rPr>
                      <w:rFonts w:hAnsi="Calibri"/>
                      <w:color w:val="auto"/>
                      <w:sz w:val="21"/>
                      <w:szCs w:val="21"/>
                    </w:rPr>
                    <w:t>无监测</w:t>
                  </w:r>
                  <w:r>
                    <w:rPr>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restart"/>
                  <w:tcBorders>
                    <w:tl2br w:val="nil"/>
                    <w:tr2bl w:val="nil"/>
                  </w:tcBorders>
                  <w:vAlign w:val="center"/>
                </w:tcPr>
                <w:p>
                  <w:pPr>
                    <w:jc w:val="center"/>
                    <w:rPr>
                      <w:color w:val="auto"/>
                      <w:sz w:val="21"/>
                      <w:szCs w:val="21"/>
                    </w:rPr>
                  </w:pPr>
                  <w:r>
                    <w:rPr>
                      <w:rFonts w:hAnsi="Calibri"/>
                      <w:color w:val="auto"/>
                      <w:sz w:val="21"/>
                      <w:szCs w:val="21"/>
                    </w:rPr>
                    <w:t>评价结论</w:t>
                  </w:r>
                </w:p>
              </w:tc>
              <w:tc>
                <w:tcPr>
                  <w:tcW w:w="1055" w:type="dxa"/>
                  <w:tcBorders>
                    <w:tl2br w:val="nil"/>
                    <w:tr2bl w:val="nil"/>
                  </w:tcBorders>
                  <w:vAlign w:val="center"/>
                </w:tcPr>
                <w:p>
                  <w:pPr>
                    <w:jc w:val="center"/>
                    <w:rPr>
                      <w:color w:val="auto"/>
                      <w:sz w:val="21"/>
                      <w:szCs w:val="21"/>
                    </w:rPr>
                  </w:pPr>
                  <w:r>
                    <w:rPr>
                      <w:rFonts w:hAnsi="Calibri"/>
                      <w:color w:val="auto"/>
                      <w:sz w:val="21"/>
                      <w:szCs w:val="21"/>
                    </w:rPr>
                    <w:t>环境影响</w:t>
                  </w:r>
                </w:p>
              </w:tc>
              <w:tc>
                <w:tcPr>
                  <w:tcW w:w="7564" w:type="dxa"/>
                  <w:gridSpan w:val="20"/>
                  <w:tcBorders>
                    <w:tl2br w:val="nil"/>
                    <w:tr2bl w:val="nil"/>
                  </w:tcBorders>
                  <w:vAlign w:val="center"/>
                </w:tcPr>
                <w:p>
                  <w:pPr>
                    <w:jc w:val="center"/>
                    <w:rPr>
                      <w:color w:val="auto"/>
                      <w:sz w:val="21"/>
                      <w:szCs w:val="21"/>
                    </w:rPr>
                  </w:pPr>
                  <w:r>
                    <w:rPr>
                      <w:rFonts w:hAnsi="Calibri"/>
                      <w:color w:val="auto"/>
                      <w:sz w:val="21"/>
                      <w:szCs w:val="21"/>
                    </w:rPr>
                    <w:t>可以接受</w:t>
                  </w:r>
                  <w:r>
                    <w:rPr>
                      <w:rFonts w:hAnsi="MS Gothic" w:eastAsia="MS Gothic"/>
                      <w:color w:val="auto"/>
                      <w:sz w:val="21"/>
                      <w:szCs w:val="21"/>
                    </w:rPr>
                    <w:t>☑</w:t>
                  </w:r>
                  <w:r>
                    <w:rPr>
                      <w:color w:val="auto"/>
                      <w:sz w:val="21"/>
                      <w:szCs w:val="21"/>
                    </w:rPr>
                    <w:t xml:space="preserve">         </w:t>
                  </w:r>
                  <w:r>
                    <w:rPr>
                      <w:rFonts w:hAnsi="Calibri"/>
                      <w:color w:val="auto"/>
                      <w:sz w:val="21"/>
                      <w:szCs w:val="21"/>
                    </w:rPr>
                    <w:t>不可以接受</w:t>
                  </w:r>
                  <w:r>
                    <w:rPr>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大气环境防护距离</w:t>
                  </w:r>
                </w:p>
              </w:tc>
              <w:tc>
                <w:tcPr>
                  <w:tcW w:w="7564" w:type="dxa"/>
                  <w:gridSpan w:val="20"/>
                  <w:tcBorders>
                    <w:tl2br w:val="nil"/>
                    <w:tr2bl w:val="nil"/>
                  </w:tcBorders>
                  <w:vAlign w:val="center"/>
                </w:tcPr>
                <w:p>
                  <w:pPr>
                    <w:jc w:val="center"/>
                    <w:rPr>
                      <w:color w:val="auto"/>
                      <w:sz w:val="21"/>
                      <w:szCs w:val="21"/>
                    </w:rPr>
                  </w:pPr>
                  <w:r>
                    <w:rPr>
                      <w:rFonts w:hAnsi="Calibri"/>
                      <w:color w:val="auto"/>
                      <w:sz w:val="21"/>
                      <w:szCs w:val="21"/>
                    </w:rPr>
                    <w:t>距（）厂界最远（</w:t>
                  </w:r>
                  <w:r>
                    <w:rPr>
                      <w:color w:val="auto"/>
                      <w:sz w:val="21"/>
                      <w:szCs w:val="21"/>
                    </w:rPr>
                    <w:t>0</w:t>
                  </w:r>
                  <w:r>
                    <w:rPr>
                      <w:rFonts w:hAnsi="Calibri"/>
                      <w:color w:val="auto"/>
                      <w:sz w:val="21"/>
                      <w:szCs w:val="21"/>
                    </w:rPr>
                    <w:t>）</w:t>
                  </w:r>
                  <w:r>
                    <w:rPr>
                      <w:color w:val="auto"/>
                      <w:sz w:val="21"/>
                      <w:szCs w:val="21"/>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422" w:type="dxa"/>
                  <w:vMerge w:val="continue"/>
                  <w:tcBorders>
                    <w:tl2br w:val="nil"/>
                    <w:tr2bl w:val="nil"/>
                  </w:tcBorders>
                  <w:vAlign w:val="center"/>
                </w:tcPr>
                <w:p>
                  <w:pPr>
                    <w:jc w:val="center"/>
                    <w:rPr>
                      <w:color w:val="auto"/>
                      <w:sz w:val="21"/>
                      <w:szCs w:val="21"/>
                    </w:rPr>
                  </w:pPr>
                </w:p>
              </w:tc>
              <w:tc>
                <w:tcPr>
                  <w:tcW w:w="1055" w:type="dxa"/>
                  <w:tcBorders>
                    <w:tl2br w:val="nil"/>
                    <w:tr2bl w:val="nil"/>
                  </w:tcBorders>
                  <w:vAlign w:val="center"/>
                </w:tcPr>
                <w:p>
                  <w:pPr>
                    <w:jc w:val="center"/>
                    <w:rPr>
                      <w:color w:val="auto"/>
                      <w:sz w:val="21"/>
                      <w:szCs w:val="21"/>
                    </w:rPr>
                  </w:pPr>
                  <w:r>
                    <w:rPr>
                      <w:rFonts w:hAnsi="Calibri"/>
                      <w:color w:val="auto"/>
                      <w:sz w:val="21"/>
                      <w:szCs w:val="21"/>
                    </w:rPr>
                    <w:t>污染源年排放量</w:t>
                  </w:r>
                </w:p>
              </w:tc>
              <w:tc>
                <w:tcPr>
                  <w:tcW w:w="1405" w:type="dxa"/>
                  <w:gridSpan w:val="2"/>
                  <w:tcBorders>
                    <w:tl2br w:val="nil"/>
                    <w:tr2bl w:val="nil"/>
                  </w:tcBorders>
                  <w:vAlign w:val="center"/>
                </w:tcPr>
                <w:p>
                  <w:pPr>
                    <w:jc w:val="center"/>
                    <w:rPr>
                      <w:color w:val="auto"/>
                      <w:sz w:val="21"/>
                      <w:szCs w:val="21"/>
                    </w:rPr>
                  </w:pPr>
                  <w:r>
                    <w:rPr>
                      <w:color w:val="auto"/>
                      <w:sz w:val="21"/>
                      <w:szCs w:val="21"/>
                    </w:rPr>
                    <w:t>SO</w:t>
                  </w:r>
                  <w:r>
                    <w:rPr>
                      <w:color w:val="auto"/>
                      <w:sz w:val="21"/>
                      <w:szCs w:val="21"/>
                      <w:vertAlign w:val="subscript"/>
                    </w:rPr>
                    <w:t>2</w:t>
                  </w:r>
                  <w:r>
                    <w:rPr>
                      <w:rFonts w:hAnsi="Calibri"/>
                      <w:color w:val="auto"/>
                      <w:sz w:val="21"/>
                      <w:szCs w:val="21"/>
                    </w:rPr>
                    <w:t>：（</w:t>
                  </w:r>
                  <w:r>
                    <w:rPr>
                      <w:rFonts w:hint="eastAsia"/>
                      <w:color w:val="auto"/>
                      <w:sz w:val="21"/>
                      <w:szCs w:val="21"/>
                    </w:rPr>
                    <w:t>0</w:t>
                  </w:r>
                  <w:r>
                    <w:rPr>
                      <w:rFonts w:hAnsi="Calibri"/>
                      <w:color w:val="auto"/>
                      <w:sz w:val="21"/>
                      <w:szCs w:val="21"/>
                    </w:rPr>
                    <w:t>）</w:t>
                  </w:r>
                  <w:r>
                    <w:rPr>
                      <w:color w:val="auto"/>
                      <w:sz w:val="21"/>
                      <w:szCs w:val="21"/>
                    </w:rPr>
                    <w:t>t/a</w:t>
                  </w:r>
                </w:p>
              </w:tc>
              <w:tc>
                <w:tcPr>
                  <w:tcW w:w="1650" w:type="dxa"/>
                  <w:gridSpan w:val="4"/>
                  <w:tcBorders>
                    <w:tl2br w:val="nil"/>
                    <w:tr2bl w:val="nil"/>
                  </w:tcBorders>
                  <w:vAlign w:val="center"/>
                </w:tcPr>
                <w:p>
                  <w:pPr>
                    <w:jc w:val="center"/>
                    <w:rPr>
                      <w:color w:val="auto"/>
                      <w:sz w:val="21"/>
                      <w:szCs w:val="21"/>
                    </w:rPr>
                  </w:pPr>
                  <w:r>
                    <w:rPr>
                      <w:color w:val="auto"/>
                      <w:sz w:val="21"/>
                      <w:szCs w:val="21"/>
                    </w:rPr>
                    <w:t>NO</w:t>
                  </w:r>
                  <w:r>
                    <w:rPr>
                      <w:color w:val="auto"/>
                      <w:sz w:val="21"/>
                      <w:szCs w:val="21"/>
                      <w:vertAlign w:val="subscript"/>
                    </w:rPr>
                    <w:t>X</w:t>
                  </w:r>
                  <w:r>
                    <w:rPr>
                      <w:rFonts w:hAnsi="Calibri"/>
                      <w:color w:val="auto"/>
                      <w:sz w:val="21"/>
                      <w:szCs w:val="21"/>
                    </w:rPr>
                    <w:t>：（</w:t>
                  </w:r>
                  <w:r>
                    <w:rPr>
                      <w:color w:val="auto"/>
                      <w:sz w:val="21"/>
                      <w:szCs w:val="21"/>
                    </w:rPr>
                    <w:t>0</w:t>
                  </w:r>
                  <w:r>
                    <w:rPr>
                      <w:rFonts w:hAnsi="Calibri"/>
                      <w:color w:val="auto"/>
                      <w:sz w:val="21"/>
                      <w:szCs w:val="21"/>
                    </w:rPr>
                    <w:t>）</w:t>
                  </w:r>
                  <w:r>
                    <w:rPr>
                      <w:color w:val="auto"/>
                      <w:sz w:val="21"/>
                      <w:szCs w:val="21"/>
                    </w:rPr>
                    <w:t>t/a</w:t>
                  </w:r>
                </w:p>
              </w:tc>
              <w:tc>
                <w:tcPr>
                  <w:tcW w:w="2174" w:type="dxa"/>
                  <w:gridSpan w:val="7"/>
                  <w:tcBorders>
                    <w:tl2br w:val="nil"/>
                    <w:tr2bl w:val="nil"/>
                  </w:tcBorders>
                  <w:vAlign w:val="center"/>
                </w:tcPr>
                <w:p>
                  <w:pPr>
                    <w:jc w:val="center"/>
                    <w:rPr>
                      <w:color w:val="auto"/>
                      <w:sz w:val="21"/>
                      <w:szCs w:val="21"/>
                    </w:rPr>
                  </w:pPr>
                  <w:r>
                    <w:rPr>
                      <w:rFonts w:hAnsi="Calibri"/>
                      <w:color w:val="auto"/>
                      <w:sz w:val="21"/>
                      <w:szCs w:val="21"/>
                    </w:rPr>
                    <w:t>颗粒物：（</w:t>
                  </w:r>
                  <w:r>
                    <w:rPr>
                      <w:rFonts w:hint="eastAsia"/>
                      <w:color w:val="auto"/>
                      <w:spacing w:val="-5"/>
                      <w:sz w:val="21"/>
                      <w:szCs w:val="21"/>
                      <w:lang w:val="en-US" w:eastAsia="zh-CN"/>
                    </w:rPr>
                    <w:t>0.0242</w:t>
                  </w:r>
                  <w:r>
                    <w:rPr>
                      <w:rFonts w:hAnsi="Calibri"/>
                      <w:color w:val="auto"/>
                      <w:sz w:val="21"/>
                      <w:szCs w:val="21"/>
                    </w:rPr>
                    <w:t>）</w:t>
                  </w:r>
                  <w:r>
                    <w:rPr>
                      <w:color w:val="auto"/>
                      <w:sz w:val="21"/>
                      <w:szCs w:val="21"/>
                    </w:rPr>
                    <w:t>t/a</w:t>
                  </w:r>
                </w:p>
              </w:tc>
              <w:tc>
                <w:tcPr>
                  <w:tcW w:w="2335" w:type="dxa"/>
                  <w:gridSpan w:val="7"/>
                  <w:tcBorders>
                    <w:tl2br w:val="nil"/>
                    <w:tr2bl w:val="nil"/>
                  </w:tcBorders>
                  <w:vAlign w:val="center"/>
                </w:tcPr>
                <w:p>
                  <w:pPr>
                    <w:jc w:val="center"/>
                    <w:rPr>
                      <w:color w:val="auto"/>
                      <w:sz w:val="21"/>
                      <w:szCs w:val="21"/>
                    </w:rPr>
                  </w:pPr>
                  <w:r>
                    <w:rPr>
                      <w:color w:val="auto"/>
                      <w:sz w:val="21"/>
                      <w:szCs w:val="21"/>
                    </w:rPr>
                    <w:t>VOC</w:t>
                  </w:r>
                  <w:r>
                    <w:rPr>
                      <w:color w:val="auto"/>
                      <w:sz w:val="21"/>
                      <w:szCs w:val="21"/>
                      <w:vertAlign w:val="subscript"/>
                    </w:rPr>
                    <w:t>S</w:t>
                  </w:r>
                  <w:r>
                    <w:rPr>
                      <w:rFonts w:hAnsi="Calibri"/>
                      <w:color w:val="auto"/>
                      <w:sz w:val="21"/>
                      <w:szCs w:val="21"/>
                    </w:rPr>
                    <w:t>：（</w:t>
                  </w:r>
                  <w:r>
                    <w:rPr>
                      <w:rFonts w:hint="eastAsia"/>
                      <w:color w:val="auto"/>
                      <w:sz w:val="21"/>
                      <w:szCs w:val="21"/>
                      <w:lang w:val="en-US" w:eastAsia="zh-CN"/>
                    </w:rPr>
                    <w:t>0</w:t>
                  </w:r>
                  <w:r>
                    <w:rPr>
                      <w:rFonts w:hAnsi="Calibri"/>
                      <w:color w:val="auto"/>
                      <w:sz w:val="21"/>
                      <w:szCs w:val="21"/>
                    </w:rPr>
                    <w:t>）</w:t>
                  </w:r>
                  <w:r>
                    <w:rPr>
                      <w:color w:val="auto"/>
                      <w:sz w:val="21"/>
                      <w:szCs w:val="21"/>
                    </w:rPr>
                    <w:t>t/a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9041" w:type="dxa"/>
                  <w:gridSpan w:val="22"/>
                  <w:tcBorders>
                    <w:tl2br w:val="nil"/>
                    <w:tr2bl w:val="nil"/>
                  </w:tcBorders>
                  <w:vAlign w:val="center"/>
                </w:tcPr>
                <w:p>
                  <w:pPr>
                    <w:rPr>
                      <w:color w:val="auto"/>
                      <w:sz w:val="21"/>
                      <w:szCs w:val="21"/>
                    </w:rPr>
                  </w:pPr>
                  <w:r>
                    <w:rPr>
                      <w:rFonts w:hAnsi="Calibri"/>
                      <w:color w:val="auto"/>
                      <w:sz w:val="21"/>
                      <w:szCs w:val="21"/>
                    </w:rPr>
                    <w:t>注：</w:t>
                  </w:r>
                  <w:r>
                    <w:rPr>
                      <w:color w:val="auto"/>
                      <w:sz w:val="21"/>
                      <w:szCs w:val="21"/>
                    </w:rPr>
                    <w:t>“□”</w:t>
                  </w:r>
                  <w:r>
                    <w:rPr>
                      <w:rFonts w:hAnsi="Calibri"/>
                      <w:color w:val="auto"/>
                      <w:sz w:val="21"/>
                      <w:szCs w:val="21"/>
                    </w:rPr>
                    <w:t>为勾选项，填</w:t>
                  </w:r>
                  <w:r>
                    <w:rPr>
                      <w:color w:val="auto"/>
                      <w:sz w:val="21"/>
                      <w:szCs w:val="21"/>
                    </w:rPr>
                    <w:t>“</w:t>
                  </w:r>
                  <w:r>
                    <w:rPr>
                      <w:rFonts w:hAnsi="MS Gothic" w:eastAsia="MS Gothic"/>
                      <w:color w:val="auto"/>
                      <w:sz w:val="21"/>
                      <w:szCs w:val="21"/>
                    </w:rPr>
                    <w:t>✔</w:t>
                  </w:r>
                  <w:r>
                    <w:rPr>
                      <w:color w:val="auto"/>
                      <w:sz w:val="21"/>
                      <w:szCs w:val="21"/>
                    </w:rPr>
                    <w:t>”</w:t>
                  </w:r>
                  <w:r>
                    <w:rPr>
                      <w:rFonts w:hAnsi="Calibri"/>
                      <w:color w:val="auto"/>
                      <w:sz w:val="21"/>
                      <w:szCs w:val="21"/>
                    </w:rPr>
                    <w:t>；</w:t>
                  </w:r>
                  <w:r>
                    <w:rPr>
                      <w:color w:val="auto"/>
                      <w:sz w:val="21"/>
                      <w:szCs w:val="21"/>
                    </w:rPr>
                    <w:t>“</w:t>
                  </w:r>
                  <w:r>
                    <w:rPr>
                      <w:rFonts w:hAnsi="Calibri"/>
                      <w:color w:val="auto"/>
                      <w:sz w:val="21"/>
                      <w:szCs w:val="21"/>
                    </w:rPr>
                    <w:t>（）</w:t>
                  </w:r>
                  <w:r>
                    <w:rPr>
                      <w:color w:val="auto"/>
                      <w:sz w:val="21"/>
                      <w:szCs w:val="21"/>
                    </w:rPr>
                    <w:t>”</w:t>
                  </w:r>
                  <w:r>
                    <w:rPr>
                      <w:rFonts w:hAnsi="Calibri"/>
                      <w:color w:val="auto"/>
                      <w:sz w:val="21"/>
                      <w:szCs w:val="21"/>
                    </w:rPr>
                    <w:t>为内容填写项</w:t>
                  </w:r>
                </w:p>
              </w:tc>
            </w:tr>
          </w:tbl>
          <w:p>
            <w:pPr>
              <w:pStyle w:val="38"/>
              <w:rPr>
                <w:rFonts w:hint="eastAsia"/>
                <w:color w:val="auto"/>
                <w:kern w:val="0"/>
                <w:sz w:val="24"/>
              </w:rPr>
            </w:pPr>
          </w:p>
          <w:p>
            <w:pPr>
              <w:keepNext/>
              <w:keepLines/>
              <w:spacing w:before="80" w:after="80" w:line="360" w:lineRule="auto"/>
              <w:ind w:firstLine="472" w:firstLineChars="196"/>
              <w:outlineLvl w:val="2"/>
              <w:rPr>
                <w:b/>
                <w:bCs/>
                <w:sz w:val="24"/>
              </w:rPr>
            </w:pPr>
            <w:r>
              <w:rPr>
                <w:rFonts w:hint="eastAsia"/>
                <w:b/>
                <w:bCs/>
                <w:sz w:val="24"/>
              </w:rPr>
              <w:t>2</w:t>
            </w:r>
            <w:r>
              <w:rPr>
                <w:rFonts w:hint="eastAsia"/>
                <w:b/>
                <w:bCs/>
                <w:sz w:val="24"/>
                <w:lang w:val="en-US" w:eastAsia="zh-CN"/>
              </w:rPr>
              <w:t>.</w:t>
            </w:r>
            <w:r>
              <w:rPr>
                <w:b/>
                <w:bCs/>
                <w:sz w:val="24"/>
              </w:rPr>
              <w:t>水</w:t>
            </w:r>
            <w:r>
              <w:rPr>
                <w:rFonts w:hint="eastAsia"/>
                <w:b/>
                <w:bCs/>
                <w:sz w:val="24"/>
              </w:rPr>
              <w:t>环境影响分析</w:t>
            </w:r>
          </w:p>
          <w:p>
            <w:pPr>
              <w:spacing w:line="360" w:lineRule="auto"/>
              <w:ind w:firstLine="482" w:firstLineChars="200"/>
              <w:rPr>
                <w:b/>
                <w:sz w:val="24"/>
              </w:rPr>
            </w:pPr>
            <w:r>
              <w:rPr>
                <w:rFonts w:hint="eastAsia" w:hAnsi="宋体"/>
                <w:b/>
                <w:bCs/>
                <w:sz w:val="24"/>
              </w:rPr>
              <w:t>2.1</w:t>
            </w:r>
            <w:r>
              <w:rPr>
                <w:b/>
                <w:sz w:val="24"/>
              </w:rPr>
              <w:t>评价等级判定</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kern w:val="0"/>
                <w:sz w:val="24"/>
                <w:szCs w:val="24"/>
                <w:lang w:val="en-US" w:eastAsia="zh-CN" w:bidi="ar"/>
              </w:rPr>
            </w:pPr>
            <w:r>
              <w:rPr>
                <w:rFonts w:hint="eastAsia"/>
                <w:sz w:val="24"/>
                <w:szCs w:val="24"/>
              </w:rPr>
              <w:t>项目废</w:t>
            </w:r>
            <w:r>
              <w:rPr>
                <w:rFonts w:hint="eastAsia"/>
                <w:sz w:val="24"/>
                <w:lang w:val="en-US" w:eastAsia="zh-CN"/>
              </w:rPr>
              <w:t>水为员工生活污水、洗车废水。</w:t>
            </w:r>
            <w:r>
              <w:rPr>
                <w:rFonts w:hint="eastAsia"/>
                <w:sz w:val="24"/>
                <w:szCs w:val="24"/>
                <w:lang w:eastAsia="zh-CN"/>
              </w:rPr>
              <w:t>生活污水</w:t>
            </w:r>
            <w:r>
              <w:rPr>
                <w:rFonts w:hint="eastAsia"/>
                <w:bCs/>
                <w:sz w:val="24"/>
                <w:szCs w:val="24"/>
              </w:rPr>
              <w:t>经厂区内</w:t>
            </w:r>
            <w:r>
              <w:rPr>
                <w:rFonts w:hint="eastAsia"/>
                <w:bCs/>
                <w:sz w:val="24"/>
                <w:szCs w:val="24"/>
                <w:lang w:eastAsia="zh-CN"/>
              </w:rPr>
              <w:t>现</w:t>
            </w:r>
            <w:r>
              <w:rPr>
                <w:rFonts w:hint="eastAsia"/>
                <w:bCs/>
                <w:sz w:val="24"/>
                <w:szCs w:val="24"/>
              </w:rPr>
              <w:t>有</w:t>
            </w:r>
            <w:r>
              <w:rPr>
                <w:rFonts w:hint="eastAsia"/>
                <w:bCs/>
                <w:sz w:val="24"/>
                <w:szCs w:val="24"/>
                <w:lang w:val="en-US" w:eastAsia="zh-CN"/>
              </w:rPr>
              <w:t>10m</w:t>
            </w:r>
            <w:r>
              <w:rPr>
                <w:rFonts w:hint="eastAsia"/>
                <w:bCs/>
                <w:sz w:val="24"/>
                <w:szCs w:val="24"/>
                <w:vertAlign w:val="superscript"/>
                <w:lang w:val="en-US" w:eastAsia="zh-CN"/>
              </w:rPr>
              <w:t>3</w:t>
            </w:r>
            <w:r>
              <w:rPr>
                <w:rFonts w:hint="eastAsia"/>
                <w:bCs/>
                <w:sz w:val="24"/>
                <w:szCs w:val="24"/>
                <w:lang w:eastAsia="zh-CN"/>
              </w:rPr>
              <w:t>三格式</w:t>
            </w:r>
            <w:r>
              <w:rPr>
                <w:rFonts w:hint="eastAsia"/>
                <w:bCs/>
                <w:sz w:val="24"/>
                <w:szCs w:val="24"/>
              </w:rPr>
              <w:t>化粪池处理后</w:t>
            </w:r>
            <w:r>
              <w:rPr>
                <w:rFonts w:hint="eastAsia"/>
                <w:bCs/>
                <w:sz w:val="24"/>
                <w:szCs w:val="24"/>
                <w:lang w:eastAsia="zh-CN"/>
              </w:rPr>
              <w:t>，</w:t>
            </w:r>
            <w:r>
              <w:rPr>
                <w:rFonts w:hint="eastAsia"/>
                <w:bCs/>
                <w:sz w:val="24"/>
                <w:szCs w:val="24"/>
              </w:rPr>
              <w:t>由专业服务队伍采用专业抽粪车辆定期对粪水、粪渣进行收集、有效利用和无害化处理</w:t>
            </w:r>
            <w:r>
              <w:rPr>
                <w:rFonts w:hint="eastAsia"/>
                <w:sz w:val="24"/>
                <w:szCs w:val="24"/>
                <w:lang w:eastAsia="zh-CN"/>
              </w:rPr>
              <w:t>。</w:t>
            </w:r>
            <w:r>
              <w:rPr>
                <w:rFonts w:hint="eastAsia" w:ascii="宋体" w:hAnsi="宋体" w:eastAsia="宋体" w:cs="宋体"/>
                <w:color w:val="000000"/>
                <w:kern w:val="0"/>
                <w:sz w:val="24"/>
                <w:szCs w:val="24"/>
                <w:lang w:val="en-US" w:eastAsia="zh-CN" w:bidi="ar"/>
              </w:rPr>
              <w:t>厂区设置有1</w:t>
            </w:r>
            <w:r>
              <w:rPr>
                <w:rFonts w:hint="default" w:ascii="Times New Roman" w:hAnsi="Times New Roman" w:eastAsia="宋体" w:cs="Times New Roman"/>
                <w:color w:val="000000"/>
                <w:kern w:val="0"/>
                <w:sz w:val="24"/>
                <w:szCs w:val="24"/>
                <w:lang w:val="en-US" w:eastAsia="zh-CN" w:bidi="ar"/>
              </w:rPr>
              <w:t>个</w:t>
            </w:r>
            <w:r>
              <w:rPr>
                <w:rFonts w:hint="default" w:ascii="Times New Roman" w:hAnsi="Times New Roman" w:cs="Times New Roman"/>
                <w:sz w:val="24"/>
                <w:szCs w:val="24"/>
              </w:rPr>
              <w:t>5.0m×3.0m×</w:t>
            </w:r>
            <w:r>
              <w:rPr>
                <w:rFonts w:hint="default" w:ascii="Times New Roman" w:hAnsi="Times New Roman" w:cs="Times New Roman"/>
                <w:sz w:val="24"/>
                <w:szCs w:val="24"/>
                <w:lang w:val="en-US" w:eastAsia="zh-CN"/>
              </w:rPr>
              <w:t>1.5</w:t>
            </w:r>
            <w:r>
              <w:rPr>
                <w:rFonts w:hint="default" w:ascii="Times New Roman" w:hAnsi="Times New Roman" w:cs="Times New Roman"/>
                <w:sz w:val="24"/>
                <w:szCs w:val="24"/>
              </w:rPr>
              <w:t>m</w:t>
            </w:r>
            <w:r>
              <w:rPr>
                <w:rFonts w:hint="eastAsia" w:ascii="宋体" w:hAnsi="宋体"/>
                <w:sz w:val="24"/>
                <w:szCs w:val="24"/>
                <w:lang w:eastAsia="zh-CN"/>
              </w:rPr>
              <w:t>的三级</w:t>
            </w:r>
            <w:r>
              <w:rPr>
                <w:rFonts w:hint="eastAsia" w:ascii="宋体" w:hAnsi="宋体" w:eastAsia="宋体" w:cs="宋体"/>
                <w:color w:val="000000"/>
                <w:kern w:val="0"/>
                <w:sz w:val="24"/>
                <w:szCs w:val="24"/>
                <w:lang w:val="en-US" w:eastAsia="zh-CN" w:bidi="ar"/>
              </w:rPr>
              <w:t>沉淀池，冲洗水通过车辆冲洗池底部的管沟排入沉淀池，经过沉淀池沉淀后用作</w:t>
            </w:r>
            <w:r>
              <w:rPr>
                <w:rFonts w:hint="eastAsia" w:ascii="宋体" w:hAnsi="宋体" w:cs="宋体"/>
                <w:color w:val="000000"/>
                <w:kern w:val="0"/>
                <w:sz w:val="24"/>
                <w:szCs w:val="24"/>
                <w:lang w:val="en-US" w:eastAsia="zh-CN" w:bidi="ar"/>
              </w:rPr>
              <w:t>道路洒水抑尘</w:t>
            </w:r>
            <w:r>
              <w:rPr>
                <w:rFonts w:hint="eastAsia" w:ascii="宋体" w:hAnsi="宋体" w:eastAsia="宋体" w:cs="宋体"/>
                <w:color w:val="000000"/>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rPr>
            </w:pPr>
            <w:r>
              <w:rPr>
                <w:sz w:val="24"/>
              </w:rPr>
              <w:t>根据《环境影响评价技术导则——地表水环境》（HJ 2.3-2018），</w:t>
            </w:r>
            <w:r>
              <w:rPr>
                <w:rFonts w:hint="eastAsia"/>
                <w:sz w:val="24"/>
              </w:rPr>
              <w:t>本</w:t>
            </w:r>
            <w:r>
              <w:rPr>
                <w:sz w:val="24"/>
              </w:rPr>
              <w:t>项目地表水环境影响评价等级判定依据表见下：</w:t>
            </w:r>
          </w:p>
          <w:p>
            <w:pPr>
              <w:spacing w:line="240" w:lineRule="auto"/>
              <w:jc w:val="center"/>
              <w:rPr>
                <w:rFonts w:hint="eastAsia" w:ascii="黑体" w:hAnsi="黑体" w:eastAsia="黑体" w:cs="黑体"/>
                <w:b w:val="0"/>
                <w:bCs w:val="0"/>
                <w:sz w:val="24"/>
                <w:highlight w:val="none"/>
                <w:lang w:val="zh-CN" w:eastAsia="zh-CN"/>
              </w:rPr>
            </w:pPr>
            <w:r>
              <w:rPr>
                <w:rFonts w:hint="eastAsia" w:ascii="黑体" w:hAnsi="黑体" w:eastAsia="黑体" w:cs="黑体"/>
                <w:b w:val="0"/>
                <w:bCs w:val="0"/>
                <w:sz w:val="24"/>
                <w:highlight w:val="none"/>
                <w:lang w:val="zh-CN" w:eastAsia="zh-CN"/>
              </w:rPr>
              <w:t>表</w:t>
            </w:r>
            <w:r>
              <w:rPr>
                <w:rFonts w:hint="eastAsia" w:ascii="黑体" w:hAnsi="黑体" w:eastAsia="黑体" w:cs="黑体"/>
                <w:b w:val="0"/>
                <w:bCs w:val="0"/>
                <w:sz w:val="24"/>
                <w:highlight w:val="none"/>
                <w:lang w:val="en-US" w:eastAsia="zh-CN"/>
              </w:rPr>
              <w:t>22</w:t>
            </w:r>
            <w:r>
              <w:rPr>
                <w:rFonts w:hint="eastAsia" w:ascii="黑体" w:hAnsi="黑体" w:eastAsia="黑体" w:cs="黑体"/>
                <w:b w:val="0"/>
                <w:bCs w:val="0"/>
                <w:sz w:val="24"/>
                <w:highlight w:val="none"/>
                <w:lang w:val="zh-CN" w:eastAsia="zh-CN"/>
              </w:rPr>
              <w:t xml:space="preserve">  水污染影响型建设项目评价等级判定表</w:t>
            </w:r>
          </w:p>
          <w:tbl>
            <w:tblPr>
              <w:tblStyle w:val="31"/>
              <w:tblW w:w="906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305"/>
              <w:gridCol w:w="1305"/>
              <w:gridCol w:w="645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05" w:type="dxa"/>
                  <w:vMerge w:val="restart"/>
                  <w:tcBorders>
                    <w:tl2br w:val="nil"/>
                    <w:tr2bl w:val="nil"/>
                  </w:tcBorders>
                  <w:vAlign w:val="center"/>
                </w:tcPr>
                <w:p>
                  <w:pPr>
                    <w:jc w:val="center"/>
                    <w:rPr>
                      <w:bCs/>
                      <w:sz w:val="21"/>
                      <w:szCs w:val="21"/>
                    </w:rPr>
                  </w:pPr>
                  <w:r>
                    <w:rPr>
                      <w:bCs/>
                      <w:sz w:val="21"/>
                      <w:szCs w:val="21"/>
                    </w:rPr>
                    <w:t>评价等级</w:t>
                  </w:r>
                </w:p>
              </w:tc>
              <w:tc>
                <w:tcPr>
                  <w:tcW w:w="7756" w:type="dxa"/>
                  <w:gridSpan w:val="2"/>
                  <w:tcBorders>
                    <w:tl2br w:val="nil"/>
                    <w:tr2bl w:val="nil"/>
                  </w:tcBorders>
                  <w:vAlign w:val="center"/>
                </w:tcPr>
                <w:p>
                  <w:pPr>
                    <w:jc w:val="center"/>
                    <w:rPr>
                      <w:bCs/>
                      <w:sz w:val="21"/>
                      <w:szCs w:val="21"/>
                    </w:rPr>
                  </w:pPr>
                  <w:r>
                    <w:rPr>
                      <w:bCs/>
                      <w:sz w:val="21"/>
                      <w:szCs w:val="21"/>
                    </w:rPr>
                    <w:t>判定依据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05" w:type="dxa"/>
                  <w:vMerge w:val="continue"/>
                  <w:tcBorders>
                    <w:tl2br w:val="nil"/>
                    <w:tr2bl w:val="nil"/>
                  </w:tcBorders>
                  <w:vAlign w:val="center"/>
                </w:tcPr>
                <w:p>
                  <w:pPr>
                    <w:jc w:val="center"/>
                    <w:rPr>
                      <w:bCs/>
                      <w:sz w:val="21"/>
                      <w:szCs w:val="21"/>
                    </w:rPr>
                  </w:pPr>
                </w:p>
              </w:tc>
              <w:tc>
                <w:tcPr>
                  <w:tcW w:w="1305" w:type="dxa"/>
                  <w:tcBorders>
                    <w:tl2br w:val="nil"/>
                    <w:tr2bl w:val="nil"/>
                  </w:tcBorders>
                  <w:vAlign w:val="center"/>
                </w:tcPr>
                <w:p>
                  <w:pPr>
                    <w:jc w:val="center"/>
                    <w:rPr>
                      <w:bCs/>
                      <w:sz w:val="21"/>
                      <w:szCs w:val="21"/>
                    </w:rPr>
                  </w:pPr>
                  <w:r>
                    <w:rPr>
                      <w:bCs/>
                      <w:sz w:val="21"/>
                      <w:szCs w:val="21"/>
                    </w:rPr>
                    <w:t>排放方式</w:t>
                  </w:r>
                </w:p>
              </w:tc>
              <w:tc>
                <w:tcPr>
                  <w:tcW w:w="6451" w:type="dxa"/>
                  <w:tcBorders>
                    <w:tl2br w:val="nil"/>
                    <w:tr2bl w:val="nil"/>
                  </w:tcBorders>
                  <w:vAlign w:val="center"/>
                </w:tcPr>
                <w:p>
                  <w:pPr>
                    <w:jc w:val="center"/>
                    <w:rPr>
                      <w:bCs/>
                      <w:sz w:val="21"/>
                      <w:szCs w:val="21"/>
                    </w:rPr>
                  </w:pPr>
                  <w:r>
                    <w:rPr>
                      <w:bCs/>
                      <w:sz w:val="21"/>
                      <w:szCs w:val="21"/>
                    </w:rPr>
                    <w:t>废水排放量Q/（m</w:t>
                  </w:r>
                  <w:r>
                    <w:rPr>
                      <w:bCs/>
                      <w:sz w:val="21"/>
                      <w:szCs w:val="21"/>
                      <w:vertAlign w:val="superscript"/>
                    </w:rPr>
                    <w:t>3</w:t>
                  </w:r>
                  <w:r>
                    <w:rPr>
                      <w:bCs/>
                      <w:sz w:val="21"/>
                      <w:szCs w:val="21"/>
                    </w:rPr>
                    <w:t>/d）水污染物当量数W/（无量纲）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05" w:type="dxa"/>
                  <w:tcBorders>
                    <w:tl2br w:val="nil"/>
                    <w:tr2bl w:val="nil"/>
                  </w:tcBorders>
                  <w:vAlign w:val="center"/>
                </w:tcPr>
                <w:p>
                  <w:pPr>
                    <w:jc w:val="center"/>
                    <w:rPr>
                      <w:sz w:val="21"/>
                      <w:szCs w:val="21"/>
                    </w:rPr>
                  </w:pPr>
                  <w:r>
                    <w:rPr>
                      <w:sz w:val="21"/>
                      <w:szCs w:val="21"/>
                    </w:rPr>
                    <w:t>一级</w:t>
                  </w:r>
                </w:p>
              </w:tc>
              <w:tc>
                <w:tcPr>
                  <w:tcW w:w="1305" w:type="dxa"/>
                  <w:tcBorders>
                    <w:tl2br w:val="nil"/>
                    <w:tr2bl w:val="nil"/>
                  </w:tcBorders>
                  <w:vAlign w:val="center"/>
                </w:tcPr>
                <w:p>
                  <w:pPr>
                    <w:jc w:val="center"/>
                    <w:rPr>
                      <w:sz w:val="21"/>
                      <w:szCs w:val="21"/>
                    </w:rPr>
                  </w:pPr>
                  <w:r>
                    <w:rPr>
                      <w:sz w:val="21"/>
                      <w:szCs w:val="21"/>
                    </w:rPr>
                    <w:t>直接排放</w:t>
                  </w:r>
                </w:p>
              </w:tc>
              <w:tc>
                <w:tcPr>
                  <w:tcW w:w="6451" w:type="dxa"/>
                  <w:tcBorders>
                    <w:tl2br w:val="nil"/>
                    <w:tr2bl w:val="nil"/>
                  </w:tcBorders>
                  <w:vAlign w:val="center"/>
                </w:tcPr>
                <w:p>
                  <w:pPr>
                    <w:jc w:val="center"/>
                    <w:rPr>
                      <w:sz w:val="21"/>
                      <w:szCs w:val="21"/>
                    </w:rPr>
                  </w:pPr>
                  <w:r>
                    <w:rPr>
                      <w:sz w:val="21"/>
                      <w:szCs w:val="21"/>
                    </w:rPr>
                    <w:t>Q≥20000或W≥600000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05" w:type="dxa"/>
                  <w:tcBorders>
                    <w:tl2br w:val="nil"/>
                    <w:tr2bl w:val="nil"/>
                  </w:tcBorders>
                  <w:vAlign w:val="center"/>
                </w:tcPr>
                <w:p>
                  <w:pPr>
                    <w:jc w:val="center"/>
                    <w:rPr>
                      <w:sz w:val="21"/>
                      <w:szCs w:val="21"/>
                    </w:rPr>
                  </w:pPr>
                  <w:r>
                    <w:rPr>
                      <w:sz w:val="21"/>
                      <w:szCs w:val="21"/>
                    </w:rPr>
                    <w:t>二级</w:t>
                  </w:r>
                </w:p>
              </w:tc>
              <w:tc>
                <w:tcPr>
                  <w:tcW w:w="1305" w:type="dxa"/>
                  <w:tcBorders>
                    <w:tl2br w:val="nil"/>
                    <w:tr2bl w:val="nil"/>
                  </w:tcBorders>
                  <w:vAlign w:val="center"/>
                </w:tcPr>
                <w:p>
                  <w:pPr>
                    <w:jc w:val="center"/>
                    <w:rPr>
                      <w:sz w:val="21"/>
                      <w:szCs w:val="21"/>
                    </w:rPr>
                  </w:pPr>
                  <w:r>
                    <w:rPr>
                      <w:sz w:val="21"/>
                      <w:szCs w:val="21"/>
                    </w:rPr>
                    <w:t>直接排放</w:t>
                  </w:r>
                </w:p>
              </w:tc>
              <w:tc>
                <w:tcPr>
                  <w:tcW w:w="6451" w:type="dxa"/>
                  <w:tcBorders>
                    <w:tl2br w:val="nil"/>
                    <w:tr2bl w:val="nil"/>
                  </w:tcBorders>
                  <w:vAlign w:val="center"/>
                </w:tcPr>
                <w:p>
                  <w:pPr>
                    <w:jc w:val="center"/>
                    <w:rPr>
                      <w:sz w:val="21"/>
                      <w:szCs w:val="21"/>
                    </w:rPr>
                  </w:pPr>
                  <w:r>
                    <w:rPr>
                      <w:sz w:val="21"/>
                      <w:szCs w:val="21"/>
                    </w:rPr>
                    <w:t>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05" w:type="dxa"/>
                  <w:tcBorders>
                    <w:tl2br w:val="nil"/>
                    <w:tr2bl w:val="nil"/>
                  </w:tcBorders>
                  <w:vAlign w:val="center"/>
                </w:tcPr>
                <w:p>
                  <w:pPr>
                    <w:jc w:val="center"/>
                    <w:rPr>
                      <w:sz w:val="21"/>
                      <w:szCs w:val="21"/>
                    </w:rPr>
                  </w:pPr>
                  <w:r>
                    <w:rPr>
                      <w:sz w:val="21"/>
                      <w:szCs w:val="21"/>
                    </w:rPr>
                    <w:t>三级A</w:t>
                  </w:r>
                </w:p>
              </w:tc>
              <w:tc>
                <w:tcPr>
                  <w:tcW w:w="1305" w:type="dxa"/>
                  <w:tcBorders>
                    <w:tl2br w:val="nil"/>
                    <w:tr2bl w:val="nil"/>
                  </w:tcBorders>
                  <w:vAlign w:val="center"/>
                </w:tcPr>
                <w:p>
                  <w:pPr>
                    <w:jc w:val="center"/>
                    <w:rPr>
                      <w:sz w:val="21"/>
                      <w:szCs w:val="21"/>
                    </w:rPr>
                  </w:pPr>
                  <w:r>
                    <w:rPr>
                      <w:sz w:val="21"/>
                      <w:szCs w:val="21"/>
                    </w:rPr>
                    <w:t>直接排放</w:t>
                  </w:r>
                </w:p>
              </w:tc>
              <w:tc>
                <w:tcPr>
                  <w:tcW w:w="6451" w:type="dxa"/>
                  <w:tcBorders>
                    <w:tl2br w:val="nil"/>
                    <w:tr2bl w:val="nil"/>
                  </w:tcBorders>
                  <w:vAlign w:val="center"/>
                </w:tcPr>
                <w:p>
                  <w:pPr>
                    <w:jc w:val="center"/>
                    <w:rPr>
                      <w:sz w:val="21"/>
                      <w:szCs w:val="21"/>
                    </w:rPr>
                  </w:pPr>
                  <w:r>
                    <w:rPr>
                      <w:sz w:val="21"/>
                      <w:szCs w:val="21"/>
                    </w:rPr>
                    <w:t>Q＜200且W＜6000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05" w:type="dxa"/>
                  <w:tcBorders>
                    <w:tl2br w:val="nil"/>
                    <w:tr2bl w:val="nil"/>
                  </w:tcBorders>
                  <w:vAlign w:val="center"/>
                </w:tcPr>
                <w:p>
                  <w:pPr>
                    <w:jc w:val="center"/>
                    <w:rPr>
                      <w:sz w:val="21"/>
                      <w:szCs w:val="21"/>
                    </w:rPr>
                  </w:pPr>
                  <w:r>
                    <w:rPr>
                      <w:sz w:val="21"/>
                      <w:szCs w:val="21"/>
                    </w:rPr>
                    <w:t>三级B</w:t>
                  </w:r>
                </w:p>
              </w:tc>
              <w:tc>
                <w:tcPr>
                  <w:tcW w:w="1305" w:type="dxa"/>
                  <w:tcBorders>
                    <w:tl2br w:val="nil"/>
                    <w:tr2bl w:val="nil"/>
                  </w:tcBorders>
                  <w:vAlign w:val="center"/>
                </w:tcPr>
                <w:p>
                  <w:pPr>
                    <w:jc w:val="center"/>
                    <w:rPr>
                      <w:sz w:val="21"/>
                      <w:szCs w:val="21"/>
                    </w:rPr>
                  </w:pPr>
                  <w:r>
                    <w:rPr>
                      <w:sz w:val="21"/>
                      <w:szCs w:val="21"/>
                    </w:rPr>
                    <w:t>间接排放</w:t>
                  </w:r>
                </w:p>
              </w:tc>
              <w:tc>
                <w:tcPr>
                  <w:tcW w:w="6451" w:type="dxa"/>
                  <w:tcBorders>
                    <w:tl2br w:val="nil"/>
                    <w:tr2bl w:val="nil"/>
                  </w:tcBorders>
                  <w:vAlign w:val="center"/>
                </w:tcPr>
                <w:p>
                  <w:pPr>
                    <w:jc w:val="center"/>
                    <w:rPr>
                      <w:sz w:val="21"/>
                      <w:szCs w:val="21"/>
                    </w:rPr>
                  </w:pPr>
                  <w:r>
                    <w:rPr>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61" w:type="dxa"/>
                  <w:gridSpan w:val="3"/>
                  <w:tcBorders>
                    <w:tl2br w:val="nil"/>
                    <w:tr2bl w:val="nil"/>
                  </w:tcBorders>
                  <w:vAlign w:val="center"/>
                </w:tcPr>
                <w:p>
                  <w:pPr>
                    <w:rPr>
                      <w:bCs/>
                      <w:sz w:val="21"/>
                      <w:szCs w:val="21"/>
                    </w:rPr>
                  </w:pPr>
                  <w:r>
                    <w:rPr>
                      <w:sz w:val="21"/>
                      <w:szCs w:val="21"/>
                    </w:rPr>
                    <w:t>注10：建设项目生产工艺中有废水产生，但作为回水利用，不排放到外环境的，按三级B评价</w:t>
                  </w:r>
                </w:p>
              </w:tc>
            </w:tr>
          </w:tbl>
          <w:p>
            <w:pPr>
              <w:pStyle w:val="38"/>
              <w:rPr>
                <w:b/>
                <w:color w:val="auto"/>
                <w:u w:val="single"/>
              </w:rPr>
            </w:pPr>
          </w:p>
          <w:p>
            <w:pPr>
              <w:adjustRightInd w:val="0"/>
              <w:snapToGrid w:val="0"/>
              <w:spacing w:line="360" w:lineRule="auto"/>
              <w:ind w:firstLine="480" w:firstLineChars="200"/>
              <w:rPr>
                <w:sz w:val="24"/>
              </w:rPr>
            </w:pPr>
            <w:r>
              <w:rPr>
                <w:rFonts w:hint="eastAsia"/>
                <w:sz w:val="24"/>
              </w:rPr>
              <w:t>本项目废水</w:t>
            </w:r>
            <w:r>
              <w:rPr>
                <w:sz w:val="24"/>
              </w:rPr>
              <w:t>不排放到外环境</w:t>
            </w:r>
            <w:r>
              <w:rPr>
                <w:rFonts w:hint="eastAsia"/>
                <w:sz w:val="24"/>
              </w:rPr>
              <w:t>。根据《环境影响评价技术导则－地表水环境》（HJ 2.3-2018）水污染影响型建设项目评价等级表（表</w:t>
            </w:r>
            <w:r>
              <w:rPr>
                <w:rFonts w:hint="eastAsia"/>
                <w:sz w:val="24"/>
                <w:lang w:val="en-US" w:eastAsia="zh-CN"/>
              </w:rPr>
              <w:t>22</w:t>
            </w:r>
            <w:r>
              <w:rPr>
                <w:rFonts w:hint="eastAsia"/>
                <w:sz w:val="24"/>
              </w:rPr>
              <w:t>）中注释，确定本项目地表水评价等级为三级B。三级B评价要求：水污染控制和水环境影响减缓措施有效性评价，依托污水处理设施的环境可行性评价。</w:t>
            </w:r>
          </w:p>
          <w:p>
            <w:pPr>
              <w:spacing w:line="360" w:lineRule="auto"/>
              <w:ind w:firstLine="482" w:firstLineChars="200"/>
              <w:rPr>
                <w:bCs/>
                <w:sz w:val="24"/>
              </w:rPr>
            </w:pPr>
            <w:r>
              <w:rPr>
                <w:rFonts w:hint="eastAsia"/>
                <w:b/>
                <w:sz w:val="24"/>
              </w:rPr>
              <w:t>2.2</w:t>
            </w:r>
            <w:r>
              <w:rPr>
                <w:b/>
                <w:sz w:val="24"/>
              </w:rPr>
              <w:t>水污染控制和水环境影响减缓措施有效性评价</w:t>
            </w:r>
          </w:p>
          <w:p>
            <w:pPr>
              <w:pStyle w:val="8"/>
              <w:spacing w:line="360" w:lineRule="auto"/>
              <w:ind w:firstLine="480" w:firstLineChars="200"/>
              <w:rPr>
                <w:rFonts w:hint="eastAsia"/>
                <w:sz w:val="24"/>
                <w:lang w:eastAsia="zh-CN"/>
              </w:rPr>
            </w:pPr>
            <w:r>
              <w:rPr>
                <w:rFonts w:hint="eastAsia"/>
                <w:sz w:val="24"/>
                <w:lang w:eastAsia="zh-CN"/>
              </w:rPr>
              <w:t>（</w:t>
            </w:r>
            <w:r>
              <w:rPr>
                <w:rFonts w:hint="eastAsia"/>
                <w:sz w:val="24"/>
                <w:lang w:val="en-US" w:eastAsia="zh-CN"/>
              </w:rPr>
              <w:t>1</w:t>
            </w:r>
            <w:r>
              <w:rPr>
                <w:rFonts w:hint="eastAsia"/>
                <w:sz w:val="24"/>
                <w:lang w:eastAsia="zh-CN"/>
              </w:rPr>
              <w:t>）生活污水</w:t>
            </w:r>
          </w:p>
          <w:p>
            <w:pPr>
              <w:spacing w:line="336" w:lineRule="auto"/>
              <w:ind w:firstLine="480" w:firstLineChars="200"/>
              <w:jc w:val="left"/>
              <w:rPr>
                <w:color w:val="000000"/>
                <w:sz w:val="24"/>
                <w:szCs w:val="24"/>
                <w:lang w:bidi="zh-CN"/>
              </w:rPr>
            </w:pPr>
            <w:r>
              <w:rPr>
                <w:rFonts w:hint="eastAsia"/>
                <w:sz w:val="24"/>
              </w:rPr>
              <w:t>本项目运营期产生的污水量为</w:t>
            </w:r>
            <w:r>
              <w:rPr>
                <w:rFonts w:hint="eastAsia"/>
                <w:sz w:val="24"/>
                <w:lang w:val="en-US" w:eastAsia="zh-CN"/>
              </w:rPr>
              <w:t>0.8</w:t>
            </w:r>
            <w:r>
              <w:rPr>
                <w:rFonts w:hint="eastAsia"/>
                <w:sz w:val="24"/>
              </w:rPr>
              <w:t>m</w:t>
            </w:r>
            <w:r>
              <w:rPr>
                <w:rFonts w:hint="eastAsia"/>
                <w:sz w:val="24"/>
                <w:vertAlign w:val="superscript"/>
              </w:rPr>
              <w:t>3</w:t>
            </w:r>
            <w:r>
              <w:rPr>
                <w:rFonts w:hint="eastAsia"/>
                <w:sz w:val="24"/>
              </w:rPr>
              <w:t>/d，远远小于10m</w:t>
            </w:r>
            <w:r>
              <w:rPr>
                <w:rFonts w:hint="eastAsia"/>
                <w:sz w:val="24"/>
                <w:vertAlign w:val="superscript"/>
              </w:rPr>
              <w:t>3</w:t>
            </w:r>
            <w:r>
              <w:rPr>
                <w:rFonts w:hint="eastAsia"/>
                <w:sz w:val="24"/>
              </w:rPr>
              <w:t>化粪池处理能力。因此，本项目产生的污水依托10m</w:t>
            </w:r>
            <w:r>
              <w:rPr>
                <w:rFonts w:hint="eastAsia"/>
                <w:sz w:val="24"/>
                <w:vertAlign w:val="superscript"/>
              </w:rPr>
              <w:t>3</w:t>
            </w:r>
            <w:r>
              <w:rPr>
                <w:rFonts w:hint="eastAsia"/>
                <w:sz w:val="24"/>
              </w:rPr>
              <w:t>化粪池可行</w:t>
            </w:r>
            <w:r>
              <w:rPr>
                <w:rFonts w:hint="eastAsia" w:hAnsi="宋体"/>
                <w:sz w:val="24"/>
                <w:szCs w:val="24"/>
                <w:lang w:bidi="zh-CN"/>
              </w:rPr>
              <w:t>。</w:t>
            </w:r>
            <w:r>
              <w:rPr>
                <w:rFonts w:hint="eastAsia"/>
                <w:bCs/>
                <w:sz w:val="24"/>
                <w:szCs w:val="24"/>
              </w:rPr>
              <w:t>经厂区内</w:t>
            </w:r>
            <w:r>
              <w:rPr>
                <w:rFonts w:hint="eastAsia"/>
                <w:bCs/>
                <w:sz w:val="24"/>
                <w:szCs w:val="24"/>
                <w:lang w:eastAsia="zh-CN"/>
              </w:rPr>
              <w:t>现</w:t>
            </w:r>
            <w:r>
              <w:rPr>
                <w:rFonts w:hint="eastAsia"/>
                <w:bCs/>
                <w:sz w:val="24"/>
                <w:szCs w:val="24"/>
              </w:rPr>
              <w:t>有</w:t>
            </w:r>
            <w:r>
              <w:rPr>
                <w:rFonts w:hint="eastAsia"/>
                <w:bCs/>
                <w:sz w:val="24"/>
                <w:szCs w:val="24"/>
                <w:lang w:eastAsia="zh-CN"/>
              </w:rPr>
              <w:t>三格式</w:t>
            </w:r>
            <w:r>
              <w:rPr>
                <w:rFonts w:hint="eastAsia"/>
                <w:bCs/>
                <w:sz w:val="24"/>
                <w:szCs w:val="24"/>
              </w:rPr>
              <w:t>化粪池处理后</w:t>
            </w:r>
            <w:r>
              <w:rPr>
                <w:rFonts w:hint="eastAsia"/>
                <w:bCs/>
                <w:sz w:val="24"/>
                <w:szCs w:val="24"/>
                <w:lang w:eastAsia="zh-CN"/>
              </w:rPr>
              <w:t>，</w:t>
            </w:r>
            <w:r>
              <w:rPr>
                <w:rFonts w:hint="eastAsia"/>
                <w:bCs/>
                <w:sz w:val="24"/>
                <w:szCs w:val="24"/>
              </w:rPr>
              <w:t>由专业服务队伍采用专业抽粪车辆定期对粪水、粪渣进行收集、有效利用和无害化处理</w:t>
            </w:r>
            <w:r>
              <w:rPr>
                <w:rFonts w:hint="eastAsia"/>
                <w:color w:val="000000"/>
                <w:sz w:val="24"/>
                <w:szCs w:val="24"/>
                <w:lang w:bidi="zh-CN"/>
              </w:rPr>
              <w:t>。</w:t>
            </w:r>
          </w:p>
          <w:p>
            <w:pPr>
              <w:pStyle w:val="38"/>
              <w:keepNext w:val="0"/>
              <w:keepLines w:val="0"/>
              <w:pageBreakBefore w:val="0"/>
              <w:widowControl w:val="0"/>
              <w:kinsoku/>
              <w:wordWrap/>
              <w:overflowPunct/>
              <w:topLinePunct w:val="0"/>
              <w:autoSpaceDE w:val="0"/>
              <w:autoSpaceDN w:val="0"/>
              <w:bidi w:val="0"/>
              <w:adjustRightInd w:val="0"/>
              <w:snapToGrid/>
              <w:ind w:firstLine="480" w:firstLineChars="200"/>
              <w:textAlignment w:val="auto"/>
              <w:rPr>
                <w:rFonts w:hint="eastAsia" w:eastAsia="宋体"/>
                <w:b w:val="0"/>
                <w:bCs w:val="0"/>
                <w:u w:val="none"/>
                <w:lang w:eastAsia="zh-CN"/>
              </w:rPr>
            </w:pPr>
            <w:r>
              <w:rPr>
                <w:rFonts w:hint="eastAsia"/>
                <w:b w:val="0"/>
                <w:bCs w:val="0"/>
                <w:u w:val="none"/>
                <w:lang w:eastAsia="zh-CN"/>
              </w:rPr>
              <w:t>（</w:t>
            </w:r>
            <w:r>
              <w:rPr>
                <w:rFonts w:hint="eastAsia"/>
                <w:b w:val="0"/>
                <w:bCs w:val="0"/>
                <w:u w:val="none"/>
                <w:lang w:val="en-US" w:eastAsia="zh-CN"/>
              </w:rPr>
              <w:t>2</w:t>
            </w:r>
            <w:r>
              <w:rPr>
                <w:rFonts w:hint="eastAsia"/>
                <w:b w:val="0"/>
                <w:bCs w:val="0"/>
                <w:u w:val="none"/>
                <w:lang w:eastAsia="zh-CN"/>
              </w:rPr>
              <w:t>）车辆清洗废水</w:t>
            </w:r>
          </w:p>
          <w:p>
            <w:pPr>
              <w:spacing w:line="360" w:lineRule="auto"/>
              <w:ind w:firstLine="480" w:firstLineChars="200"/>
              <w:jc w:val="left"/>
              <w:rPr>
                <w:rFonts w:hint="eastAsia"/>
                <w:b w:val="0"/>
                <w:bCs w:val="0"/>
                <w:sz w:val="24"/>
                <w:szCs w:val="24"/>
                <w:u w:val="none"/>
              </w:rPr>
            </w:pPr>
            <w:r>
              <w:rPr>
                <w:rFonts w:hint="eastAsia"/>
                <w:b w:val="0"/>
                <w:bCs w:val="0"/>
                <w:sz w:val="24"/>
                <w:szCs w:val="24"/>
                <w:u w:val="none"/>
                <w:lang w:eastAsia="zh-CN"/>
              </w:rPr>
              <w:t>车辆清洗废水中污染物主要为</w:t>
            </w:r>
            <w:r>
              <w:rPr>
                <w:rFonts w:hint="eastAsia"/>
                <w:b w:val="0"/>
                <w:bCs w:val="0"/>
                <w:sz w:val="24"/>
                <w:szCs w:val="24"/>
                <w:u w:val="none"/>
                <w:lang w:val="en-US" w:eastAsia="zh-CN"/>
              </w:rPr>
              <w:t>SS，本项目设置三级</w:t>
            </w:r>
            <w:r>
              <w:rPr>
                <w:rFonts w:hint="eastAsia"/>
                <w:b w:val="0"/>
                <w:bCs w:val="0"/>
                <w:color w:val="000000"/>
                <w:sz w:val="24"/>
                <w:szCs w:val="24"/>
                <w:u w:val="none"/>
              </w:rPr>
              <w:t>沉淀池</w:t>
            </w:r>
            <w:r>
              <w:rPr>
                <w:rFonts w:hint="eastAsia"/>
                <w:b w:val="0"/>
                <w:bCs w:val="0"/>
                <w:sz w:val="24"/>
                <w:szCs w:val="24"/>
                <w:u w:val="none"/>
                <w:lang w:val="en-US" w:eastAsia="zh-CN"/>
              </w:rPr>
              <w:t>进行沉降，</w:t>
            </w:r>
            <w:r>
              <w:rPr>
                <w:rFonts w:hint="eastAsia"/>
                <w:b w:val="0"/>
                <w:bCs w:val="0"/>
                <w:sz w:val="24"/>
                <w:szCs w:val="24"/>
                <w:u w:val="none"/>
                <w:lang w:eastAsia="zh-CN"/>
              </w:rPr>
              <w:t>清洗废水</w:t>
            </w:r>
            <w:r>
              <w:rPr>
                <w:rFonts w:hint="eastAsia"/>
                <w:b w:val="0"/>
                <w:bCs w:val="0"/>
                <w:sz w:val="24"/>
                <w:szCs w:val="24"/>
                <w:u w:val="none"/>
                <w:lang w:val="en-US" w:eastAsia="zh-CN"/>
              </w:rPr>
              <w:t>经沉淀后，上清液可以用于周边洒水抑尘</w:t>
            </w:r>
            <w:r>
              <w:rPr>
                <w:rFonts w:hint="eastAsia"/>
                <w:b w:val="0"/>
                <w:bCs w:val="0"/>
                <w:sz w:val="24"/>
                <w:szCs w:val="24"/>
                <w:u w:val="none"/>
              </w:rPr>
              <w:t>，不外排</w:t>
            </w:r>
            <w:r>
              <w:rPr>
                <w:rFonts w:hint="eastAsia"/>
                <w:b w:val="0"/>
                <w:bCs w:val="0"/>
                <w:sz w:val="24"/>
                <w:szCs w:val="24"/>
                <w:u w:val="none"/>
                <w:lang w:eastAsia="zh-CN"/>
              </w:rPr>
              <w:t>。因此，车辆清洗废水经沉淀后回用措施可行</w:t>
            </w:r>
            <w:r>
              <w:rPr>
                <w:rFonts w:hint="eastAsia"/>
                <w:b w:val="0"/>
                <w:bCs w:val="0"/>
                <w:sz w:val="24"/>
                <w:szCs w:val="24"/>
                <w:u w:val="none"/>
              </w:rPr>
              <w:t>。</w:t>
            </w:r>
          </w:p>
          <w:p>
            <w:pPr>
              <w:spacing w:line="360" w:lineRule="auto"/>
              <w:ind w:firstLine="482" w:firstLineChars="200"/>
              <w:rPr>
                <w:rFonts w:hint="eastAsia"/>
                <w:b/>
                <w:bCs/>
                <w:color w:val="auto"/>
                <w:sz w:val="24"/>
                <w:lang w:val="en-US" w:eastAsia="zh-CN"/>
              </w:rPr>
            </w:pPr>
            <w:r>
              <w:rPr>
                <w:rFonts w:hint="eastAsia"/>
                <w:b/>
                <w:bCs/>
                <w:color w:val="auto"/>
                <w:sz w:val="24"/>
                <w:lang w:val="en-US" w:eastAsia="zh-CN"/>
              </w:rPr>
              <w:t>2.3</w:t>
            </w:r>
            <w:r>
              <w:rPr>
                <w:b/>
                <w:bCs/>
                <w:color w:val="auto"/>
                <w:sz w:val="24"/>
              </w:rPr>
              <w:t>地表水环境影响评价自查表</w:t>
            </w:r>
          </w:p>
          <w:p>
            <w:pPr>
              <w:spacing w:line="360" w:lineRule="auto"/>
              <w:ind w:firstLine="480" w:firstLineChars="200"/>
              <w:rPr>
                <w:rFonts w:hint="eastAsia"/>
                <w:color w:val="auto"/>
                <w:sz w:val="24"/>
              </w:rPr>
            </w:pPr>
            <w:r>
              <w:rPr>
                <w:rFonts w:hint="eastAsia"/>
                <w:color w:val="auto"/>
                <w:sz w:val="24"/>
              </w:rPr>
              <w:t>本项目</w:t>
            </w:r>
            <w:r>
              <w:rPr>
                <w:color w:val="auto"/>
                <w:sz w:val="24"/>
              </w:rPr>
              <w:t>地表水环境影响评价自查表</w:t>
            </w:r>
            <w:r>
              <w:rPr>
                <w:rFonts w:hint="eastAsia"/>
                <w:color w:val="auto"/>
                <w:sz w:val="24"/>
              </w:rPr>
              <w:t>见附表</w:t>
            </w:r>
            <w:r>
              <w:rPr>
                <w:rFonts w:hint="eastAsia"/>
                <w:color w:val="auto"/>
                <w:sz w:val="24"/>
                <w:lang w:val="en-US" w:eastAsia="zh-CN"/>
              </w:rPr>
              <w:t>23</w:t>
            </w:r>
            <w:r>
              <w:rPr>
                <w:rFonts w:hint="eastAsia"/>
                <w:color w:val="auto"/>
                <w:sz w:val="24"/>
              </w:rPr>
              <w:t>。</w:t>
            </w:r>
          </w:p>
          <w:p>
            <w:pPr>
              <w:pStyle w:val="101"/>
              <w:spacing w:before="78" w:line="240" w:lineRule="auto"/>
              <w:ind w:firstLine="0"/>
              <w:jc w:val="center"/>
              <w:rPr>
                <w:rFonts w:hint="eastAsia" w:ascii="黑体" w:hAnsi="黑体" w:eastAsia="黑体" w:cs="黑体"/>
                <w:b w:val="0"/>
                <w:bCs/>
                <w:color w:val="auto"/>
                <w:szCs w:val="24"/>
              </w:rPr>
            </w:pPr>
            <w:r>
              <w:rPr>
                <w:rFonts w:hint="eastAsia" w:ascii="黑体" w:hAnsi="黑体" w:eastAsia="黑体" w:cs="黑体"/>
                <w:b w:val="0"/>
                <w:bCs/>
                <w:color w:val="auto"/>
                <w:szCs w:val="24"/>
                <w:lang w:eastAsia="zh-CN"/>
              </w:rPr>
              <w:t>表</w:t>
            </w:r>
            <w:r>
              <w:rPr>
                <w:rFonts w:hint="eastAsia" w:ascii="黑体" w:hAnsi="黑体" w:eastAsia="黑体" w:cs="黑体"/>
                <w:b w:val="0"/>
                <w:bCs/>
                <w:color w:val="auto"/>
                <w:szCs w:val="24"/>
                <w:lang w:val="en-US" w:eastAsia="zh-CN"/>
              </w:rPr>
              <w:t xml:space="preserve">23  </w:t>
            </w:r>
            <w:r>
              <w:rPr>
                <w:rFonts w:hint="eastAsia" w:ascii="黑体" w:hAnsi="黑体" w:eastAsia="黑体" w:cs="黑体"/>
                <w:b w:val="0"/>
                <w:bCs/>
                <w:color w:val="auto"/>
                <w:szCs w:val="24"/>
              </w:rPr>
              <w:t>地表水环境影响评价自查表</w:t>
            </w:r>
          </w:p>
          <w:tbl>
            <w:tblPr>
              <w:tblStyle w:val="32"/>
              <w:tblW w:w="9039"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1497"/>
              <w:gridCol w:w="2008"/>
              <w:gridCol w:w="1271"/>
              <w:gridCol w:w="1004"/>
              <w:gridCol w:w="1046"/>
              <w:gridCol w:w="178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2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工作内容</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自查项目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26"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影响识别</w:t>
                  </w: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影响类型</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水污染影响型☑；水文要素影响型□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水环境保护目标</w:t>
                  </w:r>
                </w:p>
              </w:tc>
              <w:tc>
                <w:tcPr>
                  <w:tcW w:w="7116" w:type="dxa"/>
                  <w:gridSpan w:val="5"/>
                  <w:tcBorders>
                    <w:tl2br w:val="nil"/>
                    <w:tr2bl w:val="nil"/>
                  </w:tcBorders>
                  <w:vAlign w:val="center"/>
                </w:tcPr>
                <w:p>
                  <w:pPr>
                    <w:spacing w:line="240" w:lineRule="auto"/>
                    <w:rPr>
                      <w:color w:val="auto"/>
                      <w:kern w:val="0"/>
                      <w:sz w:val="21"/>
                      <w:szCs w:val="21"/>
                    </w:rPr>
                  </w:pPr>
                  <w:r>
                    <w:rPr>
                      <w:color w:val="auto"/>
                      <w:kern w:val="0"/>
                      <w:sz w:val="21"/>
                      <w:szCs w:val="21"/>
                    </w:rPr>
                    <w:t>饮用水水源保护区□；饮用水取水口□；涉水的自然保护区□；涉水的风景名胜区□；重要湿地□；重点保护与珍稀水生生物的栖息地□；重要水生生物的自然产卵场及索饵场、越冬场和洄游通道□；天然渔场等渔业水体□；水产种质资源保护区□；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影响途径</w:t>
                  </w:r>
                </w:p>
              </w:tc>
              <w:tc>
                <w:tcPr>
                  <w:tcW w:w="4283" w:type="dxa"/>
                  <w:gridSpan w:val="3"/>
                  <w:tcBorders>
                    <w:tl2br w:val="nil"/>
                    <w:tr2bl w:val="nil"/>
                  </w:tcBorders>
                  <w:vAlign w:val="center"/>
                </w:tcPr>
                <w:p>
                  <w:pPr>
                    <w:spacing w:line="240" w:lineRule="auto"/>
                    <w:jc w:val="center"/>
                    <w:rPr>
                      <w:color w:val="auto"/>
                      <w:kern w:val="0"/>
                      <w:sz w:val="21"/>
                      <w:szCs w:val="21"/>
                    </w:rPr>
                  </w:pPr>
                  <w:r>
                    <w:rPr>
                      <w:color w:val="auto"/>
                      <w:kern w:val="0"/>
                      <w:sz w:val="21"/>
                      <w:szCs w:val="21"/>
                    </w:rPr>
                    <w:t>水污染影响型</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水文要素影响型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4283" w:type="dxa"/>
                  <w:gridSpan w:val="3"/>
                  <w:tcBorders>
                    <w:tl2br w:val="nil"/>
                    <w:tr2bl w:val="nil"/>
                  </w:tcBorders>
                  <w:vAlign w:val="center"/>
                </w:tcPr>
                <w:p>
                  <w:pPr>
                    <w:spacing w:line="240" w:lineRule="auto"/>
                    <w:jc w:val="center"/>
                    <w:rPr>
                      <w:color w:val="auto"/>
                      <w:kern w:val="0"/>
                      <w:sz w:val="21"/>
                      <w:szCs w:val="21"/>
                    </w:rPr>
                  </w:pPr>
                  <w:r>
                    <w:rPr>
                      <w:color w:val="auto"/>
                      <w:kern w:val="0"/>
                      <w:sz w:val="21"/>
                      <w:szCs w:val="21"/>
                    </w:rPr>
                    <w:t>直接排放□；间接排放□；其他☑</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水温□；径流□；水域面积□</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影响因子</w:t>
                  </w:r>
                </w:p>
              </w:tc>
              <w:tc>
                <w:tcPr>
                  <w:tcW w:w="4283" w:type="dxa"/>
                  <w:gridSpan w:val="3"/>
                  <w:tcBorders>
                    <w:tl2br w:val="nil"/>
                    <w:tr2bl w:val="nil"/>
                  </w:tcBorders>
                  <w:vAlign w:val="center"/>
                </w:tcPr>
                <w:p>
                  <w:pPr>
                    <w:spacing w:line="240" w:lineRule="auto"/>
                    <w:jc w:val="center"/>
                    <w:rPr>
                      <w:color w:val="auto"/>
                      <w:kern w:val="0"/>
                      <w:sz w:val="21"/>
                      <w:szCs w:val="21"/>
                    </w:rPr>
                  </w:pPr>
                  <w:r>
                    <w:rPr>
                      <w:color w:val="auto"/>
                      <w:kern w:val="0"/>
                      <w:sz w:val="21"/>
                      <w:szCs w:val="21"/>
                    </w:rPr>
                    <w:t>持久性污染物□；有毒有害污染物□；非持久性污染物□；</w:t>
                  </w:r>
                </w:p>
                <w:p>
                  <w:pPr>
                    <w:spacing w:line="240" w:lineRule="auto"/>
                    <w:jc w:val="center"/>
                    <w:rPr>
                      <w:color w:val="auto"/>
                      <w:kern w:val="0"/>
                      <w:sz w:val="21"/>
                      <w:szCs w:val="21"/>
                    </w:rPr>
                  </w:pPr>
                  <w:r>
                    <w:rPr>
                      <w:color w:val="auto"/>
                      <w:kern w:val="0"/>
                      <w:sz w:val="21"/>
                      <w:szCs w:val="21"/>
                    </w:rPr>
                    <w:t>pH值□；热污染□；富营养化□；其他☑</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水温□；水位（水深）□；流速□；流量□；其他□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23" w:type="dxa"/>
                  <w:gridSpan w:val="2"/>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评价等级</w:t>
                  </w:r>
                </w:p>
              </w:tc>
              <w:tc>
                <w:tcPr>
                  <w:tcW w:w="4283" w:type="dxa"/>
                  <w:gridSpan w:val="3"/>
                  <w:tcBorders>
                    <w:tl2br w:val="nil"/>
                    <w:tr2bl w:val="nil"/>
                  </w:tcBorders>
                  <w:vAlign w:val="center"/>
                </w:tcPr>
                <w:p>
                  <w:pPr>
                    <w:spacing w:line="240" w:lineRule="auto"/>
                    <w:jc w:val="center"/>
                    <w:rPr>
                      <w:color w:val="auto"/>
                      <w:kern w:val="0"/>
                      <w:sz w:val="21"/>
                      <w:szCs w:val="21"/>
                    </w:rPr>
                  </w:pPr>
                  <w:r>
                    <w:rPr>
                      <w:color w:val="auto"/>
                      <w:kern w:val="0"/>
                      <w:sz w:val="21"/>
                      <w:szCs w:val="21"/>
                    </w:rPr>
                    <w:t>水污染影响型</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水文要素影响型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23" w:type="dxa"/>
                  <w:gridSpan w:val="2"/>
                  <w:vMerge w:val="continue"/>
                  <w:tcBorders>
                    <w:tl2br w:val="nil"/>
                    <w:tr2bl w:val="nil"/>
                  </w:tcBorders>
                  <w:vAlign w:val="center"/>
                </w:tcPr>
                <w:p>
                  <w:pPr>
                    <w:spacing w:line="240" w:lineRule="auto"/>
                    <w:jc w:val="center"/>
                    <w:rPr>
                      <w:color w:val="auto"/>
                      <w:kern w:val="0"/>
                      <w:sz w:val="21"/>
                      <w:szCs w:val="21"/>
                    </w:rPr>
                  </w:pPr>
                </w:p>
              </w:tc>
              <w:tc>
                <w:tcPr>
                  <w:tcW w:w="4283" w:type="dxa"/>
                  <w:gridSpan w:val="3"/>
                  <w:tcBorders>
                    <w:tl2br w:val="nil"/>
                    <w:tr2bl w:val="nil"/>
                  </w:tcBorders>
                  <w:vAlign w:val="center"/>
                </w:tcPr>
                <w:p>
                  <w:pPr>
                    <w:spacing w:line="240" w:lineRule="auto"/>
                    <w:jc w:val="center"/>
                    <w:rPr>
                      <w:color w:val="auto"/>
                      <w:kern w:val="0"/>
                      <w:sz w:val="21"/>
                      <w:szCs w:val="21"/>
                    </w:rPr>
                  </w:pPr>
                  <w:r>
                    <w:rPr>
                      <w:color w:val="auto"/>
                      <w:kern w:val="0"/>
                      <w:sz w:val="21"/>
                      <w:szCs w:val="21"/>
                    </w:rPr>
                    <w:t>一级□；二级□；三级A□；三级B☑</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一级□；二级□；三级□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现状调查</w:t>
                  </w:r>
                </w:p>
              </w:tc>
              <w:tc>
                <w:tcPr>
                  <w:tcW w:w="1497"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区域污染源</w:t>
                  </w:r>
                </w:p>
              </w:tc>
              <w:tc>
                <w:tcPr>
                  <w:tcW w:w="4283" w:type="dxa"/>
                  <w:gridSpan w:val="3"/>
                  <w:tcBorders>
                    <w:tl2br w:val="nil"/>
                    <w:tr2bl w:val="nil"/>
                  </w:tcBorders>
                  <w:vAlign w:val="center"/>
                </w:tcPr>
                <w:p>
                  <w:pPr>
                    <w:spacing w:line="240" w:lineRule="auto"/>
                    <w:jc w:val="center"/>
                    <w:rPr>
                      <w:color w:val="auto"/>
                      <w:kern w:val="0"/>
                      <w:sz w:val="21"/>
                      <w:szCs w:val="21"/>
                    </w:rPr>
                  </w:pPr>
                  <w:r>
                    <w:rPr>
                      <w:color w:val="auto"/>
                      <w:kern w:val="0"/>
                      <w:sz w:val="21"/>
                      <w:szCs w:val="21"/>
                    </w:rPr>
                    <w:t>调查项目</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数据来源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3279"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已建□；在建□；拟建□；</w:t>
                  </w:r>
                </w:p>
                <w:p>
                  <w:pPr>
                    <w:spacing w:line="240" w:lineRule="auto"/>
                    <w:jc w:val="center"/>
                    <w:rPr>
                      <w:rFonts w:hint="eastAsia" w:eastAsia="宋体"/>
                      <w:color w:val="auto"/>
                      <w:kern w:val="0"/>
                      <w:sz w:val="21"/>
                      <w:szCs w:val="21"/>
                      <w:lang w:eastAsia="zh-CN"/>
                    </w:rPr>
                  </w:pPr>
                  <w:r>
                    <w:rPr>
                      <w:color w:val="auto"/>
                      <w:kern w:val="0"/>
                      <w:sz w:val="21"/>
                      <w:szCs w:val="21"/>
                    </w:rPr>
                    <w:t>其他</w:t>
                  </w:r>
                  <w:r>
                    <w:rPr>
                      <w:rFonts w:hint="eastAsia"/>
                      <w:color w:val="auto"/>
                      <w:kern w:val="0"/>
                      <w:sz w:val="21"/>
                      <w:szCs w:val="21"/>
                      <w:lang w:eastAsia="zh-CN"/>
                    </w:rPr>
                    <w:t>□</w:t>
                  </w:r>
                </w:p>
              </w:tc>
              <w:tc>
                <w:tcPr>
                  <w:tcW w:w="1004" w:type="dxa"/>
                  <w:tcBorders>
                    <w:tl2br w:val="nil"/>
                    <w:tr2bl w:val="nil"/>
                  </w:tcBorders>
                  <w:vAlign w:val="center"/>
                </w:tcPr>
                <w:p>
                  <w:pPr>
                    <w:spacing w:line="240" w:lineRule="auto"/>
                    <w:jc w:val="center"/>
                    <w:rPr>
                      <w:color w:val="auto"/>
                      <w:kern w:val="0"/>
                      <w:sz w:val="21"/>
                      <w:szCs w:val="21"/>
                    </w:rPr>
                  </w:pPr>
                  <w:r>
                    <w:rPr>
                      <w:color w:val="auto"/>
                      <w:kern w:val="0"/>
                      <w:sz w:val="21"/>
                      <w:szCs w:val="21"/>
                    </w:rPr>
                    <w:t>拟替代的污染源□</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排污许可证□；环评□；环保验收□；既有实测□；现场监测□；入河排放口数据□；其他□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受影响水体水环境质量</w:t>
                  </w:r>
                </w:p>
              </w:tc>
              <w:tc>
                <w:tcPr>
                  <w:tcW w:w="4283" w:type="dxa"/>
                  <w:gridSpan w:val="3"/>
                  <w:tcBorders>
                    <w:tl2br w:val="nil"/>
                    <w:tr2bl w:val="nil"/>
                  </w:tcBorders>
                  <w:vAlign w:val="center"/>
                </w:tcPr>
                <w:p>
                  <w:pPr>
                    <w:spacing w:line="240" w:lineRule="auto"/>
                    <w:jc w:val="center"/>
                    <w:rPr>
                      <w:color w:val="auto"/>
                      <w:kern w:val="0"/>
                      <w:sz w:val="21"/>
                      <w:szCs w:val="21"/>
                    </w:rPr>
                  </w:pPr>
                  <w:r>
                    <w:rPr>
                      <w:color w:val="auto"/>
                      <w:kern w:val="0"/>
                      <w:sz w:val="21"/>
                      <w:szCs w:val="21"/>
                    </w:rPr>
                    <w:t>调查时期</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数据来源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4283" w:type="dxa"/>
                  <w:gridSpan w:val="3"/>
                  <w:tcBorders>
                    <w:tl2br w:val="nil"/>
                    <w:tr2bl w:val="nil"/>
                  </w:tcBorders>
                  <w:vAlign w:val="center"/>
                </w:tcPr>
                <w:p>
                  <w:pPr>
                    <w:spacing w:line="240" w:lineRule="auto"/>
                    <w:jc w:val="center"/>
                    <w:rPr>
                      <w:rFonts w:hint="eastAsia" w:eastAsia="宋体"/>
                      <w:color w:val="auto"/>
                      <w:kern w:val="0"/>
                      <w:sz w:val="21"/>
                      <w:szCs w:val="21"/>
                      <w:lang w:eastAsia="zh-CN"/>
                    </w:rPr>
                  </w:pPr>
                  <w:r>
                    <w:rPr>
                      <w:color w:val="auto"/>
                      <w:kern w:val="0"/>
                      <w:sz w:val="21"/>
                      <w:szCs w:val="21"/>
                    </w:rPr>
                    <w:t>丰水期□；平水期□；枯水期</w:t>
                  </w:r>
                  <w:r>
                    <w:rPr>
                      <w:rFonts w:hint="eastAsia"/>
                      <w:color w:val="auto"/>
                      <w:kern w:val="0"/>
                      <w:sz w:val="21"/>
                      <w:szCs w:val="21"/>
                      <w:lang w:eastAsia="zh-CN"/>
                    </w:rPr>
                    <w:t>□</w:t>
                  </w:r>
                  <w:r>
                    <w:rPr>
                      <w:color w:val="auto"/>
                      <w:kern w:val="0"/>
                      <w:sz w:val="21"/>
                      <w:szCs w:val="21"/>
                    </w:rPr>
                    <w:t>；冰封期□春季□；夏季□；秋季□；冬季</w:t>
                  </w:r>
                  <w:r>
                    <w:rPr>
                      <w:rFonts w:hint="eastAsia"/>
                      <w:color w:val="auto"/>
                      <w:kern w:val="0"/>
                      <w:sz w:val="21"/>
                      <w:szCs w:val="21"/>
                      <w:lang w:eastAsia="zh-CN"/>
                    </w:rPr>
                    <w:t>□</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生态环境保护主管部门</w:t>
                  </w:r>
                  <w:r>
                    <w:rPr>
                      <w:rFonts w:hint="eastAsia"/>
                      <w:color w:val="auto"/>
                      <w:kern w:val="0"/>
                      <w:sz w:val="21"/>
                      <w:szCs w:val="21"/>
                      <w:lang w:eastAsia="zh-CN"/>
                    </w:rPr>
                    <w:t>□</w:t>
                  </w:r>
                  <w:r>
                    <w:rPr>
                      <w:color w:val="auto"/>
                      <w:kern w:val="0"/>
                      <w:sz w:val="21"/>
                      <w:szCs w:val="21"/>
                    </w:rPr>
                    <w:t>；补充监测□；其他□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区域水资源开发利用状况</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未开发□；开发量40%以下□；开发量40%以上□</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水文情势调查</w:t>
                  </w:r>
                </w:p>
              </w:tc>
              <w:tc>
                <w:tcPr>
                  <w:tcW w:w="4283" w:type="dxa"/>
                  <w:gridSpan w:val="3"/>
                  <w:tcBorders>
                    <w:tl2br w:val="nil"/>
                    <w:tr2bl w:val="nil"/>
                  </w:tcBorders>
                  <w:vAlign w:val="center"/>
                </w:tcPr>
                <w:p>
                  <w:pPr>
                    <w:spacing w:line="240" w:lineRule="auto"/>
                    <w:jc w:val="center"/>
                    <w:rPr>
                      <w:color w:val="auto"/>
                      <w:kern w:val="0"/>
                      <w:sz w:val="21"/>
                      <w:szCs w:val="21"/>
                    </w:rPr>
                  </w:pPr>
                  <w:r>
                    <w:rPr>
                      <w:color w:val="auto"/>
                      <w:kern w:val="0"/>
                      <w:sz w:val="21"/>
                      <w:szCs w:val="21"/>
                    </w:rPr>
                    <w:t>调查时期</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数据来源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4283" w:type="dxa"/>
                  <w:gridSpan w:val="3"/>
                  <w:tcBorders>
                    <w:tl2br w:val="nil"/>
                    <w:tr2bl w:val="nil"/>
                  </w:tcBorders>
                  <w:vAlign w:val="center"/>
                </w:tcPr>
                <w:p>
                  <w:pPr>
                    <w:spacing w:line="240" w:lineRule="auto"/>
                    <w:jc w:val="center"/>
                    <w:rPr>
                      <w:rFonts w:hint="eastAsia" w:eastAsia="宋体"/>
                      <w:color w:val="auto"/>
                      <w:kern w:val="0"/>
                      <w:sz w:val="21"/>
                      <w:szCs w:val="21"/>
                      <w:lang w:eastAsia="zh-CN"/>
                    </w:rPr>
                  </w:pPr>
                  <w:r>
                    <w:rPr>
                      <w:color w:val="auto"/>
                      <w:kern w:val="0"/>
                      <w:sz w:val="21"/>
                      <w:szCs w:val="21"/>
                    </w:rPr>
                    <w:t>丰水期□；平水期□；枯水期</w:t>
                  </w:r>
                  <w:r>
                    <w:rPr>
                      <w:rFonts w:hint="eastAsia"/>
                      <w:color w:val="auto"/>
                      <w:kern w:val="0"/>
                      <w:sz w:val="21"/>
                      <w:szCs w:val="21"/>
                      <w:lang w:eastAsia="zh-CN"/>
                    </w:rPr>
                    <w:t>□</w:t>
                  </w:r>
                  <w:r>
                    <w:rPr>
                      <w:color w:val="auto"/>
                      <w:kern w:val="0"/>
                      <w:sz w:val="21"/>
                      <w:szCs w:val="21"/>
                    </w:rPr>
                    <w:t>；冰封期□春季□；夏季□；秋季□；冬季</w:t>
                  </w:r>
                  <w:r>
                    <w:rPr>
                      <w:rFonts w:hint="eastAsia"/>
                      <w:color w:val="auto"/>
                      <w:kern w:val="0"/>
                      <w:sz w:val="21"/>
                      <w:szCs w:val="21"/>
                      <w:lang w:eastAsia="zh-CN"/>
                    </w:rPr>
                    <w:t>□</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水行政主管部门□；补充监测□；其他□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补充监测</w:t>
                  </w:r>
                </w:p>
              </w:tc>
              <w:tc>
                <w:tcPr>
                  <w:tcW w:w="3279"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监测时期</w:t>
                  </w:r>
                </w:p>
              </w:tc>
              <w:tc>
                <w:tcPr>
                  <w:tcW w:w="1004" w:type="dxa"/>
                  <w:tcBorders>
                    <w:tl2br w:val="nil"/>
                    <w:tr2bl w:val="nil"/>
                  </w:tcBorders>
                  <w:vAlign w:val="center"/>
                </w:tcPr>
                <w:p>
                  <w:pPr>
                    <w:spacing w:line="240" w:lineRule="auto"/>
                    <w:jc w:val="center"/>
                    <w:rPr>
                      <w:color w:val="auto"/>
                      <w:kern w:val="0"/>
                      <w:sz w:val="21"/>
                      <w:szCs w:val="21"/>
                    </w:rPr>
                  </w:pPr>
                  <w:r>
                    <w:rPr>
                      <w:color w:val="auto"/>
                      <w:kern w:val="0"/>
                      <w:sz w:val="21"/>
                      <w:szCs w:val="21"/>
                    </w:rPr>
                    <w:t>监测因子</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监测断面或点位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3279"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丰水期□；平水期□；枯水期□；冰封期□春季□；夏季□；秋季□；冬季□</w:t>
                  </w:r>
                </w:p>
              </w:tc>
              <w:tc>
                <w:tcPr>
                  <w:tcW w:w="1004" w:type="dxa"/>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监测断面或点位个数</w:t>
                  </w:r>
                </w:p>
                <w:p>
                  <w:pPr>
                    <w:spacing w:line="240" w:lineRule="auto"/>
                    <w:jc w:val="center"/>
                    <w:rPr>
                      <w:color w:val="auto"/>
                      <w:kern w:val="0"/>
                      <w:sz w:val="21"/>
                      <w:szCs w:val="21"/>
                    </w:rPr>
                  </w:pPr>
                  <w:r>
                    <w:rPr>
                      <w:color w:val="auto"/>
                      <w:kern w:val="0"/>
                      <w:sz w:val="21"/>
                      <w:szCs w:val="21"/>
                    </w:rPr>
                    <w:t>（）个</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现状评价</w:t>
                  </w: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评价范围</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河流：长度（）km；湖库、河口及近岸海域：面积（）km</w:t>
                  </w:r>
                  <w:r>
                    <w:rPr>
                      <w:color w:val="auto"/>
                      <w:kern w:val="0"/>
                      <w:sz w:val="21"/>
                      <w:szCs w:val="21"/>
                      <w:vertAlign w:val="superscript"/>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评价因子</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评价标准</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河流、湖库、河口：Ⅰ类□；Ⅱ类□；Ⅲ类□；Ⅳ类□；Ⅴ类□</w:t>
                  </w:r>
                </w:p>
                <w:p>
                  <w:pPr>
                    <w:spacing w:line="240" w:lineRule="auto"/>
                    <w:jc w:val="center"/>
                    <w:rPr>
                      <w:color w:val="auto"/>
                      <w:kern w:val="0"/>
                      <w:sz w:val="21"/>
                      <w:szCs w:val="21"/>
                    </w:rPr>
                  </w:pPr>
                  <w:r>
                    <w:rPr>
                      <w:color w:val="auto"/>
                      <w:kern w:val="0"/>
                      <w:sz w:val="21"/>
                      <w:szCs w:val="21"/>
                    </w:rPr>
                    <w:t>近岸海域：第一类□；第二类□；第三类□；第四类□</w:t>
                  </w:r>
                </w:p>
                <w:p>
                  <w:pPr>
                    <w:spacing w:line="240" w:lineRule="auto"/>
                    <w:jc w:val="center"/>
                    <w:rPr>
                      <w:color w:val="auto"/>
                      <w:kern w:val="0"/>
                      <w:sz w:val="21"/>
                      <w:szCs w:val="21"/>
                    </w:rPr>
                  </w:pPr>
                  <w:r>
                    <w:rPr>
                      <w:color w:val="auto"/>
                      <w:kern w:val="0"/>
                      <w:sz w:val="21"/>
                      <w:szCs w:val="21"/>
                    </w:rPr>
                    <w:t>规划年评价标准（）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评价时期</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丰水期□；平水期□；枯水期□；冰封期□</w:t>
                  </w:r>
                </w:p>
                <w:p>
                  <w:pPr>
                    <w:spacing w:line="240" w:lineRule="auto"/>
                    <w:jc w:val="center"/>
                    <w:rPr>
                      <w:color w:val="auto"/>
                      <w:kern w:val="0"/>
                      <w:sz w:val="21"/>
                      <w:szCs w:val="21"/>
                    </w:rPr>
                  </w:pPr>
                  <w:r>
                    <w:rPr>
                      <w:color w:val="auto"/>
                      <w:kern w:val="0"/>
                      <w:sz w:val="21"/>
                      <w:szCs w:val="21"/>
                    </w:rPr>
                    <w:t>春季□；夏季□；秋季□；冬季□</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评价结论</w:t>
                  </w:r>
                </w:p>
              </w:tc>
              <w:tc>
                <w:tcPr>
                  <w:tcW w:w="4283" w:type="dxa"/>
                  <w:gridSpan w:val="3"/>
                  <w:tcBorders>
                    <w:tl2br w:val="nil"/>
                    <w:tr2bl w:val="nil"/>
                  </w:tcBorders>
                  <w:vAlign w:val="center"/>
                </w:tcPr>
                <w:p>
                  <w:pPr>
                    <w:spacing w:line="240" w:lineRule="auto"/>
                    <w:rPr>
                      <w:color w:val="auto"/>
                      <w:kern w:val="0"/>
                      <w:sz w:val="21"/>
                      <w:szCs w:val="21"/>
                    </w:rPr>
                  </w:pPr>
                  <w:r>
                    <w:rPr>
                      <w:color w:val="auto"/>
                      <w:kern w:val="0"/>
                      <w:sz w:val="21"/>
                      <w:szCs w:val="21"/>
                    </w:rPr>
                    <w:t>水环境功能区或水功能区、近岸海域环境功能区水质达标状况：达标□；不达标□水环境控制单元或断面水质达标状况：达标</w:t>
                  </w:r>
                  <w:r>
                    <w:rPr>
                      <w:rFonts w:hint="eastAsia" w:ascii="MS Mincho" w:hAnsi="MS Mincho" w:eastAsia="MS Mincho" w:cs="MS Mincho"/>
                      <w:color w:val="auto"/>
                      <w:kern w:val="0"/>
                      <w:sz w:val="21"/>
                      <w:szCs w:val="21"/>
                    </w:rPr>
                    <w:t>☑</w:t>
                  </w:r>
                  <w:r>
                    <w:rPr>
                      <w:color w:val="auto"/>
                      <w:kern w:val="0"/>
                      <w:sz w:val="21"/>
                      <w:szCs w:val="21"/>
                    </w:rPr>
                    <w:t>；不达标□水环境保护目标质量状况：达标□；不达标□对照断面、控制断面等代表性断面的水质状况：达标□；不达标□底泥污染评价□水资源与开发利用程度及其水文情势评价□水环境质量回顾评价□流域（区域）水资源（包括水能资源）与开发利用总体状况、生态流量管理要求与现状满足程度、建设项目占用水域空间的水流状况与河湖演变状况□</w:t>
                  </w:r>
                </w:p>
              </w:tc>
              <w:tc>
                <w:tcPr>
                  <w:tcW w:w="2833" w:type="dxa"/>
                  <w:gridSpan w:val="2"/>
                  <w:tcBorders>
                    <w:tl2br w:val="nil"/>
                    <w:tr2bl w:val="nil"/>
                  </w:tcBorders>
                  <w:vAlign w:val="center"/>
                </w:tcPr>
                <w:p>
                  <w:pPr>
                    <w:spacing w:line="240" w:lineRule="auto"/>
                    <w:jc w:val="center"/>
                    <w:rPr>
                      <w:rFonts w:ascii="MS Mincho" w:hAnsi="MS Mincho" w:cs="MS Mincho" w:eastAsiaTheme="minorEastAsia"/>
                      <w:color w:val="auto"/>
                      <w:kern w:val="0"/>
                      <w:sz w:val="21"/>
                      <w:szCs w:val="21"/>
                    </w:rPr>
                  </w:pPr>
                  <w:r>
                    <w:rPr>
                      <w:color w:val="auto"/>
                      <w:kern w:val="0"/>
                      <w:sz w:val="21"/>
                      <w:szCs w:val="21"/>
                    </w:rPr>
                    <w:t>达标区</w:t>
                  </w:r>
                  <w:r>
                    <w:rPr>
                      <w:rFonts w:hint="eastAsia" w:ascii="MS Mincho" w:hAnsi="MS Mincho" w:eastAsia="MS Mincho" w:cs="MS Mincho"/>
                      <w:color w:val="auto"/>
                      <w:kern w:val="0"/>
                      <w:sz w:val="21"/>
                      <w:szCs w:val="21"/>
                    </w:rPr>
                    <w:t>☑</w:t>
                  </w:r>
                </w:p>
                <w:p>
                  <w:pPr>
                    <w:spacing w:line="240" w:lineRule="auto"/>
                    <w:jc w:val="center"/>
                    <w:rPr>
                      <w:color w:val="auto"/>
                      <w:kern w:val="0"/>
                      <w:sz w:val="21"/>
                      <w:szCs w:val="21"/>
                    </w:rPr>
                  </w:pPr>
                  <w:r>
                    <w:rPr>
                      <w:color w:val="auto"/>
                      <w:kern w:val="0"/>
                      <w:sz w:val="21"/>
                      <w:szCs w:val="21"/>
                    </w:rPr>
                    <w:t>不达标区□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影响预测</w:t>
                  </w: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预测范围</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河流：长度（）km；湖库、河口及近岸海域：面积（）km</w:t>
                  </w:r>
                  <w:r>
                    <w:rPr>
                      <w:color w:val="auto"/>
                      <w:kern w:val="0"/>
                      <w:sz w:val="21"/>
                      <w:szCs w:val="21"/>
                      <w:vertAlign w:val="superscript"/>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预测因子</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预测时期</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丰水期□；平水期□；枯水期□；冰封期□</w:t>
                  </w:r>
                </w:p>
                <w:p>
                  <w:pPr>
                    <w:spacing w:line="240" w:lineRule="auto"/>
                    <w:jc w:val="center"/>
                    <w:rPr>
                      <w:color w:val="auto"/>
                      <w:kern w:val="0"/>
                      <w:sz w:val="21"/>
                      <w:szCs w:val="21"/>
                    </w:rPr>
                  </w:pPr>
                  <w:r>
                    <w:rPr>
                      <w:color w:val="auto"/>
                      <w:kern w:val="0"/>
                      <w:sz w:val="21"/>
                      <w:szCs w:val="21"/>
                    </w:rPr>
                    <w:t>春季□；夏季□；秋季□；冬季□</w:t>
                  </w:r>
                </w:p>
                <w:p>
                  <w:pPr>
                    <w:spacing w:line="240" w:lineRule="auto"/>
                    <w:jc w:val="center"/>
                    <w:rPr>
                      <w:color w:val="auto"/>
                      <w:kern w:val="0"/>
                      <w:sz w:val="21"/>
                      <w:szCs w:val="21"/>
                    </w:rPr>
                  </w:pPr>
                  <w:r>
                    <w:rPr>
                      <w:color w:val="auto"/>
                      <w:kern w:val="0"/>
                      <w:sz w:val="21"/>
                      <w:szCs w:val="21"/>
                    </w:rPr>
                    <w:t>设计水文条件□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预测背景</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建设期□；生产运行期□；服务期满后□</w:t>
                  </w:r>
                </w:p>
                <w:p>
                  <w:pPr>
                    <w:spacing w:line="240" w:lineRule="auto"/>
                    <w:jc w:val="center"/>
                    <w:rPr>
                      <w:color w:val="auto"/>
                      <w:kern w:val="0"/>
                      <w:sz w:val="21"/>
                      <w:szCs w:val="21"/>
                    </w:rPr>
                  </w:pPr>
                  <w:r>
                    <w:rPr>
                      <w:color w:val="auto"/>
                      <w:kern w:val="0"/>
                      <w:sz w:val="21"/>
                      <w:szCs w:val="21"/>
                    </w:rPr>
                    <w:t>正常工况□；非正常工况□</w:t>
                  </w:r>
                </w:p>
                <w:p>
                  <w:pPr>
                    <w:spacing w:line="240" w:lineRule="auto"/>
                    <w:jc w:val="center"/>
                    <w:rPr>
                      <w:color w:val="auto"/>
                      <w:kern w:val="0"/>
                      <w:sz w:val="21"/>
                      <w:szCs w:val="21"/>
                    </w:rPr>
                  </w:pPr>
                  <w:r>
                    <w:rPr>
                      <w:color w:val="auto"/>
                      <w:kern w:val="0"/>
                      <w:sz w:val="21"/>
                      <w:szCs w:val="21"/>
                    </w:rPr>
                    <w:t>污染控制和减缓措施方案□</w:t>
                  </w:r>
                </w:p>
                <w:p>
                  <w:pPr>
                    <w:spacing w:line="240" w:lineRule="auto"/>
                    <w:jc w:val="center"/>
                    <w:rPr>
                      <w:color w:val="auto"/>
                      <w:kern w:val="0"/>
                      <w:sz w:val="21"/>
                      <w:szCs w:val="21"/>
                    </w:rPr>
                  </w:pPr>
                  <w:r>
                    <w:rPr>
                      <w:color w:val="auto"/>
                      <w:kern w:val="0"/>
                      <w:sz w:val="21"/>
                      <w:szCs w:val="21"/>
                    </w:rPr>
                    <w:t>区（流）域环境质量改善目标要求情景□</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预测方法</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数值解□：解析解□；其他□</w:t>
                  </w:r>
                </w:p>
                <w:p>
                  <w:pPr>
                    <w:spacing w:line="240" w:lineRule="auto"/>
                    <w:jc w:val="center"/>
                    <w:rPr>
                      <w:color w:val="auto"/>
                      <w:kern w:val="0"/>
                      <w:sz w:val="21"/>
                      <w:szCs w:val="21"/>
                    </w:rPr>
                  </w:pPr>
                  <w:r>
                    <w:rPr>
                      <w:color w:val="auto"/>
                      <w:kern w:val="0"/>
                      <w:sz w:val="21"/>
                      <w:szCs w:val="21"/>
                    </w:rPr>
                    <w:t>导则推荐模式□：其他□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影响评价</w:t>
                  </w: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水污染控制和水环境影响减缓措施有效性评价</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区（流）域水环境质量改善目标□；替代削减源□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水环境影响评价</w:t>
                  </w:r>
                </w:p>
              </w:tc>
              <w:tc>
                <w:tcPr>
                  <w:tcW w:w="7116" w:type="dxa"/>
                  <w:gridSpan w:val="5"/>
                  <w:tcBorders>
                    <w:tl2br w:val="nil"/>
                    <w:tr2bl w:val="nil"/>
                  </w:tcBorders>
                  <w:vAlign w:val="center"/>
                </w:tcPr>
                <w:p>
                  <w:pPr>
                    <w:spacing w:line="240" w:lineRule="auto"/>
                    <w:rPr>
                      <w:color w:val="auto"/>
                      <w:kern w:val="0"/>
                      <w:sz w:val="21"/>
                      <w:szCs w:val="21"/>
                    </w:rPr>
                  </w:pPr>
                  <w:r>
                    <w:rPr>
                      <w:color w:val="auto"/>
                      <w:kern w:val="0"/>
                      <w:sz w:val="21"/>
                      <w:szCs w:val="21"/>
                    </w:rPr>
                    <w:t>排放口混合区外满足水环境管理要求□</w:t>
                  </w:r>
                </w:p>
                <w:p>
                  <w:pPr>
                    <w:spacing w:line="240" w:lineRule="auto"/>
                    <w:rPr>
                      <w:color w:val="auto"/>
                      <w:kern w:val="0"/>
                      <w:sz w:val="21"/>
                      <w:szCs w:val="21"/>
                    </w:rPr>
                  </w:pPr>
                  <w:r>
                    <w:rPr>
                      <w:color w:val="auto"/>
                      <w:kern w:val="0"/>
                      <w:sz w:val="21"/>
                      <w:szCs w:val="21"/>
                    </w:rPr>
                    <w:t>水环境功能区或水功能区、近岸海域环境功能区水质达标□</w:t>
                  </w:r>
                </w:p>
                <w:p>
                  <w:pPr>
                    <w:spacing w:line="240" w:lineRule="auto"/>
                    <w:rPr>
                      <w:rFonts w:hint="eastAsia" w:eastAsia="宋体"/>
                      <w:color w:val="auto"/>
                      <w:kern w:val="0"/>
                      <w:sz w:val="21"/>
                      <w:szCs w:val="21"/>
                      <w:lang w:eastAsia="zh-CN"/>
                    </w:rPr>
                  </w:pPr>
                  <w:r>
                    <w:rPr>
                      <w:color w:val="auto"/>
                      <w:kern w:val="0"/>
                      <w:sz w:val="21"/>
                      <w:szCs w:val="21"/>
                    </w:rPr>
                    <w:t>满足水环境保护目标水域水环境质量要求□</w:t>
                  </w:r>
                </w:p>
                <w:p>
                  <w:pPr>
                    <w:spacing w:line="240" w:lineRule="auto"/>
                    <w:rPr>
                      <w:color w:val="auto"/>
                      <w:kern w:val="0"/>
                      <w:sz w:val="21"/>
                      <w:szCs w:val="21"/>
                    </w:rPr>
                  </w:pPr>
                  <w:r>
                    <w:rPr>
                      <w:color w:val="auto"/>
                      <w:kern w:val="0"/>
                      <w:sz w:val="21"/>
                      <w:szCs w:val="21"/>
                    </w:rPr>
                    <w:t>水环境控制单元或断面水质达标☑</w:t>
                  </w:r>
                </w:p>
                <w:p>
                  <w:pPr>
                    <w:spacing w:line="240" w:lineRule="auto"/>
                    <w:rPr>
                      <w:color w:val="auto"/>
                      <w:kern w:val="0"/>
                      <w:sz w:val="21"/>
                      <w:szCs w:val="21"/>
                    </w:rPr>
                  </w:pPr>
                  <w:r>
                    <w:rPr>
                      <w:color w:val="auto"/>
                      <w:kern w:val="0"/>
                      <w:sz w:val="21"/>
                      <w:szCs w:val="21"/>
                    </w:rPr>
                    <w:t>满足重点水污染物排放总量控制指标要求，重点行业建设项目，主要污染物排放满足等量或减量替代要求□</w:t>
                  </w:r>
                </w:p>
                <w:p>
                  <w:pPr>
                    <w:spacing w:line="240" w:lineRule="auto"/>
                    <w:rPr>
                      <w:color w:val="auto"/>
                      <w:kern w:val="0"/>
                      <w:sz w:val="21"/>
                      <w:szCs w:val="21"/>
                    </w:rPr>
                  </w:pPr>
                  <w:r>
                    <w:rPr>
                      <w:color w:val="auto"/>
                      <w:kern w:val="0"/>
                      <w:sz w:val="21"/>
                      <w:szCs w:val="21"/>
                    </w:rPr>
                    <w:t>满足区（流）域水环境质量改善目标要求□</w:t>
                  </w:r>
                </w:p>
                <w:p>
                  <w:pPr>
                    <w:spacing w:line="240" w:lineRule="auto"/>
                    <w:rPr>
                      <w:color w:val="auto"/>
                      <w:kern w:val="0"/>
                      <w:sz w:val="21"/>
                      <w:szCs w:val="21"/>
                    </w:rPr>
                  </w:pPr>
                  <w:r>
                    <w:rPr>
                      <w:color w:val="auto"/>
                      <w:kern w:val="0"/>
                      <w:sz w:val="21"/>
                      <w:szCs w:val="21"/>
                    </w:rPr>
                    <w:t>水文要素影响型建设项目同时应包括水文情势变化评价、主要水文特征值影响评价、生态流量符合性评价□</w:t>
                  </w:r>
                </w:p>
                <w:p>
                  <w:pPr>
                    <w:spacing w:line="240" w:lineRule="auto"/>
                    <w:rPr>
                      <w:color w:val="auto"/>
                      <w:kern w:val="0"/>
                      <w:sz w:val="21"/>
                      <w:szCs w:val="21"/>
                    </w:rPr>
                  </w:pPr>
                  <w:r>
                    <w:rPr>
                      <w:color w:val="auto"/>
                      <w:kern w:val="0"/>
                      <w:sz w:val="21"/>
                      <w:szCs w:val="21"/>
                    </w:rPr>
                    <w:t>对于新设或调整入河（湖库、近岸海域）排放口的建设项目，应包括排放口设置的环境合理性评价□</w:t>
                  </w:r>
                </w:p>
                <w:p>
                  <w:pPr>
                    <w:spacing w:line="240" w:lineRule="auto"/>
                    <w:rPr>
                      <w:color w:val="auto"/>
                      <w:kern w:val="0"/>
                      <w:sz w:val="21"/>
                      <w:szCs w:val="21"/>
                    </w:rPr>
                  </w:pPr>
                  <w:r>
                    <w:rPr>
                      <w:color w:val="auto"/>
                      <w:kern w:val="0"/>
                      <w:sz w:val="21"/>
                      <w:szCs w:val="21"/>
                    </w:rPr>
                    <w:t>满足生态保护红线、水环境质量底线、资源利用上线和环境准入清单管理要求□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污染物排放量核算</w:t>
                  </w:r>
                </w:p>
              </w:tc>
              <w:tc>
                <w:tcPr>
                  <w:tcW w:w="3279"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污染物名称</w:t>
                  </w:r>
                </w:p>
              </w:tc>
              <w:tc>
                <w:tcPr>
                  <w:tcW w:w="1004" w:type="dxa"/>
                  <w:tcBorders>
                    <w:tl2br w:val="nil"/>
                    <w:tr2bl w:val="nil"/>
                  </w:tcBorders>
                  <w:vAlign w:val="center"/>
                </w:tcPr>
                <w:p>
                  <w:pPr>
                    <w:spacing w:line="240" w:lineRule="auto"/>
                    <w:jc w:val="center"/>
                    <w:rPr>
                      <w:color w:val="auto"/>
                      <w:kern w:val="0"/>
                      <w:sz w:val="21"/>
                      <w:szCs w:val="21"/>
                    </w:rPr>
                  </w:pPr>
                  <w:r>
                    <w:rPr>
                      <w:color w:val="auto"/>
                      <w:kern w:val="0"/>
                      <w:sz w:val="21"/>
                      <w:szCs w:val="21"/>
                    </w:rPr>
                    <w:t>排放量/（t/a）</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排放浓度/（mg/L）</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3279"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1004" w:type="dxa"/>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替代源排放情况</w:t>
                  </w:r>
                </w:p>
              </w:tc>
              <w:tc>
                <w:tcPr>
                  <w:tcW w:w="2008" w:type="dxa"/>
                  <w:tcBorders>
                    <w:tl2br w:val="nil"/>
                    <w:tr2bl w:val="nil"/>
                  </w:tcBorders>
                  <w:vAlign w:val="center"/>
                </w:tcPr>
                <w:p>
                  <w:pPr>
                    <w:spacing w:line="240" w:lineRule="auto"/>
                    <w:jc w:val="center"/>
                    <w:rPr>
                      <w:color w:val="auto"/>
                      <w:kern w:val="0"/>
                      <w:sz w:val="21"/>
                      <w:szCs w:val="21"/>
                    </w:rPr>
                  </w:pPr>
                  <w:r>
                    <w:rPr>
                      <w:color w:val="auto"/>
                      <w:kern w:val="0"/>
                      <w:sz w:val="21"/>
                      <w:szCs w:val="21"/>
                    </w:rPr>
                    <w:t>污染源名称</w:t>
                  </w:r>
                </w:p>
              </w:tc>
              <w:tc>
                <w:tcPr>
                  <w:tcW w:w="1271" w:type="dxa"/>
                  <w:tcBorders>
                    <w:tl2br w:val="nil"/>
                    <w:tr2bl w:val="nil"/>
                  </w:tcBorders>
                  <w:vAlign w:val="center"/>
                </w:tcPr>
                <w:p>
                  <w:pPr>
                    <w:spacing w:line="240" w:lineRule="auto"/>
                    <w:jc w:val="center"/>
                    <w:rPr>
                      <w:color w:val="auto"/>
                      <w:kern w:val="0"/>
                      <w:sz w:val="21"/>
                      <w:szCs w:val="21"/>
                    </w:rPr>
                  </w:pPr>
                  <w:r>
                    <w:rPr>
                      <w:color w:val="auto"/>
                      <w:kern w:val="0"/>
                      <w:sz w:val="21"/>
                      <w:szCs w:val="21"/>
                    </w:rPr>
                    <w:t>排污许可证编号</w:t>
                  </w:r>
                </w:p>
              </w:tc>
              <w:tc>
                <w:tcPr>
                  <w:tcW w:w="1004" w:type="dxa"/>
                  <w:tcBorders>
                    <w:tl2br w:val="nil"/>
                    <w:tr2bl w:val="nil"/>
                  </w:tcBorders>
                  <w:vAlign w:val="center"/>
                </w:tcPr>
                <w:p>
                  <w:pPr>
                    <w:spacing w:line="240" w:lineRule="auto"/>
                    <w:jc w:val="center"/>
                    <w:rPr>
                      <w:color w:val="auto"/>
                      <w:kern w:val="0"/>
                      <w:sz w:val="21"/>
                      <w:szCs w:val="21"/>
                    </w:rPr>
                  </w:pPr>
                  <w:r>
                    <w:rPr>
                      <w:color w:val="auto"/>
                      <w:kern w:val="0"/>
                      <w:sz w:val="21"/>
                      <w:szCs w:val="21"/>
                    </w:rPr>
                    <w:t>污染物名称</w:t>
                  </w:r>
                </w:p>
              </w:tc>
              <w:tc>
                <w:tcPr>
                  <w:tcW w:w="1046" w:type="dxa"/>
                  <w:tcBorders>
                    <w:tl2br w:val="nil"/>
                    <w:tr2bl w:val="nil"/>
                  </w:tcBorders>
                  <w:vAlign w:val="center"/>
                </w:tcPr>
                <w:p>
                  <w:pPr>
                    <w:spacing w:line="240" w:lineRule="auto"/>
                    <w:jc w:val="center"/>
                    <w:rPr>
                      <w:color w:val="auto"/>
                      <w:kern w:val="0"/>
                      <w:sz w:val="21"/>
                      <w:szCs w:val="21"/>
                    </w:rPr>
                  </w:pPr>
                  <w:r>
                    <w:rPr>
                      <w:color w:val="auto"/>
                      <w:kern w:val="0"/>
                      <w:sz w:val="21"/>
                      <w:szCs w:val="21"/>
                    </w:rPr>
                    <w:t>排放量/（t/a）</w:t>
                  </w:r>
                </w:p>
              </w:tc>
              <w:tc>
                <w:tcPr>
                  <w:tcW w:w="1787" w:type="dxa"/>
                  <w:tcBorders>
                    <w:tl2br w:val="nil"/>
                    <w:tr2bl w:val="nil"/>
                  </w:tcBorders>
                  <w:vAlign w:val="center"/>
                </w:tcPr>
                <w:p>
                  <w:pPr>
                    <w:spacing w:line="240" w:lineRule="auto"/>
                    <w:jc w:val="center"/>
                    <w:rPr>
                      <w:color w:val="auto"/>
                      <w:kern w:val="0"/>
                      <w:sz w:val="21"/>
                      <w:szCs w:val="21"/>
                    </w:rPr>
                  </w:pPr>
                  <w:r>
                    <w:rPr>
                      <w:color w:val="auto"/>
                      <w:kern w:val="0"/>
                      <w:sz w:val="21"/>
                      <w:szCs w:val="21"/>
                    </w:rPr>
                    <w:t>排放浓度/（mg/L）</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2008" w:type="dxa"/>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1271" w:type="dxa"/>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1004" w:type="dxa"/>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1046" w:type="dxa"/>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1787" w:type="dxa"/>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生态流量确定</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生态流量：一般水期（）m</w:t>
                  </w:r>
                  <w:r>
                    <w:rPr>
                      <w:color w:val="auto"/>
                      <w:kern w:val="0"/>
                      <w:sz w:val="21"/>
                      <w:szCs w:val="21"/>
                      <w:vertAlign w:val="superscript"/>
                    </w:rPr>
                    <w:t>3</w:t>
                  </w:r>
                  <w:r>
                    <w:rPr>
                      <w:color w:val="auto"/>
                      <w:kern w:val="0"/>
                      <w:sz w:val="21"/>
                      <w:szCs w:val="21"/>
                    </w:rPr>
                    <w:t>/s；鱼类繁殖期（）m</w:t>
                  </w:r>
                  <w:r>
                    <w:rPr>
                      <w:color w:val="auto"/>
                      <w:kern w:val="0"/>
                      <w:sz w:val="21"/>
                      <w:szCs w:val="21"/>
                      <w:vertAlign w:val="superscript"/>
                    </w:rPr>
                    <w:t>3</w:t>
                  </w:r>
                  <w:r>
                    <w:rPr>
                      <w:color w:val="auto"/>
                      <w:kern w:val="0"/>
                      <w:sz w:val="21"/>
                      <w:szCs w:val="21"/>
                    </w:rPr>
                    <w:t>/s；其他（）m</w:t>
                  </w:r>
                  <w:r>
                    <w:rPr>
                      <w:color w:val="auto"/>
                      <w:kern w:val="0"/>
                      <w:sz w:val="21"/>
                      <w:szCs w:val="21"/>
                      <w:vertAlign w:val="superscript"/>
                    </w:rPr>
                    <w:t>3</w:t>
                  </w:r>
                  <w:r>
                    <w:rPr>
                      <w:color w:val="auto"/>
                      <w:kern w:val="0"/>
                      <w:sz w:val="21"/>
                      <w:szCs w:val="21"/>
                    </w:rPr>
                    <w:t>/s</w:t>
                  </w:r>
                </w:p>
                <w:p>
                  <w:pPr>
                    <w:spacing w:line="240" w:lineRule="auto"/>
                    <w:jc w:val="center"/>
                    <w:rPr>
                      <w:color w:val="auto"/>
                      <w:kern w:val="0"/>
                      <w:sz w:val="21"/>
                      <w:szCs w:val="21"/>
                    </w:rPr>
                  </w:pPr>
                  <w:r>
                    <w:rPr>
                      <w:color w:val="auto"/>
                      <w:kern w:val="0"/>
                      <w:sz w:val="21"/>
                      <w:szCs w:val="21"/>
                    </w:rPr>
                    <w:t>生态水位：一般水期（）m；鱼类繁殖期（）m；其他（）m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防治措施</w:t>
                  </w: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环保措施</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污水处理设施 □；水文减缓设施 □；生态流量保障设施 □；区域削减 □；依托其他工程措施 □；其他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restart"/>
                  <w:tcBorders>
                    <w:tl2br w:val="nil"/>
                    <w:tr2bl w:val="nil"/>
                  </w:tcBorders>
                  <w:vAlign w:val="center"/>
                </w:tcPr>
                <w:p>
                  <w:pPr>
                    <w:spacing w:line="240" w:lineRule="auto"/>
                    <w:jc w:val="center"/>
                    <w:rPr>
                      <w:color w:val="auto"/>
                      <w:kern w:val="0"/>
                      <w:sz w:val="21"/>
                      <w:szCs w:val="21"/>
                    </w:rPr>
                  </w:pPr>
                  <w:r>
                    <w:rPr>
                      <w:color w:val="auto"/>
                      <w:kern w:val="0"/>
                      <w:sz w:val="21"/>
                      <w:szCs w:val="21"/>
                    </w:rPr>
                    <w:t>监测计划</w:t>
                  </w:r>
                </w:p>
              </w:tc>
              <w:tc>
                <w:tcPr>
                  <w:tcW w:w="2008" w:type="dxa"/>
                  <w:tcBorders>
                    <w:tl2br w:val="nil"/>
                    <w:tr2bl w:val="nil"/>
                  </w:tcBorders>
                  <w:vAlign w:val="center"/>
                </w:tcPr>
                <w:p>
                  <w:pPr>
                    <w:spacing w:line="240" w:lineRule="auto"/>
                    <w:jc w:val="center"/>
                    <w:rPr>
                      <w:color w:val="auto"/>
                      <w:kern w:val="0"/>
                      <w:sz w:val="21"/>
                      <w:szCs w:val="21"/>
                    </w:rPr>
                  </w:pPr>
                </w:p>
              </w:tc>
              <w:tc>
                <w:tcPr>
                  <w:tcW w:w="2275"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环境质量</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污染源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2008" w:type="dxa"/>
                  <w:tcBorders>
                    <w:tl2br w:val="nil"/>
                    <w:tr2bl w:val="nil"/>
                  </w:tcBorders>
                  <w:vAlign w:val="center"/>
                </w:tcPr>
                <w:p>
                  <w:pPr>
                    <w:spacing w:line="240" w:lineRule="auto"/>
                    <w:jc w:val="center"/>
                    <w:rPr>
                      <w:color w:val="auto"/>
                      <w:kern w:val="0"/>
                      <w:sz w:val="21"/>
                      <w:szCs w:val="21"/>
                    </w:rPr>
                  </w:pPr>
                  <w:r>
                    <w:rPr>
                      <w:color w:val="auto"/>
                      <w:kern w:val="0"/>
                      <w:sz w:val="21"/>
                      <w:szCs w:val="21"/>
                    </w:rPr>
                    <w:t>监测方式</w:t>
                  </w:r>
                </w:p>
              </w:tc>
              <w:tc>
                <w:tcPr>
                  <w:tcW w:w="2275"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手动□；自动□；无监测□</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手动□；自动□；无监测□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2008" w:type="dxa"/>
                  <w:tcBorders>
                    <w:tl2br w:val="nil"/>
                    <w:tr2bl w:val="nil"/>
                  </w:tcBorders>
                  <w:vAlign w:val="center"/>
                </w:tcPr>
                <w:p>
                  <w:pPr>
                    <w:spacing w:line="240" w:lineRule="auto"/>
                    <w:jc w:val="center"/>
                    <w:rPr>
                      <w:color w:val="auto"/>
                      <w:kern w:val="0"/>
                      <w:sz w:val="21"/>
                      <w:szCs w:val="21"/>
                    </w:rPr>
                  </w:pPr>
                  <w:r>
                    <w:rPr>
                      <w:color w:val="auto"/>
                      <w:kern w:val="0"/>
                      <w:sz w:val="21"/>
                      <w:szCs w:val="21"/>
                    </w:rPr>
                    <w:t>监测点位</w:t>
                  </w:r>
                </w:p>
              </w:tc>
              <w:tc>
                <w:tcPr>
                  <w:tcW w:w="2275"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w:t>
                  </w:r>
                  <w:r>
                    <w:rPr>
                      <w:rFonts w:hint="eastAsia"/>
                      <w:color w:val="auto"/>
                      <w:kern w:val="0"/>
                      <w:sz w:val="21"/>
                      <w:szCs w:val="21"/>
                    </w:rPr>
                    <w:t xml:space="preserve"> </w:t>
                  </w:r>
                  <w:r>
                    <w:rPr>
                      <w:color w:val="auto"/>
                      <w:kern w:val="0"/>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vMerge w:val="continue"/>
                  <w:tcBorders>
                    <w:tl2br w:val="nil"/>
                    <w:tr2bl w:val="nil"/>
                  </w:tcBorders>
                  <w:vAlign w:val="center"/>
                </w:tcPr>
                <w:p>
                  <w:pPr>
                    <w:spacing w:line="240" w:lineRule="auto"/>
                    <w:jc w:val="center"/>
                    <w:rPr>
                      <w:color w:val="auto"/>
                      <w:kern w:val="0"/>
                      <w:sz w:val="21"/>
                      <w:szCs w:val="21"/>
                    </w:rPr>
                  </w:pPr>
                </w:p>
              </w:tc>
              <w:tc>
                <w:tcPr>
                  <w:tcW w:w="2008" w:type="dxa"/>
                  <w:tcBorders>
                    <w:tl2br w:val="nil"/>
                    <w:tr2bl w:val="nil"/>
                  </w:tcBorders>
                  <w:vAlign w:val="center"/>
                </w:tcPr>
                <w:p>
                  <w:pPr>
                    <w:spacing w:line="240" w:lineRule="auto"/>
                    <w:jc w:val="center"/>
                    <w:rPr>
                      <w:color w:val="auto"/>
                      <w:kern w:val="0"/>
                      <w:sz w:val="21"/>
                      <w:szCs w:val="21"/>
                    </w:rPr>
                  </w:pPr>
                  <w:r>
                    <w:rPr>
                      <w:color w:val="auto"/>
                      <w:kern w:val="0"/>
                      <w:sz w:val="21"/>
                      <w:szCs w:val="21"/>
                    </w:rPr>
                    <w:t>监测因子</w:t>
                  </w:r>
                </w:p>
              </w:tc>
              <w:tc>
                <w:tcPr>
                  <w:tcW w:w="2275"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c>
                <w:tcPr>
                  <w:tcW w:w="283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w:t>
                  </w:r>
                  <w:r>
                    <w:rPr>
                      <w:rFonts w:hint="eastAsia"/>
                      <w:color w:val="auto"/>
                      <w:kern w:val="0"/>
                      <w:sz w:val="21"/>
                      <w:szCs w:val="21"/>
                    </w:rPr>
                    <w:t xml:space="preserve"> </w:t>
                  </w:r>
                  <w:r>
                    <w:rPr>
                      <w:color w:val="auto"/>
                      <w:kern w:val="0"/>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26" w:type="dxa"/>
                  <w:vMerge w:val="continue"/>
                  <w:tcBorders>
                    <w:tl2br w:val="nil"/>
                    <w:tr2bl w:val="nil"/>
                  </w:tcBorders>
                  <w:vAlign w:val="center"/>
                </w:tcPr>
                <w:p>
                  <w:pPr>
                    <w:spacing w:line="240" w:lineRule="auto"/>
                    <w:jc w:val="center"/>
                    <w:rPr>
                      <w:color w:val="auto"/>
                      <w:kern w:val="0"/>
                      <w:sz w:val="21"/>
                      <w:szCs w:val="21"/>
                    </w:rPr>
                  </w:pPr>
                </w:p>
              </w:tc>
              <w:tc>
                <w:tcPr>
                  <w:tcW w:w="1497" w:type="dxa"/>
                  <w:tcBorders>
                    <w:tl2br w:val="nil"/>
                    <w:tr2bl w:val="nil"/>
                  </w:tcBorders>
                  <w:vAlign w:val="center"/>
                </w:tcPr>
                <w:p>
                  <w:pPr>
                    <w:spacing w:line="240" w:lineRule="auto"/>
                    <w:jc w:val="center"/>
                    <w:rPr>
                      <w:color w:val="auto"/>
                      <w:kern w:val="0"/>
                      <w:sz w:val="21"/>
                      <w:szCs w:val="21"/>
                    </w:rPr>
                  </w:pPr>
                  <w:r>
                    <w:rPr>
                      <w:color w:val="auto"/>
                      <w:kern w:val="0"/>
                      <w:sz w:val="21"/>
                      <w:szCs w:val="21"/>
                    </w:rPr>
                    <w:t>污染物排放清单</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23" w:type="dxa"/>
                  <w:gridSpan w:val="2"/>
                  <w:tcBorders>
                    <w:tl2br w:val="nil"/>
                    <w:tr2bl w:val="nil"/>
                  </w:tcBorders>
                  <w:vAlign w:val="center"/>
                </w:tcPr>
                <w:p>
                  <w:pPr>
                    <w:spacing w:line="240" w:lineRule="auto"/>
                    <w:jc w:val="center"/>
                    <w:rPr>
                      <w:color w:val="auto"/>
                      <w:kern w:val="0"/>
                      <w:sz w:val="21"/>
                      <w:szCs w:val="21"/>
                    </w:rPr>
                  </w:pPr>
                  <w:r>
                    <w:rPr>
                      <w:color w:val="auto"/>
                      <w:kern w:val="0"/>
                      <w:sz w:val="21"/>
                      <w:szCs w:val="21"/>
                    </w:rPr>
                    <w:t>评价结论</w:t>
                  </w:r>
                </w:p>
              </w:tc>
              <w:tc>
                <w:tcPr>
                  <w:tcW w:w="7116" w:type="dxa"/>
                  <w:gridSpan w:val="5"/>
                  <w:tcBorders>
                    <w:tl2br w:val="nil"/>
                    <w:tr2bl w:val="nil"/>
                  </w:tcBorders>
                  <w:vAlign w:val="center"/>
                </w:tcPr>
                <w:p>
                  <w:pPr>
                    <w:spacing w:line="240" w:lineRule="auto"/>
                    <w:jc w:val="center"/>
                    <w:rPr>
                      <w:color w:val="auto"/>
                      <w:kern w:val="0"/>
                      <w:sz w:val="21"/>
                      <w:szCs w:val="21"/>
                    </w:rPr>
                  </w:pPr>
                  <w:r>
                    <w:rPr>
                      <w:color w:val="auto"/>
                      <w:kern w:val="0"/>
                      <w:sz w:val="21"/>
                      <w:szCs w:val="21"/>
                    </w:rPr>
                    <w:t>可以接受☑；不可以接受□</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39" w:type="dxa"/>
                  <w:gridSpan w:val="7"/>
                  <w:tcBorders>
                    <w:tl2br w:val="nil"/>
                    <w:tr2bl w:val="nil"/>
                  </w:tcBorders>
                  <w:vAlign w:val="center"/>
                </w:tcPr>
                <w:p>
                  <w:pPr>
                    <w:spacing w:line="240" w:lineRule="auto"/>
                    <w:jc w:val="center"/>
                    <w:rPr>
                      <w:color w:val="auto"/>
                      <w:kern w:val="0"/>
                      <w:sz w:val="21"/>
                      <w:szCs w:val="21"/>
                    </w:rPr>
                  </w:pPr>
                  <w:r>
                    <w:rPr>
                      <w:color w:val="auto"/>
                      <w:kern w:val="0"/>
                      <w:sz w:val="21"/>
                      <w:szCs w:val="21"/>
                    </w:rPr>
                    <w:t>注：“□”为勾选项，可打√；“（）”为内容填写项；“备注”为其他补充内容。</w:t>
                  </w:r>
                </w:p>
              </w:tc>
            </w:tr>
          </w:tbl>
          <w:p>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sz w:val="24"/>
              </w:rPr>
            </w:pPr>
          </w:p>
          <w:p>
            <w:pPr>
              <w:keepNext/>
              <w:keepLines/>
              <w:spacing w:before="80" w:after="80" w:line="360" w:lineRule="auto"/>
              <w:ind w:firstLine="472" w:firstLineChars="196"/>
              <w:outlineLvl w:val="2"/>
              <w:rPr>
                <w:b/>
                <w:bCs/>
                <w:color w:val="auto"/>
                <w:sz w:val="24"/>
              </w:rPr>
            </w:pPr>
            <w:r>
              <w:rPr>
                <w:rFonts w:hint="eastAsia"/>
                <w:b/>
                <w:bCs/>
                <w:color w:val="auto"/>
                <w:sz w:val="24"/>
              </w:rPr>
              <w:t>3</w:t>
            </w:r>
            <w:r>
              <w:rPr>
                <w:rFonts w:hint="eastAsia"/>
                <w:b/>
                <w:bCs/>
                <w:color w:val="auto"/>
                <w:sz w:val="24"/>
                <w:lang w:val="en-US" w:eastAsia="zh-CN"/>
              </w:rPr>
              <w:t>.</w:t>
            </w:r>
            <w:r>
              <w:rPr>
                <w:rFonts w:hint="eastAsia"/>
                <w:b/>
                <w:bCs/>
                <w:color w:val="auto"/>
                <w:sz w:val="24"/>
              </w:rPr>
              <w:t>地下水环境影响分析</w:t>
            </w:r>
          </w:p>
          <w:p>
            <w:pPr>
              <w:keepNext/>
              <w:keepLines/>
              <w:spacing w:before="80" w:after="80" w:line="360" w:lineRule="auto"/>
              <w:ind w:firstLine="470" w:firstLineChars="196"/>
              <w:outlineLvl w:val="2"/>
              <w:rPr>
                <w:rFonts w:hint="eastAsia"/>
                <w:b/>
                <w:bCs/>
                <w:color w:val="auto"/>
                <w:sz w:val="24"/>
                <w:szCs w:val="24"/>
              </w:rPr>
            </w:pPr>
            <w:r>
              <w:rPr>
                <w:snapToGrid w:val="0"/>
                <w:color w:val="auto"/>
                <w:sz w:val="24"/>
                <w:szCs w:val="24"/>
              </w:rPr>
              <w:t>根据《环境影响评价技术导则 地下水环境》（HJ610-2016）</w:t>
            </w:r>
            <w:r>
              <w:rPr>
                <w:rFonts w:hint="eastAsia"/>
                <w:snapToGrid w:val="0"/>
                <w:color w:val="auto"/>
                <w:sz w:val="24"/>
                <w:szCs w:val="24"/>
                <w:lang w:eastAsia="zh-CN"/>
              </w:rPr>
              <w:t>附录</w:t>
            </w:r>
            <w:r>
              <w:rPr>
                <w:rFonts w:hint="eastAsia"/>
                <w:snapToGrid w:val="0"/>
                <w:color w:val="auto"/>
                <w:sz w:val="24"/>
                <w:szCs w:val="24"/>
                <w:lang w:val="en-US" w:eastAsia="zh-CN"/>
              </w:rPr>
              <w:t>A</w:t>
            </w:r>
            <w:r>
              <w:rPr>
                <w:snapToGrid w:val="0"/>
                <w:color w:val="auto"/>
                <w:sz w:val="24"/>
                <w:szCs w:val="24"/>
              </w:rPr>
              <w:t>，</w:t>
            </w:r>
            <w:r>
              <w:rPr>
                <w:rFonts w:hint="eastAsia"/>
                <w:snapToGrid w:val="0"/>
                <w:color w:val="auto"/>
                <w:sz w:val="24"/>
                <w:szCs w:val="24"/>
                <w:lang w:eastAsia="zh-CN"/>
              </w:rPr>
              <w:t>本项目属于“</w:t>
            </w:r>
            <w:r>
              <w:rPr>
                <w:rFonts w:hint="eastAsia"/>
                <w:snapToGrid w:val="0"/>
                <w:color w:val="auto"/>
                <w:sz w:val="24"/>
                <w:szCs w:val="24"/>
                <w:lang w:val="en-US" w:eastAsia="zh-CN"/>
              </w:rPr>
              <w:t>J、非金属矿采选及制品制造，60、砼结构构件制造、商品混凝土加工</w:t>
            </w:r>
            <w:r>
              <w:rPr>
                <w:rFonts w:hint="eastAsia"/>
                <w:snapToGrid w:val="0"/>
                <w:color w:val="auto"/>
                <w:sz w:val="24"/>
                <w:szCs w:val="24"/>
                <w:lang w:eastAsia="zh-CN"/>
              </w:rPr>
              <w:t>”，为</w:t>
            </w:r>
            <w:r>
              <w:rPr>
                <w:rFonts w:hint="eastAsia"/>
                <w:snapToGrid w:val="0"/>
                <w:color w:val="auto"/>
                <w:sz w:val="24"/>
                <w:szCs w:val="24"/>
                <w:lang w:eastAsia="zh-CN"/>
              </w:rPr>
              <w:fldChar w:fldCharType="begin"/>
            </w:r>
            <w:r>
              <w:rPr>
                <w:rFonts w:hint="eastAsia"/>
                <w:snapToGrid w:val="0"/>
                <w:color w:val="auto"/>
                <w:sz w:val="24"/>
                <w:szCs w:val="24"/>
                <w:lang w:eastAsia="zh-CN"/>
              </w:rPr>
              <w:instrText xml:space="preserve"> = 4 \* ROMAN \* MERGEFORMAT </w:instrText>
            </w:r>
            <w:r>
              <w:rPr>
                <w:rFonts w:hint="eastAsia"/>
                <w:snapToGrid w:val="0"/>
                <w:color w:val="auto"/>
                <w:sz w:val="24"/>
                <w:szCs w:val="24"/>
                <w:lang w:eastAsia="zh-CN"/>
              </w:rPr>
              <w:fldChar w:fldCharType="separate"/>
            </w:r>
            <w:r>
              <w:rPr>
                <w:color w:val="auto"/>
                <w:sz w:val="24"/>
                <w:szCs w:val="24"/>
              </w:rPr>
              <w:t>IV</w:t>
            </w:r>
            <w:r>
              <w:rPr>
                <w:rFonts w:hint="eastAsia"/>
                <w:snapToGrid w:val="0"/>
                <w:color w:val="auto"/>
                <w:sz w:val="24"/>
                <w:szCs w:val="24"/>
                <w:lang w:eastAsia="zh-CN"/>
              </w:rPr>
              <w:fldChar w:fldCharType="end"/>
            </w:r>
            <w:r>
              <w:rPr>
                <w:rFonts w:hint="eastAsia"/>
                <w:snapToGrid w:val="0"/>
                <w:color w:val="auto"/>
                <w:sz w:val="24"/>
                <w:szCs w:val="24"/>
                <w:lang w:eastAsia="zh-CN"/>
              </w:rPr>
              <w:t>类建设项目。</w:t>
            </w:r>
            <w:r>
              <w:rPr>
                <w:snapToGrid w:val="0"/>
                <w:color w:val="auto"/>
                <w:sz w:val="24"/>
                <w:szCs w:val="24"/>
              </w:rPr>
              <w:t>根据《环境影响评价技术导则 地下水环境》（HJ610-2016）</w:t>
            </w:r>
            <w:r>
              <w:rPr>
                <w:rFonts w:hint="eastAsia"/>
                <w:snapToGrid w:val="0"/>
                <w:color w:val="auto"/>
                <w:sz w:val="24"/>
                <w:szCs w:val="24"/>
                <w:lang w:eastAsia="zh-CN"/>
              </w:rPr>
              <w:t>，</w:t>
            </w:r>
            <w:r>
              <w:rPr>
                <w:rFonts w:hint="eastAsia"/>
                <w:snapToGrid w:val="0"/>
                <w:color w:val="auto"/>
                <w:sz w:val="24"/>
                <w:szCs w:val="24"/>
                <w:lang w:eastAsia="zh-CN"/>
              </w:rPr>
              <w:fldChar w:fldCharType="begin"/>
            </w:r>
            <w:r>
              <w:rPr>
                <w:rFonts w:hint="eastAsia"/>
                <w:snapToGrid w:val="0"/>
                <w:color w:val="auto"/>
                <w:sz w:val="24"/>
                <w:szCs w:val="24"/>
                <w:lang w:eastAsia="zh-CN"/>
              </w:rPr>
              <w:instrText xml:space="preserve"> = 4 \* ROMAN \* MERGEFORMAT </w:instrText>
            </w:r>
            <w:r>
              <w:rPr>
                <w:rFonts w:hint="eastAsia"/>
                <w:snapToGrid w:val="0"/>
                <w:color w:val="auto"/>
                <w:sz w:val="24"/>
                <w:szCs w:val="24"/>
                <w:lang w:eastAsia="zh-CN"/>
              </w:rPr>
              <w:fldChar w:fldCharType="separate"/>
            </w:r>
            <w:r>
              <w:rPr>
                <w:color w:val="auto"/>
                <w:sz w:val="24"/>
                <w:szCs w:val="24"/>
              </w:rPr>
              <w:t>IV</w:t>
            </w:r>
            <w:r>
              <w:rPr>
                <w:rFonts w:hint="eastAsia"/>
                <w:snapToGrid w:val="0"/>
                <w:color w:val="auto"/>
                <w:sz w:val="24"/>
                <w:szCs w:val="24"/>
                <w:lang w:eastAsia="zh-CN"/>
              </w:rPr>
              <w:fldChar w:fldCharType="end"/>
            </w:r>
            <w:r>
              <w:rPr>
                <w:rFonts w:hint="eastAsia"/>
                <w:snapToGrid w:val="0"/>
                <w:color w:val="auto"/>
                <w:sz w:val="24"/>
                <w:szCs w:val="24"/>
                <w:lang w:eastAsia="zh-CN"/>
              </w:rPr>
              <w:t>类建设项目不开展地下水环境影响评价。</w:t>
            </w:r>
          </w:p>
          <w:p>
            <w:pPr>
              <w:keepNext/>
              <w:keepLines/>
              <w:spacing w:before="80" w:after="80" w:line="360" w:lineRule="auto"/>
              <w:ind w:firstLine="472" w:firstLineChars="196"/>
              <w:outlineLvl w:val="2"/>
              <w:rPr>
                <w:b/>
                <w:bCs/>
                <w:color w:val="auto"/>
                <w:sz w:val="24"/>
              </w:rPr>
            </w:pPr>
            <w:r>
              <w:rPr>
                <w:rFonts w:hint="eastAsia"/>
                <w:b/>
                <w:bCs/>
                <w:color w:val="auto"/>
                <w:sz w:val="24"/>
                <w:lang w:val="en-US" w:eastAsia="zh-CN"/>
              </w:rPr>
              <w:t>4.</w:t>
            </w:r>
            <w:r>
              <w:rPr>
                <w:b/>
                <w:bCs/>
                <w:color w:val="auto"/>
                <w:sz w:val="24"/>
              </w:rPr>
              <w:t>声</w:t>
            </w:r>
            <w:r>
              <w:rPr>
                <w:rFonts w:hint="eastAsia"/>
                <w:b/>
                <w:bCs/>
                <w:color w:val="auto"/>
                <w:sz w:val="24"/>
              </w:rPr>
              <w:t>环境影响分析</w:t>
            </w:r>
          </w:p>
          <w:p>
            <w:pPr>
              <w:spacing w:line="360" w:lineRule="auto"/>
              <w:ind w:firstLine="482"/>
              <w:rPr>
                <w:b/>
                <w:color w:val="auto"/>
                <w:sz w:val="24"/>
              </w:rPr>
            </w:pPr>
            <w:r>
              <w:rPr>
                <w:rFonts w:hint="eastAsia"/>
                <w:b/>
                <w:color w:val="auto"/>
                <w:sz w:val="24"/>
              </w:rPr>
              <w:t>4.1评价等级</w:t>
            </w:r>
          </w:p>
          <w:p>
            <w:pPr>
              <w:spacing w:line="360" w:lineRule="auto"/>
              <w:ind w:firstLine="480" w:firstLineChars="200"/>
              <w:rPr>
                <w:color w:val="auto"/>
                <w:sz w:val="24"/>
              </w:rPr>
            </w:pPr>
            <w:r>
              <w:rPr>
                <w:rFonts w:ascii="Times New Roman"/>
                <w:color w:val="auto"/>
                <w:sz w:val="24"/>
              </w:rPr>
              <w:t>根据《声环境功能区划分技术规范》（</w:t>
            </w:r>
            <w:r>
              <w:rPr>
                <w:rFonts w:ascii="Times New Roman" w:hAnsi="Times New Roman"/>
                <w:color w:val="auto"/>
                <w:sz w:val="24"/>
              </w:rPr>
              <w:t>GB/T</w:t>
            </w:r>
            <w:r>
              <w:rPr>
                <w:rFonts w:hint="eastAsia"/>
                <w:color w:val="auto"/>
                <w:sz w:val="24"/>
                <w:lang w:val="en-US" w:eastAsia="zh-CN"/>
              </w:rPr>
              <w:t>1</w:t>
            </w:r>
            <w:r>
              <w:rPr>
                <w:rFonts w:ascii="Times New Roman" w:hAnsi="Times New Roman"/>
                <w:color w:val="auto"/>
                <w:sz w:val="24"/>
              </w:rPr>
              <w:t>5190-2014</w:t>
            </w:r>
            <w:r>
              <w:rPr>
                <w:rFonts w:ascii="Times New Roman"/>
                <w:color w:val="auto"/>
                <w:sz w:val="24"/>
              </w:rPr>
              <w:t>）和《声环境质量标准》（</w:t>
            </w:r>
            <w:r>
              <w:rPr>
                <w:rFonts w:ascii="Times New Roman" w:hAnsi="Times New Roman"/>
                <w:color w:val="auto"/>
                <w:sz w:val="24"/>
              </w:rPr>
              <w:t>GB3096-2008</w:t>
            </w:r>
            <w:r>
              <w:rPr>
                <w:rFonts w:ascii="Times New Roman"/>
                <w:color w:val="auto"/>
                <w:sz w:val="24"/>
              </w:rPr>
              <w:t>），项目所在区</w:t>
            </w:r>
            <w:r>
              <w:rPr>
                <w:rFonts w:hint="eastAsia"/>
                <w:color w:val="auto"/>
                <w:sz w:val="24"/>
                <w:lang w:eastAsia="zh-CN"/>
              </w:rPr>
              <w:t>域</w:t>
            </w:r>
            <w:r>
              <w:rPr>
                <w:rFonts w:ascii="Times New Roman"/>
                <w:color w:val="auto"/>
                <w:sz w:val="24"/>
              </w:rPr>
              <w:t>属于</w:t>
            </w:r>
            <w:r>
              <w:rPr>
                <w:rFonts w:ascii="Times New Roman" w:hAnsi="Times New Roman"/>
                <w:color w:val="auto"/>
                <w:sz w:val="24"/>
              </w:rPr>
              <w:t>2</w:t>
            </w:r>
            <w:r>
              <w:rPr>
                <w:rFonts w:ascii="Times New Roman"/>
                <w:color w:val="auto"/>
                <w:sz w:val="24"/>
              </w:rPr>
              <w:t>类声环境功能区，应执行《声环境质量标准》（</w:t>
            </w:r>
            <w:r>
              <w:rPr>
                <w:rFonts w:ascii="Times New Roman" w:hAnsi="Times New Roman"/>
                <w:color w:val="auto"/>
                <w:sz w:val="24"/>
              </w:rPr>
              <w:t>GB3096-2008</w:t>
            </w:r>
            <w:r>
              <w:rPr>
                <w:rFonts w:ascii="Times New Roman"/>
                <w:color w:val="auto"/>
                <w:sz w:val="24"/>
              </w:rPr>
              <w:t>）</w:t>
            </w:r>
            <w:r>
              <w:rPr>
                <w:rFonts w:ascii="Times New Roman" w:hAnsi="Times New Roman"/>
                <w:color w:val="auto"/>
                <w:sz w:val="24"/>
              </w:rPr>
              <w:t>2</w:t>
            </w:r>
            <w:r>
              <w:rPr>
                <w:rFonts w:ascii="Times New Roman"/>
                <w:color w:val="auto"/>
                <w:sz w:val="24"/>
              </w:rPr>
              <w:t>类标准</w:t>
            </w:r>
            <w:r>
              <w:rPr>
                <w:rFonts w:hint="eastAsia" w:ascii="Times New Roman"/>
                <w:color w:val="auto"/>
                <w:sz w:val="24"/>
              </w:rPr>
              <w:t>。</w:t>
            </w:r>
            <w:r>
              <w:rPr>
                <w:rFonts w:hint="eastAsia"/>
                <w:color w:val="auto"/>
                <w:sz w:val="24"/>
              </w:rPr>
              <w:t>因此，</w:t>
            </w:r>
            <w:r>
              <w:rPr>
                <w:color w:val="auto"/>
                <w:sz w:val="24"/>
              </w:rPr>
              <w:t>本项目声环境影响评价等级为</w:t>
            </w:r>
            <w:r>
              <w:rPr>
                <w:rFonts w:hint="eastAsia"/>
                <w:color w:val="auto"/>
                <w:sz w:val="24"/>
                <w:lang w:eastAsia="zh-CN"/>
              </w:rPr>
              <w:t>二</w:t>
            </w:r>
            <w:r>
              <w:rPr>
                <w:color w:val="auto"/>
                <w:sz w:val="24"/>
              </w:rPr>
              <w:t>级。</w:t>
            </w:r>
          </w:p>
          <w:p>
            <w:pPr>
              <w:autoSpaceDE w:val="0"/>
              <w:autoSpaceDN w:val="0"/>
              <w:spacing w:line="240" w:lineRule="auto"/>
              <w:jc w:val="center"/>
              <w:rPr>
                <w:rFonts w:hint="eastAsia" w:ascii="黑体" w:hAnsi="黑体" w:eastAsia="黑体" w:cs="黑体"/>
                <w:b w:val="0"/>
                <w:bCs/>
                <w:color w:val="auto"/>
                <w:spacing w:val="-5"/>
                <w:sz w:val="24"/>
              </w:rPr>
            </w:pPr>
            <w:r>
              <w:rPr>
                <w:rFonts w:hint="eastAsia" w:ascii="黑体" w:hAnsi="黑体" w:eastAsia="黑体" w:cs="黑体"/>
                <w:b w:val="0"/>
                <w:bCs/>
                <w:color w:val="auto"/>
                <w:spacing w:val="-5"/>
                <w:sz w:val="24"/>
              </w:rPr>
              <w:t>表</w:t>
            </w:r>
            <w:r>
              <w:rPr>
                <w:rFonts w:hint="eastAsia" w:ascii="黑体" w:hAnsi="黑体" w:eastAsia="黑体" w:cs="黑体"/>
                <w:b w:val="0"/>
                <w:bCs/>
                <w:color w:val="auto"/>
                <w:spacing w:val="-5"/>
                <w:sz w:val="24"/>
                <w:lang w:val="en-US" w:eastAsia="zh-CN"/>
              </w:rPr>
              <w:t>24</w:t>
            </w:r>
            <w:r>
              <w:rPr>
                <w:rFonts w:hint="eastAsia" w:ascii="黑体" w:hAnsi="黑体" w:eastAsia="黑体" w:cs="黑体"/>
                <w:b w:val="0"/>
                <w:bCs/>
                <w:color w:val="auto"/>
                <w:spacing w:val="-5"/>
                <w:sz w:val="24"/>
              </w:rPr>
              <w:t xml:space="preserve">  声环境评价分级判据</w:t>
            </w:r>
          </w:p>
          <w:tbl>
            <w:tblPr>
              <w:tblStyle w:val="31"/>
              <w:tblW w:w="906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211"/>
              <w:gridCol w:w="6543"/>
              <w:gridCol w:w="130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11" w:type="dxa"/>
                  <w:tcBorders>
                    <w:tl2br w:val="nil"/>
                    <w:tr2bl w:val="nil"/>
                  </w:tcBorders>
                  <w:vAlign w:val="center"/>
                </w:tcPr>
                <w:p>
                  <w:pPr>
                    <w:adjustRightInd w:val="0"/>
                    <w:snapToGrid w:val="0"/>
                    <w:jc w:val="center"/>
                    <w:rPr>
                      <w:color w:val="auto"/>
                      <w:szCs w:val="21"/>
                    </w:rPr>
                  </w:pPr>
                  <w:r>
                    <w:rPr>
                      <w:rFonts w:hAnsi="宋体"/>
                      <w:color w:val="auto"/>
                      <w:szCs w:val="21"/>
                    </w:rPr>
                    <w:t>分级类别</w:t>
                  </w:r>
                </w:p>
              </w:tc>
              <w:tc>
                <w:tcPr>
                  <w:tcW w:w="6543" w:type="dxa"/>
                  <w:tcBorders>
                    <w:tl2br w:val="nil"/>
                    <w:tr2bl w:val="nil"/>
                  </w:tcBorders>
                  <w:vAlign w:val="center"/>
                </w:tcPr>
                <w:p>
                  <w:pPr>
                    <w:adjustRightInd w:val="0"/>
                    <w:snapToGrid w:val="0"/>
                    <w:jc w:val="center"/>
                    <w:rPr>
                      <w:color w:val="auto"/>
                      <w:szCs w:val="21"/>
                    </w:rPr>
                  </w:pPr>
                  <w:r>
                    <w:rPr>
                      <w:rFonts w:hAnsi="宋体"/>
                      <w:color w:val="auto"/>
                      <w:szCs w:val="21"/>
                    </w:rPr>
                    <w:t>分级判据</w:t>
                  </w:r>
                </w:p>
              </w:tc>
              <w:tc>
                <w:tcPr>
                  <w:tcW w:w="1307" w:type="dxa"/>
                  <w:tcBorders>
                    <w:tl2br w:val="nil"/>
                    <w:tr2bl w:val="nil"/>
                  </w:tcBorders>
                  <w:vAlign w:val="center"/>
                </w:tcPr>
                <w:p>
                  <w:pPr>
                    <w:adjustRightInd w:val="0"/>
                    <w:snapToGrid w:val="0"/>
                    <w:jc w:val="center"/>
                    <w:rPr>
                      <w:color w:val="auto"/>
                      <w:szCs w:val="21"/>
                    </w:rPr>
                  </w:pPr>
                  <w:r>
                    <w:rPr>
                      <w:rFonts w:hAnsi="宋体"/>
                      <w:color w:val="auto"/>
                      <w:szCs w:val="21"/>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11" w:type="dxa"/>
                  <w:tcBorders>
                    <w:tl2br w:val="nil"/>
                    <w:tr2bl w:val="nil"/>
                  </w:tcBorders>
                  <w:vAlign w:val="center"/>
                </w:tcPr>
                <w:p>
                  <w:pPr>
                    <w:adjustRightInd w:val="0"/>
                    <w:snapToGrid w:val="0"/>
                    <w:jc w:val="center"/>
                    <w:rPr>
                      <w:color w:val="auto"/>
                      <w:szCs w:val="21"/>
                    </w:rPr>
                  </w:pPr>
                  <w:r>
                    <w:rPr>
                      <w:rFonts w:hAnsi="宋体"/>
                      <w:color w:val="auto"/>
                      <w:szCs w:val="21"/>
                    </w:rPr>
                    <w:t>一级</w:t>
                  </w:r>
                </w:p>
              </w:tc>
              <w:tc>
                <w:tcPr>
                  <w:tcW w:w="6543" w:type="dxa"/>
                  <w:tcBorders>
                    <w:tl2br w:val="nil"/>
                    <w:tr2bl w:val="nil"/>
                  </w:tcBorders>
                  <w:vAlign w:val="center"/>
                </w:tcPr>
                <w:p>
                  <w:pPr>
                    <w:adjustRightInd w:val="0"/>
                    <w:snapToGrid w:val="0"/>
                    <w:jc w:val="left"/>
                    <w:rPr>
                      <w:color w:val="auto"/>
                      <w:szCs w:val="21"/>
                    </w:rPr>
                  </w:pPr>
                  <w:r>
                    <w:rPr>
                      <w:rFonts w:hAnsi="宋体"/>
                      <w:color w:val="auto"/>
                      <w:szCs w:val="21"/>
                    </w:rPr>
                    <w:t>评价范围内有适用于</w:t>
                  </w:r>
                  <w:r>
                    <w:rPr>
                      <w:color w:val="auto"/>
                      <w:szCs w:val="21"/>
                    </w:rPr>
                    <w:t>GB3096</w:t>
                  </w:r>
                  <w:r>
                    <w:rPr>
                      <w:rFonts w:hAnsi="宋体"/>
                      <w:color w:val="auto"/>
                      <w:szCs w:val="21"/>
                    </w:rPr>
                    <w:t>规定的</w:t>
                  </w:r>
                  <w:r>
                    <w:rPr>
                      <w:color w:val="auto"/>
                      <w:szCs w:val="21"/>
                    </w:rPr>
                    <w:t>0</w:t>
                  </w:r>
                  <w:r>
                    <w:rPr>
                      <w:rFonts w:hAnsi="宋体"/>
                      <w:color w:val="auto"/>
                      <w:szCs w:val="21"/>
                    </w:rPr>
                    <w:t>类声环境功能区域，以及对噪声有特别限值要求的保护区或敏感目标，或建设项目建设前后评价范围内敏感目标噪声级增高量达</w:t>
                  </w:r>
                  <w:r>
                    <w:rPr>
                      <w:color w:val="auto"/>
                      <w:szCs w:val="21"/>
                    </w:rPr>
                    <w:t>5dB</w:t>
                  </w:r>
                  <w:r>
                    <w:rPr>
                      <w:rFonts w:hAnsi="宋体"/>
                      <w:color w:val="auto"/>
                      <w:szCs w:val="21"/>
                    </w:rPr>
                    <w:t>（</w:t>
                  </w:r>
                  <w:r>
                    <w:rPr>
                      <w:color w:val="auto"/>
                      <w:szCs w:val="21"/>
                    </w:rPr>
                    <w:t>A</w:t>
                  </w:r>
                  <w:r>
                    <w:rPr>
                      <w:rFonts w:hAnsi="宋体"/>
                      <w:color w:val="auto"/>
                      <w:szCs w:val="21"/>
                    </w:rPr>
                    <w:t>）以上</w:t>
                  </w:r>
                  <w:r>
                    <w:rPr>
                      <w:color w:val="auto"/>
                      <w:szCs w:val="21"/>
                    </w:rPr>
                    <w:t>[</w:t>
                  </w:r>
                  <w:r>
                    <w:rPr>
                      <w:rFonts w:hAnsi="宋体"/>
                      <w:color w:val="auto"/>
                      <w:szCs w:val="21"/>
                    </w:rPr>
                    <w:t>不含</w:t>
                  </w:r>
                  <w:r>
                    <w:rPr>
                      <w:color w:val="auto"/>
                      <w:szCs w:val="21"/>
                    </w:rPr>
                    <w:t>5dB</w:t>
                  </w:r>
                  <w:r>
                    <w:rPr>
                      <w:rFonts w:hAnsi="宋体"/>
                      <w:color w:val="auto"/>
                      <w:szCs w:val="21"/>
                    </w:rPr>
                    <w:t>（</w:t>
                  </w:r>
                  <w:r>
                    <w:rPr>
                      <w:color w:val="auto"/>
                      <w:szCs w:val="21"/>
                    </w:rPr>
                    <w:t>A</w:t>
                  </w:r>
                  <w:r>
                    <w:rPr>
                      <w:rFonts w:hAnsi="宋体"/>
                      <w:color w:val="auto"/>
                      <w:szCs w:val="21"/>
                    </w:rPr>
                    <w:t>）</w:t>
                  </w:r>
                  <w:r>
                    <w:rPr>
                      <w:color w:val="auto"/>
                      <w:szCs w:val="21"/>
                    </w:rPr>
                    <w:t>]</w:t>
                  </w:r>
                  <w:r>
                    <w:rPr>
                      <w:rFonts w:hAnsi="宋体"/>
                      <w:color w:val="auto"/>
                      <w:szCs w:val="21"/>
                    </w:rPr>
                    <w:t>，或受影响人口数量显著增多时，按一级评价。</w:t>
                  </w:r>
                </w:p>
              </w:tc>
              <w:tc>
                <w:tcPr>
                  <w:tcW w:w="1307" w:type="dxa"/>
                  <w:vMerge w:val="restart"/>
                  <w:tcBorders>
                    <w:tl2br w:val="nil"/>
                    <w:tr2bl w:val="nil"/>
                  </w:tcBorders>
                  <w:vAlign w:val="center"/>
                </w:tcPr>
                <w:p>
                  <w:pPr>
                    <w:adjustRightInd w:val="0"/>
                    <w:snapToGrid w:val="0"/>
                    <w:jc w:val="center"/>
                    <w:rPr>
                      <w:color w:val="auto"/>
                      <w:szCs w:val="21"/>
                    </w:rPr>
                  </w:pPr>
                  <w:r>
                    <w:rPr>
                      <w:rFonts w:hAnsi="宋体"/>
                      <w:color w:val="auto"/>
                      <w:szCs w:val="21"/>
                    </w:rPr>
                    <w:t>在确定评价工作等级时，若建设项目符合两个以上级别的划分原则，按较高级别的评价等级评价。</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11" w:type="dxa"/>
                  <w:tcBorders>
                    <w:tl2br w:val="nil"/>
                    <w:tr2bl w:val="nil"/>
                  </w:tcBorders>
                  <w:vAlign w:val="center"/>
                </w:tcPr>
                <w:p>
                  <w:pPr>
                    <w:adjustRightInd w:val="0"/>
                    <w:snapToGrid w:val="0"/>
                    <w:jc w:val="center"/>
                    <w:rPr>
                      <w:color w:val="auto"/>
                      <w:szCs w:val="21"/>
                    </w:rPr>
                  </w:pPr>
                  <w:r>
                    <w:rPr>
                      <w:rFonts w:hAnsi="宋体"/>
                      <w:color w:val="auto"/>
                      <w:szCs w:val="21"/>
                    </w:rPr>
                    <w:t>二级</w:t>
                  </w:r>
                </w:p>
              </w:tc>
              <w:tc>
                <w:tcPr>
                  <w:tcW w:w="6543" w:type="dxa"/>
                  <w:tcBorders>
                    <w:tl2br w:val="nil"/>
                    <w:tr2bl w:val="nil"/>
                  </w:tcBorders>
                  <w:vAlign w:val="center"/>
                </w:tcPr>
                <w:p>
                  <w:pPr>
                    <w:adjustRightInd w:val="0"/>
                    <w:snapToGrid w:val="0"/>
                    <w:jc w:val="left"/>
                    <w:rPr>
                      <w:color w:val="auto"/>
                      <w:szCs w:val="21"/>
                    </w:rPr>
                  </w:pPr>
                  <w:r>
                    <w:rPr>
                      <w:rFonts w:hAnsi="宋体"/>
                      <w:color w:val="auto"/>
                      <w:szCs w:val="21"/>
                    </w:rPr>
                    <w:t>建设项目所处的声环境功能区为</w:t>
                  </w:r>
                  <w:r>
                    <w:rPr>
                      <w:color w:val="auto"/>
                      <w:szCs w:val="21"/>
                    </w:rPr>
                    <w:t>GB3096</w:t>
                  </w:r>
                  <w:r>
                    <w:rPr>
                      <w:rFonts w:hAnsi="宋体"/>
                      <w:color w:val="auto"/>
                      <w:szCs w:val="21"/>
                    </w:rPr>
                    <w:t>规定的</w:t>
                  </w:r>
                  <w:r>
                    <w:rPr>
                      <w:color w:val="auto"/>
                      <w:szCs w:val="21"/>
                    </w:rPr>
                    <w:t>1</w:t>
                  </w:r>
                  <w:r>
                    <w:rPr>
                      <w:rFonts w:hAnsi="宋体"/>
                      <w:color w:val="auto"/>
                      <w:szCs w:val="21"/>
                    </w:rPr>
                    <w:t>类、</w:t>
                  </w:r>
                  <w:r>
                    <w:rPr>
                      <w:color w:val="auto"/>
                      <w:szCs w:val="21"/>
                    </w:rPr>
                    <w:t>2</w:t>
                  </w:r>
                  <w:r>
                    <w:rPr>
                      <w:rFonts w:hAnsi="宋体"/>
                      <w:color w:val="auto"/>
                      <w:szCs w:val="21"/>
                    </w:rPr>
                    <w:t>类地区，或建设项目建设前后评价范围内敏感目标噪声级增高量达</w:t>
                  </w:r>
                  <w:r>
                    <w:rPr>
                      <w:color w:val="auto"/>
                      <w:szCs w:val="21"/>
                    </w:rPr>
                    <w:t>3</w:t>
                  </w:r>
                  <w:r>
                    <w:rPr>
                      <w:rFonts w:hAnsi="宋体"/>
                      <w:color w:val="auto"/>
                      <w:szCs w:val="21"/>
                    </w:rPr>
                    <w:t>～</w:t>
                  </w:r>
                  <w:r>
                    <w:rPr>
                      <w:color w:val="auto"/>
                      <w:szCs w:val="21"/>
                    </w:rPr>
                    <w:t>5dB</w:t>
                  </w:r>
                  <w:r>
                    <w:rPr>
                      <w:rFonts w:hAnsi="宋体"/>
                      <w:color w:val="auto"/>
                      <w:szCs w:val="21"/>
                    </w:rPr>
                    <w:t>（</w:t>
                  </w:r>
                  <w:r>
                    <w:rPr>
                      <w:color w:val="auto"/>
                      <w:szCs w:val="21"/>
                    </w:rPr>
                    <w:t>A</w:t>
                  </w:r>
                  <w:r>
                    <w:rPr>
                      <w:rFonts w:hAnsi="宋体"/>
                      <w:color w:val="auto"/>
                      <w:szCs w:val="21"/>
                    </w:rPr>
                    <w:t>）</w:t>
                  </w:r>
                  <w:r>
                    <w:rPr>
                      <w:color w:val="auto"/>
                      <w:szCs w:val="21"/>
                    </w:rPr>
                    <w:t>[</w:t>
                  </w:r>
                  <w:r>
                    <w:rPr>
                      <w:rFonts w:hAnsi="宋体"/>
                      <w:color w:val="auto"/>
                      <w:szCs w:val="21"/>
                    </w:rPr>
                    <w:t>含</w:t>
                  </w:r>
                  <w:r>
                    <w:rPr>
                      <w:color w:val="auto"/>
                      <w:szCs w:val="21"/>
                    </w:rPr>
                    <w:t>5dB</w:t>
                  </w:r>
                  <w:r>
                    <w:rPr>
                      <w:rFonts w:hAnsi="宋体"/>
                      <w:color w:val="auto"/>
                      <w:szCs w:val="21"/>
                    </w:rPr>
                    <w:t>（</w:t>
                  </w:r>
                  <w:r>
                    <w:rPr>
                      <w:color w:val="auto"/>
                      <w:szCs w:val="21"/>
                    </w:rPr>
                    <w:t>A</w:t>
                  </w:r>
                  <w:r>
                    <w:rPr>
                      <w:rFonts w:hAnsi="宋体"/>
                      <w:color w:val="auto"/>
                      <w:szCs w:val="21"/>
                    </w:rPr>
                    <w:t>）</w:t>
                  </w:r>
                  <w:r>
                    <w:rPr>
                      <w:color w:val="auto"/>
                      <w:szCs w:val="21"/>
                    </w:rPr>
                    <w:t>]</w:t>
                  </w:r>
                  <w:r>
                    <w:rPr>
                      <w:rFonts w:hAnsi="宋体"/>
                      <w:color w:val="auto"/>
                      <w:szCs w:val="21"/>
                    </w:rPr>
                    <w:t>，或受噪声影响人口数量增加较多时，按二级评价。</w:t>
                  </w:r>
                </w:p>
              </w:tc>
              <w:tc>
                <w:tcPr>
                  <w:tcW w:w="1307" w:type="dxa"/>
                  <w:vMerge w:val="continue"/>
                  <w:tcBorders>
                    <w:tl2br w:val="nil"/>
                    <w:tr2bl w:val="nil"/>
                  </w:tcBorders>
                  <w:vAlign w:val="center"/>
                </w:tcPr>
                <w:p>
                  <w:pPr>
                    <w:adjustRightInd w:val="0"/>
                    <w:snapToGrid w:val="0"/>
                    <w:jc w:val="center"/>
                    <w:rPr>
                      <w:color w:val="auto"/>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11" w:type="dxa"/>
                  <w:tcBorders>
                    <w:tl2br w:val="nil"/>
                    <w:tr2bl w:val="nil"/>
                  </w:tcBorders>
                  <w:vAlign w:val="center"/>
                </w:tcPr>
                <w:p>
                  <w:pPr>
                    <w:adjustRightInd w:val="0"/>
                    <w:snapToGrid w:val="0"/>
                    <w:jc w:val="center"/>
                    <w:rPr>
                      <w:color w:val="auto"/>
                      <w:szCs w:val="21"/>
                    </w:rPr>
                  </w:pPr>
                  <w:r>
                    <w:rPr>
                      <w:rFonts w:hAnsi="宋体"/>
                      <w:color w:val="auto"/>
                      <w:szCs w:val="21"/>
                    </w:rPr>
                    <w:t>三级</w:t>
                  </w:r>
                </w:p>
              </w:tc>
              <w:tc>
                <w:tcPr>
                  <w:tcW w:w="6543" w:type="dxa"/>
                  <w:tcBorders>
                    <w:tl2br w:val="nil"/>
                    <w:tr2bl w:val="nil"/>
                  </w:tcBorders>
                  <w:vAlign w:val="center"/>
                </w:tcPr>
                <w:p>
                  <w:pPr>
                    <w:adjustRightInd w:val="0"/>
                    <w:snapToGrid w:val="0"/>
                    <w:jc w:val="left"/>
                    <w:rPr>
                      <w:color w:val="auto"/>
                      <w:szCs w:val="21"/>
                    </w:rPr>
                  </w:pPr>
                  <w:r>
                    <w:rPr>
                      <w:rFonts w:hAnsi="宋体"/>
                      <w:color w:val="auto"/>
                      <w:szCs w:val="21"/>
                    </w:rPr>
                    <w:t>建设项目所处的声环境功能区为</w:t>
                  </w:r>
                  <w:r>
                    <w:rPr>
                      <w:color w:val="auto"/>
                      <w:szCs w:val="21"/>
                    </w:rPr>
                    <w:t>GB3096</w:t>
                  </w:r>
                  <w:r>
                    <w:rPr>
                      <w:rFonts w:hAnsi="宋体"/>
                      <w:color w:val="auto"/>
                      <w:szCs w:val="21"/>
                    </w:rPr>
                    <w:t>规定的</w:t>
                  </w:r>
                  <w:r>
                    <w:rPr>
                      <w:color w:val="auto"/>
                      <w:szCs w:val="21"/>
                    </w:rPr>
                    <w:t>3</w:t>
                  </w:r>
                  <w:r>
                    <w:rPr>
                      <w:rFonts w:hAnsi="宋体"/>
                      <w:color w:val="auto"/>
                      <w:szCs w:val="21"/>
                    </w:rPr>
                    <w:t>类、</w:t>
                  </w:r>
                  <w:r>
                    <w:rPr>
                      <w:color w:val="auto"/>
                      <w:szCs w:val="21"/>
                    </w:rPr>
                    <w:t>4</w:t>
                  </w:r>
                  <w:r>
                    <w:rPr>
                      <w:rFonts w:hAnsi="宋体"/>
                      <w:color w:val="auto"/>
                      <w:szCs w:val="21"/>
                    </w:rPr>
                    <w:t>类地区，或建设项目建设前后评价范围内敏感目标噪声级增高量在</w:t>
                  </w:r>
                  <w:r>
                    <w:rPr>
                      <w:color w:val="auto"/>
                      <w:szCs w:val="21"/>
                    </w:rPr>
                    <w:t>3dB</w:t>
                  </w:r>
                  <w:r>
                    <w:rPr>
                      <w:rFonts w:hAnsi="宋体"/>
                      <w:color w:val="auto"/>
                      <w:szCs w:val="21"/>
                    </w:rPr>
                    <w:t>（</w:t>
                  </w:r>
                  <w:r>
                    <w:rPr>
                      <w:color w:val="auto"/>
                      <w:szCs w:val="21"/>
                    </w:rPr>
                    <w:t>A</w:t>
                  </w:r>
                  <w:r>
                    <w:rPr>
                      <w:rFonts w:hAnsi="宋体"/>
                      <w:color w:val="auto"/>
                      <w:szCs w:val="21"/>
                    </w:rPr>
                    <w:t>）以下</w:t>
                  </w:r>
                  <w:r>
                    <w:rPr>
                      <w:color w:val="auto"/>
                      <w:szCs w:val="21"/>
                    </w:rPr>
                    <w:t>[</w:t>
                  </w:r>
                  <w:r>
                    <w:rPr>
                      <w:rFonts w:hAnsi="宋体"/>
                      <w:color w:val="auto"/>
                      <w:szCs w:val="21"/>
                    </w:rPr>
                    <w:t>不含</w:t>
                  </w:r>
                  <w:r>
                    <w:rPr>
                      <w:color w:val="auto"/>
                      <w:szCs w:val="21"/>
                    </w:rPr>
                    <w:t>3dB</w:t>
                  </w:r>
                  <w:r>
                    <w:rPr>
                      <w:rFonts w:hAnsi="宋体"/>
                      <w:color w:val="auto"/>
                      <w:szCs w:val="21"/>
                    </w:rPr>
                    <w:t>（</w:t>
                  </w:r>
                  <w:r>
                    <w:rPr>
                      <w:color w:val="auto"/>
                      <w:szCs w:val="21"/>
                    </w:rPr>
                    <w:t>A</w:t>
                  </w:r>
                  <w:r>
                    <w:rPr>
                      <w:rFonts w:hAnsi="宋体"/>
                      <w:color w:val="auto"/>
                      <w:szCs w:val="21"/>
                    </w:rPr>
                    <w:t>）</w:t>
                  </w:r>
                  <w:r>
                    <w:rPr>
                      <w:color w:val="auto"/>
                      <w:szCs w:val="21"/>
                    </w:rPr>
                    <w:t>]</w:t>
                  </w:r>
                  <w:r>
                    <w:rPr>
                      <w:rFonts w:hAnsi="宋体"/>
                      <w:color w:val="auto"/>
                      <w:szCs w:val="21"/>
                    </w:rPr>
                    <w:t>，且受影响人口数量变化不大时，按三级评价。</w:t>
                  </w:r>
                </w:p>
              </w:tc>
              <w:tc>
                <w:tcPr>
                  <w:tcW w:w="1307" w:type="dxa"/>
                  <w:vMerge w:val="continue"/>
                  <w:tcBorders>
                    <w:tl2br w:val="nil"/>
                    <w:tr2bl w:val="nil"/>
                  </w:tcBorders>
                  <w:vAlign w:val="center"/>
                </w:tcPr>
                <w:p>
                  <w:pPr>
                    <w:adjustRightInd w:val="0"/>
                    <w:snapToGrid w:val="0"/>
                    <w:jc w:val="center"/>
                    <w:rPr>
                      <w:color w:val="auto"/>
                      <w:szCs w:val="21"/>
                    </w:rPr>
                  </w:pPr>
                </w:p>
              </w:tc>
            </w:tr>
          </w:tbl>
          <w:p>
            <w:pPr>
              <w:keepNext w:val="0"/>
              <w:keepLines w:val="0"/>
              <w:pageBreakBefore w:val="0"/>
              <w:widowControl w:val="0"/>
              <w:kinsoku/>
              <w:wordWrap/>
              <w:overflowPunct/>
              <w:topLinePunct w:val="0"/>
              <w:autoSpaceDE/>
              <w:autoSpaceDN/>
              <w:bidi w:val="0"/>
              <w:adjustRightInd/>
              <w:snapToGrid/>
              <w:spacing w:line="240" w:lineRule="exact"/>
              <w:ind w:firstLine="482"/>
              <w:textAlignment w:val="auto"/>
              <w:rPr>
                <w:rFonts w:hint="eastAsia"/>
                <w:b/>
                <w:color w:val="auto"/>
                <w:sz w:val="24"/>
                <w:lang w:val="en-US" w:eastAsia="zh-CN"/>
              </w:rPr>
            </w:pPr>
          </w:p>
          <w:p>
            <w:pPr>
              <w:spacing w:line="360" w:lineRule="auto"/>
              <w:ind w:firstLine="482"/>
              <w:rPr>
                <w:rFonts w:hint="eastAsia"/>
                <w:b/>
                <w:color w:val="auto"/>
                <w:sz w:val="24"/>
              </w:rPr>
            </w:pPr>
            <w:r>
              <w:rPr>
                <w:rFonts w:hint="eastAsia"/>
                <w:b/>
                <w:color w:val="auto"/>
                <w:sz w:val="24"/>
                <w:lang w:val="en-US" w:eastAsia="zh-CN"/>
              </w:rPr>
              <w:t>4</w:t>
            </w:r>
            <w:r>
              <w:rPr>
                <w:rFonts w:hint="eastAsia"/>
                <w:b/>
                <w:color w:val="auto"/>
                <w:sz w:val="24"/>
              </w:rPr>
              <w:t>.</w:t>
            </w:r>
            <w:r>
              <w:rPr>
                <w:rFonts w:hint="eastAsia"/>
                <w:b/>
                <w:color w:val="auto"/>
                <w:sz w:val="24"/>
                <w:lang w:val="en-US" w:eastAsia="zh-CN"/>
              </w:rPr>
              <w:t>2</w:t>
            </w:r>
            <w:r>
              <w:rPr>
                <w:rFonts w:hint="eastAsia"/>
                <w:b/>
                <w:color w:val="auto"/>
                <w:sz w:val="24"/>
              </w:rPr>
              <w:t>噪声预测</w:t>
            </w:r>
          </w:p>
          <w:p>
            <w:pPr>
              <w:spacing w:line="360" w:lineRule="auto"/>
              <w:ind w:firstLine="482"/>
              <w:rPr>
                <w:rFonts w:hint="eastAsia"/>
                <w:color w:val="auto"/>
                <w:sz w:val="24"/>
              </w:rPr>
            </w:pPr>
            <w:r>
              <w:rPr>
                <w:rFonts w:hint="eastAsia"/>
                <w:color w:val="auto"/>
                <w:sz w:val="24"/>
              </w:rPr>
              <w:t>本项目的噪声源主要为</w:t>
            </w:r>
            <w:r>
              <w:rPr>
                <w:rFonts w:hint="eastAsia"/>
                <w:color w:val="auto"/>
                <w:sz w:val="24"/>
                <w:lang w:eastAsia="zh-CN"/>
              </w:rPr>
              <w:t>调直机、龙门吊、电焊机、空气压缩机</w:t>
            </w:r>
            <w:r>
              <w:rPr>
                <w:rFonts w:hint="eastAsia"/>
                <w:color w:val="auto"/>
                <w:sz w:val="24"/>
              </w:rPr>
              <w:t>等，噪声源强在</w:t>
            </w:r>
            <w:r>
              <w:rPr>
                <w:rFonts w:hint="eastAsia"/>
                <w:color w:val="auto"/>
                <w:sz w:val="24"/>
                <w:lang w:val="en-US" w:eastAsia="zh-CN"/>
              </w:rPr>
              <w:t>65</w:t>
            </w:r>
            <w:r>
              <w:rPr>
                <w:rFonts w:hint="eastAsia"/>
                <w:color w:val="auto"/>
                <w:sz w:val="24"/>
              </w:rPr>
              <w:t>~</w:t>
            </w:r>
            <w:r>
              <w:rPr>
                <w:rFonts w:hint="eastAsia"/>
                <w:color w:val="auto"/>
                <w:sz w:val="24"/>
                <w:lang w:val="en-US" w:eastAsia="zh-CN"/>
              </w:rPr>
              <w:t>95</w:t>
            </w:r>
            <w:r>
              <w:rPr>
                <w:rFonts w:hint="eastAsia"/>
                <w:color w:val="auto"/>
                <w:sz w:val="24"/>
              </w:rPr>
              <w:t>dB（A），本项目主要设备噪声源强见表</w:t>
            </w:r>
            <w:r>
              <w:rPr>
                <w:rFonts w:hint="eastAsia"/>
                <w:color w:val="auto"/>
                <w:sz w:val="24"/>
                <w:lang w:val="en-US" w:eastAsia="zh-CN"/>
              </w:rPr>
              <w:t>25</w:t>
            </w:r>
            <w:r>
              <w:rPr>
                <w:rFonts w:hint="eastAsia"/>
                <w:color w:val="auto"/>
                <w:sz w:val="24"/>
              </w:rPr>
              <w:t>。</w:t>
            </w:r>
          </w:p>
          <w:p>
            <w:pPr>
              <w:pStyle w:val="2"/>
              <w:rPr>
                <w:rFonts w:hint="eastAsia"/>
              </w:rPr>
            </w:pPr>
          </w:p>
          <w:p>
            <w:pPr>
              <w:pStyle w:val="8"/>
              <w:ind w:left="0" w:leftChars="0" w:firstLine="0" w:firstLineChars="0"/>
              <w:jc w:val="center"/>
              <w:rPr>
                <w:rFonts w:hint="eastAsia" w:ascii="黑体" w:hAnsi="黑体" w:eastAsia="黑体" w:cs="黑体"/>
                <w:b w:val="0"/>
                <w:bCs/>
                <w:color w:val="auto"/>
                <w:kern w:val="2"/>
                <w:szCs w:val="24"/>
              </w:rPr>
            </w:pPr>
            <w:r>
              <w:rPr>
                <w:rFonts w:hint="eastAsia" w:ascii="黑体" w:hAnsi="黑体" w:eastAsia="黑体" w:cs="黑体"/>
                <w:b w:val="0"/>
                <w:bCs/>
                <w:color w:val="auto"/>
                <w:kern w:val="2"/>
                <w:szCs w:val="24"/>
              </w:rPr>
              <w:t>表</w:t>
            </w:r>
            <w:r>
              <w:rPr>
                <w:rFonts w:hint="eastAsia" w:ascii="黑体" w:hAnsi="黑体" w:eastAsia="黑体" w:cs="黑体"/>
                <w:b w:val="0"/>
                <w:bCs/>
                <w:color w:val="auto"/>
                <w:kern w:val="2"/>
                <w:szCs w:val="24"/>
                <w:lang w:val="en-US" w:eastAsia="zh-CN"/>
              </w:rPr>
              <w:t>32</w:t>
            </w:r>
            <w:r>
              <w:rPr>
                <w:rFonts w:hint="eastAsia" w:ascii="黑体" w:hAnsi="黑体" w:eastAsia="黑体" w:cs="黑体"/>
                <w:b w:val="0"/>
                <w:bCs/>
                <w:color w:val="auto"/>
                <w:kern w:val="2"/>
                <w:szCs w:val="24"/>
              </w:rPr>
              <w:t xml:space="preserve">  本项目主要生产设备源强及治理措施一览表</w:t>
            </w:r>
          </w:p>
          <w:tbl>
            <w:tblPr>
              <w:tblStyle w:val="32"/>
              <w:tblW w:w="5000" w:type="pct"/>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660"/>
              <w:gridCol w:w="1628"/>
              <w:gridCol w:w="1369"/>
              <w:gridCol w:w="1557"/>
              <w:gridCol w:w="1082"/>
              <w:gridCol w:w="277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jc w:val="center"/>
                    <w:rPr>
                      <w:rFonts w:hint="default" w:ascii="Times New Roman" w:hAnsi="Times New Roman" w:eastAsia="宋体" w:cs="Times New Roman"/>
                      <w:color w:val="auto"/>
                      <w:lang w:val="en-US" w:eastAsia="zh-CN"/>
                    </w:rPr>
                  </w:pPr>
                  <w:r>
                    <w:rPr>
                      <w:rFonts w:hint="default" w:ascii="Times New Roman" w:hAnsi="Times New Roman" w:cs="Times New Roman"/>
                      <w:color w:val="auto"/>
                      <w:lang w:val="en-US" w:eastAsia="zh-CN"/>
                    </w:rPr>
                    <w:t>序号</w:t>
                  </w:r>
                </w:p>
              </w:tc>
              <w:tc>
                <w:tcPr>
                  <w:tcW w:w="897" w:type="pct"/>
                  <w:tcBorders>
                    <w:tl2br w:val="nil"/>
                    <w:tr2bl w:val="nil"/>
                  </w:tcBorders>
                  <w:vAlign w:val="center"/>
                </w:tcPr>
                <w:p>
                  <w:pPr>
                    <w:jc w:val="center"/>
                    <w:rPr>
                      <w:rFonts w:hint="default" w:ascii="Times New Roman" w:hAnsi="Times New Roman" w:cs="Times New Roman"/>
                      <w:color w:val="auto"/>
                    </w:rPr>
                  </w:pPr>
                  <w:r>
                    <w:rPr>
                      <w:rFonts w:hint="default" w:ascii="Times New Roman" w:hAnsi="Times New Roman" w:cs="Times New Roman"/>
                      <w:color w:val="auto"/>
                    </w:rPr>
                    <w:t>名称</w:t>
                  </w:r>
                </w:p>
              </w:tc>
              <w:tc>
                <w:tcPr>
                  <w:tcW w:w="754" w:type="pct"/>
                  <w:tcBorders>
                    <w:tl2br w:val="nil"/>
                    <w:tr2bl w:val="nil"/>
                  </w:tcBorders>
                  <w:vAlign w:val="center"/>
                </w:tcPr>
                <w:p>
                  <w:pPr>
                    <w:jc w:val="center"/>
                    <w:rPr>
                      <w:rFonts w:hint="default" w:ascii="Times New Roman" w:hAnsi="Times New Roman" w:eastAsia="宋体" w:cs="Times New Roman"/>
                      <w:color w:val="auto"/>
                      <w:kern w:val="2"/>
                      <w:sz w:val="21"/>
                      <w:szCs w:val="24"/>
                      <w:lang w:val="en-US" w:eastAsia="zh-CN" w:bidi="ar-SA"/>
                    </w:rPr>
                  </w:pPr>
                  <w:r>
                    <w:rPr>
                      <w:rFonts w:hint="default" w:ascii="Times New Roman" w:hAnsi="Times New Roman" w:cs="Times New Roman"/>
                      <w:color w:val="auto"/>
                    </w:rPr>
                    <w:t>数量（台或套）</w:t>
                  </w:r>
                </w:p>
              </w:tc>
              <w:tc>
                <w:tcPr>
                  <w:tcW w:w="858" w:type="pct"/>
                  <w:tcBorders>
                    <w:tl2br w:val="nil"/>
                    <w:tr2bl w:val="nil"/>
                  </w:tcBorders>
                  <w:vAlign w:val="center"/>
                </w:tcPr>
                <w:p>
                  <w:pPr>
                    <w:jc w:val="center"/>
                    <w:rPr>
                      <w:rFonts w:hint="default" w:ascii="Times New Roman" w:hAnsi="Times New Roman" w:eastAsia="宋体" w:cs="Times New Roman"/>
                      <w:color w:val="auto"/>
                      <w:lang w:eastAsia="zh-CN"/>
                    </w:rPr>
                  </w:pPr>
                  <w:r>
                    <w:rPr>
                      <w:rFonts w:hint="default" w:ascii="Times New Roman" w:hAnsi="Times New Roman" w:cs="Times New Roman"/>
                      <w:bCs/>
                      <w:color w:val="auto"/>
                      <w:szCs w:val="21"/>
                    </w:rPr>
                    <w:t>源强（</w:t>
                  </w:r>
                  <w:r>
                    <w:rPr>
                      <w:rFonts w:hint="default" w:ascii="Times New Roman" w:hAnsi="Times New Roman" w:cs="Times New Roman"/>
                      <w:color w:val="auto"/>
                      <w:szCs w:val="21"/>
                    </w:rPr>
                    <w:t>dB(A)</w:t>
                  </w:r>
                  <w:r>
                    <w:rPr>
                      <w:rFonts w:hint="default" w:ascii="Times New Roman" w:hAnsi="Times New Roman" w:cs="Times New Roman"/>
                      <w:bCs/>
                      <w:color w:val="auto"/>
                      <w:szCs w:val="21"/>
                    </w:rPr>
                    <w:t>）</w:t>
                  </w:r>
                </w:p>
              </w:tc>
              <w:tc>
                <w:tcPr>
                  <w:tcW w:w="596" w:type="pct"/>
                  <w:tcBorders>
                    <w:tl2br w:val="nil"/>
                    <w:tr2bl w:val="nil"/>
                  </w:tcBorders>
                  <w:vAlign w:val="center"/>
                </w:tcPr>
                <w:p>
                  <w:pPr>
                    <w:spacing w:line="360" w:lineRule="auto"/>
                    <w:jc w:val="center"/>
                    <w:rPr>
                      <w:rFonts w:hint="default" w:ascii="Times New Roman" w:hAnsi="Times New Roman" w:cs="Times New Roman"/>
                      <w:bCs/>
                      <w:color w:val="auto"/>
                      <w:szCs w:val="21"/>
                    </w:rPr>
                  </w:pPr>
                  <w:r>
                    <w:rPr>
                      <w:rFonts w:hint="default" w:ascii="Times New Roman" w:hAnsi="Times New Roman" w:cs="Times New Roman"/>
                      <w:color w:val="auto"/>
                      <w:szCs w:val="21"/>
                    </w:rPr>
                    <w:t>降噪措施</w:t>
                  </w:r>
                </w:p>
              </w:tc>
              <w:tc>
                <w:tcPr>
                  <w:tcW w:w="1529" w:type="pct"/>
                  <w:tcBorders>
                    <w:tl2br w:val="nil"/>
                    <w:tr2bl w:val="nil"/>
                  </w:tcBorders>
                  <w:vAlign w:val="center"/>
                </w:tcPr>
                <w:p>
                  <w:pPr>
                    <w:spacing w:line="360" w:lineRule="auto"/>
                    <w:jc w:val="center"/>
                    <w:rPr>
                      <w:rFonts w:hint="default" w:ascii="Times New Roman" w:hAnsi="Times New Roman" w:cs="Times New Roman"/>
                      <w:bCs/>
                      <w:color w:val="auto"/>
                      <w:szCs w:val="21"/>
                    </w:rPr>
                  </w:pPr>
                  <w:r>
                    <w:rPr>
                      <w:rFonts w:hint="default" w:ascii="Times New Roman" w:hAnsi="Times New Roman" w:cs="Times New Roman"/>
                      <w:color w:val="auto"/>
                      <w:szCs w:val="21"/>
                    </w:rPr>
                    <w:t>降噪后单台设备源强dB(A)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kern w:val="2"/>
                      <w:sz w:val="21"/>
                      <w:szCs w:val="21"/>
                      <w:lang w:val="en-US" w:eastAsia="zh-CN" w:bidi="ar-SA"/>
                    </w:rPr>
                    <w:t>1</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龙门吊</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lang w:val="en-US" w:eastAsia="zh-CN"/>
                    </w:rPr>
                    <w:t>4</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kern w:val="2"/>
                      <w:sz w:val="21"/>
                      <w:szCs w:val="21"/>
                      <w:lang w:val="en-US" w:eastAsia="zh-CN" w:bidi="ar-SA"/>
                    </w:rPr>
                    <w:t>75</w:t>
                  </w:r>
                </w:p>
              </w:tc>
              <w:tc>
                <w:tcPr>
                  <w:tcW w:w="596" w:type="pct"/>
                  <w:vMerge w:val="restart"/>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r>
                    <w:rPr>
                      <w:rFonts w:hint="default" w:ascii="Times New Roman" w:hAnsi="Times New Roman" w:cs="Times New Roman"/>
                      <w:color w:val="auto"/>
                      <w:sz w:val="21"/>
                      <w:szCs w:val="21"/>
                    </w:rPr>
                    <w:t>减振基础、室内布置</w:t>
                  </w: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55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rPr>
                    <w:t>2</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运梁台车</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65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45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rPr>
                    <w:t>3</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全自动加热蒸养机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3</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65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45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4</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弯曲机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70</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5</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切断机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80</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6</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调直机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65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45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7</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电焊机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4</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65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45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8</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氧焊</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65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45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9</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150KW发电机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95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75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10</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空气压缩机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95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75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11</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波纹管机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75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55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12</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数控张拉机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2</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80</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13</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数控压浆机</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80</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14</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附着式振捣器</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8</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75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55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36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15</w:t>
                  </w:r>
                </w:p>
              </w:tc>
              <w:tc>
                <w:tcPr>
                  <w:tcW w:w="897"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插入式振捣器</w:t>
                  </w:r>
                </w:p>
              </w:tc>
              <w:tc>
                <w:tcPr>
                  <w:tcW w:w="754" w:type="pct"/>
                  <w:tcBorders>
                    <w:tl2br w:val="nil"/>
                    <w:tr2bl w:val="nil"/>
                  </w:tcBorders>
                  <w:vAlign w:val="center"/>
                </w:tcPr>
                <w:p>
                  <w:pPr>
                    <w:spacing w:line="240" w:lineRule="auto"/>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sz w:val="21"/>
                      <w:szCs w:val="21"/>
                    </w:rPr>
                    <w:t>10</w:t>
                  </w:r>
                </w:p>
              </w:tc>
              <w:tc>
                <w:tcPr>
                  <w:tcW w:w="858" w:type="pc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 w:val="21"/>
                      <w:szCs w:val="21"/>
                      <w:lang w:val="en-US" w:eastAsia="zh-CN"/>
                    </w:rPr>
                    <w:t>75</w:t>
                  </w:r>
                </w:p>
              </w:tc>
              <w:tc>
                <w:tcPr>
                  <w:tcW w:w="596" w:type="pct"/>
                  <w:vMerge w:val="continue"/>
                  <w:tcBorders>
                    <w:tl2br w:val="nil"/>
                    <w:tr2bl w:val="nil"/>
                  </w:tcBorders>
                  <w:vAlign w:val="center"/>
                </w:tcPr>
                <w:p>
                  <w:pPr>
                    <w:jc w:val="center"/>
                    <w:rPr>
                      <w:rFonts w:hint="default" w:ascii="Times New Roman" w:hAnsi="Times New Roman" w:cs="Times New Roman"/>
                      <w:color w:val="auto"/>
                      <w:kern w:val="2"/>
                      <w:sz w:val="21"/>
                      <w:szCs w:val="24"/>
                      <w:lang w:val="en-US" w:eastAsia="zh-CN" w:bidi="ar-SA"/>
                    </w:rPr>
                  </w:pPr>
                </w:p>
              </w:tc>
              <w:tc>
                <w:tcPr>
                  <w:tcW w:w="1529" w:type="pct"/>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55</w:t>
                  </w:r>
                </w:p>
              </w:tc>
            </w:tr>
          </w:tbl>
          <w:p>
            <w:pPr>
              <w:keepNext w:val="0"/>
              <w:keepLines w:val="0"/>
              <w:pageBreakBefore w:val="0"/>
              <w:widowControl w:val="0"/>
              <w:kinsoku/>
              <w:wordWrap/>
              <w:overflowPunct/>
              <w:topLinePunct w:val="0"/>
              <w:autoSpaceDE w:val="0"/>
              <w:autoSpaceDN w:val="0"/>
              <w:bidi w:val="0"/>
              <w:adjustRightInd w:val="0"/>
              <w:snapToGrid/>
              <w:spacing w:line="240" w:lineRule="exact"/>
              <w:ind w:firstLine="480" w:firstLineChars="200"/>
              <w:textAlignment w:val="auto"/>
              <w:rPr>
                <w:rFonts w:ascii="宋体" w:hAnsi="宋体"/>
                <w:color w:val="FF0000"/>
                <w:sz w:val="24"/>
              </w:rPr>
            </w:pPr>
          </w:p>
          <w:p>
            <w:pPr>
              <w:autoSpaceDE w:val="0"/>
              <w:autoSpaceDN w:val="0"/>
              <w:adjustRightInd w:val="0"/>
              <w:spacing w:line="360" w:lineRule="auto"/>
              <w:ind w:firstLine="480" w:firstLineChars="200"/>
              <w:rPr>
                <w:rFonts w:ascii="宋体" w:hAnsi="宋体"/>
                <w:color w:val="auto"/>
                <w:sz w:val="24"/>
              </w:rPr>
            </w:pPr>
            <w:r>
              <w:rPr>
                <w:rFonts w:ascii="宋体" w:hAnsi="宋体"/>
                <w:color w:val="auto"/>
                <w:sz w:val="24"/>
              </w:rPr>
              <w:t>项目采用《环境影响评价技术导则-声环境》</w:t>
            </w:r>
            <w:r>
              <w:rPr>
                <w:rFonts w:hAnsi="宋体"/>
                <w:color w:val="auto"/>
                <w:sz w:val="24"/>
              </w:rPr>
              <w:t>（</w:t>
            </w:r>
            <w:r>
              <w:rPr>
                <w:color w:val="auto"/>
                <w:sz w:val="24"/>
              </w:rPr>
              <w:t>HJ2.4-2009</w:t>
            </w:r>
            <w:r>
              <w:rPr>
                <w:rFonts w:hAnsi="宋体"/>
                <w:color w:val="auto"/>
                <w:sz w:val="24"/>
              </w:rPr>
              <w:t>）</w:t>
            </w:r>
            <w:r>
              <w:rPr>
                <w:rFonts w:ascii="宋体" w:hAnsi="宋体"/>
                <w:color w:val="auto"/>
                <w:sz w:val="24"/>
              </w:rPr>
              <w:t>中</w:t>
            </w:r>
            <w:r>
              <w:rPr>
                <w:rFonts w:hint="eastAsia" w:ascii="宋体" w:hAnsi="宋体"/>
                <w:color w:val="auto"/>
                <w:sz w:val="24"/>
              </w:rPr>
              <w:t>点</w:t>
            </w:r>
            <w:r>
              <w:rPr>
                <w:rFonts w:ascii="宋体" w:hAnsi="宋体"/>
                <w:color w:val="auto"/>
                <w:sz w:val="24"/>
              </w:rPr>
              <w:t>声源预测模式进行预测</w:t>
            </w:r>
            <w:r>
              <w:rPr>
                <w:rFonts w:hint="eastAsia" w:ascii="宋体" w:hAnsi="宋体"/>
                <w:color w:val="auto"/>
                <w:sz w:val="24"/>
              </w:rPr>
              <w:t>。声环境影响点源预测模式如下：</w:t>
            </w:r>
          </w:p>
          <w:p>
            <w:pPr>
              <w:autoSpaceDE w:val="0"/>
              <w:autoSpaceDN w:val="0"/>
              <w:adjustRightInd w:val="0"/>
              <w:spacing w:line="360" w:lineRule="auto"/>
              <w:ind w:firstLine="480" w:firstLineChars="200"/>
              <w:rPr>
                <w:rFonts w:ascii="宋体" w:hAnsi="宋体"/>
                <w:color w:val="auto"/>
                <w:sz w:val="24"/>
              </w:rPr>
            </w:pPr>
            <w:r>
              <w:rPr>
                <w:rFonts w:hint="eastAsia" w:ascii="宋体" w:hAnsi="宋体"/>
                <w:color w:val="auto"/>
                <w:sz w:val="24"/>
              </w:rPr>
              <w:t>（1）</w:t>
            </w:r>
            <w:r>
              <w:rPr>
                <w:rFonts w:ascii="宋体" w:hAnsi="宋体"/>
                <w:color w:val="auto"/>
                <w:sz w:val="24"/>
              </w:rPr>
              <w:t>点声源衰减公式</w:t>
            </w:r>
            <w:r>
              <w:rPr>
                <w:rFonts w:hint="eastAsia" w:ascii="宋体" w:hAnsi="宋体"/>
                <w:color w:val="auto"/>
                <w:sz w:val="24"/>
              </w:rPr>
              <w:t>如下：</w:t>
            </w:r>
          </w:p>
          <w:p>
            <w:pPr>
              <w:autoSpaceDE w:val="0"/>
              <w:autoSpaceDN w:val="0"/>
              <w:adjustRightInd w:val="0"/>
              <w:spacing w:line="360" w:lineRule="auto"/>
              <w:ind w:firstLine="480" w:firstLineChars="200"/>
              <w:rPr>
                <w:color w:val="auto"/>
                <w:sz w:val="24"/>
              </w:rPr>
            </w:pPr>
            <w:r>
              <w:rPr>
                <w:rFonts w:ascii="宋体" w:hAnsi="宋体"/>
                <w:color w:val="auto"/>
                <w:sz w:val="24"/>
              </w:rPr>
              <w:t xml:space="preserve"> </w:t>
            </w:r>
            <w:r>
              <w:rPr>
                <w:rFonts w:hint="eastAsia" w:ascii="宋体" w:hAnsi="宋体"/>
                <w:color w:val="auto"/>
                <w:sz w:val="24"/>
              </w:rPr>
              <w:t xml:space="preserve">        </w:t>
            </w:r>
            <w:r>
              <w:rPr>
                <w:color w:val="auto"/>
                <w:sz w:val="24"/>
              </w:rPr>
              <w:t xml:space="preserve"> L</w:t>
            </w:r>
            <w:r>
              <w:rPr>
                <w:color w:val="auto"/>
                <w:sz w:val="24"/>
                <w:vertAlign w:val="subscript"/>
              </w:rPr>
              <w:t>2</w:t>
            </w:r>
            <w:r>
              <w:rPr>
                <w:color w:val="auto"/>
                <w:sz w:val="24"/>
              </w:rPr>
              <w:t>=L</w:t>
            </w:r>
            <w:r>
              <w:rPr>
                <w:color w:val="auto"/>
                <w:sz w:val="24"/>
                <w:vertAlign w:val="subscript"/>
              </w:rPr>
              <w:t>1</w:t>
            </w:r>
            <w:r>
              <w:rPr>
                <w:color w:val="auto"/>
                <w:sz w:val="24"/>
              </w:rPr>
              <w:t>-20lg</w:t>
            </w:r>
            <w:r>
              <w:rPr>
                <w:rFonts w:hAnsi="宋体"/>
                <w:color w:val="auto"/>
                <w:sz w:val="24"/>
              </w:rPr>
              <w:t>（</w:t>
            </w:r>
            <w:r>
              <w:rPr>
                <w:color w:val="auto"/>
                <w:sz w:val="24"/>
              </w:rPr>
              <w:t>r</w:t>
            </w:r>
            <w:r>
              <w:rPr>
                <w:color w:val="auto"/>
                <w:sz w:val="24"/>
                <w:vertAlign w:val="subscript"/>
              </w:rPr>
              <w:t>2</w:t>
            </w:r>
            <w:r>
              <w:rPr>
                <w:color w:val="auto"/>
                <w:sz w:val="24"/>
              </w:rPr>
              <w:t>/r</w:t>
            </w:r>
            <w:r>
              <w:rPr>
                <w:color w:val="auto"/>
                <w:sz w:val="24"/>
                <w:vertAlign w:val="subscript"/>
              </w:rPr>
              <w:t>1</w:t>
            </w:r>
            <w:r>
              <w:rPr>
                <w:rFonts w:hAnsi="宋体"/>
                <w:color w:val="auto"/>
                <w:sz w:val="24"/>
              </w:rPr>
              <w:t>）</w:t>
            </w:r>
          </w:p>
          <w:p>
            <w:pPr>
              <w:autoSpaceDE w:val="0"/>
              <w:autoSpaceDN w:val="0"/>
              <w:adjustRightInd w:val="0"/>
              <w:spacing w:line="360" w:lineRule="auto"/>
              <w:ind w:firstLine="480" w:firstLineChars="200"/>
              <w:rPr>
                <w:color w:val="auto"/>
                <w:sz w:val="24"/>
              </w:rPr>
            </w:pPr>
            <w:r>
              <w:rPr>
                <w:rFonts w:hAnsi="宋体"/>
                <w:color w:val="auto"/>
                <w:sz w:val="24"/>
              </w:rPr>
              <w:t>式中，</w:t>
            </w:r>
            <w:r>
              <w:rPr>
                <w:color w:val="auto"/>
                <w:sz w:val="24"/>
              </w:rPr>
              <w:t>r</w:t>
            </w:r>
            <w:r>
              <w:rPr>
                <w:color w:val="auto"/>
                <w:sz w:val="24"/>
                <w:vertAlign w:val="subscript"/>
              </w:rPr>
              <w:t>2</w:t>
            </w:r>
            <w:r>
              <w:rPr>
                <w:rFonts w:hAnsi="宋体"/>
                <w:color w:val="auto"/>
                <w:sz w:val="24"/>
              </w:rPr>
              <w:t>、</w:t>
            </w:r>
            <w:r>
              <w:rPr>
                <w:color w:val="auto"/>
                <w:sz w:val="24"/>
              </w:rPr>
              <w:t>r</w:t>
            </w:r>
            <w:r>
              <w:rPr>
                <w:color w:val="auto"/>
                <w:sz w:val="24"/>
                <w:vertAlign w:val="subscript"/>
              </w:rPr>
              <w:t>1</w:t>
            </w:r>
            <w:r>
              <w:rPr>
                <w:color w:val="auto"/>
                <w:sz w:val="24"/>
              </w:rPr>
              <w:t>——</w:t>
            </w:r>
            <w:r>
              <w:rPr>
                <w:rFonts w:hAnsi="宋体"/>
                <w:color w:val="auto"/>
                <w:sz w:val="24"/>
              </w:rPr>
              <w:t>距声源的距离（</w:t>
            </w:r>
            <w:r>
              <w:rPr>
                <w:color w:val="auto"/>
                <w:sz w:val="24"/>
              </w:rPr>
              <w:t>m</w:t>
            </w:r>
            <w:r>
              <w:rPr>
                <w:rFonts w:hAnsi="宋体"/>
                <w:color w:val="auto"/>
                <w:sz w:val="24"/>
              </w:rPr>
              <w:t>）；</w:t>
            </w:r>
          </w:p>
          <w:p>
            <w:pPr>
              <w:autoSpaceDE w:val="0"/>
              <w:autoSpaceDN w:val="0"/>
              <w:adjustRightInd w:val="0"/>
              <w:spacing w:line="360" w:lineRule="auto"/>
              <w:ind w:firstLine="1200" w:firstLineChars="500"/>
              <w:rPr>
                <w:color w:val="auto"/>
                <w:sz w:val="24"/>
              </w:rPr>
            </w:pPr>
            <w:r>
              <w:rPr>
                <w:color w:val="auto"/>
                <w:sz w:val="24"/>
              </w:rPr>
              <w:t>L</w:t>
            </w:r>
            <w:r>
              <w:rPr>
                <w:color w:val="auto"/>
                <w:sz w:val="24"/>
                <w:vertAlign w:val="subscript"/>
              </w:rPr>
              <w:t>2</w:t>
            </w:r>
            <w:r>
              <w:rPr>
                <w:rFonts w:hAnsi="宋体"/>
                <w:color w:val="auto"/>
                <w:sz w:val="24"/>
              </w:rPr>
              <w:t>、</w:t>
            </w:r>
            <w:r>
              <w:rPr>
                <w:color w:val="auto"/>
                <w:sz w:val="24"/>
              </w:rPr>
              <w:t>L</w:t>
            </w:r>
            <w:r>
              <w:rPr>
                <w:color w:val="auto"/>
                <w:sz w:val="24"/>
                <w:vertAlign w:val="subscript"/>
              </w:rPr>
              <w:t>1</w:t>
            </w:r>
            <w:r>
              <w:rPr>
                <w:color w:val="auto"/>
                <w:sz w:val="24"/>
              </w:rPr>
              <w:t>——r</w:t>
            </w:r>
            <w:r>
              <w:rPr>
                <w:color w:val="auto"/>
                <w:sz w:val="24"/>
                <w:vertAlign w:val="subscript"/>
              </w:rPr>
              <w:t>2</w:t>
            </w:r>
            <w:r>
              <w:rPr>
                <w:rFonts w:hAnsi="宋体"/>
                <w:color w:val="auto"/>
                <w:sz w:val="24"/>
              </w:rPr>
              <w:t>、</w:t>
            </w:r>
            <w:r>
              <w:rPr>
                <w:color w:val="auto"/>
                <w:sz w:val="24"/>
              </w:rPr>
              <w:t>r</w:t>
            </w:r>
            <w:r>
              <w:rPr>
                <w:color w:val="auto"/>
                <w:sz w:val="24"/>
                <w:vertAlign w:val="subscript"/>
              </w:rPr>
              <w:t>1</w:t>
            </w:r>
            <w:r>
              <w:rPr>
                <w:rFonts w:hAnsi="宋体"/>
                <w:color w:val="auto"/>
                <w:sz w:val="24"/>
              </w:rPr>
              <w:t>处的声级强度</w:t>
            </w:r>
            <w:r>
              <w:rPr>
                <w:color w:val="auto"/>
                <w:sz w:val="24"/>
              </w:rPr>
              <w:t>[dB(A)]</w:t>
            </w:r>
            <w:r>
              <w:rPr>
                <w:rFonts w:hAnsi="宋体"/>
                <w:color w:val="auto"/>
                <w:sz w:val="24"/>
              </w:rPr>
              <w:t>。</w:t>
            </w:r>
          </w:p>
          <w:p>
            <w:pPr>
              <w:autoSpaceDE w:val="0"/>
              <w:autoSpaceDN w:val="0"/>
              <w:adjustRightInd w:val="0"/>
              <w:spacing w:line="360" w:lineRule="auto"/>
              <w:ind w:firstLine="480" w:firstLineChars="200"/>
              <w:rPr>
                <w:color w:val="auto"/>
              </w:rPr>
            </w:pPr>
            <w:r>
              <w:rPr>
                <w:rFonts w:hAnsi="宋体"/>
                <w:color w:val="auto"/>
                <w:sz w:val="24"/>
              </w:rPr>
              <w:t>（</w:t>
            </w:r>
            <w:r>
              <w:rPr>
                <w:color w:val="auto"/>
                <w:sz w:val="24"/>
              </w:rPr>
              <w:t>2</w:t>
            </w:r>
            <w:r>
              <w:rPr>
                <w:rFonts w:hAnsi="宋体"/>
                <w:color w:val="auto"/>
                <w:sz w:val="24"/>
              </w:rPr>
              <w:t>）各预测点声压级按下列公式进行叠加：</w:t>
            </w:r>
          </w:p>
          <w:p>
            <w:pPr>
              <w:spacing w:line="360" w:lineRule="auto"/>
              <w:jc w:val="center"/>
              <w:rPr>
                <w:color w:val="auto"/>
                <w:sz w:val="24"/>
              </w:rPr>
            </w:pPr>
            <w:r>
              <w:rPr>
                <w:color w:val="auto"/>
                <w:sz w:val="24"/>
              </w:rPr>
              <w:object>
                <v:shape id="_x0000_i1025" o:spt="75" type="#_x0000_t75" style="height:37.5pt;width:147.75pt;" o:ole="t" fillcolor="#6D6D6D" filled="f" o:preferrelative="t" stroked="f" coordsize="21600,21600">
                  <v:path/>
                  <v:fill on="f" focussize="0,0"/>
                  <v:stroke on="f" joinstyle="miter"/>
                  <v:imagedata r:id="rId8" o:title=""/>
                  <o:lock v:ext="edit" aspectratio="t"/>
                  <w10:wrap type="none"/>
                  <w10:anchorlock/>
                </v:shape>
                <o:OLEObject Type="Embed" ProgID="Equations" ShapeID="_x0000_i1025" DrawAspect="Content" ObjectID="_1468075725" r:id="rId7">
                  <o:LockedField>false</o:LockedField>
                </o:OLEObject>
              </w:object>
            </w:r>
          </w:p>
          <w:p>
            <w:pPr>
              <w:spacing w:line="360" w:lineRule="auto"/>
              <w:ind w:firstLine="480" w:firstLineChars="200"/>
              <w:rPr>
                <w:color w:val="auto"/>
                <w:sz w:val="24"/>
              </w:rPr>
            </w:pPr>
            <w:r>
              <w:rPr>
                <w:rFonts w:hAnsi="宋体"/>
                <w:color w:val="auto"/>
                <w:sz w:val="24"/>
              </w:rPr>
              <w:t>式中：</w:t>
            </w:r>
            <w:r>
              <w:rPr>
                <w:i/>
                <w:color w:val="auto"/>
                <w:sz w:val="24"/>
              </w:rPr>
              <w:t>L</w:t>
            </w:r>
            <w:r>
              <w:rPr>
                <w:rFonts w:hAnsi="宋体"/>
                <w:color w:val="auto"/>
                <w:sz w:val="24"/>
                <w:vertAlign w:val="subscript"/>
              </w:rPr>
              <w:t>总</w:t>
            </w:r>
            <w:r>
              <w:rPr>
                <w:color w:val="auto"/>
                <w:sz w:val="24"/>
              </w:rPr>
              <w:t>-</w:t>
            </w:r>
            <w:r>
              <w:rPr>
                <w:rFonts w:hAnsi="宋体"/>
                <w:color w:val="auto"/>
                <w:sz w:val="24"/>
              </w:rPr>
              <w:t>预测点叠加后的总声压级，</w:t>
            </w:r>
            <w:r>
              <w:rPr>
                <w:color w:val="auto"/>
                <w:sz w:val="24"/>
              </w:rPr>
              <w:t>dB(A)</w:t>
            </w:r>
            <w:r>
              <w:rPr>
                <w:rFonts w:hAnsi="宋体"/>
                <w:color w:val="auto"/>
                <w:sz w:val="24"/>
              </w:rPr>
              <w:t>；</w:t>
            </w:r>
            <w:r>
              <w:rPr>
                <w:i/>
                <w:color w:val="auto"/>
                <w:sz w:val="24"/>
              </w:rPr>
              <w:t>L</w:t>
            </w:r>
            <w:r>
              <w:rPr>
                <w:color w:val="auto"/>
                <w:sz w:val="24"/>
                <w:vertAlign w:val="subscript"/>
              </w:rPr>
              <w:t>i</w:t>
            </w:r>
            <w:r>
              <w:rPr>
                <w:color w:val="auto"/>
                <w:sz w:val="24"/>
              </w:rPr>
              <w:t>-</w:t>
            </w:r>
            <w:r>
              <w:rPr>
                <w:rFonts w:hAnsi="宋体"/>
                <w:color w:val="auto"/>
                <w:sz w:val="24"/>
              </w:rPr>
              <w:t>第</w:t>
            </w:r>
            <w:r>
              <w:rPr>
                <w:color w:val="auto"/>
                <w:sz w:val="24"/>
              </w:rPr>
              <w:t>i</w:t>
            </w:r>
            <w:r>
              <w:rPr>
                <w:rFonts w:hAnsi="宋体"/>
                <w:color w:val="auto"/>
                <w:sz w:val="24"/>
              </w:rPr>
              <w:t>个声源到预测点处的声压级，</w:t>
            </w:r>
            <w:r>
              <w:rPr>
                <w:color w:val="auto"/>
                <w:sz w:val="24"/>
              </w:rPr>
              <w:t>dB(A)</w:t>
            </w:r>
            <w:r>
              <w:rPr>
                <w:rFonts w:hAnsi="宋体"/>
                <w:color w:val="auto"/>
                <w:sz w:val="24"/>
              </w:rPr>
              <w:t>；</w:t>
            </w:r>
            <w:r>
              <w:rPr>
                <w:i/>
                <w:color w:val="auto"/>
                <w:sz w:val="24"/>
              </w:rPr>
              <w:t>L</w:t>
            </w:r>
            <w:r>
              <w:rPr>
                <w:color w:val="auto"/>
                <w:sz w:val="24"/>
                <w:vertAlign w:val="subscript"/>
              </w:rPr>
              <w:t>4a</w:t>
            </w:r>
            <w:r>
              <w:rPr>
                <w:color w:val="auto"/>
                <w:sz w:val="24"/>
              </w:rPr>
              <w:t>-</w:t>
            </w:r>
            <w:r>
              <w:rPr>
                <w:rFonts w:hAnsi="宋体"/>
                <w:color w:val="auto"/>
                <w:sz w:val="24"/>
              </w:rPr>
              <w:t>环境噪声本底值，</w:t>
            </w:r>
            <w:r>
              <w:rPr>
                <w:color w:val="auto"/>
                <w:sz w:val="24"/>
              </w:rPr>
              <w:t>dB(A)</w:t>
            </w:r>
            <w:r>
              <w:rPr>
                <w:rFonts w:hAnsi="宋体"/>
                <w:color w:val="auto"/>
                <w:sz w:val="24"/>
              </w:rPr>
              <w:t>；</w:t>
            </w:r>
            <w:r>
              <w:rPr>
                <w:color w:val="auto"/>
                <w:sz w:val="24"/>
              </w:rPr>
              <w:t>n-</w:t>
            </w:r>
            <w:r>
              <w:rPr>
                <w:rFonts w:hAnsi="宋体"/>
                <w:color w:val="auto"/>
                <w:sz w:val="24"/>
              </w:rPr>
              <w:t>声源个数。</w:t>
            </w:r>
          </w:p>
          <w:p>
            <w:pPr>
              <w:pStyle w:val="3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both"/>
              <w:textAlignment w:val="auto"/>
              <w:rPr>
                <w:color w:val="auto"/>
                <w:sz w:val="24"/>
                <w:highlight w:val="none"/>
              </w:rPr>
            </w:pPr>
            <w:r>
              <w:rPr>
                <w:rFonts w:hint="eastAsia" w:ascii="宋体" w:hAnsi="宋体"/>
                <w:color w:val="auto"/>
                <w:sz w:val="24"/>
              </w:rPr>
              <w:t>经过基础减震和隔声处理</w:t>
            </w:r>
            <w:r>
              <w:rPr>
                <w:rFonts w:ascii="宋体" w:hAnsi="宋体"/>
                <w:color w:val="auto"/>
                <w:sz w:val="24"/>
              </w:rPr>
              <w:t>后，</w:t>
            </w:r>
            <w:r>
              <w:rPr>
                <w:rFonts w:hint="eastAsia"/>
                <w:color w:val="auto"/>
                <w:sz w:val="24"/>
                <w:highlight w:val="none"/>
              </w:rPr>
              <w:t>本</w:t>
            </w:r>
            <w:r>
              <w:rPr>
                <w:color w:val="auto"/>
                <w:sz w:val="24"/>
                <w:highlight w:val="none"/>
              </w:rPr>
              <w:t>项目运营期正常情况下噪声预测结果见表</w:t>
            </w:r>
            <w:r>
              <w:rPr>
                <w:rFonts w:hint="eastAsia"/>
                <w:color w:val="auto"/>
                <w:sz w:val="24"/>
                <w:highlight w:val="none"/>
                <w:lang w:val="en-US" w:eastAsia="zh-CN"/>
              </w:rPr>
              <w:t>26</w:t>
            </w:r>
            <w:r>
              <w:rPr>
                <w:color w:val="auto"/>
                <w:sz w:val="24"/>
                <w:highlight w:val="none"/>
              </w:rPr>
              <w:t>。</w:t>
            </w:r>
          </w:p>
          <w:p>
            <w:pPr>
              <w:pStyle w:val="8"/>
              <w:ind w:left="0" w:leftChars="0" w:firstLine="0" w:firstLineChars="0"/>
              <w:jc w:val="center"/>
              <w:rPr>
                <w:rFonts w:hint="eastAsia" w:ascii="黑体" w:hAnsi="黑体" w:eastAsia="黑体" w:cs="黑体"/>
                <w:b w:val="0"/>
                <w:bCs/>
                <w:color w:val="auto"/>
                <w:kern w:val="2"/>
                <w:szCs w:val="24"/>
                <w:highlight w:val="none"/>
              </w:rPr>
            </w:pPr>
            <w:r>
              <w:rPr>
                <w:rFonts w:hint="eastAsia" w:ascii="黑体" w:hAnsi="黑体" w:eastAsia="黑体" w:cs="黑体"/>
                <w:b w:val="0"/>
                <w:bCs/>
                <w:color w:val="auto"/>
                <w:kern w:val="2"/>
                <w:szCs w:val="24"/>
                <w:highlight w:val="none"/>
              </w:rPr>
              <w:t>表</w:t>
            </w:r>
            <w:r>
              <w:rPr>
                <w:rFonts w:hint="eastAsia" w:ascii="黑体" w:hAnsi="黑体" w:eastAsia="黑体" w:cs="黑体"/>
                <w:b w:val="0"/>
                <w:bCs/>
                <w:color w:val="auto"/>
                <w:kern w:val="2"/>
                <w:szCs w:val="24"/>
                <w:highlight w:val="none"/>
                <w:lang w:val="en-US" w:eastAsia="zh-CN"/>
              </w:rPr>
              <w:t xml:space="preserve">26 </w:t>
            </w:r>
            <w:r>
              <w:rPr>
                <w:rFonts w:hint="eastAsia" w:ascii="黑体" w:hAnsi="黑体" w:eastAsia="黑体" w:cs="黑体"/>
                <w:b w:val="0"/>
                <w:bCs/>
                <w:color w:val="auto"/>
                <w:kern w:val="2"/>
                <w:szCs w:val="24"/>
                <w:highlight w:val="none"/>
              </w:rPr>
              <w:t xml:space="preserve"> 本项目厂界噪声</w:t>
            </w:r>
            <w:r>
              <w:rPr>
                <w:rFonts w:hint="eastAsia" w:ascii="黑体" w:hAnsi="黑体" w:eastAsia="黑体" w:cs="黑体"/>
                <w:b w:val="0"/>
                <w:bCs/>
                <w:color w:val="auto"/>
                <w:kern w:val="2"/>
                <w:szCs w:val="24"/>
                <w:highlight w:val="none"/>
                <w:lang w:eastAsia="zh-CN"/>
              </w:rPr>
              <w:t>贡献</w:t>
            </w:r>
            <w:r>
              <w:rPr>
                <w:rFonts w:hint="eastAsia" w:ascii="黑体" w:hAnsi="黑体" w:eastAsia="黑体" w:cs="黑体"/>
                <w:b w:val="0"/>
                <w:bCs/>
                <w:color w:val="auto"/>
                <w:kern w:val="2"/>
                <w:szCs w:val="24"/>
                <w:highlight w:val="none"/>
              </w:rPr>
              <w:t>值一览表</w:t>
            </w:r>
          </w:p>
          <w:tbl>
            <w:tblPr>
              <w:tblStyle w:val="31"/>
              <w:tblW w:w="4997"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57" w:type="dxa"/>
                <w:left w:w="108" w:type="dxa"/>
                <w:bottom w:w="57" w:type="dxa"/>
                <w:right w:w="108" w:type="dxa"/>
              </w:tblCellMar>
            </w:tblPr>
            <w:tblGrid>
              <w:gridCol w:w="2767"/>
              <w:gridCol w:w="1259"/>
              <w:gridCol w:w="1260"/>
              <w:gridCol w:w="1260"/>
              <w:gridCol w:w="1260"/>
              <w:gridCol w:w="1260"/>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525" w:type="pct"/>
                  <w:noWrap w:val="0"/>
                  <w:vAlign w:val="center"/>
                </w:tcPr>
                <w:p>
                  <w:pPr>
                    <w:pStyle w:val="122"/>
                    <w:rPr>
                      <w:sz w:val="21"/>
                      <w:szCs w:val="21"/>
                    </w:rPr>
                  </w:pPr>
                  <w:r>
                    <w:rPr>
                      <w:sz w:val="21"/>
                      <w:szCs w:val="21"/>
                    </w:rPr>
                    <w:t>预测</w:t>
                  </w:r>
                  <w:r>
                    <w:rPr>
                      <w:rFonts w:hint="eastAsia"/>
                      <w:sz w:val="21"/>
                      <w:szCs w:val="21"/>
                    </w:rPr>
                    <w:t>点位</w:t>
                  </w:r>
                </w:p>
              </w:tc>
              <w:tc>
                <w:tcPr>
                  <w:tcW w:w="694" w:type="pct"/>
                  <w:noWrap w:val="0"/>
                  <w:vAlign w:val="center"/>
                </w:tcPr>
                <w:p>
                  <w:pPr>
                    <w:pStyle w:val="122"/>
                    <w:rPr>
                      <w:rFonts w:ascii="Times New Roman" w:hAnsi="Times New Roman" w:eastAsia="宋体" w:cs="Times New Roman"/>
                      <w:kern w:val="2"/>
                      <w:sz w:val="21"/>
                      <w:szCs w:val="21"/>
                      <w:lang w:val="en-US" w:eastAsia="zh-CN" w:bidi="ar-SA"/>
                    </w:rPr>
                  </w:pPr>
                  <w:r>
                    <w:rPr>
                      <w:rFonts w:hint="eastAsia"/>
                      <w:sz w:val="21"/>
                      <w:szCs w:val="21"/>
                    </w:rPr>
                    <w:t>北</w:t>
                  </w:r>
                  <w:r>
                    <w:rPr>
                      <w:sz w:val="21"/>
                      <w:szCs w:val="21"/>
                    </w:rPr>
                    <w:t>厂界</w:t>
                  </w:r>
                </w:p>
              </w:tc>
              <w:tc>
                <w:tcPr>
                  <w:tcW w:w="694" w:type="pct"/>
                  <w:noWrap w:val="0"/>
                  <w:vAlign w:val="center"/>
                </w:tcPr>
                <w:p>
                  <w:pPr>
                    <w:pStyle w:val="122"/>
                    <w:rPr>
                      <w:sz w:val="21"/>
                      <w:szCs w:val="21"/>
                    </w:rPr>
                  </w:pPr>
                  <w:r>
                    <w:rPr>
                      <w:sz w:val="21"/>
                      <w:szCs w:val="21"/>
                    </w:rPr>
                    <w:t>南厂界</w:t>
                  </w:r>
                </w:p>
              </w:tc>
              <w:tc>
                <w:tcPr>
                  <w:tcW w:w="694" w:type="pct"/>
                  <w:noWrap w:val="0"/>
                  <w:vAlign w:val="center"/>
                </w:tcPr>
                <w:p>
                  <w:pPr>
                    <w:pStyle w:val="122"/>
                    <w:rPr>
                      <w:sz w:val="21"/>
                      <w:szCs w:val="21"/>
                    </w:rPr>
                  </w:pPr>
                  <w:r>
                    <w:rPr>
                      <w:sz w:val="21"/>
                      <w:szCs w:val="21"/>
                    </w:rPr>
                    <w:t>西厂界</w:t>
                  </w:r>
                </w:p>
              </w:tc>
              <w:tc>
                <w:tcPr>
                  <w:tcW w:w="694" w:type="pct"/>
                  <w:noWrap w:val="0"/>
                  <w:vAlign w:val="center"/>
                </w:tcPr>
                <w:p>
                  <w:pPr>
                    <w:pStyle w:val="122"/>
                    <w:rPr>
                      <w:sz w:val="21"/>
                      <w:szCs w:val="21"/>
                    </w:rPr>
                  </w:pPr>
                  <w:r>
                    <w:rPr>
                      <w:rFonts w:hint="eastAsia"/>
                      <w:sz w:val="21"/>
                      <w:szCs w:val="21"/>
                    </w:rPr>
                    <w:t>东</w:t>
                  </w:r>
                  <w:r>
                    <w:rPr>
                      <w:sz w:val="21"/>
                      <w:szCs w:val="21"/>
                    </w:rPr>
                    <w:t>厂界</w:t>
                  </w:r>
                </w:p>
              </w:tc>
              <w:tc>
                <w:tcPr>
                  <w:tcW w:w="694" w:type="pct"/>
                  <w:noWrap w:val="0"/>
                  <w:vAlign w:val="center"/>
                </w:tcPr>
                <w:p>
                  <w:pPr>
                    <w:pStyle w:val="122"/>
                    <w:rPr>
                      <w:rFonts w:hint="eastAsia" w:eastAsia="宋体"/>
                      <w:sz w:val="21"/>
                      <w:szCs w:val="21"/>
                      <w:lang w:eastAsia="zh-CN"/>
                    </w:rPr>
                  </w:pPr>
                  <w:r>
                    <w:rPr>
                      <w:rFonts w:hint="eastAsia"/>
                      <w:sz w:val="21"/>
                      <w:szCs w:val="21"/>
                      <w:lang w:eastAsia="zh-CN"/>
                    </w:rPr>
                    <w:t>坡头村</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525" w:type="pct"/>
                  <w:noWrap w:val="0"/>
                  <w:vAlign w:val="center"/>
                </w:tcPr>
                <w:p>
                  <w:pPr>
                    <w:pStyle w:val="122"/>
                    <w:rPr>
                      <w:rFonts w:hint="eastAsia" w:eastAsia="宋体"/>
                      <w:sz w:val="21"/>
                      <w:szCs w:val="21"/>
                      <w:lang w:eastAsia="zh-CN"/>
                    </w:rPr>
                  </w:pPr>
                  <w:r>
                    <w:rPr>
                      <w:rFonts w:hint="eastAsia"/>
                      <w:sz w:val="21"/>
                      <w:szCs w:val="21"/>
                      <w:lang w:eastAsia="zh-CN"/>
                    </w:rPr>
                    <w:t>贡献值</w:t>
                  </w:r>
                  <w:r>
                    <w:rPr>
                      <w:color w:val="auto"/>
                      <w:sz w:val="21"/>
                      <w:szCs w:val="21"/>
                    </w:rPr>
                    <w:t>dB(A)</w:t>
                  </w:r>
                </w:p>
              </w:tc>
              <w:tc>
                <w:tcPr>
                  <w:tcW w:w="694" w:type="pct"/>
                  <w:noWrap w:val="0"/>
                  <w:vAlign w:val="center"/>
                </w:tcPr>
                <w:p>
                  <w:pPr>
                    <w:widowControl/>
                    <w:jc w:val="center"/>
                    <w:rPr>
                      <w:rFonts w:hint="default" w:eastAsia="宋体"/>
                      <w:kern w:val="0"/>
                      <w:sz w:val="21"/>
                      <w:szCs w:val="21"/>
                      <w:lang w:val="en-US" w:eastAsia="zh-CN"/>
                    </w:rPr>
                  </w:pPr>
                  <w:r>
                    <w:rPr>
                      <w:rFonts w:hint="eastAsia"/>
                      <w:kern w:val="0"/>
                      <w:sz w:val="21"/>
                      <w:szCs w:val="21"/>
                      <w:lang w:val="en-US" w:eastAsia="zh-CN"/>
                    </w:rPr>
                    <w:t>53.2</w:t>
                  </w:r>
                </w:p>
              </w:tc>
              <w:tc>
                <w:tcPr>
                  <w:tcW w:w="694" w:type="pct"/>
                  <w:noWrap w:val="0"/>
                  <w:vAlign w:val="center"/>
                </w:tcPr>
                <w:p>
                  <w:pPr>
                    <w:spacing w:line="240" w:lineRule="auto"/>
                    <w:jc w:val="center"/>
                    <w:rPr>
                      <w:rFonts w:hint="default" w:eastAsia="宋体"/>
                      <w:kern w:val="0"/>
                      <w:sz w:val="21"/>
                      <w:szCs w:val="21"/>
                      <w:lang w:val="en-US" w:eastAsia="zh-CN"/>
                    </w:rPr>
                  </w:pPr>
                  <w:r>
                    <w:rPr>
                      <w:rFonts w:hint="eastAsia"/>
                      <w:kern w:val="0"/>
                      <w:sz w:val="21"/>
                      <w:szCs w:val="21"/>
                      <w:lang w:val="en-US" w:eastAsia="zh-CN"/>
                    </w:rPr>
                    <w:t>51.6</w:t>
                  </w:r>
                </w:p>
              </w:tc>
              <w:tc>
                <w:tcPr>
                  <w:tcW w:w="694" w:type="pct"/>
                  <w:noWrap w:val="0"/>
                  <w:vAlign w:val="center"/>
                </w:tcPr>
                <w:p>
                  <w:pPr>
                    <w:pStyle w:val="123"/>
                    <w:adjustRightInd w:val="0"/>
                    <w:snapToGrid w:val="0"/>
                    <w:spacing w:line="240" w:lineRule="auto"/>
                    <w:ind w:firstLine="0" w:firstLineChars="0"/>
                    <w:jc w:val="center"/>
                    <w:rPr>
                      <w:rFonts w:hint="default" w:ascii="Times New Roman" w:eastAsia="宋体" w:cs="Times New Roman"/>
                      <w:snapToGrid w:val="0"/>
                      <w:kern w:val="0"/>
                      <w:sz w:val="21"/>
                      <w:szCs w:val="21"/>
                      <w:lang w:val="en-US" w:eastAsia="zh-CN"/>
                    </w:rPr>
                  </w:pPr>
                  <w:r>
                    <w:rPr>
                      <w:rFonts w:hint="eastAsia" w:ascii="Times New Roman" w:cs="Times New Roman"/>
                      <w:snapToGrid w:val="0"/>
                      <w:kern w:val="0"/>
                      <w:sz w:val="21"/>
                      <w:szCs w:val="21"/>
                      <w:lang w:val="en-US" w:eastAsia="zh-CN"/>
                    </w:rPr>
                    <w:t>51.3</w:t>
                  </w:r>
                </w:p>
              </w:tc>
              <w:tc>
                <w:tcPr>
                  <w:tcW w:w="694" w:type="pct"/>
                  <w:noWrap w:val="0"/>
                  <w:vAlign w:val="center"/>
                </w:tcPr>
                <w:p>
                  <w:pPr>
                    <w:pStyle w:val="122"/>
                    <w:rPr>
                      <w:rFonts w:hint="default" w:eastAsia="宋体"/>
                      <w:sz w:val="21"/>
                      <w:szCs w:val="21"/>
                      <w:lang w:val="en-US" w:eastAsia="zh-CN"/>
                    </w:rPr>
                  </w:pPr>
                  <w:r>
                    <w:rPr>
                      <w:rFonts w:hint="eastAsia"/>
                      <w:sz w:val="21"/>
                      <w:szCs w:val="21"/>
                      <w:lang w:val="en-US" w:eastAsia="zh-CN"/>
                    </w:rPr>
                    <w:t>52.9</w:t>
                  </w:r>
                </w:p>
              </w:tc>
              <w:tc>
                <w:tcPr>
                  <w:tcW w:w="694" w:type="pct"/>
                  <w:noWrap w:val="0"/>
                  <w:vAlign w:val="center"/>
                </w:tcPr>
                <w:p>
                  <w:pPr>
                    <w:keepNext w:val="0"/>
                    <w:keepLines w:val="0"/>
                    <w:widowControl/>
                    <w:suppressLineNumbers w:val="0"/>
                    <w:jc w:val="center"/>
                    <w:textAlignment w:val="center"/>
                    <w:rPr>
                      <w:rFonts w:hint="default" w:eastAsia="宋体"/>
                      <w:sz w:val="21"/>
                      <w:szCs w:val="21"/>
                      <w:lang w:val="en-US" w:eastAsia="zh-CN"/>
                    </w:rPr>
                  </w:pPr>
                  <w:r>
                    <w:rPr>
                      <w:rFonts w:hint="eastAsia"/>
                      <w:sz w:val="21"/>
                      <w:szCs w:val="21"/>
                      <w:lang w:val="en-US" w:eastAsia="zh-CN"/>
                    </w:rPr>
                    <w:t>48.6</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525" w:type="pct"/>
                  <w:noWrap w:val="0"/>
                  <w:vAlign w:val="center"/>
                </w:tcPr>
                <w:p>
                  <w:pPr>
                    <w:pStyle w:val="122"/>
                    <w:rPr>
                      <w:rFonts w:hint="eastAsia" w:eastAsia="宋体"/>
                      <w:sz w:val="21"/>
                      <w:szCs w:val="21"/>
                      <w:lang w:eastAsia="zh-CN"/>
                    </w:rPr>
                  </w:pPr>
                  <w:r>
                    <w:rPr>
                      <w:rFonts w:hint="eastAsia"/>
                      <w:sz w:val="21"/>
                      <w:szCs w:val="21"/>
                      <w:lang w:eastAsia="zh-CN"/>
                    </w:rPr>
                    <w:t>最大背景值</w:t>
                  </w:r>
                  <w:r>
                    <w:rPr>
                      <w:color w:val="auto"/>
                      <w:sz w:val="21"/>
                      <w:szCs w:val="21"/>
                    </w:rPr>
                    <w:t>dB(A)</w:t>
                  </w:r>
                </w:p>
              </w:tc>
              <w:tc>
                <w:tcPr>
                  <w:tcW w:w="694" w:type="pct"/>
                  <w:noWrap w:val="0"/>
                  <w:vAlign w:val="center"/>
                </w:tcPr>
                <w:p>
                  <w:pPr>
                    <w:widowControl/>
                    <w:jc w:val="center"/>
                    <w:rPr>
                      <w:rFonts w:hint="eastAsia" w:eastAsia="宋体"/>
                      <w:kern w:val="0"/>
                      <w:sz w:val="21"/>
                      <w:szCs w:val="21"/>
                      <w:lang w:val="en-US" w:eastAsia="zh-CN"/>
                    </w:rPr>
                  </w:pPr>
                  <w:r>
                    <w:rPr>
                      <w:rFonts w:hint="eastAsia"/>
                      <w:kern w:val="0"/>
                      <w:sz w:val="21"/>
                      <w:szCs w:val="21"/>
                      <w:lang w:val="en-US" w:eastAsia="zh-CN"/>
                    </w:rPr>
                    <w:t>/</w:t>
                  </w:r>
                </w:p>
              </w:tc>
              <w:tc>
                <w:tcPr>
                  <w:tcW w:w="694" w:type="pct"/>
                  <w:noWrap w:val="0"/>
                  <w:vAlign w:val="center"/>
                </w:tcPr>
                <w:p>
                  <w:pPr>
                    <w:spacing w:line="240" w:lineRule="auto"/>
                    <w:jc w:val="center"/>
                    <w:rPr>
                      <w:rFonts w:hint="default" w:cs="Times New Roman"/>
                      <w:bCs/>
                      <w:color w:val="auto"/>
                      <w:kern w:val="2"/>
                      <w:sz w:val="21"/>
                      <w:szCs w:val="21"/>
                      <w:lang w:val="en-US" w:eastAsia="zh-CN" w:bidi="ar-SA"/>
                    </w:rPr>
                  </w:pPr>
                  <w:r>
                    <w:rPr>
                      <w:rFonts w:hint="eastAsia" w:cs="Times New Roman"/>
                      <w:bCs/>
                      <w:color w:val="auto"/>
                      <w:kern w:val="2"/>
                      <w:sz w:val="21"/>
                      <w:szCs w:val="21"/>
                      <w:lang w:val="en-US" w:eastAsia="zh-CN" w:bidi="ar-SA"/>
                    </w:rPr>
                    <w:t>52</w:t>
                  </w:r>
                </w:p>
              </w:tc>
              <w:tc>
                <w:tcPr>
                  <w:tcW w:w="694" w:type="pct"/>
                  <w:noWrap w:val="0"/>
                  <w:vAlign w:val="center"/>
                </w:tcPr>
                <w:p>
                  <w:pPr>
                    <w:pStyle w:val="123"/>
                    <w:adjustRightInd w:val="0"/>
                    <w:snapToGrid w:val="0"/>
                    <w:spacing w:line="240" w:lineRule="auto"/>
                    <w:ind w:firstLine="0" w:firstLineChars="0"/>
                    <w:jc w:val="center"/>
                    <w:rPr>
                      <w:rFonts w:hint="default" w:ascii="Times New Roman" w:eastAsia="宋体" w:cs="Times New Roman"/>
                      <w:snapToGrid w:val="0"/>
                      <w:kern w:val="0"/>
                      <w:sz w:val="21"/>
                      <w:szCs w:val="21"/>
                      <w:lang w:val="en-US" w:eastAsia="zh-CN"/>
                    </w:rPr>
                  </w:pPr>
                  <w:r>
                    <w:rPr>
                      <w:rFonts w:hint="eastAsia" w:ascii="Times New Roman" w:cs="Times New Roman"/>
                      <w:snapToGrid w:val="0"/>
                      <w:kern w:val="0"/>
                      <w:sz w:val="21"/>
                      <w:szCs w:val="21"/>
                      <w:lang w:val="en-US" w:eastAsia="zh-CN"/>
                    </w:rPr>
                    <w:t>54</w:t>
                  </w:r>
                </w:p>
              </w:tc>
              <w:tc>
                <w:tcPr>
                  <w:tcW w:w="694" w:type="pct"/>
                  <w:noWrap w:val="0"/>
                  <w:vAlign w:val="center"/>
                </w:tcPr>
                <w:p>
                  <w:pPr>
                    <w:pStyle w:val="122"/>
                    <w:rPr>
                      <w:rFonts w:hint="default"/>
                      <w:sz w:val="21"/>
                      <w:szCs w:val="21"/>
                      <w:lang w:val="en-US" w:eastAsia="zh-CN"/>
                    </w:rPr>
                  </w:pPr>
                  <w:r>
                    <w:rPr>
                      <w:rFonts w:hint="eastAsia"/>
                      <w:sz w:val="21"/>
                      <w:szCs w:val="21"/>
                      <w:lang w:val="en-US" w:eastAsia="zh-CN"/>
                    </w:rPr>
                    <w:t>52</w:t>
                  </w:r>
                </w:p>
              </w:tc>
              <w:tc>
                <w:tcPr>
                  <w:tcW w:w="694" w:type="pct"/>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cs="Times New Roman"/>
                      <w:i w:val="0"/>
                      <w:color w:val="000000"/>
                      <w:kern w:val="0"/>
                      <w:sz w:val="21"/>
                      <w:szCs w:val="21"/>
                      <w:u w:val="none"/>
                      <w:lang w:val="en-US" w:eastAsia="zh-CN" w:bidi="ar"/>
                    </w:rPr>
                    <w:t>54</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3" w:hRule="atLeast"/>
                <w:jc w:val="center"/>
              </w:trPr>
              <w:tc>
                <w:tcPr>
                  <w:tcW w:w="1525" w:type="pct"/>
                  <w:noWrap w:val="0"/>
                  <w:vAlign w:val="center"/>
                </w:tcPr>
                <w:p>
                  <w:pPr>
                    <w:pStyle w:val="122"/>
                    <w:rPr>
                      <w:rFonts w:hint="eastAsia"/>
                      <w:sz w:val="21"/>
                      <w:szCs w:val="21"/>
                      <w:lang w:eastAsia="zh-CN"/>
                    </w:rPr>
                  </w:pPr>
                  <w:r>
                    <w:rPr>
                      <w:rFonts w:hint="eastAsia"/>
                      <w:sz w:val="21"/>
                      <w:szCs w:val="21"/>
                      <w:lang w:eastAsia="zh-CN"/>
                    </w:rPr>
                    <w:t>预测值</w:t>
                  </w:r>
                  <w:r>
                    <w:rPr>
                      <w:color w:val="auto"/>
                      <w:sz w:val="21"/>
                      <w:szCs w:val="21"/>
                    </w:rPr>
                    <w:t>dB(A)</w:t>
                  </w:r>
                </w:p>
              </w:tc>
              <w:tc>
                <w:tcPr>
                  <w:tcW w:w="694" w:type="pct"/>
                  <w:noWrap w:val="0"/>
                  <w:vAlign w:val="center"/>
                </w:tcPr>
                <w:p>
                  <w:pPr>
                    <w:widowControl/>
                    <w:jc w:val="center"/>
                    <w:rPr>
                      <w:rFonts w:hint="eastAsia" w:eastAsia="宋体"/>
                      <w:kern w:val="0"/>
                      <w:sz w:val="21"/>
                      <w:szCs w:val="21"/>
                      <w:lang w:val="en-US" w:eastAsia="zh-CN"/>
                    </w:rPr>
                  </w:pPr>
                  <w:r>
                    <w:rPr>
                      <w:rFonts w:hint="eastAsia"/>
                      <w:kern w:val="0"/>
                      <w:sz w:val="21"/>
                      <w:szCs w:val="21"/>
                      <w:lang w:val="en-US" w:eastAsia="zh-CN"/>
                    </w:rPr>
                    <w:t>/</w:t>
                  </w:r>
                </w:p>
              </w:tc>
              <w:tc>
                <w:tcPr>
                  <w:tcW w:w="694" w:type="pct"/>
                  <w:noWrap w:val="0"/>
                  <w:vAlign w:val="center"/>
                </w:tcPr>
                <w:p>
                  <w:pPr>
                    <w:spacing w:line="240" w:lineRule="auto"/>
                    <w:jc w:val="center"/>
                    <w:rPr>
                      <w:rFonts w:hint="default" w:cs="Times New Roman"/>
                      <w:bCs/>
                      <w:color w:val="auto"/>
                      <w:kern w:val="2"/>
                      <w:sz w:val="21"/>
                      <w:szCs w:val="21"/>
                      <w:lang w:val="en-US" w:eastAsia="zh-CN" w:bidi="ar-SA"/>
                    </w:rPr>
                  </w:pPr>
                  <w:r>
                    <w:rPr>
                      <w:rFonts w:hint="eastAsia" w:cs="Times New Roman"/>
                      <w:bCs/>
                      <w:color w:val="auto"/>
                      <w:kern w:val="2"/>
                      <w:sz w:val="21"/>
                      <w:szCs w:val="21"/>
                      <w:lang w:val="en-US" w:eastAsia="zh-CN" w:bidi="ar-SA"/>
                    </w:rPr>
                    <w:t>/</w:t>
                  </w:r>
                </w:p>
              </w:tc>
              <w:tc>
                <w:tcPr>
                  <w:tcW w:w="694" w:type="pct"/>
                  <w:noWrap w:val="0"/>
                  <w:vAlign w:val="center"/>
                </w:tcPr>
                <w:p>
                  <w:pPr>
                    <w:pStyle w:val="123"/>
                    <w:adjustRightInd w:val="0"/>
                    <w:snapToGrid w:val="0"/>
                    <w:spacing w:line="240" w:lineRule="auto"/>
                    <w:ind w:firstLine="0" w:firstLineChars="0"/>
                    <w:jc w:val="center"/>
                    <w:rPr>
                      <w:rFonts w:hint="eastAsia" w:ascii="Times New Roman" w:eastAsia="宋体" w:cs="Times New Roman"/>
                      <w:snapToGrid w:val="0"/>
                      <w:kern w:val="0"/>
                      <w:sz w:val="21"/>
                      <w:szCs w:val="21"/>
                      <w:lang w:val="en-US" w:eastAsia="zh-CN"/>
                    </w:rPr>
                  </w:pPr>
                  <w:r>
                    <w:rPr>
                      <w:rFonts w:hint="eastAsia" w:ascii="Times New Roman" w:cs="Times New Roman"/>
                      <w:snapToGrid w:val="0"/>
                      <w:kern w:val="0"/>
                      <w:sz w:val="21"/>
                      <w:szCs w:val="21"/>
                      <w:lang w:val="en-US" w:eastAsia="zh-CN"/>
                    </w:rPr>
                    <w:t>/</w:t>
                  </w:r>
                </w:p>
              </w:tc>
              <w:tc>
                <w:tcPr>
                  <w:tcW w:w="694" w:type="pct"/>
                  <w:noWrap w:val="0"/>
                  <w:vAlign w:val="center"/>
                </w:tcPr>
                <w:p>
                  <w:pPr>
                    <w:pStyle w:val="122"/>
                    <w:rPr>
                      <w:rFonts w:hint="default"/>
                      <w:sz w:val="21"/>
                      <w:szCs w:val="21"/>
                      <w:lang w:val="en-US" w:eastAsia="zh-CN"/>
                    </w:rPr>
                  </w:pPr>
                  <w:r>
                    <w:rPr>
                      <w:rFonts w:hint="eastAsia"/>
                      <w:sz w:val="21"/>
                      <w:szCs w:val="21"/>
                      <w:lang w:val="en-US" w:eastAsia="zh-CN"/>
                    </w:rPr>
                    <w:t>/</w:t>
                  </w:r>
                </w:p>
              </w:tc>
              <w:tc>
                <w:tcPr>
                  <w:tcW w:w="694" w:type="pct"/>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eastAsia" w:cs="Times New Roman"/>
                      <w:i w:val="0"/>
                      <w:color w:val="000000"/>
                      <w:kern w:val="0"/>
                      <w:sz w:val="21"/>
                      <w:szCs w:val="21"/>
                      <w:u w:val="none"/>
                      <w:lang w:val="en-US" w:eastAsia="zh-CN" w:bidi="ar"/>
                    </w:rPr>
                    <w:t>55.1</w:t>
                  </w:r>
                </w:p>
              </w:tc>
            </w:tr>
          </w:tbl>
          <w:p>
            <w:pPr>
              <w:keepNext w:val="0"/>
              <w:keepLines w:val="0"/>
              <w:pageBreakBefore w:val="0"/>
              <w:widowControl w:val="0"/>
              <w:kinsoku/>
              <w:wordWrap/>
              <w:overflowPunct/>
              <w:topLinePunct w:val="0"/>
              <w:autoSpaceDE/>
              <w:autoSpaceDN/>
              <w:bidi w:val="0"/>
              <w:adjustRightInd/>
              <w:snapToGrid/>
              <w:spacing w:after="156" w:line="240" w:lineRule="exact"/>
              <w:ind w:firstLine="480" w:firstLineChars="200"/>
              <w:textAlignment w:val="auto"/>
              <w:rPr>
                <w:rFonts w:hint="eastAsia"/>
                <w:color w:val="auto"/>
                <w:sz w:val="24"/>
              </w:rPr>
            </w:pPr>
          </w:p>
          <w:p>
            <w:pPr>
              <w:spacing w:after="156" w:line="360" w:lineRule="auto"/>
              <w:ind w:firstLine="480" w:firstLineChars="200"/>
              <w:rPr>
                <w:color w:val="auto"/>
                <w:sz w:val="24"/>
              </w:rPr>
            </w:pPr>
            <w:r>
              <w:rPr>
                <w:rFonts w:hint="eastAsia"/>
                <w:color w:val="auto"/>
                <w:sz w:val="24"/>
              </w:rPr>
              <w:t>上表</w:t>
            </w:r>
            <w:r>
              <w:rPr>
                <w:color w:val="auto"/>
                <w:sz w:val="24"/>
              </w:rPr>
              <w:t>可知，本项目</w:t>
            </w:r>
            <w:r>
              <w:rPr>
                <w:color w:val="auto"/>
                <w:sz w:val="24"/>
                <w:szCs w:val="24"/>
              </w:rPr>
              <w:t>运营期</w:t>
            </w:r>
            <w:r>
              <w:rPr>
                <w:rFonts w:hint="eastAsia"/>
                <w:color w:val="auto"/>
                <w:sz w:val="24"/>
                <w:szCs w:val="24"/>
              </w:rPr>
              <w:t>厂区</w:t>
            </w:r>
            <w:r>
              <w:rPr>
                <w:rFonts w:hint="eastAsia"/>
                <w:color w:val="auto"/>
                <w:sz w:val="24"/>
                <w:szCs w:val="24"/>
                <w:lang w:eastAsia="zh-CN"/>
              </w:rPr>
              <w:t>各</w:t>
            </w:r>
            <w:r>
              <w:rPr>
                <w:color w:val="auto"/>
                <w:sz w:val="24"/>
                <w:szCs w:val="24"/>
              </w:rPr>
              <w:t>厂界噪声</w:t>
            </w:r>
            <w:r>
              <w:rPr>
                <w:rFonts w:hint="eastAsia"/>
                <w:color w:val="auto"/>
                <w:sz w:val="24"/>
                <w:szCs w:val="24"/>
                <w:lang w:eastAsia="zh-CN"/>
              </w:rPr>
              <w:t>贡献</w:t>
            </w:r>
            <w:r>
              <w:rPr>
                <w:rFonts w:hint="eastAsia"/>
                <w:color w:val="auto"/>
                <w:sz w:val="24"/>
                <w:szCs w:val="24"/>
              </w:rPr>
              <w:t>值均能</w:t>
            </w:r>
            <w:r>
              <w:rPr>
                <w:color w:val="auto"/>
                <w:sz w:val="24"/>
                <w:szCs w:val="24"/>
              </w:rPr>
              <w:t>满足《工业企业厂界环境噪声排放标准》（GB12348-2008）</w:t>
            </w:r>
            <w:r>
              <w:rPr>
                <w:rFonts w:hint="eastAsia"/>
                <w:color w:val="auto"/>
                <w:sz w:val="24"/>
                <w:szCs w:val="24"/>
              </w:rPr>
              <w:t>2</w:t>
            </w:r>
            <w:r>
              <w:rPr>
                <w:color w:val="auto"/>
                <w:sz w:val="24"/>
                <w:szCs w:val="24"/>
              </w:rPr>
              <w:t>类标准</w:t>
            </w:r>
            <w:r>
              <w:rPr>
                <w:rFonts w:hint="eastAsia" w:asciiTheme="minorEastAsia" w:hAnsiTheme="minorEastAsia" w:eastAsiaTheme="minorEastAsia"/>
                <w:color w:val="auto"/>
                <w:sz w:val="24"/>
                <w:szCs w:val="24"/>
                <w:lang w:eastAsia="zh-CN"/>
              </w:rPr>
              <w:t>，坡头村噪声预测值满足</w:t>
            </w:r>
            <w:r>
              <w:rPr>
                <w:rFonts w:hint="default" w:ascii="Times New Roman" w:hAnsi="Times New Roman" w:cs="Times New Roman"/>
                <w:sz w:val="24"/>
                <w:szCs w:val="24"/>
              </w:rPr>
              <w:t>《声环境质量标准》（GB3096-2008）</w:t>
            </w:r>
            <w:r>
              <w:rPr>
                <w:rFonts w:hint="eastAsia"/>
                <w:color w:val="auto"/>
                <w:sz w:val="24"/>
                <w:szCs w:val="24"/>
              </w:rPr>
              <w:t>2</w:t>
            </w:r>
            <w:r>
              <w:rPr>
                <w:color w:val="auto"/>
                <w:sz w:val="24"/>
                <w:szCs w:val="24"/>
              </w:rPr>
              <w:t>类标准</w:t>
            </w:r>
            <w:r>
              <w:rPr>
                <w:rFonts w:hint="eastAsia"/>
                <w:color w:val="auto"/>
                <w:sz w:val="24"/>
                <w:szCs w:val="24"/>
              </w:rPr>
              <w:t>。</w:t>
            </w:r>
            <w:r>
              <w:rPr>
                <w:color w:val="auto"/>
                <w:sz w:val="24"/>
                <w:szCs w:val="24"/>
              </w:rPr>
              <w:t>因</w:t>
            </w:r>
            <w:r>
              <w:rPr>
                <w:color w:val="auto"/>
                <w:sz w:val="24"/>
              </w:rPr>
              <w:t>此，本项目运营期设备运行产生的噪声不会对周围环境产生明显影响。</w:t>
            </w:r>
          </w:p>
          <w:p>
            <w:pPr>
              <w:keepNext/>
              <w:keepLines/>
              <w:spacing w:before="80" w:after="80" w:line="360" w:lineRule="auto"/>
              <w:ind w:firstLine="472" w:firstLineChars="196"/>
              <w:outlineLvl w:val="2"/>
              <w:rPr>
                <w:b/>
                <w:bCs/>
                <w:sz w:val="24"/>
              </w:rPr>
            </w:pPr>
            <w:r>
              <w:rPr>
                <w:rFonts w:hint="eastAsia"/>
                <w:b/>
                <w:bCs/>
                <w:sz w:val="24"/>
                <w:lang w:val="en-US" w:eastAsia="zh-CN"/>
              </w:rPr>
              <w:t>5.</w:t>
            </w:r>
            <w:r>
              <w:rPr>
                <w:rFonts w:hint="eastAsia"/>
                <w:b/>
                <w:bCs/>
                <w:sz w:val="24"/>
              </w:rPr>
              <w:t>固体废物影响分析</w:t>
            </w:r>
          </w:p>
          <w:p>
            <w:pPr>
              <w:adjustRightInd w:val="0"/>
              <w:snapToGrid w:val="0"/>
              <w:spacing w:line="360" w:lineRule="auto"/>
              <w:ind w:firstLine="480" w:firstLineChars="200"/>
              <w:rPr>
                <w:rFonts w:hint="eastAsia"/>
                <w:sz w:val="24"/>
                <w:szCs w:val="24"/>
              </w:rPr>
            </w:pPr>
            <w:r>
              <w:rPr>
                <w:rFonts w:hint="eastAsia"/>
                <w:sz w:val="24"/>
                <w:szCs w:val="24"/>
              </w:rPr>
              <w:t>项目固体废物有生活垃圾、</w:t>
            </w:r>
            <w:r>
              <w:rPr>
                <w:rFonts w:hint="eastAsia"/>
                <w:sz w:val="24"/>
                <w:szCs w:val="24"/>
                <w:lang w:eastAsia="zh-CN"/>
              </w:rPr>
              <w:t>废边角料</w:t>
            </w:r>
            <w:r>
              <w:rPr>
                <w:rFonts w:hint="eastAsia"/>
                <w:sz w:val="24"/>
                <w:szCs w:val="24"/>
              </w:rPr>
              <w:t>。</w:t>
            </w:r>
          </w:p>
          <w:p>
            <w:pPr>
              <w:adjustRightInd w:val="0"/>
              <w:snapToGrid w:val="0"/>
              <w:spacing w:line="360" w:lineRule="auto"/>
              <w:ind w:firstLine="456"/>
              <w:rPr>
                <w:rFonts w:hint="eastAsia"/>
                <w:sz w:val="24"/>
                <w:szCs w:val="24"/>
              </w:rPr>
            </w:pPr>
            <w:r>
              <w:rPr>
                <w:rFonts w:hint="eastAsia"/>
                <w:sz w:val="24"/>
                <w:szCs w:val="24"/>
              </w:rPr>
              <w:t>（1）生活垃圾</w:t>
            </w:r>
          </w:p>
          <w:p>
            <w:pPr>
              <w:adjustRightInd w:val="0"/>
              <w:snapToGrid w:val="0"/>
              <w:spacing w:line="360" w:lineRule="auto"/>
              <w:ind w:firstLine="456"/>
              <w:rPr>
                <w:rFonts w:hint="eastAsia"/>
                <w:sz w:val="24"/>
                <w:szCs w:val="24"/>
              </w:rPr>
            </w:pPr>
            <w:r>
              <w:rPr>
                <w:sz w:val="24"/>
                <w:szCs w:val="24"/>
              </w:rPr>
              <w:t>项目</w:t>
            </w:r>
            <w:r>
              <w:rPr>
                <w:rFonts w:hint="eastAsia"/>
                <w:sz w:val="24"/>
                <w:szCs w:val="24"/>
              </w:rPr>
              <w:t>劳动定员</w:t>
            </w:r>
            <w:r>
              <w:rPr>
                <w:rFonts w:hint="eastAsia"/>
                <w:sz w:val="24"/>
                <w:szCs w:val="24"/>
                <w:lang w:val="en-US" w:eastAsia="zh-CN"/>
              </w:rPr>
              <w:t>25</w:t>
            </w:r>
            <w:r>
              <w:rPr>
                <w:sz w:val="24"/>
                <w:szCs w:val="24"/>
              </w:rPr>
              <w:t>人，</w:t>
            </w:r>
            <w:r>
              <w:rPr>
                <w:rFonts w:hint="eastAsia"/>
                <w:sz w:val="24"/>
                <w:szCs w:val="24"/>
              </w:rPr>
              <w:t>年工作300天</w:t>
            </w:r>
            <w:r>
              <w:rPr>
                <w:rFonts w:hint="eastAsia"/>
                <w:sz w:val="24"/>
                <w:szCs w:val="24"/>
                <w:lang w:eastAsia="zh-CN"/>
              </w:rPr>
              <w:t>。根据《第一次全国污染源普查 城镇生活源产排污系数手册》，生活垃圾产量按0.6kg/(人·d)计，则生活垃圾产生量为</w:t>
            </w:r>
            <w:r>
              <w:rPr>
                <w:rFonts w:hint="eastAsia"/>
                <w:sz w:val="24"/>
                <w:szCs w:val="24"/>
                <w:lang w:val="en-US" w:eastAsia="zh-CN"/>
              </w:rPr>
              <w:t>15</w:t>
            </w:r>
            <w:r>
              <w:rPr>
                <w:rFonts w:hint="eastAsia"/>
                <w:sz w:val="24"/>
                <w:szCs w:val="24"/>
                <w:lang w:eastAsia="zh-CN"/>
              </w:rPr>
              <w:t>kg/d（</w:t>
            </w:r>
            <w:r>
              <w:rPr>
                <w:rFonts w:hint="eastAsia"/>
                <w:sz w:val="24"/>
                <w:szCs w:val="24"/>
                <w:lang w:val="en-US" w:eastAsia="zh-CN"/>
              </w:rPr>
              <w:t>4.5</w:t>
            </w:r>
            <w:r>
              <w:rPr>
                <w:rFonts w:hint="eastAsia"/>
                <w:sz w:val="24"/>
                <w:szCs w:val="24"/>
                <w:lang w:eastAsia="zh-CN"/>
              </w:rPr>
              <w:t>t/a）。</w:t>
            </w:r>
            <w:r>
              <w:rPr>
                <w:snapToGrid w:val="0"/>
                <w:sz w:val="24"/>
              </w:rPr>
              <w:t>生活垃圾在厂区内统一收集后</w:t>
            </w:r>
            <w:r>
              <w:rPr>
                <w:rFonts w:hint="eastAsia"/>
                <w:snapToGrid w:val="0"/>
                <w:sz w:val="24"/>
              </w:rPr>
              <w:t>，由环卫部门定期清运</w:t>
            </w:r>
            <w:r>
              <w:rPr>
                <w:rFonts w:hint="eastAsia"/>
                <w:sz w:val="24"/>
                <w:szCs w:val="24"/>
              </w:rPr>
              <w:t>。</w:t>
            </w:r>
          </w:p>
          <w:p>
            <w:pPr>
              <w:adjustRightInd w:val="0"/>
              <w:snapToGrid w:val="0"/>
              <w:spacing w:line="360" w:lineRule="auto"/>
              <w:ind w:firstLine="456"/>
              <w:rPr>
                <w:rFonts w:hint="eastAsia" w:ascii="Times New Roman" w:hAnsi="Times New Roman" w:cs="Times New Roman"/>
                <w:sz w:val="24"/>
                <w:szCs w:val="24"/>
              </w:rPr>
            </w:pPr>
            <w:r>
              <w:rPr>
                <w:rFonts w:hint="eastAsia"/>
                <w:sz w:val="24"/>
                <w:szCs w:val="24"/>
              </w:rPr>
              <w:t>（2）</w:t>
            </w:r>
            <w:r>
              <w:rPr>
                <w:rFonts w:hint="eastAsia"/>
                <w:sz w:val="24"/>
                <w:szCs w:val="24"/>
                <w:lang w:eastAsia="zh-CN"/>
              </w:rPr>
              <w:t>废边</w:t>
            </w:r>
            <w:r>
              <w:rPr>
                <w:rFonts w:hint="eastAsia" w:ascii="Times New Roman" w:hAnsi="Times New Roman" w:cs="Times New Roman"/>
                <w:sz w:val="24"/>
                <w:szCs w:val="24"/>
                <w:lang w:eastAsia="zh-CN"/>
              </w:rPr>
              <w:t>角料</w:t>
            </w:r>
          </w:p>
          <w:p>
            <w:pPr>
              <w:adjustRightInd w:val="0"/>
              <w:snapToGrid w:val="0"/>
              <w:spacing w:line="360" w:lineRule="auto"/>
              <w:ind w:firstLine="456"/>
              <w:rPr>
                <w:rFonts w:hint="eastAsia"/>
                <w:bCs/>
                <w:sz w:val="24"/>
                <w:szCs w:val="24"/>
              </w:rPr>
            </w:pPr>
            <w:r>
              <w:rPr>
                <w:rFonts w:hint="eastAsia" w:ascii="Times New Roman" w:hAnsi="Times New Roman" w:cs="Times New Roman"/>
                <w:sz w:val="24"/>
                <w:szCs w:val="24"/>
                <w:lang w:eastAsia="zh-CN"/>
              </w:rPr>
              <w:t>钢筋切割</w:t>
            </w:r>
            <w:r>
              <w:rPr>
                <w:rFonts w:hint="eastAsia"/>
                <w:sz w:val="24"/>
                <w:szCs w:val="24"/>
                <w:lang w:eastAsia="zh-CN"/>
              </w:rPr>
              <w:t>过程中</w:t>
            </w:r>
            <w:r>
              <w:rPr>
                <w:rFonts w:hint="eastAsia"/>
                <w:sz w:val="24"/>
                <w:szCs w:val="24"/>
              </w:rPr>
              <w:t>，</w:t>
            </w:r>
            <w:r>
              <w:rPr>
                <w:rFonts w:hint="eastAsia"/>
                <w:sz w:val="24"/>
                <w:szCs w:val="24"/>
                <w:lang w:eastAsia="zh-CN"/>
              </w:rPr>
              <w:t>会产生钢筋废边角料，产生量约为</w:t>
            </w:r>
            <w:r>
              <w:rPr>
                <w:rFonts w:hint="eastAsia"/>
                <w:sz w:val="24"/>
                <w:szCs w:val="24"/>
                <w:lang w:val="en-US" w:eastAsia="zh-CN"/>
              </w:rPr>
              <w:t>10t/a，</w:t>
            </w:r>
            <w:r>
              <w:rPr>
                <w:rFonts w:hint="eastAsia"/>
                <w:sz w:val="24"/>
                <w:szCs w:val="24"/>
              </w:rPr>
              <w:t>属于一般固废</w:t>
            </w:r>
            <w:r>
              <w:rPr>
                <w:rFonts w:hint="eastAsia"/>
                <w:sz w:val="24"/>
                <w:szCs w:val="24"/>
                <w:lang w:eastAsia="zh-CN"/>
              </w:rPr>
              <w:t>，</w:t>
            </w:r>
            <w:r>
              <w:rPr>
                <w:sz w:val="24"/>
              </w:rPr>
              <w:t>集中收集后暂存于</w:t>
            </w:r>
            <w:r>
              <w:rPr>
                <w:rFonts w:hint="eastAsia"/>
                <w:sz w:val="24"/>
                <w:lang w:val="en-US" w:eastAsia="zh-CN"/>
              </w:rPr>
              <w:t>10m</w:t>
            </w:r>
            <w:r>
              <w:rPr>
                <w:rFonts w:hint="eastAsia"/>
                <w:sz w:val="24"/>
                <w:vertAlign w:val="superscript"/>
                <w:lang w:val="en-US" w:eastAsia="zh-CN"/>
              </w:rPr>
              <w:t>2</w:t>
            </w:r>
            <w:r>
              <w:rPr>
                <w:sz w:val="24"/>
              </w:rPr>
              <w:t>一般固废暂存间，</w:t>
            </w:r>
            <w:r>
              <w:rPr>
                <w:rFonts w:hint="eastAsia"/>
                <w:sz w:val="24"/>
              </w:rPr>
              <w:t>出售给专门的回收公司进行综合利用</w:t>
            </w:r>
            <w:r>
              <w:rPr>
                <w:rFonts w:hint="eastAsia"/>
                <w:sz w:val="24"/>
                <w:szCs w:val="24"/>
              </w:rPr>
              <w:t>。</w:t>
            </w:r>
          </w:p>
          <w:p>
            <w:pPr>
              <w:spacing w:line="360" w:lineRule="auto"/>
              <w:ind w:firstLine="480" w:firstLineChars="200"/>
              <w:rPr>
                <w:sz w:val="24"/>
              </w:rPr>
            </w:pPr>
            <w:r>
              <w:rPr>
                <w:rFonts w:hint="eastAsia"/>
                <w:sz w:val="24"/>
              </w:rPr>
              <w:t>综上所述，本项目在生产过程中，固体废弃物处理措施合理，对周围环境没有影响。</w:t>
            </w:r>
          </w:p>
          <w:p>
            <w:pPr>
              <w:spacing w:line="360" w:lineRule="auto"/>
              <w:ind w:firstLine="482" w:firstLineChars="200"/>
              <w:rPr>
                <w:b/>
                <w:bCs/>
                <w:color w:val="auto"/>
                <w:sz w:val="24"/>
              </w:rPr>
            </w:pPr>
            <w:r>
              <w:rPr>
                <w:rFonts w:hint="eastAsia"/>
                <w:b/>
                <w:bCs/>
                <w:color w:val="auto"/>
                <w:sz w:val="24"/>
                <w:lang w:val="en-US" w:eastAsia="zh-CN"/>
              </w:rPr>
              <w:t>6.</w:t>
            </w:r>
            <w:r>
              <w:rPr>
                <w:rFonts w:hint="eastAsia"/>
                <w:b/>
                <w:bCs/>
                <w:color w:val="auto"/>
                <w:sz w:val="24"/>
              </w:rPr>
              <w:t>土壤环境影响分析</w:t>
            </w:r>
          </w:p>
          <w:p>
            <w:pPr>
              <w:keepNext/>
              <w:keepLines/>
              <w:spacing w:before="80" w:after="80" w:line="360" w:lineRule="auto"/>
              <w:ind w:firstLine="472" w:firstLineChars="196"/>
              <w:outlineLvl w:val="2"/>
              <w:rPr>
                <w:b/>
                <w:bCs/>
                <w:color w:val="auto"/>
                <w:sz w:val="24"/>
              </w:rPr>
            </w:pPr>
            <w:r>
              <w:rPr>
                <w:rFonts w:hint="eastAsia"/>
                <w:b/>
                <w:bCs/>
                <w:color w:val="auto"/>
                <w:sz w:val="24"/>
                <w:lang w:val="en-US" w:eastAsia="zh-CN"/>
              </w:rPr>
              <w:t>6</w:t>
            </w:r>
            <w:r>
              <w:rPr>
                <w:rFonts w:hint="eastAsia"/>
                <w:b/>
                <w:bCs/>
                <w:color w:val="auto"/>
                <w:sz w:val="24"/>
              </w:rPr>
              <w:t>.1项目规模</w:t>
            </w:r>
          </w:p>
          <w:p>
            <w:pPr>
              <w:spacing w:line="360" w:lineRule="auto"/>
              <w:ind w:firstLine="480" w:firstLineChars="200"/>
              <w:rPr>
                <w:color w:val="auto"/>
                <w:sz w:val="24"/>
              </w:rPr>
            </w:pPr>
            <w:r>
              <w:rPr>
                <w:rFonts w:hint="eastAsia"/>
                <w:color w:val="auto"/>
                <w:sz w:val="24"/>
              </w:rPr>
              <w:t>建设项目占地规模分为大型（≥50hm</w:t>
            </w:r>
            <w:r>
              <w:rPr>
                <w:rFonts w:hint="eastAsia"/>
                <w:color w:val="auto"/>
                <w:sz w:val="24"/>
                <w:vertAlign w:val="superscript"/>
              </w:rPr>
              <w:t>2</w:t>
            </w:r>
            <w:r>
              <w:rPr>
                <w:rFonts w:hint="eastAsia"/>
                <w:color w:val="auto"/>
                <w:sz w:val="24"/>
              </w:rPr>
              <w:t>）、中型（5～50hm</w:t>
            </w:r>
            <w:r>
              <w:rPr>
                <w:rFonts w:hint="eastAsia"/>
                <w:color w:val="auto"/>
                <w:sz w:val="24"/>
                <w:vertAlign w:val="superscript"/>
              </w:rPr>
              <w:t>2</w:t>
            </w:r>
            <w:r>
              <w:rPr>
                <w:rFonts w:hint="eastAsia"/>
                <w:color w:val="auto"/>
                <w:sz w:val="24"/>
              </w:rPr>
              <w:t>）、小型（≤5hmn</w:t>
            </w:r>
            <w:r>
              <w:rPr>
                <w:rFonts w:hint="eastAsia"/>
                <w:color w:val="auto"/>
                <w:sz w:val="24"/>
                <w:vertAlign w:val="superscript"/>
              </w:rPr>
              <w:t>2</w:t>
            </w:r>
            <w:r>
              <w:rPr>
                <w:rFonts w:hint="eastAsia"/>
                <w:color w:val="auto"/>
                <w:sz w:val="24"/>
              </w:rPr>
              <w:t>），</w:t>
            </w:r>
            <w:r>
              <w:rPr>
                <w:rFonts w:hint="eastAsia"/>
                <w:color w:val="auto"/>
                <w:sz w:val="24"/>
                <w:lang w:eastAsia="zh-CN"/>
              </w:rPr>
              <w:t>企业</w:t>
            </w:r>
            <w:r>
              <w:rPr>
                <w:rFonts w:hint="eastAsia"/>
                <w:color w:val="auto"/>
                <w:sz w:val="24"/>
              </w:rPr>
              <w:t>占地面积为</w:t>
            </w:r>
            <w:r>
              <w:rPr>
                <w:rFonts w:hint="eastAsia"/>
                <w:color w:val="auto"/>
                <w:sz w:val="24"/>
                <w:lang w:val="en-US" w:eastAsia="zh-CN"/>
              </w:rPr>
              <w:t>9000</w:t>
            </w:r>
            <w:r>
              <w:rPr>
                <w:rFonts w:hint="eastAsia"/>
                <w:color w:val="auto"/>
                <w:sz w:val="24"/>
              </w:rPr>
              <w:t>m</w:t>
            </w:r>
            <w:r>
              <w:rPr>
                <w:rFonts w:hint="eastAsia"/>
                <w:color w:val="auto"/>
                <w:sz w:val="24"/>
                <w:vertAlign w:val="superscript"/>
              </w:rPr>
              <w:t>2</w:t>
            </w:r>
            <w:r>
              <w:rPr>
                <w:rFonts w:hint="eastAsia"/>
                <w:color w:val="auto"/>
                <w:sz w:val="24"/>
              </w:rPr>
              <w:t>，属于小型建设项目。</w:t>
            </w:r>
          </w:p>
          <w:p>
            <w:pPr>
              <w:keepNext/>
              <w:keepLines/>
              <w:spacing w:before="80" w:after="80" w:line="360" w:lineRule="auto"/>
              <w:ind w:firstLine="472" w:firstLineChars="196"/>
              <w:outlineLvl w:val="2"/>
              <w:rPr>
                <w:b/>
                <w:bCs/>
                <w:color w:val="auto"/>
                <w:sz w:val="24"/>
              </w:rPr>
            </w:pPr>
            <w:r>
              <w:rPr>
                <w:rFonts w:hint="eastAsia"/>
                <w:b/>
                <w:bCs/>
                <w:color w:val="auto"/>
                <w:sz w:val="24"/>
                <w:lang w:val="en-US" w:eastAsia="zh-CN"/>
              </w:rPr>
              <w:t>6</w:t>
            </w:r>
            <w:r>
              <w:rPr>
                <w:rFonts w:hint="eastAsia"/>
                <w:b/>
                <w:bCs/>
                <w:color w:val="auto"/>
                <w:sz w:val="24"/>
              </w:rPr>
              <w:t>.2项目类别</w:t>
            </w:r>
          </w:p>
          <w:p>
            <w:pPr>
              <w:spacing w:line="360" w:lineRule="auto"/>
              <w:ind w:firstLine="480" w:firstLineChars="200"/>
              <w:rPr>
                <w:color w:val="auto"/>
                <w:sz w:val="24"/>
              </w:rPr>
            </w:pPr>
            <w:r>
              <w:rPr>
                <w:rFonts w:hint="eastAsia"/>
                <w:color w:val="auto"/>
                <w:sz w:val="24"/>
              </w:rPr>
              <w:t>根据《环境影响评价技术导则 土壤环境（试行）》（HJ964-2018）附录A，本项目属于“</w:t>
            </w:r>
            <w:r>
              <w:rPr>
                <w:rFonts w:hint="eastAsia"/>
                <w:color w:val="auto"/>
                <w:sz w:val="24"/>
                <w:lang w:eastAsia="zh-CN"/>
              </w:rPr>
              <w:t>制造业、金属冶炼和压延加工及非金属矿物制品</w:t>
            </w:r>
            <w:r>
              <w:rPr>
                <w:rFonts w:hint="eastAsia"/>
                <w:color w:val="auto"/>
                <w:sz w:val="24"/>
              </w:rPr>
              <w:t>”中的“</w:t>
            </w:r>
            <w:r>
              <w:rPr>
                <w:rFonts w:hint="eastAsia"/>
                <w:color w:val="auto"/>
                <w:sz w:val="24"/>
                <w:lang w:eastAsia="zh-CN"/>
              </w:rPr>
              <w:t>其他</w:t>
            </w:r>
            <w:r>
              <w:rPr>
                <w:rFonts w:hint="eastAsia"/>
                <w:color w:val="auto"/>
                <w:sz w:val="24"/>
              </w:rPr>
              <w:t>”，为</w:t>
            </w:r>
            <w:r>
              <w:rPr>
                <w:color w:val="auto"/>
                <w:sz w:val="24"/>
              </w:rPr>
              <w:fldChar w:fldCharType="begin"/>
            </w:r>
            <w:r>
              <w:rPr>
                <w:color w:val="auto"/>
                <w:sz w:val="24"/>
              </w:rPr>
              <w:instrText xml:space="preserve"> </w:instrText>
            </w:r>
            <w:r>
              <w:rPr>
                <w:rFonts w:hint="eastAsia"/>
                <w:color w:val="auto"/>
                <w:sz w:val="24"/>
              </w:rPr>
              <w:instrText xml:space="preserve">= 3 \* ROMAN</w:instrText>
            </w:r>
            <w:r>
              <w:rPr>
                <w:color w:val="auto"/>
                <w:sz w:val="24"/>
              </w:rPr>
              <w:instrText xml:space="preserve"> </w:instrText>
            </w:r>
            <w:r>
              <w:rPr>
                <w:color w:val="auto"/>
                <w:sz w:val="24"/>
              </w:rPr>
              <w:fldChar w:fldCharType="separate"/>
            </w:r>
            <w:r>
              <w:rPr>
                <w:color w:val="auto"/>
                <w:sz w:val="24"/>
              </w:rPr>
              <w:t>III</w:t>
            </w:r>
            <w:r>
              <w:rPr>
                <w:color w:val="auto"/>
                <w:sz w:val="24"/>
              </w:rPr>
              <w:fldChar w:fldCharType="end"/>
            </w:r>
            <w:r>
              <w:rPr>
                <w:rFonts w:hint="eastAsia"/>
                <w:color w:val="auto"/>
                <w:sz w:val="24"/>
              </w:rPr>
              <w:t>类项目。</w:t>
            </w:r>
          </w:p>
          <w:p>
            <w:pPr>
              <w:keepNext/>
              <w:keepLines/>
              <w:spacing w:before="80" w:after="80" w:line="360" w:lineRule="auto"/>
              <w:ind w:firstLine="472" w:firstLineChars="196"/>
              <w:outlineLvl w:val="2"/>
              <w:rPr>
                <w:b/>
                <w:bCs/>
                <w:color w:val="auto"/>
                <w:sz w:val="24"/>
              </w:rPr>
            </w:pPr>
            <w:r>
              <w:rPr>
                <w:rFonts w:hint="eastAsia"/>
                <w:b/>
                <w:bCs/>
                <w:color w:val="auto"/>
                <w:sz w:val="24"/>
                <w:lang w:val="en-US" w:eastAsia="zh-CN"/>
              </w:rPr>
              <w:t>6</w:t>
            </w:r>
            <w:r>
              <w:rPr>
                <w:rFonts w:hint="eastAsia"/>
                <w:b/>
                <w:bCs/>
                <w:color w:val="auto"/>
                <w:sz w:val="24"/>
              </w:rPr>
              <w:t>.</w:t>
            </w:r>
            <w:r>
              <w:rPr>
                <w:rFonts w:hint="eastAsia"/>
                <w:b/>
                <w:bCs/>
                <w:color w:val="auto"/>
                <w:sz w:val="24"/>
                <w:lang w:val="en-US" w:eastAsia="zh-CN"/>
              </w:rPr>
              <w:t>3</w:t>
            </w:r>
            <w:r>
              <w:rPr>
                <w:rFonts w:hint="eastAsia"/>
                <w:b/>
                <w:bCs/>
                <w:color w:val="auto"/>
                <w:sz w:val="24"/>
              </w:rPr>
              <w:t>土壤环境敏感程度</w:t>
            </w:r>
          </w:p>
          <w:p>
            <w:pPr>
              <w:spacing w:line="360" w:lineRule="auto"/>
              <w:ind w:firstLine="480" w:firstLineChars="200"/>
              <w:rPr>
                <w:color w:val="auto"/>
                <w:sz w:val="24"/>
              </w:rPr>
            </w:pPr>
            <w:r>
              <w:rPr>
                <w:rFonts w:hint="eastAsia"/>
                <w:color w:val="auto"/>
                <w:sz w:val="24"/>
              </w:rPr>
              <w:t>建设项目所在地周边的土壤环境敏感程度分为敏感、较敏感、不敏感，判别依据见表</w:t>
            </w:r>
            <w:r>
              <w:rPr>
                <w:rFonts w:hint="eastAsia"/>
                <w:color w:val="auto"/>
                <w:sz w:val="24"/>
                <w:lang w:val="en-US" w:eastAsia="zh-CN"/>
              </w:rPr>
              <w:t>27</w:t>
            </w:r>
            <w:r>
              <w:rPr>
                <w:rFonts w:hint="eastAsia"/>
                <w:color w:val="auto"/>
                <w:sz w:val="24"/>
              </w:rPr>
              <w:t>，根据现场勘察，企业</w:t>
            </w:r>
            <w:r>
              <w:rPr>
                <w:rFonts w:hint="eastAsia"/>
                <w:color w:val="auto"/>
                <w:sz w:val="24"/>
                <w:lang w:eastAsia="zh-CN"/>
              </w:rPr>
              <w:t>周边存在耕地和村庄</w:t>
            </w:r>
            <w:r>
              <w:rPr>
                <w:rFonts w:hint="eastAsia"/>
                <w:color w:val="auto"/>
                <w:sz w:val="24"/>
              </w:rPr>
              <w:t>，土壤环境敏感程度为敏感。</w:t>
            </w:r>
          </w:p>
          <w:p>
            <w:pPr>
              <w:autoSpaceDE w:val="0"/>
              <w:autoSpaceDN w:val="0"/>
              <w:spacing w:line="240" w:lineRule="auto"/>
              <w:jc w:val="center"/>
              <w:rPr>
                <w:rFonts w:hint="eastAsia" w:ascii="黑体" w:hAnsi="黑体" w:eastAsia="黑体" w:cs="黑体"/>
                <w:b w:val="0"/>
                <w:bCs/>
                <w:color w:val="auto"/>
                <w:spacing w:val="-5"/>
                <w:sz w:val="24"/>
              </w:rPr>
            </w:pPr>
          </w:p>
          <w:p>
            <w:pPr>
              <w:autoSpaceDE w:val="0"/>
              <w:autoSpaceDN w:val="0"/>
              <w:spacing w:line="240" w:lineRule="auto"/>
              <w:jc w:val="center"/>
              <w:rPr>
                <w:rFonts w:hint="eastAsia" w:ascii="黑体" w:hAnsi="黑体" w:eastAsia="黑体" w:cs="黑体"/>
                <w:b w:val="0"/>
                <w:bCs/>
                <w:color w:val="auto"/>
                <w:spacing w:val="-5"/>
                <w:sz w:val="24"/>
              </w:rPr>
            </w:pPr>
          </w:p>
          <w:p>
            <w:pPr>
              <w:autoSpaceDE w:val="0"/>
              <w:autoSpaceDN w:val="0"/>
              <w:spacing w:line="240" w:lineRule="auto"/>
              <w:jc w:val="center"/>
              <w:rPr>
                <w:rFonts w:hint="eastAsia" w:ascii="黑体" w:hAnsi="黑体" w:eastAsia="黑体" w:cs="黑体"/>
                <w:b w:val="0"/>
                <w:bCs/>
                <w:color w:val="auto"/>
                <w:spacing w:val="-5"/>
                <w:sz w:val="24"/>
              </w:rPr>
            </w:pPr>
            <w:r>
              <w:rPr>
                <w:rFonts w:hint="eastAsia" w:ascii="黑体" w:hAnsi="黑体" w:eastAsia="黑体" w:cs="黑体"/>
                <w:b w:val="0"/>
                <w:bCs/>
                <w:color w:val="auto"/>
                <w:spacing w:val="-5"/>
                <w:sz w:val="24"/>
              </w:rPr>
              <w:t>表</w:t>
            </w:r>
            <w:r>
              <w:rPr>
                <w:rFonts w:hint="eastAsia" w:ascii="黑体" w:hAnsi="黑体" w:eastAsia="黑体" w:cs="黑体"/>
                <w:b w:val="0"/>
                <w:bCs/>
                <w:color w:val="auto"/>
                <w:spacing w:val="-5"/>
                <w:sz w:val="24"/>
                <w:lang w:val="en-US" w:eastAsia="zh-CN"/>
              </w:rPr>
              <w:t>27</w:t>
            </w:r>
            <w:r>
              <w:rPr>
                <w:rFonts w:hint="eastAsia" w:ascii="黑体" w:hAnsi="黑体" w:eastAsia="黑体" w:cs="黑体"/>
                <w:b w:val="0"/>
                <w:bCs/>
                <w:color w:val="auto"/>
                <w:spacing w:val="-5"/>
                <w:sz w:val="24"/>
              </w:rPr>
              <w:t xml:space="preserve">  污染影响型敏感程度分级表</w:t>
            </w:r>
          </w:p>
          <w:tbl>
            <w:tblPr>
              <w:tblStyle w:val="31"/>
              <w:tblW w:w="9061"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508"/>
              <w:gridCol w:w="755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08" w:type="dxa"/>
                  <w:tcBorders>
                    <w:tl2br w:val="nil"/>
                    <w:tr2bl w:val="nil"/>
                  </w:tcBorders>
                  <w:shd w:val="clear" w:color="auto" w:fill="auto"/>
                  <w:vAlign w:val="center"/>
                </w:tcPr>
                <w:p>
                  <w:pPr>
                    <w:jc w:val="center"/>
                    <w:rPr>
                      <w:color w:val="auto"/>
                      <w:szCs w:val="21"/>
                    </w:rPr>
                  </w:pPr>
                  <w:r>
                    <w:rPr>
                      <w:rFonts w:hint="eastAsia"/>
                      <w:color w:val="auto"/>
                      <w:szCs w:val="21"/>
                    </w:rPr>
                    <w:t>敏感程度</w:t>
                  </w:r>
                </w:p>
              </w:tc>
              <w:tc>
                <w:tcPr>
                  <w:tcW w:w="7553" w:type="dxa"/>
                  <w:tcBorders>
                    <w:tl2br w:val="nil"/>
                    <w:tr2bl w:val="nil"/>
                  </w:tcBorders>
                  <w:shd w:val="clear" w:color="auto" w:fill="auto"/>
                  <w:vAlign w:val="center"/>
                </w:tcPr>
                <w:p>
                  <w:pPr>
                    <w:jc w:val="center"/>
                    <w:rPr>
                      <w:color w:val="auto"/>
                      <w:szCs w:val="21"/>
                    </w:rPr>
                  </w:pPr>
                  <w:r>
                    <w:rPr>
                      <w:rFonts w:hint="eastAsia"/>
                      <w:color w:val="auto"/>
                      <w:szCs w:val="21"/>
                    </w:rPr>
                    <w:t>判别依据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08" w:type="dxa"/>
                  <w:tcBorders>
                    <w:tl2br w:val="nil"/>
                    <w:tr2bl w:val="nil"/>
                  </w:tcBorders>
                  <w:shd w:val="clear" w:color="auto" w:fill="auto"/>
                  <w:vAlign w:val="center"/>
                </w:tcPr>
                <w:p>
                  <w:pPr>
                    <w:jc w:val="center"/>
                    <w:rPr>
                      <w:color w:val="auto"/>
                      <w:szCs w:val="21"/>
                    </w:rPr>
                  </w:pPr>
                  <w:r>
                    <w:rPr>
                      <w:rFonts w:hint="eastAsia"/>
                      <w:color w:val="auto"/>
                      <w:szCs w:val="21"/>
                    </w:rPr>
                    <w:t>敏感</w:t>
                  </w:r>
                </w:p>
              </w:tc>
              <w:tc>
                <w:tcPr>
                  <w:tcW w:w="7553" w:type="dxa"/>
                  <w:tcBorders>
                    <w:tl2br w:val="nil"/>
                    <w:tr2bl w:val="nil"/>
                  </w:tcBorders>
                  <w:shd w:val="clear" w:color="auto" w:fill="auto"/>
                  <w:vAlign w:val="center"/>
                </w:tcPr>
                <w:p>
                  <w:pPr>
                    <w:rPr>
                      <w:color w:val="auto"/>
                      <w:szCs w:val="21"/>
                    </w:rPr>
                  </w:pPr>
                  <w:r>
                    <w:rPr>
                      <w:rFonts w:hint="eastAsia"/>
                      <w:color w:val="auto"/>
                      <w:szCs w:val="21"/>
                    </w:rPr>
                    <w:t>建设项目周边存在耕地、园地、牧草地、饮用水水源地或居民区、学校、医院、疗养院、养老院等土壤环境敏感目标的</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08" w:type="dxa"/>
                  <w:tcBorders>
                    <w:tl2br w:val="nil"/>
                    <w:tr2bl w:val="nil"/>
                  </w:tcBorders>
                  <w:shd w:val="clear" w:color="auto" w:fill="auto"/>
                  <w:vAlign w:val="center"/>
                </w:tcPr>
                <w:p>
                  <w:pPr>
                    <w:jc w:val="center"/>
                    <w:rPr>
                      <w:color w:val="auto"/>
                      <w:szCs w:val="21"/>
                    </w:rPr>
                  </w:pPr>
                  <w:r>
                    <w:rPr>
                      <w:rFonts w:hint="eastAsia"/>
                      <w:color w:val="auto"/>
                      <w:szCs w:val="21"/>
                    </w:rPr>
                    <w:t>较敏感</w:t>
                  </w:r>
                </w:p>
              </w:tc>
              <w:tc>
                <w:tcPr>
                  <w:tcW w:w="7553" w:type="dxa"/>
                  <w:tcBorders>
                    <w:tl2br w:val="nil"/>
                    <w:tr2bl w:val="nil"/>
                  </w:tcBorders>
                  <w:shd w:val="clear" w:color="auto" w:fill="auto"/>
                  <w:vAlign w:val="center"/>
                </w:tcPr>
                <w:p>
                  <w:pPr>
                    <w:rPr>
                      <w:color w:val="auto"/>
                      <w:szCs w:val="21"/>
                    </w:rPr>
                  </w:pPr>
                  <w:r>
                    <w:rPr>
                      <w:rFonts w:hint="eastAsia"/>
                      <w:color w:val="auto"/>
                      <w:szCs w:val="21"/>
                    </w:rPr>
                    <w:t>建设项目周边存在其他土壤环境敏感目标的</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08" w:type="dxa"/>
                  <w:tcBorders>
                    <w:tl2br w:val="nil"/>
                    <w:tr2bl w:val="nil"/>
                  </w:tcBorders>
                  <w:shd w:val="clear" w:color="auto" w:fill="auto"/>
                  <w:vAlign w:val="center"/>
                </w:tcPr>
                <w:p>
                  <w:pPr>
                    <w:jc w:val="center"/>
                    <w:rPr>
                      <w:color w:val="auto"/>
                      <w:szCs w:val="21"/>
                    </w:rPr>
                  </w:pPr>
                  <w:r>
                    <w:rPr>
                      <w:rFonts w:hint="eastAsia"/>
                      <w:color w:val="auto"/>
                      <w:szCs w:val="21"/>
                    </w:rPr>
                    <w:t>不敏感</w:t>
                  </w:r>
                </w:p>
              </w:tc>
              <w:tc>
                <w:tcPr>
                  <w:tcW w:w="7553" w:type="dxa"/>
                  <w:tcBorders>
                    <w:tl2br w:val="nil"/>
                    <w:tr2bl w:val="nil"/>
                  </w:tcBorders>
                  <w:shd w:val="clear" w:color="auto" w:fill="auto"/>
                  <w:vAlign w:val="center"/>
                </w:tcPr>
                <w:p>
                  <w:pPr>
                    <w:rPr>
                      <w:color w:val="auto"/>
                      <w:szCs w:val="21"/>
                    </w:rPr>
                  </w:pPr>
                  <w:r>
                    <w:rPr>
                      <w:rFonts w:hint="eastAsia"/>
                      <w:color w:val="auto"/>
                      <w:szCs w:val="21"/>
                    </w:rPr>
                    <w:t>其他情况</w:t>
                  </w:r>
                </w:p>
              </w:tc>
            </w:tr>
          </w:tbl>
          <w:p>
            <w:pPr>
              <w:spacing w:line="240" w:lineRule="exact"/>
              <w:ind w:firstLine="420" w:firstLineChars="200"/>
              <w:rPr>
                <w:color w:val="auto"/>
              </w:rPr>
            </w:pPr>
          </w:p>
          <w:p>
            <w:pPr>
              <w:keepNext/>
              <w:keepLines/>
              <w:spacing w:before="80" w:after="80" w:line="360" w:lineRule="auto"/>
              <w:ind w:firstLine="472" w:firstLineChars="196"/>
              <w:outlineLvl w:val="2"/>
              <w:rPr>
                <w:b/>
                <w:bCs/>
                <w:color w:val="auto"/>
                <w:sz w:val="24"/>
              </w:rPr>
            </w:pPr>
            <w:r>
              <w:rPr>
                <w:rFonts w:hint="eastAsia"/>
                <w:b/>
                <w:bCs/>
                <w:color w:val="auto"/>
                <w:sz w:val="24"/>
                <w:lang w:val="en-US" w:eastAsia="zh-CN"/>
              </w:rPr>
              <w:t>6</w:t>
            </w:r>
            <w:r>
              <w:rPr>
                <w:rFonts w:hint="eastAsia"/>
                <w:b/>
                <w:bCs/>
                <w:color w:val="auto"/>
                <w:sz w:val="24"/>
              </w:rPr>
              <w:t>.</w:t>
            </w:r>
            <w:r>
              <w:rPr>
                <w:rFonts w:hint="eastAsia"/>
                <w:b/>
                <w:bCs/>
                <w:color w:val="auto"/>
                <w:sz w:val="24"/>
                <w:lang w:val="en-US" w:eastAsia="zh-CN"/>
              </w:rPr>
              <w:t>4</w:t>
            </w:r>
            <w:r>
              <w:rPr>
                <w:rFonts w:hint="eastAsia"/>
                <w:b/>
                <w:bCs/>
                <w:color w:val="auto"/>
                <w:sz w:val="24"/>
              </w:rPr>
              <w:t>评价工作等级</w:t>
            </w:r>
          </w:p>
          <w:p>
            <w:pPr>
              <w:spacing w:line="360" w:lineRule="auto"/>
              <w:ind w:firstLine="480" w:firstLineChars="200"/>
              <w:rPr>
                <w:rFonts w:hint="eastAsia"/>
                <w:color w:val="auto"/>
                <w:sz w:val="24"/>
              </w:rPr>
            </w:pPr>
            <w:r>
              <w:rPr>
                <w:rFonts w:hint="eastAsia"/>
                <w:color w:val="auto"/>
                <w:sz w:val="24"/>
              </w:rPr>
              <w:t>根据土壤环境影响评价项目类别、占地规模与敏感程度划分评价工作等级，详见表</w:t>
            </w:r>
            <w:r>
              <w:rPr>
                <w:rFonts w:hint="eastAsia"/>
                <w:color w:val="auto"/>
                <w:sz w:val="24"/>
                <w:lang w:val="en-US" w:eastAsia="zh-CN"/>
              </w:rPr>
              <w:t>28</w:t>
            </w:r>
            <w:r>
              <w:rPr>
                <w:rFonts w:hint="eastAsia"/>
                <w:color w:val="auto"/>
                <w:sz w:val="24"/>
              </w:rPr>
              <w:t>。</w:t>
            </w:r>
          </w:p>
          <w:p>
            <w:pPr>
              <w:autoSpaceDE w:val="0"/>
              <w:autoSpaceDN w:val="0"/>
              <w:spacing w:line="240" w:lineRule="auto"/>
              <w:jc w:val="center"/>
              <w:rPr>
                <w:rFonts w:hint="eastAsia" w:ascii="黑体" w:hAnsi="黑体" w:eastAsia="黑体" w:cs="黑体"/>
                <w:b w:val="0"/>
                <w:bCs/>
                <w:color w:val="auto"/>
                <w:spacing w:val="-5"/>
                <w:sz w:val="24"/>
              </w:rPr>
            </w:pPr>
            <w:r>
              <w:rPr>
                <w:rFonts w:hint="eastAsia" w:ascii="黑体" w:hAnsi="黑体" w:eastAsia="黑体" w:cs="黑体"/>
                <w:b w:val="0"/>
                <w:bCs/>
                <w:color w:val="auto"/>
                <w:spacing w:val="-5"/>
                <w:sz w:val="24"/>
              </w:rPr>
              <w:t>表</w:t>
            </w:r>
            <w:r>
              <w:rPr>
                <w:rFonts w:hint="eastAsia" w:ascii="黑体" w:hAnsi="黑体" w:eastAsia="黑体" w:cs="黑体"/>
                <w:b w:val="0"/>
                <w:bCs/>
                <w:color w:val="auto"/>
                <w:spacing w:val="-5"/>
                <w:sz w:val="24"/>
                <w:lang w:val="en-US" w:eastAsia="zh-CN"/>
              </w:rPr>
              <w:t>28</w:t>
            </w:r>
            <w:r>
              <w:rPr>
                <w:rFonts w:hint="eastAsia" w:ascii="黑体" w:hAnsi="黑体" w:eastAsia="黑体" w:cs="黑体"/>
                <w:b w:val="0"/>
                <w:bCs/>
                <w:color w:val="auto"/>
                <w:spacing w:val="-5"/>
                <w:sz w:val="24"/>
              </w:rPr>
              <w:t xml:space="preserve">  污染影响型评价工作等级划分表</w:t>
            </w:r>
          </w:p>
          <w:tbl>
            <w:tblPr>
              <w:tblStyle w:val="31"/>
              <w:tblW w:w="9061"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857"/>
              <w:gridCol w:w="801"/>
              <w:gridCol w:w="801"/>
              <w:gridCol w:w="801"/>
              <w:gridCol w:w="801"/>
              <w:gridCol w:w="801"/>
              <w:gridCol w:w="801"/>
              <w:gridCol w:w="801"/>
              <w:gridCol w:w="801"/>
              <w:gridCol w:w="79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857" w:type="dxa"/>
                  <w:vMerge w:val="restart"/>
                  <w:tcBorders>
                    <w:tl2br w:val="nil"/>
                    <w:tr2bl w:val="nil"/>
                  </w:tcBorders>
                  <w:shd w:val="clear" w:color="auto" w:fill="auto"/>
                  <w:vAlign w:val="center"/>
                </w:tcPr>
                <w:p>
                  <w:pPr>
                    <w:spacing w:line="240" w:lineRule="auto"/>
                    <w:jc w:val="right"/>
                    <w:rPr>
                      <w:color w:val="auto"/>
                      <w:szCs w:val="21"/>
                    </w:rPr>
                  </w:pPr>
                  <w:r>
                    <w:rPr>
                      <w:color w:val="auto"/>
                      <w:szCs w:val="21"/>
                    </w:rPr>
                    <mc:AlternateContent>
                      <mc:Choice Requires="wps">
                        <w:drawing>
                          <wp:anchor distT="0" distB="0" distL="114300" distR="114300" simplePos="0" relativeHeight="504967168" behindDoc="0" locked="0" layoutInCell="1" allowOverlap="1">
                            <wp:simplePos x="0" y="0"/>
                            <wp:positionH relativeFrom="column">
                              <wp:posOffset>-64135</wp:posOffset>
                            </wp:positionH>
                            <wp:positionV relativeFrom="paragraph">
                              <wp:posOffset>292100</wp:posOffset>
                            </wp:positionV>
                            <wp:extent cx="1174115" cy="312420"/>
                            <wp:effectExtent l="1270" t="4445" r="5715" b="6985"/>
                            <wp:wrapNone/>
                            <wp:docPr id="40" name="直接箭头连接符 40"/>
                            <wp:cNvGraphicFramePr/>
                            <a:graphic xmlns:a="http://schemas.openxmlformats.org/drawingml/2006/main">
                              <a:graphicData uri="http://schemas.microsoft.com/office/word/2010/wordprocessingShape">
                                <wps:wsp>
                                  <wps:cNvCnPr/>
                                  <wps:spPr>
                                    <a:xfrm flipH="1" flipV="1">
                                      <a:off x="0" y="0"/>
                                      <a:ext cx="1174115" cy="312420"/>
                                    </a:xfrm>
                                    <a:prstGeom prst="straightConnector1">
                                      <a:avLst/>
                                    </a:prstGeom>
                                    <a:ln w="63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x y;margin-left:-5.05pt;margin-top:23pt;height:24.6pt;width:92.45pt;z-index:504967168;mso-width-relative:page;mso-height-relative:page;" filled="f" stroked="t" coordsize="21600,21600" o:gfxdata="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kskOb9gAAAAJAQAADwAAAAAAAAABACAAAAAiAAAAZHJzL2Rvd25yZXYueG1sUEsB&#10;AhQAFAAAAAgAh07iQFPeNy/1AQAAuQMAAA4AAAAAAAAAAQAgAAAAJwEAAGRycy9lMm9Eb2MueG1s&#10;UEsFBgAAAAAGAAYAWQEAAI4FAAAAAA==&#10;">
                            <v:fill on="f" focussize="0,0"/>
                            <v:stroke weight="0.5pt" color="#000000" joinstyle="round"/>
                            <v:imagedata o:title=""/>
                            <o:lock v:ext="edit" aspectratio="f"/>
                          </v:shape>
                        </w:pict>
                      </mc:Fallback>
                    </mc:AlternateContent>
                  </w:r>
                  <w:r>
                    <w:rPr>
                      <w:color w:val="auto"/>
                      <w:szCs w:val="21"/>
                    </w:rPr>
                    <mc:AlternateContent>
                      <mc:Choice Requires="wps">
                        <w:drawing>
                          <wp:anchor distT="0" distB="0" distL="114300" distR="114300" simplePos="0" relativeHeight="504968192" behindDoc="0" locked="0" layoutInCell="1" allowOverlap="1">
                            <wp:simplePos x="0" y="0"/>
                            <wp:positionH relativeFrom="column">
                              <wp:posOffset>422275</wp:posOffset>
                            </wp:positionH>
                            <wp:positionV relativeFrom="paragraph">
                              <wp:posOffset>-1270</wp:posOffset>
                            </wp:positionV>
                            <wp:extent cx="689610" cy="600710"/>
                            <wp:effectExtent l="3175" t="3810" r="12065" b="5080"/>
                            <wp:wrapNone/>
                            <wp:docPr id="41" name="直接箭头连接符 41"/>
                            <wp:cNvGraphicFramePr/>
                            <a:graphic xmlns:a="http://schemas.openxmlformats.org/drawingml/2006/main">
                              <a:graphicData uri="http://schemas.microsoft.com/office/word/2010/wordprocessingShape">
                                <wps:wsp>
                                  <wps:cNvCnPr/>
                                  <wps:spPr>
                                    <a:xfrm flipH="1" flipV="1">
                                      <a:off x="0" y="0"/>
                                      <a:ext cx="689610" cy="600710"/>
                                    </a:xfrm>
                                    <a:prstGeom prst="straightConnector1">
                                      <a:avLst/>
                                    </a:prstGeom>
                                    <a:ln w="63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x y;margin-left:33.25pt;margin-top:-0.1pt;height:47.3pt;width:54.3pt;z-index:504968192;mso-width-relative:page;mso-height-relative:page;" filled="f" stroked="t" coordsize="21600,21600" o:gfxdata="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3vJqD1gAAAAcBAAAPAAAAAAAAAAEAIAAAACIAAABkcnMvZG93bnJldi54bWxQSwECFAAUAAAA&#10;CACHTuJAfOc/4PABAAC4AwAADgAAAAAAAAABACAAAAAlAQAAZHJzL2Uyb0RvYy54bWxQSwUGAAAA&#10;AAYABgBZAQAAhwUAAAAA&#10;">
                            <v:fill on="f" focussize="0,0"/>
                            <v:stroke weight="0.5pt" color="#000000" joinstyle="round"/>
                            <v:imagedata o:title=""/>
                            <o:lock v:ext="edit" aspectratio="f"/>
                          </v:shape>
                        </w:pict>
                      </mc:Fallback>
                    </mc:AlternateContent>
                  </w:r>
                  <w:r>
                    <w:rPr>
                      <w:rFonts w:hint="eastAsia"/>
                      <w:color w:val="auto"/>
                      <w:szCs w:val="21"/>
                    </w:rPr>
                    <w:t>占地规模</w:t>
                  </w:r>
                </w:p>
                <w:p>
                  <w:pPr>
                    <w:spacing w:line="240" w:lineRule="auto"/>
                    <w:ind w:right="105"/>
                    <w:jc w:val="left"/>
                    <w:rPr>
                      <w:color w:val="auto"/>
                      <w:szCs w:val="21"/>
                    </w:rPr>
                  </w:pPr>
                  <w:r>
                    <w:rPr>
                      <w:rFonts w:hint="eastAsia"/>
                      <w:color w:val="auto"/>
                      <w:szCs w:val="21"/>
                    </w:rPr>
                    <w:t>评价工作等级</w:t>
                  </w:r>
                </w:p>
                <w:p>
                  <w:pPr>
                    <w:spacing w:line="240" w:lineRule="auto"/>
                    <w:ind w:right="105"/>
                    <w:jc w:val="left"/>
                    <w:rPr>
                      <w:color w:val="auto"/>
                      <w:szCs w:val="21"/>
                    </w:rPr>
                  </w:pPr>
                  <w:r>
                    <w:rPr>
                      <w:rFonts w:hint="eastAsia"/>
                      <w:color w:val="auto"/>
                      <w:szCs w:val="21"/>
                    </w:rPr>
                    <w:t>敏感程度</w:t>
                  </w:r>
                </w:p>
              </w:tc>
              <w:tc>
                <w:tcPr>
                  <w:tcW w:w="2403" w:type="dxa"/>
                  <w:gridSpan w:val="3"/>
                  <w:tcBorders>
                    <w:tl2br w:val="nil"/>
                    <w:tr2bl w:val="nil"/>
                  </w:tcBorders>
                  <w:shd w:val="clear" w:color="auto" w:fill="auto"/>
                  <w:vAlign w:val="center"/>
                </w:tcPr>
                <w:p>
                  <w:pPr>
                    <w:spacing w:line="240" w:lineRule="auto"/>
                    <w:jc w:val="center"/>
                    <w:rPr>
                      <w:color w:val="auto"/>
                      <w:szCs w:val="21"/>
                    </w:rPr>
                  </w:pPr>
                  <w:r>
                    <w:rPr>
                      <w:rFonts w:hint="eastAsia"/>
                      <w:color w:val="auto"/>
                      <w:szCs w:val="21"/>
                    </w:rPr>
                    <w:t>I类</w:t>
                  </w:r>
                </w:p>
              </w:tc>
              <w:tc>
                <w:tcPr>
                  <w:tcW w:w="2403" w:type="dxa"/>
                  <w:gridSpan w:val="3"/>
                  <w:tcBorders>
                    <w:tl2br w:val="nil"/>
                    <w:tr2bl w:val="nil"/>
                  </w:tcBorders>
                  <w:shd w:val="clear" w:color="auto" w:fill="auto"/>
                  <w:vAlign w:val="center"/>
                </w:tcPr>
                <w:p>
                  <w:pPr>
                    <w:spacing w:line="240" w:lineRule="auto"/>
                    <w:jc w:val="center"/>
                    <w:rPr>
                      <w:color w:val="auto"/>
                      <w:szCs w:val="21"/>
                    </w:rPr>
                  </w:pPr>
                  <w:r>
                    <w:rPr>
                      <w:rFonts w:hint="eastAsia"/>
                      <w:color w:val="auto"/>
                      <w:szCs w:val="21"/>
                    </w:rPr>
                    <w:t>Ⅱ类</w:t>
                  </w:r>
                </w:p>
              </w:tc>
              <w:tc>
                <w:tcPr>
                  <w:tcW w:w="2398" w:type="dxa"/>
                  <w:gridSpan w:val="3"/>
                  <w:tcBorders>
                    <w:tl2br w:val="nil"/>
                    <w:tr2bl w:val="nil"/>
                  </w:tcBorders>
                  <w:shd w:val="clear" w:color="auto" w:fill="auto"/>
                  <w:vAlign w:val="center"/>
                </w:tcPr>
                <w:p>
                  <w:pPr>
                    <w:spacing w:line="240" w:lineRule="auto"/>
                    <w:jc w:val="center"/>
                    <w:rPr>
                      <w:color w:val="auto"/>
                      <w:szCs w:val="21"/>
                    </w:rPr>
                  </w:pPr>
                  <w:r>
                    <w:rPr>
                      <w:rFonts w:hint="eastAsia"/>
                      <w:color w:val="auto"/>
                      <w:szCs w:val="21"/>
                    </w:rPr>
                    <w:t>Ⅲ类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857" w:type="dxa"/>
                  <w:vMerge w:val="continue"/>
                  <w:tcBorders>
                    <w:tl2br w:val="nil"/>
                    <w:tr2bl w:val="nil"/>
                  </w:tcBorders>
                  <w:shd w:val="clear" w:color="auto" w:fill="auto"/>
                  <w:vAlign w:val="center"/>
                </w:tcPr>
                <w:p>
                  <w:pPr>
                    <w:spacing w:line="240" w:lineRule="auto"/>
                    <w:jc w:val="center"/>
                    <w:rPr>
                      <w:color w:val="auto"/>
                      <w:szCs w:val="21"/>
                    </w:rPr>
                  </w:pP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中</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小</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中</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小</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中</w:t>
                  </w:r>
                </w:p>
              </w:tc>
              <w:tc>
                <w:tcPr>
                  <w:tcW w:w="796"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小</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857"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敏感</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一级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一级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一级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c>
                <w:tcPr>
                  <w:tcW w:w="796"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857"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较敏感</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一级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一级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c>
                <w:tcPr>
                  <w:tcW w:w="796"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857"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不敏感</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一级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二级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三级</w:t>
                  </w:r>
                </w:p>
              </w:tc>
              <w:tc>
                <w:tcPr>
                  <w:tcW w:w="801"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w:t>
                  </w:r>
                </w:p>
              </w:tc>
              <w:tc>
                <w:tcPr>
                  <w:tcW w:w="796" w:type="dxa"/>
                  <w:tcBorders>
                    <w:tl2br w:val="nil"/>
                    <w:tr2bl w:val="nil"/>
                  </w:tcBorders>
                  <w:shd w:val="clear" w:color="auto" w:fill="auto"/>
                  <w:vAlign w:val="center"/>
                </w:tcPr>
                <w:p>
                  <w:pPr>
                    <w:spacing w:line="240" w:lineRule="auto"/>
                    <w:jc w:val="center"/>
                    <w:rPr>
                      <w:color w:val="auto"/>
                      <w:szCs w:val="21"/>
                    </w:rPr>
                  </w:pPr>
                  <w:r>
                    <w:rPr>
                      <w:rFonts w:hint="eastAsia"/>
                      <w:color w:val="auto"/>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061" w:type="dxa"/>
                  <w:gridSpan w:val="10"/>
                  <w:tcBorders>
                    <w:tl2br w:val="nil"/>
                    <w:tr2bl w:val="nil"/>
                  </w:tcBorders>
                  <w:shd w:val="clear" w:color="auto" w:fill="auto"/>
                  <w:vAlign w:val="center"/>
                </w:tcPr>
                <w:p>
                  <w:pPr>
                    <w:spacing w:line="240" w:lineRule="auto"/>
                    <w:rPr>
                      <w:color w:val="auto"/>
                      <w:szCs w:val="21"/>
                    </w:rPr>
                  </w:pPr>
                  <w:r>
                    <w:rPr>
                      <w:rFonts w:hint="eastAsia"/>
                      <w:color w:val="auto"/>
                      <w:szCs w:val="21"/>
                    </w:rPr>
                    <w:t>注:“-”表示可不开展土壤环境影响评价工作。</w:t>
                  </w:r>
                </w:p>
              </w:tc>
            </w:tr>
          </w:tbl>
          <w:p>
            <w:pPr>
              <w:spacing w:line="240" w:lineRule="exact"/>
              <w:ind w:firstLine="420" w:firstLineChars="200"/>
              <w:rPr>
                <w:color w:val="auto"/>
              </w:rPr>
            </w:pPr>
          </w:p>
          <w:p>
            <w:pPr>
              <w:spacing w:line="360" w:lineRule="auto"/>
              <w:ind w:firstLine="480" w:firstLineChars="200"/>
              <w:rPr>
                <w:rFonts w:hint="eastAsia"/>
                <w:color w:val="auto"/>
                <w:sz w:val="24"/>
                <w:lang w:eastAsia="zh-CN"/>
              </w:rPr>
            </w:pPr>
            <w:r>
              <w:rPr>
                <w:rFonts w:hint="eastAsia"/>
                <w:color w:val="auto"/>
                <w:sz w:val="24"/>
              </w:rPr>
              <w:t>本项目为</w:t>
            </w:r>
            <w:r>
              <w:rPr>
                <w:color w:val="auto"/>
                <w:sz w:val="24"/>
                <w:szCs w:val="24"/>
              </w:rPr>
              <w:fldChar w:fldCharType="begin"/>
            </w:r>
            <w:r>
              <w:rPr>
                <w:color w:val="auto"/>
                <w:sz w:val="24"/>
                <w:szCs w:val="24"/>
              </w:rPr>
              <w:instrText xml:space="preserve"> </w:instrText>
            </w:r>
            <w:r>
              <w:rPr>
                <w:rFonts w:hint="eastAsia"/>
                <w:color w:val="auto"/>
                <w:sz w:val="24"/>
                <w:szCs w:val="24"/>
              </w:rPr>
              <w:instrText xml:space="preserve">= 3 \* ROMAN</w:instrText>
            </w:r>
            <w:r>
              <w:rPr>
                <w:color w:val="auto"/>
                <w:sz w:val="24"/>
                <w:szCs w:val="24"/>
              </w:rPr>
              <w:instrText xml:space="preserve"> </w:instrText>
            </w:r>
            <w:r>
              <w:rPr>
                <w:color w:val="auto"/>
                <w:sz w:val="24"/>
                <w:szCs w:val="24"/>
              </w:rPr>
              <w:fldChar w:fldCharType="separate"/>
            </w:r>
            <w:r>
              <w:rPr>
                <w:color w:val="auto"/>
                <w:sz w:val="24"/>
                <w:szCs w:val="24"/>
              </w:rPr>
              <w:t>III</w:t>
            </w:r>
            <w:r>
              <w:rPr>
                <w:color w:val="auto"/>
                <w:sz w:val="24"/>
                <w:szCs w:val="24"/>
              </w:rPr>
              <w:fldChar w:fldCharType="end"/>
            </w:r>
            <w:r>
              <w:rPr>
                <w:rFonts w:hint="eastAsia"/>
                <w:color w:val="auto"/>
                <w:sz w:val="24"/>
              </w:rPr>
              <w:t>类小型建设项目，土壤环境敏感程度为敏感。根据表</w:t>
            </w:r>
            <w:r>
              <w:rPr>
                <w:rFonts w:hint="eastAsia"/>
                <w:color w:val="auto"/>
                <w:sz w:val="24"/>
                <w:lang w:val="en-US" w:eastAsia="zh-CN"/>
              </w:rPr>
              <w:t>28</w:t>
            </w:r>
            <w:r>
              <w:rPr>
                <w:rFonts w:hint="eastAsia"/>
                <w:color w:val="auto"/>
                <w:sz w:val="24"/>
              </w:rPr>
              <w:t>，本项目土</w:t>
            </w:r>
            <w:r>
              <w:rPr>
                <w:rFonts w:hint="eastAsia" w:ascii="Times New Roman" w:hAnsi="Times New Roman" w:eastAsia="宋体" w:cs="Times New Roman"/>
                <w:b w:val="0"/>
                <w:bCs w:val="0"/>
                <w:color w:val="auto"/>
                <w:sz w:val="24"/>
                <w:szCs w:val="22"/>
                <w:lang w:val="zh-CN" w:eastAsia="zh-CN" w:bidi="ar-SA"/>
              </w:rPr>
              <w:t>壤</w:t>
            </w:r>
            <w:r>
              <w:rPr>
                <w:rFonts w:hint="eastAsia" w:eastAsia="宋体" w:cs="Times New Roman"/>
                <w:b w:val="0"/>
                <w:bCs w:val="0"/>
                <w:color w:val="auto"/>
                <w:sz w:val="24"/>
                <w:szCs w:val="22"/>
                <w:lang w:val="zh-CN" w:eastAsia="zh-CN" w:bidi="ar-SA"/>
              </w:rPr>
              <w:t>环境影响</w:t>
            </w:r>
            <w:r>
              <w:rPr>
                <w:rFonts w:hint="eastAsia" w:ascii="Times New Roman" w:hAnsi="Times New Roman" w:eastAsia="宋体" w:cs="Times New Roman"/>
                <w:b w:val="0"/>
                <w:bCs w:val="0"/>
                <w:color w:val="auto"/>
                <w:sz w:val="24"/>
                <w:szCs w:val="22"/>
                <w:lang w:val="zh-CN" w:eastAsia="zh-CN" w:bidi="ar-SA"/>
              </w:rPr>
              <w:t>评价等级为</w:t>
            </w:r>
            <w:r>
              <w:rPr>
                <w:rFonts w:hint="eastAsia" w:cs="Times New Roman"/>
                <w:b w:val="0"/>
                <w:bCs w:val="0"/>
                <w:color w:val="auto"/>
                <w:sz w:val="24"/>
                <w:szCs w:val="22"/>
                <w:lang w:val="zh-CN" w:eastAsia="zh-CN" w:bidi="ar-SA"/>
              </w:rPr>
              <w:t>三</w:t>
            </w:r>
            <w:r>
              <w:rPr>
                <w:rFonts w:hint="eastAsia" w:ascii="Times New Roman" w:hAnsi="Times New Roman" w:eastAsia="宋体" w:cs="Times New Roman"/>
                <w:b w:val="0"/>
                <w:bCs w:val="0"/>
                <w:color w:val="auto"/>
                <w:sz w:val="24"/>
                <w:szCs w:val="22"/>
                <w:lang w:val="zh-CN" w:eastAsia="zh-CN" w:bidi="ar-SA"/>
              </w:rPr>
              <w:t>级</w:t>
            </w:r>
            <w:r>
              <w:rPr>
                <w:rFonts w:hint="eastAsia"/>
                <w:color w:val="auto"/>
                <w:sz w:val="24"/>
                <w:lang w:eastAsia="zh-CN"/>
              </w:rPr>
              <w:t>。</w:t>
            </w:r>
          </w:p>
          <w:p>
            <w:pPr>
              <w:keepNext w:val="0"/>
              <w:keepLines w:val="0"/>
              <w:suppressLineNumbers w:val="0"/>
              <w:tabs>
                <w:tab w:val="left" w:pos="720"/>
              </w:tabs>
              <w:spacing w:before="0" w:beforeAutospacing="0" w:after="0" w:afterAutospacing="0" w:line="360" w:lineRule="auto"/>
              <w:ind w:left="0" w:right="0" w:firstLine="482" w:firstLineChars="200"/>
              <w:rPr>
                <w:rFonts w:hint="default" w:eastAsia="宋体"/>
                <w:bCs/>
                <w:color w:val="auto"/>
                <w:sz w:val="24"/>
                <w:szCs w:val="20"/>
                <w:lang w:val="en-US" w:eastAsia="zh-CN"/>
              </w:rPr>
            </w:pPr>
            <w:r>
              <w:rPr>
                <w:rFonts w:hint="eastAsia"/>
                <w:b/>
                <w:bCs w:val="0"/>
                <w:color w:val="auto"/>
                <w:sz w:val="24"/>
                <w:szCs w:val="20"/>
                <w:lang w:val="en-US" w:eastAsia="zh-CN"/>
              </w:rPr>
              <w:t>6.5</w:t>
            </w:r>
            <w:r>
              <w:rPr>
                <w:rFonts w:hint="eastAsia"/>
                <w:b/>
                <w:bCs w:val="0"/>
                <w:color w:val="auto"/>
                <w:sz w:val="24"/>
                <w:szCs w:val="20"/>
              </w:rPr>
              <w:t>土</w:t>
            </w:r>
            <w:r>
              <w:rPr>
                <w:rFonts w:hint="eastAsia"/>
                <w:b/>
                <w:color w:val="auto"/>
                <w:sz w:val="24"/>
                <w:szCs w:val="20"/>
              </w:rPr>
              <w:t>壤现状环境质量</w:t>
            </w:r>
          </w:p>
          <w:p>
            <w:pPr>
              <w:pStyle w:val="29"/>
              <w:tabs>
                <w:tab w:val="left" w:pos="3377"/>
              </w:tabs>
              <w:autoSpaceDE w:val="0"/>
              <w:autoSpaceDN w:val="0"/>
              <w:spacing w:before="0" w:beforeAutospacing="0" w:after="0" w:afterAutospacing="0" w:line="360" w:lineRule="auto"/>
              <w:ind w:firstLine="480" w:firstLineChars="200"/>
              <w:jc w:val="both"/>
              <w:rPr>
                <w:rFonts w:hint="default" w:ascii="Times New Roman" w:hAnsi="Times New Roman" w:cs="Times New Roman"/>
                <w:sz w:val="24"/>
                <w:szCs w:val="24"/>
                <w:lang w:eastAsia="zh-CN"/>
              </w:rPr>
            </w:pPr>
            <w:r>
              <w:rPr>
                <w:rFonts w:hint="eastAsia"/>
                <w:bCs/>
                <w:color w:val="auto"/>
                <w:sz w:val="24"/>
                <w:szCs w:val="20"/>
              </w:rPr>
              <w:t>本</w:t>
            </w:r>
            <w:r>
              <w:rPr>
                <w:rFonts w:hint="default" w:ascii="Times New Roman" w:hAnsi="Times New Roman" w:cs="Times New Roman"/>
                <w:bCs/>
                <w:color w:val="auto"/>
                <w:sz w:val="24"/>
                <w:szCs w:val="20"/>
              </w:rPr>
              <w:t>项目土壤环境质量监</w:t>
            </w:r>
            <w:r>
              <w:rPr>
                <w:rFonts w:hint="default" w:ascii="Times New Roman" w:hAnsi="Times New Roman" w:cs="Times New Roman"/>
                <w:bCs/>
                <w:color w:val="auto"/>
                <w:sz w:val="24"/>
                <w:szCs w:val="24"/>
              </w:rPr>
              <w:t>测由</w:t>
            </w:r>
            <w:r>
              <w:rPr>
                <w:rFonts w:hint="default" w:ascii="Times New Roman" w:hAnsi="Times New Roman" w:cs="Times New Roman"/>
                <w:sz w:val="24"/>
                <w:szCs w:val="24"/>
              </w:rPr>
              <w:t>河南松筠检测技术有限公司</w:t>
            </w:r>
            <w:r>
              <w:rPr>
                <w:rFonts w:hint="default" w:ascii="Times New Roman" w:hAnsi="Times New Roman" w:cs="Times New Roman"/>
                <w:bCs/>
                <w:color w:val="auto"/>
                <w:sz w:val="24"/>
                <w:szCs w:val="24"/>
              </w:rPr>
              <w:t>进</w:t>
            </w:r>
            <w:r>
              <w:rPr>
                <w:rFonts w:hint="default" w:ascii="Times New Roman" w:hAnsi="Times New Roman" w:cs="Times New Roman"/>
                <w:bCs/>
                <w:color w:val="auto"/>
                <w:sz w:val="24"/>
                <w:szCs w:val="20"/>
              </w:rPr>
              <w:t>行，监测报告见附件。采样时间为：20</w:t>
            </w:r>
            <w:r>
              <w:rPr>
                <w:rFonts w:hint="default" w:ascii="Times New Roman" w:hAnsi="Times New Roman" w:cs="Times New Roman"/>
                <w:bCs/>
                <w:color w:val="auto"/>
                <w:sz w:val="24"/>
                <w:szCs w:val="20"/>
                <w:lang w:val="en-US" w:eastAsia="zh-CN"/>
              </w:rPr>
              <w:t>20</w:t>
            </w:r>
            <w:r>
              <w:rPr>
                <w:rFonts w:hint="default" w:ascii="Times New Roman" w:hAnsi="Times New Roman" w:cs="Times New Roman"/>
                <w:bCs/>
                <w:color w:val="auto"/>
                <w:sz w:val="24"/>
                <w:szCs w:val="20"/>
              </w:rPr>
              <w:t>年</w:t>
            </w:r>
            <w:r>
              <w:rPr>
                <w:rFonts w:hint="eastAsia" w:ascii="Times New Roman" w:hAnsi="Times New Roman" w:cs="Times New Roman"/>
                <w:bCs/>
                <w:color w:val="auto"/>
                <w:sz w:val="24"/>
                <w:szCs w:val="20"/>
                <w:lang w:val="en-US" w:eastAsia="zh-CN"/>
              </w:rPr>
              <w:t>5</w:t>
            </w:r>
            <w:r>
              <w:rPr>
                <w:rFonts w:hint="default" w:ascii="Times New Roman" w:hAnsi="Times New Roman" w:cs="Times New Roman"/>
                <w:bCs/>
                <w:color w:val="auto"/>
                <w:sz w:val="24"/>
                <w:szCs w:val="20"/>
              </w:rPr>
              <w:t>月</w:t>
            </w:r>
            <w:r>
              <w:rPr>
                <w:rFonts w:hint="default" w:ascii="Times New Roman" w:hAnsi="Times New Roman" w:cs="Times New Roman"/>
                <w:bCs/>
                <w:color w:val="auto"/>
                <w:sz w:val="24"/>
                <w:szCs w:val="20"/>
                <w:lang w:val="en-US" w:eastAsia="zh-CN"/>
              </w:rPr>
              <w:t>27</w:t>
            </w:r>
            <w:r>
              <w:rPr>
                <w:rFonts w:hint="default" w:ascii="Times New Roman" w:hAnsi="Times New Roman" w:cs="Times New Roman"/>
                <w:bCs/>
                <w:color w:val="auto"/>
                <w:sz w:val="24"/>
                <w:szCs w:val="20"/>
              </w:rPr>
              <w:t>日，监测点位3个</w:t>
            </w:r>
            <w:r>
              <w:rPr>
                <w:rFonts w:hint="default" w:ascii="Times New Roman" w:hAnsi="Times New Roman" w:cs="Times New Roman"/>
                <w:b w:val="0"/>
                <w:bCs/>
                <w:sz w:val="24"/>
                <w:lang w:val="en-US" w:eastAsia="zh-CN"/>
              </w:rPr>
              <w:t>。根据检测结果可知，</w:t>
            </w:r>
            <w:r>
              <w:rPr>
                <w:rFonts w:hint="default" w:ascii="Times New Roman" w:hAnsi="Times New Roman" w:cs="Times New Roman"/>
                <w:sz w:val="24"/>
                <w:szCs w:val="24"/>
                <w:lang w:val="en-US" w:eastAsia="zh-CN"/>
              </w:rPr>
              <w:t>各</w:t>
            </w:r>
            <w:r>
              <w:rPr>
                <w:rFonts w:hint="default" w:ascii="Times New Roman" w:hAnsi="Times New Roman" w:cs="Times New Roman"/>
                <w:sz w:val="24"/>
                <w:szCs w:val="24"/>
                <w:lang w:eastAsia="zh-CN"/>
              </w:rPr>
              <w:t>监</w:t>
            </w:r>
            <w:r>
              <w:rPr>
                <w:rFonts w:hint="default" w:ascii="Times New Roman" w:hAnsi="Times New Roman" w:cs="Times New Roman"/>
                <w:sz w:val="24"/>
                <w:szCs w:val="24"/>
              </w:rPr>
              <w:t>测点土壤中各监测因子均满足</w:t>
            </w:r>
            <w:r>
              <w:rPr>
                <w:rFonts w:hint="default" w:ascii="Times New Roman" w:hAnsi="Times New Roman" w:cs="Times New Roman"/>
                <w:bCs/>
                <w:sz w:val="24"/>
                <w:szCs w:val="24"/>
              </w:rPr>
              <w:t>《土壤环境质量 建设项目土壤污染风险管控标准（试行）》（GB36600-2018）</w:t>
            </w:r>
            <w:r>
              <w:rPr>
                <w:rFonts w:hint="default" w:ascii="Times New Roman" w:hAnsi="Times New Roman" w:cs="Times New Roman"/>
                <w:sz w:val="24"/>
                <w:szCs w:val="24"/>
              </w:rPr>
              <w:t>第二类用地筛选风险值标准</w:t>
            </w:r>
            <w:r>
              <w:rPr>
                <w:rFonts w:hint="default" w:ascii="Times New Roman" w:hAnsi="Times New Roman" w:cs="Times New Roman"/>
                <w:sz w:val="24"/>
                <w:szCs w:val="24"/>
                <w:lang w:eastAsia="zh-CN"/>
              </w:rPr>
              <w:t>。</w:t>
            </w:r>
          </w:p>
          <w:p>
            <w:pPr>
              <w:keepNext/>
              <w:keepLines/>
              <w:spacing w:before="80" w:after="80" w:line="360" w:lineRule="auto"/>
              <w:ind w:firstLine="472" w:firstLineChars="196"/>
              <w:outlineLvl w:val="2"/>
              <w:rPr>
                <w:rFonts w:hint="eastAsia"/>
                <w:b/>
                <w:bCs/>
                <w:color w:val="auto"/>
                <w:sz w:val="24"/>
                <w:szCs w:val="24"/>
                <w:lang w:eastAsia="zh-CN"/>
              </w:rPr>
            </w:pPr>
            <w:r>
              <w:rPr>
                <w:rFonts w:hint="eastAsia"/>
                <w:b/>
                <w:bCs/>
                <w:color w:val="auto"/>
                <w:sz w:val="24"/>
                <w:szCs w:val="24"/>
                <w:lang w:val="en-US" w:eastAsia="zh-CN"/>
              </w:rPr>
              <w:t>6.6</w:t>
            </w:r>
            <w:r>
              <w:rPr>
                <w:rFonts w:hint="eastAsia"/>
                <w:b/>
                <w:bCs/>
                <w:color w:val="auto"/>
                <w:sz w:val="24"/>
                <w:szCs w:val="24"/>
              </w:rPr>
              <w:t>土壤</w:t>
            </w:r>
            <w:r>
              <w:rPr>
                <w:rFonts w:hint="eastAsia"/>
                <w:b/>
                <w:bCs/>
                <w:color w:val="auto"/>
                <w:sz w:val="24"/>
                <w:szCs w:val="24"/>
                <w:lang w:eastAsia="zh-CN"/>
              </w:rPr>
              <w:t>污染影响识别</w:t>
            </w:r>
          </w:p>
          <w:p>
            <w:pPr>
              <w:pStyle w:val="118"/>
              <w:keepNext/>
              <w:keepLines/>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lang w:val="en-US" w:eastAsia="zh-CN"/>
              </w:rPr>
              <w:t>6.6.1</w:t>
            </w:r>
            <w:r>
              <w:rPr>
                <w:color w:val="auto"/>
                <w:sz w:val="24"/>
                <w:szCs w:val="24"/>
              </w:rPr>
              <w:t>可能造成土壤污染的途径</w:t>
            </w:r>
          </w:p>
          <w:p>
            <w:pPr>
              <w:spacing w:line="360" w:lineRule="auto"/>
              <w:ind w:firstLine="480" w:firstLineChars="200"/>
              <w:rPr>
                <w:rFonts w:hint="eastAsia"/>
                <w:color w:val="auto"/>
                <w:sz w:val="24"/>
                <w:szCs w:val="24"/>
              </w:rPr>
            </w:pPr>
            <w:r>
              <w:rPr>
                <w:rFonts w:hint="default"/>
                <w:color w:val="auto"/>
                <w:sz w:val="24"/>
                <w:szCs w:val="24"/>
              </w:rPr>
              <w:t>土壤是一个开放系统，土壤与水、空气、生物、岩石等环境要素之间存在物质交换，污染物进入环境后正是通过与其它环境要素间的物质交换造成土壤污染。通常造成土壤污染的途径有：</w:t>
            </w:r>
          </w:p>
          <w:p>
            <w:pPr>
              <w:spacing w:line="360" w:lineRule="auto"/>
              <w:ind w:firstLine="480" w:firstLineChars="200"/>
              <w:rPr>
                <w:rFonts w:hint="eastAsia"/>
                <w:color w:val="auto"/>
                <w:sz w:val="24"/>
                <w:szCs w:val="24"/>
              </w:rPr>
            </w:pPr>
            <w:r>
              <w:rPr>
                <w:rFonts w:hint="default"/>
                <w:color w:val="auto"/>
                <w:sz w:val="24"/>
                <w:szCs w:val="24"/>
              </w:rPr>
              <w:t>①污染物随大气传输而迁移、扩散；</w:t>
            </w:r>
          </w:p>
          <w:p>
            <w:pPr>
              <w:spacing w:line="360" w:lineRule="auto"/>
              <w:ind w:firstLine="480" w:firstLineChars="200"/>
              <w:rPr>
                <w:rFonts w:hint="eastAsia"/>
                <w:color w:val="auto"/>
                <w:sz w:val="24"/>
                <w:szCs w:val="24"/>
              </w:rPr>
            </w:pPr>
            <w:r>
              <w:rPr>
                <w:rFonts w:hint="default"/>
                <w:color w:val="auto"/>
                <w:sz w:val="24"/>
                <w:szCs w:val="24"/>
              </w:rPr>
              <w:t>②污染物随地表水流动、补给、渗入而迁移；</w:t>
            </w:r>
          </w:p>
          <w:p>
            <w:pPr>
              <w:spacing w:line="360" w:lineRule="auto"/>
              <w:ind w:firstLine="480" w:firstLineChars="200"/>
              <w:rPr>
                <w:rFonts w:hint="eastAsia"/>
                <w:color w:val="auto"/>
                <w:sz w:val="24"/>
                <w:szCs w:val="24"/>
              </w:rPr>
            </w:pPr>
            <w:r>
              <w:rPr>
                <w:rFonts w:hint="default"/>
                <w:color w:val="auto"/>
                <w:sz w:val="24"/>
                <w:szCs w:val="24"/>
              </w:rPr>
              <w:t>③污染物通过灌溉在土壤中积累；</w:t>
            </w:r>
          </w:p>
          <w:p>
            <w:pPr>
              <w:spacing w:line="360" w:lineRule="auto"/>
              <w:ind w:firstLine="480" w:firstLineChars="200"/>
              <w:rPr>
                <w:rFonts w:hint="eastAsia"/>
                <w:color w:val="auto"/>
                <w:sz w:val="24"/>
                <w:szCs w:val="24"/>
              </w:rPr>
            </w:pPr>
            <w:r>
              <w:rPr>
                <w:rFonts w:hint="default"/>
                <w:color w:val="auto"/>
                <w:sz w:val="24"/>
                <w:szCs w:val="24"/>
              </w:rPr>
              <w:t>④固体废弃物受自然降水时淋溶作用，转移或渗入土壤；</w:t>
            </w:r>
          </w:p>
          <w:p>
            <w:pPr>
              <w:spacing w:line="360" w:lineRule="auto"/>
              <w:ind w:firstLine="480" w:firstLineChars="200"/>
              <w:rPr>
                <w:rFonts w:hint="default"/>
                <w:color w:val="auto"/>
                <w:sz w:val="24"/>
                <w:szCs w:val="24"/>
              </w:rPr>
            </w:pPr>
            <w:r>
              <w:rPr>
                <w:rFonts w:hint="default"/>
                <w:color w:val="auto"/>
                <w:sz w:val="24"/>
                <w:szCs w:val="24"/>
              </w:rPr>
              <w:t>⑤固体废弃物受风力作用产生转移；</w:t>
            </w:r>
          </w:p>
          <w:p>
            <w:pPr>
              <w:pStyle w:val="118"/>
              <w:keepNext/>
              <w:keepLines/>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rPr>
            </w:pPr>
            <w:r>
              <w:rPr>
                <w:rFonts w:hint="eastAsia"/>
                <w:color w:val="auto"/>
                <w:sz w:val="24"/>
                <w:szCs w:val="24"/>
              </w:rPr>
              <w:t>6.</w:t>
            </w:r>
            <w:r>
              <w:rPr>
                <w:rFonts w:hint="eastAsia"/>
                <w:color w:val="auto"/>
                <w:sz w:val="24"/>
                <w:szCs w:val="24"/>
                <w:lang w:val="en-US" w:eastAsia="zh-CN"/>
              </w:rPr>
              <w:t>6</w:t>
            </w:r>
            <w:r>
              <w:rPr>
                <w:rFonts w:hint="eastAsia"/>
                <w:color w:val="auto"/>
                <w:sz w:val="24"/>
                <w:szCs w:val="24"/>
              </w:rPr>
              <w:t>.2</w:t>
            </w:r>
            <w:r>
              <w:rPr>
                <w:color w:val="auto"/>
                <w:sz w:val="24"/>
                <w:szCs w:val="24"/>
              </w:rPr>
              <w:t>拟建项目土壤污染途径分析</w:t>
            </w:r>
          </w:p>
          <w:p>
            <w:pPr>
              <w:spacing w:line="360" w:lineRule="auto"/>
              <w:ind w:firstLine="480" w:firstLineChars="200"/>
              <w:rPr>
                <w:rFonts w:hint="eastAsia"/>
                <w:color w:val="auto"/>
                <w:sz w:val="24"/>
                <w:szCs w:val="24"/>
                <w:lang w:eastAsia="zh-CN"/>
              </w:rPr>
            </w:pPr>
            <w:r>
              <w:rPr>
                <w:rFonts w:hint="default"/>
                <w:color w:val="auto"/>
                <w:sz w:val="24"/>
                <w:szCs w:val="24"/>
              </w:rPr>
              <w:t>拟建工程的生产过程中产生的废物，有可能进入环境造成土壤污染的途径</w:t>
            </w:r>
            <w:r>
              <w:rPr>
                <w:rFonts w:hint="eastAsia"/>
                <w:color w:val="auto"/>
                <w:sz w:val="24"/>
                <w:szCs w:val="24"/>
                <w:lang w:eastAsia="zh-CN"/>
              </w:rPr>
              <w:t>为：</w:t>
            </w:r>
          </w:p>
          <w:p>
            <w:pPr>
              <w:spacing w:line="360" w:lineRule="auto"/>
              <w:ind w:firstLine="480" w:firstLineChars="200"/>
              <w:rPr>
                <w:rFonts w:hint="default"/>
                <w:color w:val="auto"/>
                <w:sz w:val="24"/>
                <w:szCs w:val="24"/>
              </w:rPr>
            </w:pPr>
            <w:r>
              <w:rPr>
                <w:rFonts w:hint="default"/>
                <w:color w:val="auto"/>
                <w:sz w:val="24"/>
                <w:szCs w:val="24"/>
              </w:rPr>
              <w:t>①</w:t>
            </w:r>
            <w:r>
              <w:rPr>
                <w:rFonts w:hint="eastAsia"/>
                <w:color w:val="auto"/>
                <w:sz w:val="24"/>
                <w:szCs w:val="24"/>
                <w:lang w:eastAsia="zh-CN"/>
              </w:rPr>
              <w:t>生产过程中</w:t>
            </w:r>
            <w:r>
              <w:rPr>
                <w:color w:val="auto"/>
                <w:sz w:val="24"/>
                <w:szCs w:val="24"/>
              </w:rPr>
              <w:t>产生废气</w:t>
            </w:r>
            <w:r>
              <w:rPr>
                <w:rFonts w:hint="eastAsia"/>
                <w:color w:val="auto"/>
                <w:sz w:val="24"/>
                <w:szCs w:val="24"/>
                <w:lang w:eastAsia="zh-CN"/>
              </w:rPr>
              <w:t>通过大气沉降进入土壤</w:t>
            </w:r>
            <w:r>
              <w:rPr>
                <w:rFonts w:hint="default"/>
                <w:color w:val="auto"/>
                <w:sz w:val="24"/>
                <w:szCs w:val="24"/>
              </w:rPr>
              <w:t>；</w:t>
            </w:r>
          </w:p>
          <w:p>
            <w:pPr>
              <w:pStyle w:val="3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color w:val="auto"/>
                <w:sz w:val="24"/>
                <w:szCs w:val="24"/>
                <w:lang w:eastAsia="zh-CN"/>
              </w:rPr>
            </w:pPr>
            <w:r>
              <w:rPr>
                <w:rFonts w:hint="default"/>
                <w:color w:val="auto"/>
                <w:sz w:val="24"/>
                <w:szCs w:val="24"/>
              </w:rPr>
              <w:t>②</w:t>
            </w:r>
            <w:r>
              <w:rPr>
                <w:rFonts w:hint="eastAsia"/>
                <w:color w:val="auto"/>
                <w:sz w:val="24"/>
                <w:szCs w:val="24"/>
                <w:lang w:eastAsia="zh-CN"/>
              </w:rPr>
              <w:t>化粪池废水、洗车废水通过垂直入渗污染土壤；</w:t>
            </w:r>
          </w:p>
          <w:p>
            <w:pPr>
              <w:pStyle w:val="38"/>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default"/>
                <w:color w:val="auto"/>
                <w:sz w:val="24"/>
                <w:szCs w:val="24"/>
                <w:lang w:eastAsia="zh-CN"/>
              </w:rPr>
            </w:pPr>
            <w:r>
              <w:rPr>
                <w:rFonts w:hint="default"/>
                <w:color w:val="auto"/>
                <w:sz w:val="24"/>
                <w:szCs w:val="24"/>
              </w:rPr>
              <w:t>拟建工程排放的废气是工程可能引起土壤污染的主要途径，</w:t>
            </w:r>
            <w:r>
              <w:rPr>
                <w:rFonts w:hint="eastAsia"/>
                <w:color w:val="auto"/>
                <w:sz w:val="24"/>
                <w:szCs w:val="24"/>
                <w:lang w:eastAsia="zh-CN"/>
              </w:rPr>
              <w:t>拟建工程废物污染物主要为颗粒物。</w:t>
            </w:r>
            <w:r>
              <w:rPr>
                <w:rFonts w:hint="default"/>
                <w:color w:val="auto"/>
                <w:sz w:val="24"/>
                <w:szCs w:val="24"/>
              </w:rPr>
              <w:t>废气进入空气后，随大气扩散、迁移，废气中的</w:t>
            </w:r>
            <w:r>
              <w:rPr>
                <w:rFonts w:hint="eastAsia"/>
                <w:color w:val="auto"/>
                <w:sz w:val="24"/>
                <w:szCs w:val="24"/>
                <w:lang w:eastAsia="zh-CN"/>
              </w:rPr>
              <w:t>污染物</w:t>
            </w:r>
            <w:r>
              <w:rPr>
                <w:rFonts w:hint="default"/>
                <w:color w:val="auto"/>
                <w:sz w:val="24"/>
                <w:szCs w:val="24"/>
              </w:rPr>
              <w:t>通过自然降水和自然沉降进入土壤。本项目在生产过程中产生的</w:t>
            </w:r>
            <w:r>
              <w:rPr>
                <w:rFonts w:hint="eastAsia"/>
                <w:color w:val="auto"/>
                <w:sz w:val="24"/>
                <w:szCs w:val="24"/>
                <w:lang w:eastAsia="zh-CN"/>
              </w:rPr>
              <w:t>废气</w:t>
            </w:r>
            <w:r>
              <w:rPr>
                <w:rFonts w:hint="default"/>
                <w:color w:val="auto"/>
                <w:sz w:val="24"/>
                <w:szCs w:val="24"/>
              </w:rPr>
              <w:t>经处理后排放，仅有</w:t>
            </w:r>
            <w:r>
              <w:rPr>
                <w:rFonts w:hint="eastAsia"/>
                <w:color w:val="auto"/>
                <w:sz w:val="24"/>
                <w:szCs w:val="24"/>
                <w:lang w:eastAsia="zh-CN"/>
              </w:rPr>
              <w:t>少量污染物</w:t>
            </w:r>
            <w:r>
              <w:rPr>
                <w:rFonts w:hint="default"/>
                <w:color w:val="auto"/>
                <w:sz w:val="24"/>
                <w:szCs w:val="24"/>
              </w:rPr>
              <w:t>散落地面，再经地面渗</w:t>
            </w:r>
            <w:r>
              <w:rPr>
                <w:rFonts w:hint="default"/>
                <w:color w:val="auto"/>
                <w:sz w:val="24"/>
                <w:szCs w:val="24"/>
                <w:lang w:eastAsia="zh-CN"/>
              </w:rPr>
              <w:t>入土壤中。</w:t>
            </w:r>
          </w:p>
          <w:p>
            <w:pPr>
              <w:spacing w:line="360" w:lineRule="auto"/>
              <w:ind w:firstLine="480" w:firstLineChars="200"/>
              <w:rPr>
                <w:rFonts w:hint="default"/>
                <w:color w:val="auto"/>
                <w:sz w:val="24"/>
                <w:szCs w:val="24"/>
              </w:rPr>
            </w:pPr>
            <w:r>
              <w:rPr>
                <w:rFonts w:hint="default"/>
                <w:color w:val="auto"/>
                <w:sz w:val="24"/>
                <w:szCs w:val="24"/>
                <w:lang w:eastAsia="zh-CN"/>
              </w:rPr>
              <w:t>根据工程分析，</w:t>
            </w:r>
            <w:r>
              <w:rPr>
                <w:rFonts w:hint="eastAsia"/>
                <w:color w:val="auto"/>
                <w:sz w:val="24"/>
                <w:szCs w:val="24"/>
                <w:lang w:eastAsia="zh-CN"/>
              </w:rPr>
              <w:t>本项目生活污水经三格式化粪池处理后，</w:t>
            </w:r>
            <w:r>
              <w:rPr>
                <w:rFonts w:hint="eastAsia"/>
                <w:bCs/>
                <w:sz w:val="24"/>
                <w:szCs w:val="24"/>
              </w:rPr>
              <w:t>由专业服务队伍采用专业抽粪车辆定期对粪水、粪渣进行收集、有效利用和无害化处理</w:t>
            </w:r>
            <w:r>
              <w:rPr>
                <w:rFonts w:hint="default"/>
                <w:color w:val="auto"/>
                <w:sz w:val="24"/>
                <w:szCs w:val="24"/>
              </w:rPr>
              <w:t>。</w:t>
            </w:r>
            <w:r>
              <w:rPr>
                <w:rFonts w:hint="eastAsia"/>
                <w:color w:val="auto"/>
                <w:sz w:val="24"/>
                <w:szCs w:val="24"/>
                <w:lang w:eastAsia="zh-CN"/>
              </w:rPr>
              <w:t>若化粪池</w:t>
            </w:r>
            <w:r>
              <w:rPr>
                <w:rFonts w:hint="eastAsia"/>
                <w:color w:val="auto"/>
                <w:sz w:val="24"/>
                <w:szCs w:val="24"/>
              </w:rPr>
              <w:t>发生渗漏，污水将渗入地下从而污染周边环境土壤。</w:t>
            </w:r>
            <w:r>
              <w:rPr>
                <w:rFonts w:hint="eastAsia"/>
                <w:color w:val="auto"/>
                <w:sz w:val="24"/>
                <w:szCs w:val="24"/>
                <w:lang w:eastAsia="zh-CN"/>
              </w:rPr>
              <w:t>厂区现有化粪池为一体三格式化粪池</w:t>
            </w:r>
            <w:r>
              <w:rPr>
                <w:rFonts w:hint="eastAsia"/>
                <w:color w:val="auto"/>
                <w:sz w:val="24"/>
                <w:szCs w:val="24"/>
              </w:rPr>
              <w:t>，</w:t>
            </w:r>
            <w:r>
              <w:rPr>
                <w:rFonts w:hint="eastAsia"/>
                <w:color w:val="auto"/>
                <w:sz w:val="24"/>
                <w:szCs w:val="24"/>
                <w:lang w:eastAsia="zh-CN"/>
              </w:rPr>
              <w:t>采用</w:t>
            </w:r>
            <w:r>
              <w:rPr>
                <w:rFonts w:hint="eastAsia"/>
                <w:color w:val="auto"/>
                <w:sz w:val="24"/>
                <w:szCs w:val="24"/>
                <w:lang w:val="en-US" w:eastAsia="zh-CN"/>
              </w:rPr>
              <w:t>PE、PE为原辅材料注塑而成，不会发生泄漏，</w:t>
            </w:r>
            <w:r>
              <w:rPr>
                <w:rFonts w:hint="default"/>
                <w:color w:val="auto"/>
                <w:sz w:val="24"/>
                <w:szCs w:val="24"/>
              </w:rPr>
              <w:t>切断废水进入土壤环境的途径。</w:t>
            </w:r>
            <w:r>
              <w:rPr>
                <w:rFonts w:hint="eastAsia"/>
                <w:color w:val="auto"/>
                <w:sz w:val="24"/>
                <w:szCs w:val="24"/>
                <w:lang w:eastAsia="zh-CN"/>
              </w:rPr>
              <w:t>洗车废水水质较简单，主要污染物为</w:t>
            </w:r>
            <w:r>
              <w:rPr>
                <w:rFonts w:hint="eastAsia"/>
                <w:color w:val="auto"/>
                <w:sz w:val="24"/>
                <w:szCs w:val="24"/>
                <w:lang w:val="en-US" w:eastAsia="zh-CN"/>
              </w:rPr>
              <w:t>SS，三级沉淀池</w:t>
            </w:r>
            <w:r>
              <w:rPr>
                <w:rFonts w:hint="eastAsia"/>
                <w:color w:val="auto"/>
                <w:sz w:val="24"/>
                <w:szCs w:val="24"/>
              </w:rPr>
              <w:t>根</w:t>
            </w:r>
            <w:r>
              <w:rPr>
                <w:color w:val="auto"/>
                <w:sz w:val="24"/>
                <w:szCs w:val="24"/>
              </w:rPr>
              <w:t>据</w:t>
            </w:r>
            <w:r>
              <w:rPr>
                <w:rFonts w:hint="eastAsia"/>
                <w:color w:val="auto"/>
                <w:sz w:val="24"/>
                <w:szCs w:val="24"/>
              </w:rPr>
              <w:t>《</w:t>
            </w:r>
            <w:r>
              <w:rPr>
                <w:color w:val="auto"/>
                <w:sz w:val="24"/>
                <w:szCs w:val="24"/>
              </w:rPr>
              <w:t>环境影响评价技术导则 地下水环境》（HJ610-2016）要求</w:t>
            </w:r>
            <w:r>
              <w:rPr>
                <w:rFonts w:hint="eastAsia"/>
                <w:color w:val="auto"/>
                <w:sz w:val="24"/>
                <w:szCs w:val="24"/>
              </w:rPr>
              <w:t>，采取</w:t>
            </w:r>
            <w:r>
              <w:rPr>
                <w:rFonts w:hint="eastAsia"/>
                <w:color w:val="auto"/>
                <w:sz w:val="24"/>
                <w:szCs w:val="24"/>
                <w:lang w:eastAsia="zh-CN"/>
              </w:rPr>
              <w:t>一般</w:t>
            </w:r>
            <w:r>
              <w:rPr>
                <w:rFonts w:hint="eastAsia"/>
                <w:color w:val="auto"/>
                <w:sz w:val="24"/>
                <w:szCs w:val="24"/>
              </w:rPr>
              <w:t>防渗措施，</w:t>
            </w:r>
            <w:r>
              <w:rPr>
                <w:rFonts w:hint="default"/>
                <w:color w:val="auto"/>
                <w:sz w:val="24"/>
                <w:szCs w:val="24"/>
              </w:rPr>
              <w:t>切断废水进入土壤环境的途径。</w:t>
            </w:r>
          </w:p>
          <w:p>
            <w:pPr>
              <w:spacing w:line="360" w:lineRule="auto"/>
              <w:ind w:firstLine="480" w:firstLineChars="200"/>
              <w:rPr>
                <w:rFonts w:hint="default"/>
                <w:color w:val="auto"/>
                <w:sz w:val="24"/>
                <w:szCs w:val="24"/>
              </w:rPr>
            </w:pPr>
            <w:r>
              <w:rPr>
                <w:rFonts w:hint="default"/>
                <w:color w:val="auto"/>
                <w:sz w:val="24"/>
                <w:szCs w:val="24"/>
              </w:rPr>
              <w:t>综上所述，本项目土壤环境影响类型与影响途径见表</w:t>
            </w:r>
            <w:r>
              <w:rPr>
                <w:rFonts w:hint="eastAsia"/>
                <w:color w:val="auto"/>
                <w:sz w:val="24"/>
                <w:szCs w:val="24"/>
                <w:lang w:val="en-US" w:eastAsia="zh-CN"/>
              </w:rPr>
              <w:t>29</w:t>
            </w:r>
            <w:r>
              <w:rPr>
                <w:rFonts w:hint="default"/>
                <w:color w:val="auto"/>
                <w:sz w:val="24"/>
                <w:szCs w:val="24"/>
              </w:rPr>
              <w:t>，土壤环境影响源及影响因子识别表见</w:t>
            </w:r>
            <w:r>
              <w:rPr>
                <w:rFonts w:hint="eastAsia"/>
                <w:color w:val="auto"/>
                <w:sz w:val="24"/>
                <w:szCs w:val="24"/>
                <w:lang w:val="en-US" w:eastAsia="zh-CN"/>
              </w:rPr>
              <w:t>30</w:t>
            </w:r>
            <w:r>
              <w:rPr>
                <w:rFonts w:hint="default"/>
                <w:color w:val="auto"/>
                <w:sz w:val="24"/>
                <w:szCs w:val="24"/>
              </w:rPr>
              <w:t>。</w:t>
            </w:r>
          </w:p>
          <w:p>
            <w:pPr>
              <w:autoSpaceDE w:val="0"/>
              <w:autoSpaceDN w:val="0"/>
              <w:spacing w:line="240" w:lineRule="auto"/>
              <w:jc w:val="center"/>
              <w:rPr>
                <w:rFonts w:hint="eastAsia" w:ascii="黑体" w:hAnsi="黑体" w:eastAsia="黑体" w:cs="黑体"/>
                <w:b w:val="0"/>
                <w:bCs/>
                <w:color w:val="auto"/>
                <w:spacing w:val="-5"/>
                <w:sz w:val="24"/>
              </w:rPr>
            </w:pPr>
            <w:r>
              <w:rPr>
                <w:rFonts w:hint="eastAsia" w:ascii="黑体" w:hAnsi="黑体" w:eastAsia="黑体" w:cs="黑体"/>
                <w:b w:val="0"/>
                <w:bCs/>
                <w:color w:val="auto"/>
                <w:spacing w:val="-5"/>
                <w:sz w:val="24"/>
              </w:rPr>
              <w:t>表</w:t>
            </w:r>
            <w:r>
              <w:rPr>
                <w:rFonts w:hint="eastAsia" w:ascii="黑体" w:hAnsi="黑体" w:eastAsia="黑体" w:cs="黑体"/>
                <w:b w:val="0"/>
                <w:bCs/>
                <w:color w:val="auto"/>
                <w:spacing w:val="-5"/>
                <w:sz w:val="24"/>
                <w:lang w:val="en-US" w:eastAsia="zh-CN"/>
              </w:rPr>
              <w:t>29</w:t>
            </w:r>
            <w:r>
              <w:rPr>
                <w:rFonts w:hint="eastAsia" w:ascii="黑体" w:hAnsi="黑体" w:eastAsia="黑体" w:cs="黑体"/>
                <w:b w:val="0"/>
                <w:bCs/>
                <w:color w:val="auto"/>
                <w:spacing w:val="-5"/>
                <w:sz w:val="24"/>
              </w:rPr>
              <w:t xml:space="preserve">  建设项目土壤环境影响类型与影响途径表</w:t>
            </w:r>
          </w:p>
          <w:tbl>
            <w:tblPr>
              <w:tblStyle w:val="31"/>
              <w:tblW w:w="9041" w:type="dxa"/>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503"/>
              <w:gridCol w:w="1253"/>
              <w:gridCol w:w="1252"/>
              <w:gridCol w:w="1253"/>
              <w:gridCol w:w="758"/>
              <w:gridCol w:w="756"/>
              <w:gridCol w:w="756"/>
              <w:gridCol w:w="756"/>
              <w:gridCol w:w="75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503" w:type="dxa"/>
                  <w:vMerge w:val="restart"/>
                  <w:tcBorders>
                    <w:tl2br w:val="nil"/>
                    <w:tr2bl w:val="nil"/>
                  </w:tcBorders>
                  <w:noWrap w:val="0"/>
                  <w:vAlign w:val="center"/>
                </w:tcPr>
                <w:p>
                  <w:pPr>
                    <w:jc w:val="center"/>
                    <w:rPr>
                      <w:rFonts w:hint="default"/>
                      <w:color w:val="auto"/>
                      <w:sz w:val="21"/>
                      <w:szCs w:val="21"/>
                    </w:rPr>
                  </w:pPr>
                  <w:r>
                    <w:rPr>
                      <w:rFonts w:hint="default"/>
                      <w:color w:val="auto"/>
                      <w:sz w:val="21"/>
                      <w:szCs w:val="21"/>
                    </w:rPr>
                    <w:t>不同时段</w:t>
                  </w:r>
                </w:p>
              </w:tc>
              <w:tc>
                <w:tcPr>
                  <w:tcW w:w="4516" w:type="dxa"/>
                  <w:gridSpan w:val="4"/>
                  <w:tcBorders>
                    <w:tl2br w:val="nil"/>
                    <w:tr2bl w:val="nil"/>
                  </w:tcBorders>
                  <w:noWrap w:val="0"/>
                  <w:vAlign w:val="center"/>
                </w:tcPr>
                <w:p>
                  <w:pPr>
                    <w:jc w:val="center"/>
                    <w:rPr>
                      <w:rFonts w:hint="default"/>
                      <w:color w:val="auto"/>
                      <w:sz w:val="21"/>
                      <w:szCs w:val="21"/>
                    </w:rPr>
                  </w:pPr>
                  <w:r>
                    <w:rPr>
                      <w:rFonts w:hint="default"/>
                      <w:color w:val="auto"/>
                      <w:sz w:val="21"/>
                      <w:szCs w:val="21"/>
                    </w:rPr>
                    <w:t>污染影响型</w:t>
                  </w:r>
                </w:p>
              </w:tc>
              <w:tc>
                <w:tcPr>
                  <w:tcW w:w="3022" w:type="dxa"/>
                  <w:gridSpan w:val="4"/>
                  <w:tcBorders>
                    <w:tl2br w:val="nil"/>
                    <w:tr2bl w:val="nil"/>
                  </w:tcBorders>
                  <w:noWrap w:val="0"/>
                  <w:vAlign w:val="center"/>
                </w:tcPr>
                <w:p>
                  <w:pPr>
                    <w:jc w:val="center"/>
                    <w:rPr>
                      <w:rFonts w:hint="default"/>
                      <w:color w:val="auto"/>
                      <w:sz w:val="21"/>
                      <w:szCs w:val="21"/>
                    </w:rPr>
                  </w:pPr>
                  <w:r>
                    <w:rPr>
                      <w:rFonts w:hint="default"/>
                      <w:color w:val="auto"/>
                      <w:sz w:val="21"/>
                      <w:szCs w:val="21"/>
                    </w:rPr>
                    <w:t>生态影响型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503" w:type="dxa"/>
                  <w:vMerge w:val="continue"/>
                  <w:tcBorders>
                    <w:tl2br w:val="nil"/>
                    <w:tr2bl w:val="nil"/>
                  </w:tcBorders>
                  <w:noWrap w:val="0"/>
                  <w:vAlign w:val="center"/>
                </w:tcPr>
                <w:p>
                  <w:pPr>
                    <w:jc w:val="center"/>
                    <w:rPr>
                      <w:rFonts w:hint="default"/>
                      <w:color w:val="auto"/>
                      <w:sz w:val="21"/>
                      <w:szCs w:val="21"/>
                    </w:rPr>
                  </w:pPr>
                </w:p>
              </w:tc>
              <w:tc>
                <w:tcPr>
                  <w:tcW w:w="1253" w:type="dxa"/>
                  <w:tcBorders>
                    <w:tl2br w:val="nil"/>
                    <w:tr2bl w:val="nil"/>
                  </w:tcBorders>
                  <w:noWrap w:val="0"/>
                  <w:vAlign w:val="center"/>
                </w:tcPr>
                <w:p>
                  <w:pPr>
                    <w:jc w:val="center"/>
                    <w:rPr>
                      <w:rFonts w:hint="default"/>
                      <w:color w:val="auto"/>
                      <w:sz w:val="21"/>
                      <w:szCs w:val="21"/>
                    </w:rPr>
                  </w:pPr>
                  <w:r>
                    <w:rPr>
                      <w:rFonts w:hint="default"/>
                      <w:color w:val="auto"/>
                      <w:sz w:val="21"/>
                      <w:szCs w:val="21"/>
                    </w:rPr>
                    <w:t>大气沉降</w:t>
                  </w:r>
                </w:p>
              </w:tc>
              <w:tc>
                <w:tcPr>
                  <w:tcW w:w="1252" w:type="dxa"/>
                  <w:tcBorders>
                    <w:tl2br w:val="nil"/>
                    <w:tr2bl w:val="nil"/>
                  </w:tcBorders>
                  <w:noWrap w:val="0"/>
                  <w:vAlign w:val="center"/>
                </w:tcPr>
                <w:p>
                  <w:pPr>
                    <w:jc w:val="center"/>
                    <w:rPr>
                      <w:rFonts w:hint="default"/>
                      <w:color w:val="auto"/>
                      <w:sz w:val="21"/>
                      <w:szCs w:val="21"/>
                    </w:rPr>
                  </w:pPr>
                  <w:r>
                    <w:rPr>
                      <w:rFonts w:hint="default"/>
                      <w:color w:val="auto"/>
                      <w:sz w:val="21"/>
                      <w:szCs w:val="21"/>
                    </w:rPr>
                    <w:t>地面漫流</w:t>
                  </w:r>
                </w:p>
              </w:tc>
              <w:tc>
                <w:tcPr>
                  <w:tcW w:w="1253" w:type="dxa"/>
                  <w:tcBorders>
                    <w:tl2br w:val="nil"/>
                    <w:tr2bl w:val="nil"/>
                  </w:tcBorders>
                  <w:noWrap w:val="0"/>
                  <w:vAlign w:val="center"/>
                </w:tcPr>
                <w:p>
                  <w:pPr>
                    <w:jc w:val="center"/>
                    <w:rPr>
                      <w:rFonts w:hint="default"/>
                      <w:color w:val="auto"/>
                      <w:sz w:val="21"/>
                      <w:szCs w:val="21"/>
                    </w:rPr>
                  </w:pPr>
                  <w:r>
                    <w:rPr>
                      <w:rFonts w:hint="default"/>
                      <w:color w:val="auto"/>
                      <w:sz w:val="21"/>
                      <w:szCs w:val="21"/>
                    </w:rPr>
                    <w:t>垂直入渗</w:t>
                  </w:r>
                </w:p>
              </w:tc>
              <w:tc>
                <w:tcPr>
                  <w:tcW w:w="758" w:type="dxa"/>
                  <w:tcBorders>
                    <w:tl2br w:val="nil"/>
                    <w:tr2bl w:val="nil"/>
                  </w:tcBorders>
                  <w:noWrap w:val="0"/>
                  <w:vAlign w:val="center"/>
                </w:tcPr>
                <w:p>
                  <w:pPr>
                    <w:jc w:val="center"/>
                    <w:rPr>
                      <w:rFonts w:hint="default"/>
                      <w:color w:val="auto"/>
                      <w:sz w:val="21"/>
                      <w:szCs w:val="21"/>
                    </w:rPr>
                  </w:pPr>
                  <w:r>
                    <w:rPr>
                      <w:rFonts w:hint="default"/>
                      <w:color w:val="auto"/>
                      <w:sz w:val="21"/>
                      <w:szCs w:val="21"/>
                    </w:rPr>
                    <w:t>其他</w:t>
                  </w:r>
                </w:p>
              </w:tc>
              <w:tc>
                <w:tcPr>
                  <w:tcW w:w="756" w:type="dxa"/>
                  <w:tcBorders>
                    <w:tl2br w:val="nil"/>
                    <w:tr2bl w:val="nil"/>
                  </w:tcBorders>
                  <w:noWrap w:val="0"/>
                  <w:vAlign w:val="center"/>
                </w:tcPr>
                <w:p>
                  <w:pPr>
                    <w:jc w:val="center"/>
                    <w:rPr>
                      <w:rFonts w:hint="default"/>
                      <w:color w:val="auto"/>
                      <w:sz w:val="21"/>
                      <w:szCs w:val="21"/>
                    </w:rPr>
                  </w:pPr>
                  <w:r>
                    <w:rPr>
                      <w:rFonts w:hint="default"/>
                      <w:color w:val="auto"/>
                      <w:sz w:val="21"/>
                      <w:szCs w:val="21"/>
                    </w:rPr>
                    <w:t>盐化</w:t>
                  </w:r>
                </w:p>
              </w:tc>
              <w:tc>
                <w:tcPr>
                  <w:tcW w:w="756" w:type="dxa"/>
                  <w:tcBorders>
                    <w:tl2br w:val="nil"/>
                    <w:tr2bl w:val="nil"/>
                  </w:tcBorders>
                  <w:noWrap w:val="0"/>
                  <w:vAlign w:val="center"/>
                </w:tcPr>
                <w:p>
                  <w:pPr>
                    <w:jc w:val="center"/>
                    <w:rPr>
                      <w:rFonts w:hint="default"/>
                      <w:color w:val="auto"/>
                      <w:sz w:val="21"/>
                      <w:szCs w:val="21"/>
                    </w:rPr>
                  </w:pPr>
                  <w:r>
                    <w:rPr>
                      <w:rFonts w:hint="default"/>
                      <w:color w:val="auto"/>
                      <w:sz w:val="21"/>
                      <w:szCs w:val="21"/>
                    </w:rPr>
                    <w:t>碱化</w:t>
                  </w:r>
                </w:p>
              </w:tc>
              <w:tc>
                <w:tcPr>
                  <w:tcW w:w="756" w:type="dxa"/>
                  <w:tcBorders>
                    <w:tl2br w:val="nil"/>
                    <w:tr2bl w:val="nil"/>
                  </w:tcBorders>
                  <w:noWrap w:val="0"/>
                  <w:vAlign w:val="center"/>
                </w:tcPr>
                <w:p>
                  <w:pPr>
                    <w:jc w:val="center"/>
                    <w:rPr>
                      <w:rFonts w:hint="default"/>
                      <w:color w:val="auto"/>
                      <w:sz w:val="21"/>
                      <w:szCs w:val="21"/>
                    </w:rPr>
                  </w:pPr>
                  <w:r>
                    <w:rPr>
                      <w:rFonts w:hint="default"/>
                      <w:color w:val="auto"/>
                      <w:sz w:val="21"/>
                      <w:szCs w:val="21"/>
                    </w:rPr>
                    <w:t>酸化</w:t>
                  </w:r>
                </w:p>
              </w:tc>
              <w:tc>
                <w:tcPr>
                  <w:tcW w:w="754" w:type="dxa"/>
                  <w:tcBorders>
                    <w:tl2br w:val="nil"/>
                    <w:tr2bl w:val="nil"/>
                  </w:tcBorders>
                  <w:noWrap w:val="0"/>
                  <w:vAlign w:val="center"/>
                </w:tcPr>
                <w:p>
                  <w:pPr>
                    <w:jc w:val="center"/>
                    <w:rPr>
                      <w:rFonts w:hint="default"/>
                      <w:color w:val="auto"/>
                      <w:sz w:val="21"/>
                      <w:szCs w:val="21"/>
                    </w:rPr>
                  </w:pPr>
                  <w:r>
                    <w:rPr>
                      <w:rFonts w:hint="default"/>
                      <w:color w:val="auto"/>
                      <w:sz w:val="21"/>
                      <w:szCs w:val="21"/>
                    </w:rPr>
                    <w:t>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503" w:type="dxa"/>
                  <w:tcBorders>
                    <w:tl2br w:val="nil"/>
                    <w:tr2bl w:val="nil"/>
                  </w:tcBorders>
                  <w:noWrap w:val="0"/>
                  <w:vAlign w:val="center"/>
                </w:tcPr>
                <w:p>
                  <w:pPr>
                    <w:jc w:val="center"/>
                    <w:rPr>
                      <w:rFonts w:hint="default"/>
                      <w:color w:val="auto"/>
                      <w:sz w:val="21"/>
                      <w:szCs w:val="21"/>
                    </w:rPr>
                  </w:pPr>
                  <w:r>
                    <w:rPr>
                      <w:rFonts w:hint="default"/>
                      <w:color w:val="auto"/>
                      <w:sz w:val="21"/>
                      <w:szCs w:val="21"/>
                    </w:rPr>
                    <w:t>建设期</w:t>
                  </w:r>
                </w:p>
              </w:tc>
              <w:tc>
                <w:tcPr>
                  <w:tcW w:w="1253" w:type="dxa"/>
                  <w:tcBorders>
                    <w:tl2br w:val="nil"/>
                    <w:tr2bl w:val="nil"/>
                  </w:tcBorders>
                  <w:noWrap w:val="0"/>
                  <w:vAlign w:val="center"/>
                </w:tcPr>
                <w:p>
                  <w:pPr>
                    <w:jc w:val="center"/>
                    <w:rPr>
                      <w:rFonts w:hint="default"/>
                      <w:color w:val="auto"/>
                      <w:sz w:val="21"/>
                      <w:szCs w:val="21"/>
                    </w:rPr>
                  </w:pPr>
                </w:p>
              </w:tc>
              <w:tc>
                <w:tcPr>
                  <w:tcW w:w="1252" w:type="dxa"/>
                  <w:tcBorders>
                    <w:tl2br w:val="nil"/>
                    <w:tr2bl w:val="nil"/>
                  </w:tcBorders>
                  <w:noWrap w:val="0"/>
                  <w:vAlign w:val="center"/>
                </w:tcPr>
                <w:p>
                  <w:pPr>
                    <w:jc w:val="center"/>
                    <w:rPr>
                      <w:rFonts w:hint="default"/>
                      <w:color w:val="auto"/>
                      <w:sz w:val="21"/>
                      <w:szCs w:val="21"/>
                    </w:rPr>
                  </w:pPr>
                </w:p>
              </w:tc>
              <w:tc>
                <w:tcPr>
                  <w:tcW w:w="1253" w:type="dxa"/>
                  <w:tcBorders>
                    <w:tl2br w:val="nil"/>
                    <w:tr2bl w:val="nil"/>
                  </w:tcBorders>
                  <w:noWrap w:val="0"/>
                  <w:vAlign w:val="center"/>
                </w:tcPr>
                <w:p>
                  <w:pPr>
                    <w:jc w:val="center"/>
                    <w:rPr>
                      <w:rFonts w:hint="default"/>
                      <w:color w:val="auto"/>
                      <w:sz w:val="21"/>
                      <w:szCs w:val="21"/>
                    </w:rPr>
                  </w:pPr>
                </w:p>
              </w:tc>
              <w:tc>
                <w:tcPr>
                  <w:tcW w:w="758"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4" w:type="dxa"/>
                  <w:tcBorders>
                    <w:tl2br w:val="nil"/>
                    <w:tr2bl w:val="nil"/>
                  </w:tcBorders>
                  <w:noWrap w:val="0"/>
                  <w:vAlign w:val="center"/>
                </w:tcPr>
                <w:p>
                  <w:pPr>
                    <w:jc w:val="center"/>
                    <w:rPr>
                      <w:rFonts w:hint="default"/>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503" w:type="dxa"/>
                  <w:tcBorders>
                    <w:tl2br w:val="nil"/>
                    <w:tr2bl w:val="nil"/>
                  </w:tcBorders>
                  <w:noWrap w:val="0"/>
                  <w:vAlign w:val="center"/>
                </w:tcPr>
                <w:p>
                  <w:pPr>
                    <w:jc w:val="center"/>
                    <w:rPr>
                      <w:rFonts w:hint="default"/>
                      <w:color w:val="auto"/>
                      <w:sz w:val="21"/>
                      <w:szCs w:val="21"/>
                    </w:rPr>
                  </w:pPr>
                  <w:r>
                    <w:rPr>
                      <w:rFonts w:hint="default"/>
                      <w:color w:val="auto"/>
                      <w:sz w:val="21"/>
                      <w:szCs w:val="21"/>
                    </w:rPr>
                    <w:t>运营期</w:t>
                  </w:r>
                </w:p>
              </w:tc>
              <w:tc>
                <w:tcPr>
                  <w:tcW w:w="1253" w:type="dxa"/>
                  <w:tcBorders>
                    <w:tl2br w:val="nil"/>
                    <w:tr2bl w:val="nil"/>
                  </w:tcBorders>
                  <w:noWrap w:val="0"/>
                  <w:vAlign w:val="center"/>
                </w:tcPr>
                <w:p>
                  <w:pPr>
                    <w:jc w:val="center"/>
                    <w:rPr>
                      <w:rFonts w:hint="default"/>
                      <w:color w:val="auto"/>
                      <w:sz w:val="21"/>
                      <w:szCs w:val="21"/>
                    </w:rPr>
                  </w:pPr>
                  <w:r>
                    <w:rPr>
                      <w:rFonts w:hint="default"/>
                      <w:color w:val="auto"/>
                      <w:sz w:val="21"/>
                      <w:szCs w:val="21"/>
                    </w:rPr>
                    <w:t>√</w:t>
                  </w:r>
                </w:p>
              </w:tc>
              <w:tc>
                <w:tcPr>
                  <w:tcW w:w="1252" w:type="dxa"/>
                  <w:tcBorders>
                    <w:tl2br w:val="nil"/>
                    <w:tr2bl w:val="nil"/>
                  </w:tcBorders>
                  <w:noWrap w:val="0"/>
                  <w:vAlign w:val="center"/>
                </w:tcPr>
                <w:p>
                  <w:pPr>
                    <w:jc w:val="center"/>
                    <w:rPr>
                      <w:rFonts w:hint="default"/>
                      <w:color w:val="auto"/>
                      <w:sz w:val="21"/>
                      <w:szCs w:val="21"/>
                    </w:rPr>
                  </w:pPr>
                </w:p>
              </w:tc>
              <w:tc>
                <w:tcPr>
                  <w:tcW w:w="1253" w:type="dxa"/>
                  <w:tcBorders>
                    <w:tl2br w:val="nil"/>
                    <w:tr2bl w:val="nil"/>
                  </w:tcBorders>
                  <w:noWrap w:val="0"/>
                  <w:vAlign w:val="center"/>
                </w:tcPr>
                <w:p>
                  <w:pPr>
                    <w:jc w:val="center"/>
                    <w:rPr>
                      <w:rFonts w:hint="default"/>
                      <w:color w:val="auto"/>
                      <w:sz w:val="21"/>
                      <w:szCs w:val="21"/>
                    </w:rPr>
                  </w:pPr>
                  <w:r>
                    <w:rPr>
                      <w:rFonts w:hint="default"/>
                      <w:color w:val="auto"/>
                      <w:sz w:val="21"/>
                      <w:szCs w:val="21"/>
                    </w:rPr>
                    <w:t>√</w:t>
                  </w:r>
                </w:p>
              </w:tc>
              <w:tc>
                <w:tcPr>
                  <w:tcW w:w="758"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4" w:type="dxa"/>
                  <w:tcBorders>
                    <w:tl2br w:val="nil"/>
                    <w:tr2bl w:val="nil"/>
                  </w:tcBorders>
                  <w:noWrap w:val="0"/>
                  <w:vAlign w:val="center"/>
                </w:tcPr>
                <w:p>
                  <w:pPr>
                    <w:jc w:val="center"/>
                    <w:rPr>
                      <w:rFonts w:hint="default"/>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503" w:type="dxa"/>
                  <w:tcBorders>
                    <w:tl2br w:val="nil"/>
                    <w:tr2bl w:val="nil"/>
                  </w:tcBorders>
                  <w:noWrap w:val="0"/>
                  <w:vAlign w:val="center"/>
                </w:tcPr>
                <w:p>
                  <w:pPr>
                    <w:jc w:val="center"/>
                    <w:rPr>
                      <w:rFonts w:hint="default"/>
                      <w:color w:val="auto"/>
                      <w:sz w:val="21"/>
                      <w:szCs w:val="21"/>
                    </w:rPr>
                  </w:pPr>
                  <w:r>
                    <w:rPr>
                      <w:rFonts w:hint="default"/>
                      <w:color w:val="auto"/>
                      <w:sz w:val="21"/>
                      <w:szCs w:val="21"/>
                    </w:rPr>
                    <w:t>服务期满后</w:t>
                  </w:r>
                </w:p>
              </w:tc>
              <w:tc>
                <w:tcPr>
                  <w:tcW w:w="1253" w:type="dxa"/>
                  <w:tcBorders>
                    <w:tl2br w:val="nil"/>
                    <w:tr2bl w:val="nil"/>
                  </w:tcBorders>
                  <w:noWrap w:val="0"/>
                  <w:vAlign w:val="center"/>
                </w:tcPr>
                <w:p>
                  <w:pPr>
                    <w:jc w:val="center"/>
                    <w:rPr>
                      <w:rFonts w:hint="default"/>
                      <w:color w:val="auto"/>
                      <w:sz w:val="21"/>
                      <w:szCs w:val="21"/>
                    </w:rPr>
                  </w:pPr>
                </w:p>
              </w:tc>
              <w:tc>
                <w:tcPr>
                  <w:tcW w:w="1252" w:type="dxa"/>
                  <w:tcBorders>
                    <w:tl2br w:val="nil"/>
                    <w:tr2bl w:val="nil"/>
                  </w:tcBorders>
                  <w:noWrap w:val="0"/>
                  <w:vAlign w:val="center"/>
                </w:tcPr>
                <w:p>
                  <w:pPr>
                    <w:jc w:val="center"/>
                    <w:rPr>
                      <w:rFonts w:hint="default"/>
                      <w:color w:val="auto"/>
                      <w:sz w:val="21"/>
                      <w:szCs w:val="21"/>
                    </w:rPr>
                  </w:pPr>
                </w:p>
              </w:tc>
              <w:tc>
                <w:tcPr>
                  <w:tcW w:w="1253" w:type="dxa"/>
                  <w:tcBorders>
                    <w:tl2br w:val="nil"/>
                    <w:tr2bl w:val="nil"/>
                  </w:tcBorders>
                  <w:noWrap w:val="0"/>
                  <w:vAlign w:val="center"/>
                </w:tcPr>
                <w:p>
                  <w:pPr>
                    <w:jc w:val="center"/>
                    <w:rPr>
                      <w:rFonts w:hint="default"/>
                      <w:color w:val="auto"/>
                      <w:sz w:val="21"/>
                      <w:szCs w:val="21"/>
                    </w:rPr>
                  </w:pPr>
                </w:p>
              </w:tc>
              <w:tc>
                <w:tcPr>
                  <w:tcW w:w="758"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6" w:type="dxa"/>
                  <w:tcBorders>
                    <w:tl2br w:val="nil"/>
                    <w:tr2bl w:val="nil"/>
                  </w:tcBorders>
                  <w:noWrap w:val="0"/>
                  <w:vAlign w:val="center"/>
                </w:tcPr>
                <w:p>
                  <w:pPr>
                    <w:jc w:val="center"/>
                    <w:rPr>
                      <w:rFonts w:hint="default"/>
                      <w:color w:val="auto"/>
                      <w:sz w:val="21"/>
                      <w:szCs w:val="21"/>
                    </w:rPr>
                  </w:pPr>
                </w:p>
              </w:tc>
              <w:tc>
                <w:tcPr>
                  <w:tcW w:w="754" w:type="dxa"/>
                  <w:tcBorders>
                    <w:tl2br w:val="nil"/>
                    <w:tr2bl w:val="nil"/>
                  </w:tcBorders>
                  <w:noWrap w:val="0"/>
                  <w:vAlign w:val="center"/>
                </w:tcPr>
                <w:p>
                  <w:pPr>
                    <w:jc w:val="center"/>
                    <w:rPr>
                      <w:rFonts w:hint="default"/>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9041" w:type="dxa"/>
                  <w:gridSpan w:val="9"/>
                  <w:tcBorders>
                    <w:tl2br w:val="nil"/>
                    <w:tr2bl w:val="nil"/>
                  </w:tcBorders>
                  <w:noWrap w:val="0"/>
                  <w:vAlign w:val="center"/>
                </w:tcPr>
                <w:p>
                  <w:pPr>
                    <w:ind w:firstLine="420" w:firstLineChars="200"/>
                    <w:rPr>
                      <w:rFonts w:hint="default"/>
                      <w:color w:val="auto"/>
                      <w:sz w:val="21"/>
                      <w:szCs w:val="21"/>
                    </w:rPr>
                  </w:pPr>
                  <w:r>
                    <w:rPr>
                      <w:rFonts w:hint="default"/>
                      <w:color w:val="auto"/>
                      <w:sz w:val="21"/>
                      <w:szCs w:val="21"/>
                    </w:rPr>
                    <w:t>注:在可能产生的土壤环境影响类型处打“√”，列表未涵盖的可自行设计。</w:t>
                  </w:r>
                </w:p>
              </w:tc>
            </w:tr>
          </w:tbl>
          <w:p>
            <w:pPr>
              <w:spacing w:line="240" w:lineRule="exact"/>
              <w:ind w:firstLine="480" w:firstLineChars="200"/>
              <w:rPr>
                <w:rFonts w:hint="default"/>
                <w:color w:val="auto"/>
                <w:sz w:val="24"/>
                <w:szCs w:val="24"/>
              </w:rPr>
            </w:pPr>
          </w:p>
          <w:p>
            <w:pPr>
              <w:autoSpaceDE w:val="0"/>
              <w:autoSpaceDN w:val="0"/>
              <w:spacing w:line="240" w:lineRule="auto"/>
              <w:jc w:val="center"/>
              <w:rPr>
                <w:rFonts w:hint="eastAsia" w:ascii="黑体" w:hAnsi="黑体" w:eastAsia="黑体" w:cs="黑体"/>
                <w:b w:val="0"/>
                <w:bCs/>
                <w:color w:val="auto"/>
                <w:spacing w:val="-5"/>
                <w:sz w:val="24"/>
              </w:rPr>
            </w:pPr>
            <w:r>
              <w:rPr>
                <w:rFonts w:hint="eastAsia" w:ascii="黑体" w:hAnsi="黑体" w:eastAsia="黑体" w:cs="黑体"/>
                <w:b w:val="0"/>
                <w:bCs/>
                <w:color w:val="auto"/>
                <w:spacing w:val="-5"/>
                <w:sz w:val="24"/>
              </w:rPr>
              <w:t>表</w:t>
            </w:r>
            <w:r>
              <w:rPr>
                <w:rFonts w:hint="eastAsia" w:ascii="黑体" w:hAnsi="黑体" w:eastAsia="黑体" w:cs="黑体"/>
                <w:b w:val="0"/>
                <w:bCs/>
                <w:color w:val="auto"/>
                <w:spacing w:val="-5"/>
                <w:sz w:val="24"/>
                <w:lang w:val="en-US" w:eastAsia="zh-CN"/>
              </w:rPr>
              <w:t>30</w:t>
            </w:r>
            <w:r>
              <w:rPr>
                <w:rFonts w:hint="eastAsia" w:ascii="黑体" w:hAnsi="黑体" w:eastAsia="黑体" w:cs="黑体"/>
                <w:b w:val="0"/>
                <w:bCs/>
                <w:color w:val="auto"/>
                <w:spacing w:val="-5"/>
                <w:sz w:val="24"/>
              </w:rPr>
              <w:t xml:space="preserve">  土壤环境影响源及影响因子识别表</w:t>
            </w:r>
          </w:p>
          <w:tbl>
            <w:tblPr>
              <w:tblStyle w:val="31"/>
              <w:tblW w:w="9041" w:type="dxa"/>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359"/>
              <w:gridCol w:w="1974"/>
              <w:gridCol w:w="1360"/>
              <w:gridCol w:w="1860"/>
              <w:gridCol w:w="1742"/>
              <w:gridCol w:w="74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359"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污染源</w:t>
                  </w:r>
                </w:p>
              </w:tc>
              <w:tc>
                <w:tcPr>
                  <w:tcW w:w="1974"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工艺流程/节点</w:t>
                  </w:r>
                </w:p>
              </w:tc>
              <w:tc>
                <w:tcPr>
                  <w:tcW w:w="1360"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污染途径</w:t>
                  </w:r>
                </w:p>
              </w:tc>
              <w:tc>
                <w:tcPr>
                  <w:tcW w:w="1860"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全部污染物指标</w:t>
                  </w:r>
                </w:p>
              </w:tc>
              <w:tc>
                <w:tcPr>
                  <w:tcW w:w="1742"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特征因子</w:t>
                  </w:r>
                </w:p>
              </w:tc>
              <w:tc>
                <w:tcPr>
                  <w:tcW w:w="746"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359" w:type="dxa"/>
                  <w:vMerge w:val="restart"/>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生产车间</w:t>
                  </w:r>
                </w:p>
              </w:tc>
              <w:tc>
                <w:tcPr>
                  <w:tcW w:w="1974" w:type="dxa"/>
                  <w:vMerge w:val="restart"/>
                  <w:tcBorders>
                    <w:tl2br w:val="nil"/>
                    <w:tr2bl w:val="nil"/>
                  </w:tcBorders>
                  <w:noWrap w:val="0"/>
                  <w:vAlign w:val="center"/>
                </w:tcPr>
                <w:p>
                  <w:pPr>
                    <w:spacing w:line="240" w:lineRule="exact"/>
                    <w:jc w:val="center"/>
                    <w:rPr>
                      <w:rFonts w:hint="eastAsia"/>
                      <w:color w:val="auto"/>
                      <w:sz w:val="21"/>
                      <w:szCs w:val="21"/>
                      <w:lang w:eastAsia="zh-CN"/>
                    </w:rPr>
                  </w:pPr>
                  <w:r>
                    <w:rPr>
                      <w:rFonts w:hint="eastAsia"/>
                      <w:color w:val="auto"/>
                      <w:sz w:val="21"/>
                      <w:szCs w:val="21"/>
                      <w:lang w:eastAsia="zh-CN"/>
                    </w:rPr>
                    <w:t>生产工序</w:t>
                  </w:r>
                </w:p>
              </w:tc>
              <w:tc>
                <w:tcPr>
                  <w:tcW w:w="1360"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大气沉降</w:t>
                  </w:r>
                </w:p>
              </w:tc>
              <w:tc>
                <w:tcPr>
                  <w:tcW w:w="1860" w:type="dxa"/>
                  <w:tcBorders>
                    <w:tl2br w:val="nil"/>
                    <w:tr2bl w:val="nil"/>
                  </w:tcBorders>
                  <w:noWrap w:val="0"/>
                  <w:vAlign w:val="center"/>
                </w:tcPr>
                <w:p>
                  <w:pPr>
                    <w:spacing w:line="240" w:lineRule="exact"/>
                    <w:jc w:val="center"/>
                    <w:rPr>
                      <w:rFonts w:hint="eastAsia"/>
                      <w:color w:val="auto"/>
                      <w:sz w:val="21"/>
                      <w:szCs w:val="21"/>
                      <w:lang w:eastAsia="zh-CN"/>
                    </w:rPr>
                  </w:pPr>
                  <w:r>
                    <w:rPr>
                      <w:rFonts w:hint="eastAsia"/>
                      <w:color w:val="auto"/>
                      <w:sz w:val="21"/>
                      <w:szCs w:val="21"/>
                      <w:lang w:eastAsia="zh-CN"/>
                    </w:rPr>
                    <w:t>颗粒物</w:t>
                  </w:r>
                </w:p>
              </w:tc>
              <w:tc>
                <w:tcPr>
                  <w:tcW w:w="1742" w:type="dxa"/>
                  <w:tcBorders>
                    <w:tl2br w:val="nil"/>
                    <w:tr2bl w:val="nil"/>
                  </w:tcBorders>
                  <w:noWrap w:val="0"/>
                  <w:vAlign w:val="center"/>
                </w:tcPr>
                <w:p>
                  <w:pPr>
                    <w:spacing w:line="240" w:lineRule="exact"/>
                    <w:jc w:val="center"/>
                    <w:rPr>
                      <w:rFonts w:hint="default"/>
                      <w:color w:val="auto"/>
                      <w:sz w:val="21"/>
                      <w:szCs w:val="21"/>
                    </w:rPr>
                  </w:pPr>
                  <w:r>
                    <w:rPr>
                      <w:rFonts w:hint="eastAsia"/>
                      <w:color w:val="auto"/>
                      <w:sz w:val="21"/>
                      <w:szCs w:val="21"/>
                      <w:lang w:eastAsia="zh-CN"/>
                    </w:rPr>
                    <w:t>颗粒物</w:t>
                  </w:r>
                </w:p>
              </w:tc>
              <w:tc>
                <w:tcPr>
                  <w:tcW w:w="746"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连续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359" w:type="dxa"/>
                  <w:vMerge w:val="continue"/>
                  <w:tcBorders>
                    <w:tl2br w:val="nil"/>
                    <w:tr2bl w:val="nil"/>
                  </w:tcBorders>
                  <w:noWrap w:val="0"/>
                  <w:vAlign w:val="center"/>
                </w:tcPr>
                <w:p>
                  <w:pPr>
                    <w:spacing w:line="240" w:lineRule="exact"/>
                    <w:jc w:val="center"/>
                    <w:rPr>
                      <w:rFonts w:hint="default"/>
                      <w:color w:val="auto"/>
                      <w:sz w:val="21"/>
                      <w:szCs w:val="21"/>
                    </w:rPr>
                  </w:pPr>
                </w:p>
              </w:tc>
              <w:tc>
                <w:tcPr>
                  <w:tcW w:w="1974" w:type="dxa"/>
                  <w:vMerge w:val="continue"/>
                  <w:tcBorders>
                    <w:tl2br w:val="nil"/>
                    <w:tr2bl w:val="nil"/>
                  </w:tcBorders>
                  <w:noWrap w:val="0"/>
                  <w:vAlign w:val="center"/>
                </w:tcPr>
                <w:p>
                  <w:pPr>
                    <w:spacing w:line="240" w:lineRule="exact"/>
                    <w:jc w:val="center"/>
                    <w:rPr>
                      <w:rFonts w:hint="default"/>
                      <w:color w:val="auto"/>
                      <w:sz w:val="21"/>
                      <w:szCs w:val="21"/>
                    </w:rPr>
                  </w:pPr>
                </w:p>
              </w:tc>
              <w:tc>
                <w:tcPr>
                  <w:tcW w:w="1360"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地面漫流</w:t>
                  </w:r>
                </w:p>
              </w:tc>
              <w:tc>
                <w:tcPr>
                  <w:tcW w:w="1860"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w:t>
                  </w:r>
                </w:p>
              </w:tc>
              <w:tc>
                <w:tcPr>
                  <w:tcW w:w="1742"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w:t>
                  </w:r>
                </w:p>
              </w:tc>
              <w:tc>
                <w:tcPr>
                  <w:tcW w:w="746"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359" w:type="dxa"/>
                  <w:vMerge w:val="continue"/>
                  <w:tcBorders>
                    <w:tl2br w:val="nil"/>
                    <w:tr2bl w:val="nil"/>
                  </w:tcBorders>
                  <w:noWrap w:val="0"/>
                  <w:vAlign w:val="center"/>
                </w:tcPr>
                <w:p>
                  <w:pPr>
                    <w:spacing w:line="240" w:lineRule="exact"/>
                    <w:jc w:val="center"/>
                    <w:rPr>
                      <w:rFonts w:hint="default"/>
                      <w:color w:val="auto"/>
                      <w:sz w:val="21"/>
                      <w:szCs w:val="21"/>
                    </w:rPr>
                  </w:pPr>
                </w:p>
              </w:tc>
              <w:tc>
                <w:tcPr>
                  <w:tcW w:w="1974" w:type="dxa"/>
                  <w:vMerge w:val="continue"/>
                  <w:tcBorders>
                    <w:tl2br w:val="nil"/>
                    <w:tr2bl w:val="nil"/>
                  </w:tcBorders>
                  <w:noWrap w:val="0"/>
                  <w:vAlign w:val="center"/>
                </w:tcPr>
                <w:p>
                  <w:pPr>
                    <w:spacing w:line="240" w:lineRule="exact"/>
                    <w:jc w:val="center"/>
                    <w:rPr>
                      <w:rFonts w:hint="default"/>
                      <w:color w:val="auto"/>
                      <w:sz w:val="21"/>
                      <w:szCs w:val="21"/>
                    </w:rPr>
                  </w:pPr>
                </w:p>
              </w:tc>
              <w:tc>
                <w:tcPr>
                  <w:tcW w:w="1360"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垂直入渗</w:t>
                  </w:r>
                </w:p>
              </w:tc>
              <w:tc>
                <w:tcPr>
                  <w:tcW w:w="1860" w:type="dxa"/>
                  <w:tcBorders>
                    <w:tl2br w:val="nil"/>
                    <w:tr2bl w:val="nil"/>
                  </w:tcBorders>
                  <w:noWrap w:val="0"/>
                  <w:vAlign w:val="center"/>
                </w:tcPr>
                <w:p>
                  <w:pPr>
                    <w:spacing w:line="240" w:lineRule="exact"/>
                    <w:jc w:val="center"/>
                    <w:rPr>
                      <w:rFonts w:hint="default"/>
                      <w:color w:val="auto"/>
                      <w:sz w:val="21"/>
                      <w:szCs w:val="21"/>
                      <w:lang w:val="en-US" w:eastAsia="zh-CN"/>
                    </w:rPr>
                  </w:pPr>
                  <w:r>
                    <w:rPr>
                      <w:rFonts w:hint="default"/>
                      <w:color w:val="auto"/>
                      <w:sz w:val="21"/>
                      <w:szCs w:val="21"/>
                      <w:lang w:val="en-US" w:eastAsia="zh-CN"/>
                    </w:rPr>
                    <w:t>COD、NH</w:t>
                  </w:r>
                  <w:r>
                    <w:rPr>
                      <w:rFonts w:hint="default"/>
                      <w:color w:val="auto"/>
                      <w:sz w:val="21"/>
                      <w:szCs w:val="21"/>
                      <w:vertAlign w:val="subscript"/>
                      <w:lang w:val="en-US" w:eastAsia="zh-CN"/>
                    </w:rPr>
                    <w:t>3</w:t>
                  </w:r>
                  <w:r>
                    <w:rPr>
                      <w:rFonts w:hint="default"/>
                      <w:color w:val="auto"/>
                      <w:sz w:val="21"/>
                      <w:szCs w:val="21"/>
                      <w:lang w:val="en-US" w:eastAsia="zh-CN"/>
                    </w:rPr>
                    <w:t>-N、SS</w:t>
                  </w:r>
                  <w:r>
                    <w:rPr>
                      <w:rFonts w:hint="eastAsia"/>
                      <w:color w:val="auto"/>
                      <w:sz w:val="21"/>
                      <w:szCs w:val="21"/>
                      <w:lang w:val="en-US" w:eastAsia="zh-CN"/>
                    </w:rPr>
                    <w:t>、</w:t>
                  </w:r>
                </w:p>
              </w:tc>
              <w:tc>
                <w:tcPr>
                  <w:tcW w:w="1742" w:type="dxa"/>
                  <w:tcBorders>
                    <w:tl2br w:val="nil"/>
                    <w:tr2bl w:val="nil"/>
                  </w:tcBorders>
                  <w:noWrap w:val="0"/>
                  <w:vAlign w:val="center"/>
                </w:tcPr>
                <w:p>
                  <w:pPr>
                    <w:spacing w:line="240" w:lineRule="exact"/>
                    <w:jc w:val="center"/>
                    <w:rPr>
                      <w:rFonts w:hint="eastAsia" w:eastAsia="宋体"/>
                      <w:color w:val="auto"/>
                      <w:sz w:val="21"/>
                      <w:szCs w:val="21"/>
                      <w:lang w:val="en-US" w:eastAsia="zh-CN"/>
                    </w:rPr>
                  </w:pPr>
                  <w:r>
                    <w:rPr>
                      <w:rFonts w:hint="default"/>
                      <w:color w:val="auto"/>
                      <w:sz w:val="21"/>
                      <w:szCs w:val="21"/>
                      <w:lang w:val="en-US" w:eastAsia="zh-CN"/>
                    </w:rPr>
                    <w:t>COD、NH</w:t>
                  </w:r>
                  <w:r>
                    <w:rPr>
                      <w:rFonts w:hint="default"/>
                      <w:color w:val="auto"/>
                      <w:sz w:val="21"/>
                      <w:szCs w:val="21"/>
                      <w:vertAlign w:val="subscript"/>
                      <w:lang w:val="en-US" w:eastAsia="zh-CN"/>
                    </w:rPr>
                    <w:t>3</w:t>
                  </w:r>
                  <w:r>
                    <w:rPr>
                      <w:rFonts w:hint="default"/>
                      <w:color w:val="auto"/>
                      <w:sz w:val="21"/>
                      <w:szCs w:val="21"/>
                      <w:lang w:val="en-US" w:eastAsia="zh-CN"/>
                    </w:rPr>
                    <w:t>-N</w:t>
                  </w:r>
                </w:p>
              </w:tc>
              <w:tc>
                <w:tcPr>
                  <w:tcW w:w="746"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 w:hRule="atLeast"/>
              </w:trPr>
              <w:tc>
                <w:tcPr>
                  <w:tcW w:w="1359" w:type="dxa"/>
                  <w:vMerge w:val="continue"/>
                  <w:tcBorders>
                    <w:tl2br w:val="nil"/>
                    <w:tr2bl w:val="nil"/>
                  </w:tcBorders>
                  <w:noWrap w:val="0"/>
                  <w:vAlign w:val="center"/>
                </w:tcPr>
                <w:p>
                  <w:pPr>
                    <w:spacing w:line="240" w:lineRule="exact"/>
                    <w:jc w:val="center"/>
                    <w:rPr>
                      <w:rFonts w:hint="default"/>
                      <w:color w:val="auto"/>
                      <w:sz w:val="21"/>
                      <w:szCs w:val="21"/>
                    </w:rPr>
                  </w:pPr>
                </w:p>
              </w:tc>
              <w:tc>
                <w:tcPr>
                  <w:tcW w:w="1974" w:type="dxa"/>
                  <w:vMerge w:val="continue"/>
                  <w:tcBorders>
                    <w:tl2br w:val="nil"/>
                    <w:tr2bl w:val="nil"/>
                  </w:tcBorders>
                  <w:noWrap w:val="0"/>
                  <w:vAlign w:val="center"/>
                </w:tcPr>
                <w:p>
                  <w:pPr>
                    <w:spacing w:line="240" w:lineRule="exact"/>
                    <w:jc w:val="center"/>
                    <w:rPr>
                      <w:rFonts w:hint="default"/>
                      <w:color w:val="auto"/>
                      <w:sz w:val="21"/>
                      <w:szCs w:val="21"/>
                    </w:rPr>
                  </w:pPr>
                </w:p>
              </w:tc>
              <w:tc>
                <w:tcPr>
                  <w:tcW w:w="1360"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其他</w:t>
                  </w:r>
                </w:p>
              </w:tc>
              <w:tc>
                <w:tcPr>
                  <w:tcW w:w="1860"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w:t>
                  </w:r>
                </w:p>
              </w:tc>
              <w:tc>
                <w:tcPr>
                  <w:tcW w:w="1742"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w:t>
                  </w:r>
                </w:p>
              </w:tc>
              <w:tc>
                <w:tcPr>
                  <w:tcW w:w="746" w:type="dxa"/>
                  <w:tcBorders>
                    <w:tl2br w:val="nil"/>
                    <w:tr2bl w:val="nil"/>
                  </w:tcBorders>
                  <w:noWrap w:val="0"/>
                  <w:vAlign w:val="center"/>
                </w:tcPr>
                <w:p>
                  <w:pPr>
                    <w:spacing w:line="240" w:lineRule="exact"/>
                    <w:jc w:val="center"/>
                    <w:rPr>
                      <w:rFonts w:hint="default"/>
                      <w:color w:val="auto"/>
                      <w:sz w:val="21"/>
                      <w:szCs w:val="21"/>
                    </w:rPr>
                  </w:pPr>
                  <w:r>
                    <w:rPr>
                      <w:rFonts w:hint="default"/>
                      <w:color w:val="auto"/>
                      <w:sz w:val="21"/>
                      <w:szCs w:val="21"/>
                    </w:rPr>
                    <w:t>/</w:t>
                  </w:r>
                </w:p>
              </w:tc>
            </w:tr>
          </w:tbl>
          <w:p>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olor w:val="auto"/>
                <w:sz w:val="24"/>
                <w:szCs w:val="24"/>
                <w:lang w:eastAsia="zh-CN"/>
              </w:rPr>
            </w:pPr>
          </w:p>
          <w:p>
            <w:pPr>
              <w:spacing w:line="360" w:lineRule="auto"/>
              <w:ind w:firstLine="480" w:firstLineChars="200"/>
              <w:rPr>
                <w:rFonts w:hint="default"/>
                <w:color w:val="auto"/>
                <w:sz w:val="24"/>
                <w:szCs w:val="24"/>
              </w:rPr>
            </w:pPr>
            <w:r>
              <w:rPr>
                <w:rFonts w:hint="default"/>
                <w:color w:val="auto"/>
                <w:sz w:val="24"/>
                <w:szCs w:val="24"/>
              </w:rPr>
              <w:t>拟建工程排放的废气是工程可能引起土壤污染的主要途径</w:t>
            </w:r>
            <w:r>
              <w:rPr>
                <w:rFonts w:hint="eastAsia"/>
                <w:color w:val="auto"/>
                <w:sz w:val="24"/>
                <w:szCs w:val="24"/>
                <w:lang w:eastAsia="zh-CN"/>
              </w:rPr>
              <w:t>。</w:t>
            </w:r>
            <w:r>
              <w:rPr>
                <w:rFonts w:hint="default"/>
                <w:color w:val="auto"/>
                <w:sz w:val="24"/>
                <w:szCs w:val="24"/>
              </w:rPr>
              <w:t>废气进入空气后，随大气扩散、迁移，废气中的</w:t>
            </w:r>
            <w:r>
              <w:rPr>
                <w:rFonts w:hint="eastAsia"/>
                <w:color w:val="auto"/>
                <w:sz w:val="24"/>
                <w:szCs w:val="24"/>
                <w:lang w:eastAsia="zh-CN"/>
              </w:rPr>
              <w:t>污染物</w:t>
            </w:r>
            <w:r>
              <w:rPr>
                <w:rFonts w:hint="default"/>
                <w:color w:val="auto"/>
                <w:sz w:val="24"/>
                <w:szCs w:val="24"/>
              </w:rPr>
              <w:t>通过自然降水和自然沉降进入土壤。</w:t>
            </w:r>
          </w:p>
          <w:p>
            <w:pPr>
              <w:spacing w:line="360" w:lineRule="auto"/>
              <w:ind w:firstLine="480" w:firstLineChars="200"/>
              <w:rPr>
                <w:rFonts w:hint="eastAsia" w:eastAsia="宋体"/>
                <w:color w:val="auto"/>
                <w:sz w:val="24"/>
                <w:szCs w:val="24"/>
                <w:lang w:eastAsia="zh-CN"/>
              </w:rPr>
            </w:pPr>
            <w:r>
              <w:rPr>
                <w:rFonts w:hint="eastAsia"/>
                <w:color w:val="auto"/>
                <w:sz w:val="24"/>
                <w:szCs w:val="24"/>
                <w:lang w:eastAsia="zh-CN"/>
              </w:rPr>
              <w:t>（</w:t>
            </w:r>
            <w:r>
              <w:rPr>
                <w:rFonts w:hint="eastAsia"/>
                <w:color w:val="auto"/>
                <w:sz w:val="24"/>
                <w:szCs w:val="24"/>
                <w:lang w:val="en-US" w:eastAsia="zh-CN"/>
              </w:rPr>
              <w:t>1</w:t>
            </w:r>
            <w:r>
              <w:rPr>
                <w:rFonts w:hint="eastAsia"/>
                <w:color w:val="auto"/>
                <w:sz w:val="24"/>
                <w:szCs w:val="24"/>
                <w:lang w:eastAsia="zh-CN"/>
              </w:rPr>
              <w:t>）</w:t>
            </w:r>
            <w:r>
              <w:rPr>
                <w:color w:val="auto"/>
                <w:sz w:val="24"/>
                <w:szCs w:val="24"/>
              </w:rPr>
              <w:t>正常工况下</w:t>
            </w:r>
            <w:r>
              <w:rPr>
                <w:rFonts w:hint="eastAsia"/>
                <w:color w:val="auto"/>
                <w:sz w:val="24"/>
                <w:szCs w:val="24"/>
                <w:lang w:eastAsia="zh-CN"/>
              </w:rPr>
              <w:t>，</w:t>
            </w:r>
            <w:r>
              <w:rPr>
                <w:rStyle w:val="113"/>
                <w:rFonts w:hint="default" w:ascii="Times New Roman" w:hAnsi="Times New Roman" w:cs="Times New Roman"/>
                <w:color w:val="000000" w:themeColor="text1"/>
                <w:sz w:val="24"/>
                <w:szCs w:val="24"/>
                <w14:textFill>
                  <w14:solidFill>
                    <w14:schemeClr w14:val="tx1"/>
                  </w14:solidFill>
                </w14:textFill>
              </w:rPr>
              <w:t>本项目生产均在密闭车间内</w:t>
            </w:r>
            <w:r>
              <w:rPr>
                <w:rStyle w:val="113"/>
                <w:rFonts w:hint="eastAsia" w:cs="Times New Roman"/>
                <w:color w:val="000000" w:themeColor="text1"/>
                <w:sz w:val="24"/>
                <w:szCs w:val="24"/>
                <w:lang w:eastAsia="zh-CN"/>
                <w14:textFill>
                  <w14:solidFill>
                    <w14:schemeClr w14:val="tx1"/>
                  </w14:solidFill>
                </w14:textFill>
              </w:rPr>
              <w:t>，</w:t>
            </w:r>
            <w:r>
              <w:rPr>
                <w:rStyle w:val="113"/>
                <w:rFonts w:hint="eastAsia" w:cs="Times New Roman"/>
                <w:color w:val="000000" w:themeColor="text1"/>
                <w:sz w:val="24"/>
                <w:szCs w:val="24"/>
                <w:lang w:val="en-US" w:eastAsia="zh-CN"/>
                <w14:textFill>
                  <w14:solidFill>
                    <w14:schemeClr w14:val="tx1"/>
                  </w14:solidFill>
                </w14:textFill>
              </w:rPr>
              <w:t>各产生废气的点位均通过集气装置收集处理，</w:t>
            </w:r>
            <w:r>
              <w:rPr>
                <w:rStyle w:val="113"/>
                <w:rFonts w:hint="default" w:ascii="Times New Roman" w:hAnsi="Times New Roman" w:cs="Times New Roman"/>
                <w:color w:val="000000" w:themeColor="text1"/>
                <w:sz w:val="24"/>
                <w:szCs w:val="24"/>
                <w14:textFill>
                  <w14:solidFill>
                    <w14:schemeClr w14:val="tx1"/>
                  </w14:solidFill>
                </w14:textFill>
              </w:rPr>
              <w:t>各工段产生的污染物通过相应的处理措施处理后</w:t>
            </w:r>
            <w:r>
              <w:rPr>
                <w:rFonts w:hint="default"/>
                <w:color w:val="auto"/>
                <w:sz w:val="24"/>
                <w:szCs w:val="24"/>
              </w:rPr>
              <w:t>排放，其排放到大气环境中的</w:t>
            </w:r>
            <w:r>
              <w:rPr>
                <w:rFonts w:hint="eastAsia"/>
                <w:color w:val="auto"/>
                <w:sz w:val="24"/>
                <w:szCs w:val="24"/>
                <w:lang w:eastAsia="zh-CN"/>
              </w:rPr>
              <w:t>污染物</w:t>
            </w:r>
            <w:r>
              <w:rPr>
                <w:rFonts w:hint="default"/>
                <w:color w:val="auto"/>
                <w:sz w:val="24"/>
                <w:szCs w:val="24"/>
              </w:rPr>
              <w:t>已经相当少，仅有</w:t>
            </w:r>
            <w:r>
              <w:rPr>
                <w:rFonts w:hint="eastAsia"/>
                <w:color w:val="auto"/>
                <w:sz w:val="24"/>
                <w:szCs w:val="24"/>
                <w:lang w:eastAsia="zh-CN"/>
              </w:rPr>
              <w:t>少量污染物</w:t>
            </w:r>
            <w:r>
              <w:rPr>
                <w:rFonts w:hint="default"/>
                <w:color w:val="auto"/>
                <w:sz w:val="24"/>
                <w:szCs w:val="24"/>
              </w:rPr>
              <w:t>散落地面，再经地面渗入土壤中</w:t>
            </w:r>
            <w:r>
              <w:rPr>
                <w:rFonts w:hint="eastAsia"/>
                <w:color w:val="auto"/>
                <w:sz w:val="24"/>
                <w:szCs w:val="24"/>
                <w:lang w:eastAsia="zh-CN"/>
              </w:rPr>
              <w:t>。</w:t>
            </w:r>
          </w:p>
          <w:p>
            <w:pPr>
              <w:spacing w:line="360" w:lineRule="auto"/>
              <w:ind w:firstLine="480" w:firstLineChars="200"/>
              <w:rPr>
                <w:rFonts w:hint="eastAsia"/>
                <w:color w:val="auto"/>
                <w:sz w:val="24"/>
                <w:szCs w:val="24"/>
              </w:rPr>
            </w:pPr>
            <w:r>
              <w:rPr>
                <w:rFonts w:hint="eastAsia"/>
                <w:color w:val="auto"/>
                <w:sz w:val="24"/>
                <w:szCs w:val="24"/>
              </w:rPr>
              <w:t>（2）</w:t>
            </w:r>
            <w:r>
              <w:rPr>
                <w:color w:val="auto"/>
                <w:sz w:val="24"/>
                <w:szCs w:val="24"/>
              </w:rPr>
              <w:t>在非正常工况下</w:t>
            </w:r>
            <w:r>
              <w:rPr>
                <w:rFonts w:hint="eastAsia"/>
                <w:color w:val="auto"/>
                <w:sz w:val="24"/>
                <w:szCs w:val="24"/>
              </w:rPr>
              <w:t>，</w:t>
            </w:r>
            <w:r>
              <w:rPr>
                <w:rFonts w:hint="eastAsia"/>
                <w:color w:val="auto"/>
                <w:sz w:val="24"/>
                <w:szCs w:val="24"/>
                <w:lang w:eastAsia="zh-CN"/>
              </w:rPr>
              <w:t>废气处理设备故障，废气未经处理而外排，散落至地面，</w:t>
            </w:r>
            <w:r>
              <w:rPr>
                <w:rFonts w:hint="default"/>
                <w:color w:val="auto"/>
                <w:sz w:val="24"/>
                <w:szCs w:val="24"/>
              </w:rPr>
              <w:t>经地面渗入土壤中</w:t>
            </w:r>
            <w:r>
              <w:rPr>
                <w:color w:val="auto"/>
                <w:sz w:val="24"/>
                <w:szCs w:val="24"/>
              </w:rPr>
              <w:t>，</w:t>
            </w:r>
            <w:r>
              <w:rPr>
                <w:rFonts w:hint="eastAsia"/>
                <w:color w:val="auto"/>
                <w:sz w:val="24"/>
                <w:szCs w:val="24"/>
              </w:rPr>
              <w:t>因此</w:t>
            </w:r>
            <w:r>
              <w:rPr>
                <w:rFonts w:hint="eastAsia"/>
                <w:color w:val="auto"/>
                <w:sz w:val="24"/>
                <w:szCs w:val="24"/>
                <w:lang w:eastAsia="zh-CN"/>
              </w:rPr>
              <w:t>，</w:t>
            </w:r>
            <w:r>
              <w:rPr>
                <w:rFonts w:hint="eastAsia"/>
                <w:color w:val="auto"/>
                <w:sz w:val="24"/>
                <w:szCs w:val="24"/>
              </w:rPr>
              <w:t>企业应</w:t>
            </w:r>
            <w:r>
              <w:rPr>
                <w:rFonts w:hint="eastAsia"/>
                <w:color w:val="auto"/>
                <w:sz w:val="24"/>
                <w:szCs w:val="24"/>
                <w:lang w:eastAsia="zh-CN"/>
              </w:rPr>
              <w:t>加强废气处理设备管理</w:t>
            </w:r>
            <w:r>
              <w:rPr>
                <w:rFonts w:hint="eastAsia"/>
                <w:color w:val="auto"/>
                <w:sz w:val="24"/>
                <w:szCs w:val="24"/>
              </w:rPr>
              <w:t>措施，</w:t>
            </w:r>
            <w:r>
              <w:rPr>
                <w:rFonts w:hint="eastAsia"/>
                <w:color w:val="auto"/>
                <w:sz w:val="24"/>
                <w:szCs w:val="24"/>
                <w:lang w:eastAsia="zh-CN"/>
              </w:rPr>
              <w:t>定期检修与维护，</w:t>
            </w:r>
            <w:r>
              <w:rPr>
                <w:color w:val="auto"/>
                <w:sz w:val="24"/>
                <w:szCs w:val="24"/>
              </w:rPr>
              <w:t>预防突发环境污染事件的发生</w:t>
            </w:r>
            <w:r>
              <w:rPr>
                <w:rFonts w:hint="eastAsia"/>
                <w:color w:val="auto"/>
                <w:sz w:val="24"/>
                <w:szCs w:val="24"/>
                <w:lang w:eastAsia="zh-CN"/>
              </w:rPr>
              <w:t>，</w:t>
            </w:r>
            <w:r>
              <w:rPr>
                <w:rFonts w:hint="eastAsia"/>
                <w:color w:val="auto"/>
                <w:sz w:val="24"/>
                <w:szCs w:val="24"/>
              </w:rPr>
              <w:t>要加强防治结合、预防为主的环境保护措施，严格遵守环境影响评价制度和“三同时”制度，建立和完善环境管理体系，全面实施清洁生产，杜绝土壤污染事件发生。</w:t>
            </w:r>
          </w:p>
          <w:p>
            <w:pPr>
              <w:keepNext/>
              <w:keepLines/>
              <w:spacing w:before="80" w:after="80" w:line="360" w:lineRule="auto"/>
              <w:ind w:firstLine="472" w:firstLineChars="196"/>
              <w:outlineLvl w:val="2"/>
              <w:rPr>
                <w:rFonts w:hint="default"/>
                <w:b/>
                <w:bCs/>
                <w:color w:val="auto"/>
                <w:sz w:val="24"/>
                <w:szCs w:val="24"/>
                <w:lang w:val="en-US" w:eastAsia="zh-CN"/>
              </w:rPr>
            </w:pPr>
            <w:r>
              <w:rPr>
                <w:rFonts w:hint="default"/>
                <w:b/>
                <w:bCs/>
                <w:color w:val="auto"/>
                <w:sz w:val="24"/>
                <w:szCs w:val="24"/>
                <w:lang w:val="en-US" w:eastAsia="zh-CN"/>
              </w:rPr>
              <w:t>6.</w:t>
            </w:r>
            <w:r>
              <w:rPr>
                <w:rFonts w:hint="eastAsia"/>
                <w:b/>
                <w:bCs/>
                <w:color w:val="auto"/>
                <w:sz w:val="24"/>
                <w:szCs w:val="24"/>
                <w:lang w:val="en-US" w:eastAsia="zh-CN"/>
              </w:rPr>
              <w:t>7</w:t>
            </w:r>
            <w:r>
              <w:rPr>
                <w:rFonts w:hint="default"/>
                <w:b/>
                <w:bCs/>
                <w:color w:val="auto"/>
                <w:sz w:val="24"/>
                <w:szCs w:val="24"/>
                <w:lang w:val="en-US" w:eastAsia="zh-CN"/>
              </w:rPr>
              <w:t>土壤污染防治措施</w:t>
            </w:r>
          </w:p>
          <w:p>
            <w:pPr>
              <w:pStyle w:val="15"/>
              <w:spacing w:line="360" w:lineRule="auto"/>
              <w:ind w:left="0" w:leftChars="0" w:right="0" w:rightChars="0" w:firstLine="480" w:firstLineChars="200"/>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本项目土壤污染防治措施主要从“源头控制、分区防治、跟踪监测”3方面实施。</w:t>
            </w:r>
          </w:p>
          <w:p>
            <w:pPr>
              <w:pStyle w:val="15"/>
              <w:spacing w:line="360" w:lineRule="auto"/>
              <w:ind w:left="0" w:leftChars="0" w:right="0" w:rightChars="0" w:firstLine="480" w:firstLineChars="200"/>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（1）源头控制</w:t>
            </w:r>
          </w:p>
          <w:p>
            <w:pPr>
              <w:pStyle w:val="119"/>
              <w:ind w:firstLine="480"/>
              <w:jc w:val="both"/>
              <w:rPr>
                <w:color w:val="auto"/>
                <w:sz w:val="24"/>
                <w:szCs w:val="24"/>
              </w:rPr>
            </w:pPr>
            <w:r>
              <w:rPr>
                <w:rFonts w:hint="default" w:ascii="Times New Roman" w:hAnsi="Times New Roman" w:cs="Times New Roman" w:eastAsiaTheme="minorEastAsia"/>
                <w:color w:val="auto"/>
                <w:sz w:val="24"/>
                <w:szCs w:val="24"/>
                <w:lang w:eastAsia="zh-CN"/>
              </w:rPr>
              <w:t>污染物</w:t>
            </w:r>
            <w:r>
              <w:rPr>
                <w:rFonts w:hint="default" w:ascii="Times New Roman" w:hAnsi="Times New Roman" w:cs="Times New Roman" w:eastAsiaTheme="minorEastAsia"/>
                <w:color w:val="auto"/>
                <w:sz w:val="24"/>
                <w:szCs w:val="24"/>
              </w:rPr>
              <w:t>在土壤中的迁移是一个十分复杂的物理、化学及生物综合作用的</w:t>
            </w:r>
            <w:r>
              <w:rPr>
                <w:color w:val="auto"/>
                <w:sz w:val="24"/>
                <w:szCs w:val="24"/>
              </w:rPr>
              <w:t>过程，通常情况下，污染物的浓度越高、停留时间越长，在土壤中分布的越深，越容易造成污染。因此，企业要尽可能的从源头上控制污染物，严格按照国家相关规范要求，降低环境风险事故发生程度，做到污染物“早发现、早处理”，以减少对土壤环境造成的污染。</w:t>
            </w:r>
          </w:p>
          <w:p>
            <w:pPr>
              <w:pStyle w:val="119"/>
              <w:ind w:firstLine="482"/>
              <w:jc w:val="both"/>
              <w:rPr>
                <w:color w:val="auto"/>
                <w:sz w:val="24"/>
                <w:szCs w:val="24"/>
              </w:rPr>
            </w:pPr>
            <w:r>
              <w:rPr>
                <w:rFonts w:hint="eastAsia"/>
                <w:color w:val="auto"/>
                <w:sz w:val="24"/>
                <w:szCs w:val="24"/>
              </w:rPr>
              <w:t>（2）</w:t>
            </w:r>
            <w:r>
              <w:rPr>
                <w:color w:val="auto"/>
                <w:sz w:val="24"/>
                <w:szCs w:val="24"/>
              </w:rPr>
              <w:t>分区防治</w:t>
            </w:r>
          </w:p>
          <w:p>
            <w:pPr>
              <w:snapToGrid w:val="0"/>
              <w:spacing w:line="360" w:lineRule="auto"/>
              <w:ind w:firstLine="480" w:firstLineChars="200"/>
              <w:rPr>
                <w:color w:val="auto"/>
                <w:sz w:val="24"/>
                <w:szCs w:val="24"/>
              </w:rPr>
            </w:pPr>
            <w:r>
              <w:rPr>
                <w:color w:val="auto"/>
                <w:sz w:val="24"/>
                <w:szCs w:val="24"/>
              </w:rPr>
              <w:t>根据项目污染物泄露的途径及所处的位置，将厂区分为重点污染防治区、一般污染防治区和非污染防治区。</w:t>
            </w:r>
            <w:r>
              <w:rPr>
                <w:rFonts w:hint="eastAsia"/>
                <w:color w:val="auto"/>
                <w:sz w:val="24"/>
                <w:szCs w:val="24"/>
                <w:lang w:eastAsia="zh-CN"/>
              </w:rPr>
              <w:t>为减少对</w:t>
            </w:r>
            <w:r>
              <w:rPr>
                <w:color w:val="auto"/>
                <w:sz w:val="24"/>
                <w:szCs w:val="24"/>
              </w:rPr>
              <w:t>土壤环境</w:t>
            </w:r>
            <w:r>
              <w:rPr>
                <w:rFonts w:hint="eastAsia"/>
                <w:color w:val="auto"/>
                <w:sz w:val="24"/>
                <w:szCs w:val="24"/>
                <w:lang w:eastAsia="zh-CN"/>
              </w:rPr>
              <w:t>的污染，厂区内绿化区域以种植具有较强吸附能力的植物为主，其他区域进行硬化处理</w:t>
            </w:r>
            <w:r>
              <w:rPr>
                <w:color w:val="auto"/>
                <w:sz w:val="24"/>
                <w:szCs w:val="24"/>
              </w:rPr>
              <w:t>。</w:t>
            </w:r>
          </w:p>
          <w:p>
            <w:pPr>
              <w:snapToGrid w:val="0"/>
              <w:spacing w:line="360" w:lineRule="auto"/>
              <w:ind w:firstLine="480" w:firstLineChars="200"/>
              <w:rPr>
                <w:color w:val="auto"/>
                <w:sz w:val="24"/>
                <w:szCs w:val="24"/>
              </w:rPr>
            </w:pPr>
            <w:r>
              <w:rPr>
                <w:rFonts w:hint="eastAsia"/>
                <w:color w:val="auto"/>
                <w:sz w:val="24"/>
                <w:szCs w:val="24"/>
              </w:rPr>
              <w:t>（3）</w:t>
            </w:r>
            <w:r>
              <w:rPr>
                <w:color w:val="auto"/>
                <w:sz w:val="24"/>
                <w:szCs w:val="24"/>
              </w:rPr>
              <w:t>跟踪监测</w:t>
            </w:r>
          </w:p>
          <w:p>
            <w:pPr>
              <w:pStyle w:val="15"/>
              <w:spacing w:line="360" w:lineRule="auto"/>
              <w:ind w:left="0" w:leftChars="0" w:right="0" w:rightChars="0" w:firstLine="480" w:firstLineChars="200"/>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根据《环境影响评价技术导则—土壤环境（试行）》（HJ 964-2018）等规范标准，项目运行后，应加强土壤的监测与管理，建立土壤环境监测管理体系，制定跟踪监测计划，同时建立项目档案，定期向相关部门汇报。土壤环境跟踪监测计划表见表</w:t>
            </w:r>
            <w:r>
              <w:rPr>
                <w:rFonts w:hint="eastAsia" w:ascii="Times New Roman" w:cs="Times New Roman" w:eastAsiaTheme="minorEastAsia"/>
                <w:color w:val="auto"/>
                <w:sz w:val="24"/>
                <w:szCs w:val="24"/>
                <w:lang w:val="en-US" w:eastAsia="zh-CN"/>
              </w:rPr>
              <w:t>31</w:t>
            </w:r>
            <w:r>
              <w:rPr>
                <w:rFonts w:hint="default" w:ascii="Times New Roman" w:hAnsi="Times New Roman" w:cs="Times New Roman" w:eastAsiaTheme="minorEastAsia"/>
                <w:color w:val="auto"/>
                <w:sz w:val="24"/>
                <w:szCs w:val="24"/>
              </w:rPr>
              <w:t>。</w:t>
            </w:r>
          </w:p>
          <w:p>
            <w:pPr>
              <w:autoSpaceDE w:val="0"/>
              <w:autoSpaceDN w:val="0"/>
              <w:spacing w:line="240" w:lineRule="auto"/>
              <w:jc w:val="center"/>
              <w:rPr>
                <w:rFonts w:hint="default" w:ascii="黑体" w:hAnsi="黑体" w:eastAsia="黑体" w:cs="黑体"/>
                <w:b w:val="0"/>
                <w:bCs/>
                <w:color w:val="auto"/>
                <w:spacing w:val="-5"/>
                <w:sz w:val="24"/>
              </w:rPr>
            </w:pPr>
            <w:r>
              <w:rPr>
                <w:rFonts w:hint="default" w:ascii="黑体" w:hAnsi="黑体" w:eastAsia="黑体" w:cs="黑体"/>
                <w:b w:val="0"/>
                <w:bCs/>
                <w:color w:val="auto"/>
                <w:spacing w:val="-5"/>
                <w:sz w:val="24"/>
              </w:rPr>
              <w:t>表</w:t>
            </w:r>
            <w:r>
              <w:rPr>
                <w:rFonts w:hint="eastAsia" w:ascii="黑体" w:hAnsi="黑体" w:eastAsia="黑体" w:cs="黑体"/>
                <w:b w:val="0"/>
                <w:bCs/>
                <w:color w:val="auto"/>
                <w:spacing w:val="-5"/>
                <w:sz w:val="24"/>
                <w:lang w:val="en-US" w:eastAsia="zh-CN"/>
              </w:rPr>
              <w:t>31</w:t>
            </w:r>
            <w:r>
              <w:rPr>
                <w:rFonts w:hint="default" w:ascii="黑体" w:hAnsi="黑体" w:eastAsia="黑体" w:cs="黑体"/>
                <w:b w:val="0"/>
                <w:bCs/>
                <w:color w:val="auto"/>
                <w:spacing w:val="-5"/>
                <w:sz w:val="24"/>
              </w:rPr>
              <w:t xml:space="preserve">  土壤环境跟踪监测计划一览表</w:t>
            </w:r>
          </w:p>
          <w:tbl>
            <w:tblPr>
              <w:tblStyle w:val="31"/>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57" w:type="dxa"/>
                <w:left w:w="108" w:type="dxa"/>
                <w:bottom w:w="57" w:type="dxa"/>
                <w:right w:w="108" w:type="dxa"/>
              </w:tblCellMar>
            </w:tblPr>
            <w:tblGrid>
              <w:gridCol w:w="1227"/>
              <w:gridCol w:w="2464"/>
              <w:gridCol w:w="2277"/>
              <w:gridCol w:w="309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57" w:type="dxa"/>
                  <w:left w:w="108" w:type="dxa"/>
                  <w:bottom w:w="57" w:type="dxa"/>
                  <w:right w:w="108" w:type="dxa"/>
                </w:tblCellMar>
              </w:tblPrEx>
              <w:trPr>
                <w:trHeight w:val="23" w:hRule="atLeast"/>
                <w:jc w:val="center"/>
              </w:trPr>
              <w:tc>
                <w:tcPr>
                  <w:tcW w:w="676" w:type="pct"/>
                  <w:tcBorders>
                    <w:tl2br w:val="nil"/>
                    <w:tr2bl w:val="nil"/>
                  </w:tcBorders>
                  <w:noWrap w:val="0"/>
                  <w:vAlign w:val="center"/>
                </w:tcPr>
                <w:p>
                  <w:pPr>
                    <w:adjustRightInd w:val="0"/>
                    <w:snapToGrid w:val="0"/>
                    <w:jc w:val="center"/>
                    <w:rPr>
                      <w:color w:val="auto"/>
                      <w:sz w:val="21"/>
                      <w:szCs w:val="21"/>
                    </w:rPr>
                  </w:pPr>
                  <w:r>
                    <w:rPr>
                      <w:color w:val="auto"/>
                      <w:sz w:val="21"/>
                      <w:szCs w:val="21"/>
                    </w:rPr>
                    <w:t>监测项目</w:t>
                  </w:r>
                </w:p>
              </w:tc>
              <w:tc>
                <w:tcPr>
                  <w:tcW w:w="1358" w:type="pct"/>
                  <w:tcBorders>
                    <w:tl2br w:val="nil"/>
                    <w:tr2bl w:val="nil"/>
                  </w:tcBorders>
                  <w:noWrap w:val="0"/>
                  <w:vAlign w:val="center"/>
                </w:tcPr>
                <w:p>
                  <w:pPr>
                    <w:adjustRightInd w:val="0"/>
                    <w:snapToGrid w:val="0"/>
                    <w:jc w:val="center"/>
                    <w:rPr>
                      <w:color w:val="auto"/>
                      <w:sz w:val="21"/>
                      <w:szCs w:val="21"/>
                    </w:rPr>
                  </w:pPr>
                  <w:r>
                    <w:rPr>
                      <w:color w:val="auto"/>
                      <w:sz w:val="21"/>
                      <w:szCs w:val="21"/>
                    </w:rPr>
                    <w:t>监测点位</w:t>
                  </w:r>
                </w:p>
              </w:tc>
              <w:tc>
                <w:tcPr>
                  <w:tcW w:w="1255" w:type="pct"/>
                  <w:tcBorders>
                    <w:tl2br w:val="nil"/>
                    <w:tr2bl w:val="nil"/>
                  </w:tcBorders>
                  <w:noWrap w:val="0"/>
                  <w:vAlign w:val="center"/>
                </w:tcPr>
                <w:p>
                  <w:pPr>
                    <w:adjustRightInd w:val="0"/>
                    <w:snapToGrid w:val="0"/>
                    <w:jc w:val="center"/>
                    <w:rPr>
                      <w:color w:val="auto"/>
                      <w:sz w:val="21"/>
                      <w:szCs w:val="21"/>
                    </w:rPr>
                  </w:pPr>
                  <w:r>
                    <w:rPr>
                      <w:color w:val="auto"/>
                      <w:sz w:val="21"/>
                      <w:szCs w:val="21"/>
                    </w:rPr>
                    <w:t>监测因子</w:t>
                  </w:r>
                </w:p>
              </w:tc>
              <w:tc>
                <w:tcPr>
                  <w:tcW w:w="1708" w:type="pct"/>
                  <w:tcBorders>
                    <w:tl2br w:val="nil"/>
                    <w:tr2bl w:val="nil"/>
                  </w:tcBorders>
                  <w:noWrap w:val="0"/>
                  <w:vAlign w:val="center"/>
                </w:tcPr>
                <w:p>
                  <w:pPr>
                    <w:adjustRightInd w:val="0"/>
                    <w:snapToGrid w:val="0"/>
                    <w:ind w:firstLine="480"/>
                    <w:jc w:val="center"/>
                    <w:rPr>
                      <w:color w:val="auto"/>
                      <w:sz w:val="21"/>
                      <w:szCs w:val="21"/>
                    </w:rPr>
                  </w:pPr>
                  <w:r>
                    <w:rPr>
                      <w:color w:val="auto"/>
                      <w:sz w:val="21"/>
                      <w:szCs w:val="21"/>
                    </w:rPr>
                    <w:t>监测频率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57" w:type="dxa"/>
                  <w:left w:w="108" w:type="dxa"/>
                  <w:bottom w:w="57" w:type="dxa"/>
                  <w:right w:w="108" w:type="dxa"/>
                </w:tblCellMar>
              </w:tblPrEx>
              <w:trPr>
                <w:trHeight w:val="23" w:hRule="atLeast"/>
                <w:jc w:val="center"/>
              </w:trPr>
              <w:tc>
                <w:tcPr>
                  <w:tcW w:w="676" w:type="pct"/>
                  <w:tcBorders>
                    <w:tl2br w:val="nil"/>
                    <w:tr2bl w:val="nil"/>
                  </w:tcBorders>
                  <w:noWrap w:val="0"/>
                  <w:vAlign w:val="center"/>
                </w:tcPr>
                <w:p>
                  <w:pPr>
                    <w:adjustRightInd w:val="0"/>
                    <w:snapToGrid w:val="0"/>
                    <w:jc w:val="center"/>
                    <w:rPr>
                      <w:color w:val="auto"/>
                      <w:sz w:val="21"/>
                      <w:szCs w:val="21"/>
                    </w:rPr>
                  </w:pPr>
                  <w:r>
                    <w:rPr>
                      <w:color w:val="auto"/>
                      <w:sz w:val="21"/>
                      <w:szCs w:val="21"/>
                    </w:rPr>
                    <w:t>土壤</w:t>
                  </w:r>
                </w:p>
              </w:tc>
              <w:tc>
                <w:tcPr>
                  <w:tcW w:w="1358" w:type="pct"/>
                  <w:tcBorders>
                    <w:tl2br w:val="nil"/>
                    <w:tr2bl w:val="nil"/>
                  </w:tcBorders>
                  <w:noWrap w:val="0"/>
                  <w:vAlign w:val="center"/>
                </w:tcPr>
                <w:p>
                  <w:pPr>
                    <w:adjustRightInd w:val="0"/>
                    <w:snapToGrid w:val="0"/>
                    <w:jc w:val="center"/>
                    <w:rPr>
                      <w:color w:val="auto"/>
                      <w:sz w:val="21"/>
                      <w:szCs w:val="21"/>
                    </w:rPr>
                  </w:pPr>
                  <w:r>
                    <w:rPr>
                      <w:rFonts w:hint="eastAsia"/>
                      <w:color w:val="auto"/>
                      <w:sz w:val="21"/>
                      <w:szCs w:val="21"/>
                      <w:lang w:val="en-US" w:eastAsia="zh-CN"/>
                    </w:rPr>
                    <w:t>焊接加工区</w:t>
                  </w:r>
                  <w:r>
                    <w:rPr>
                      <w:rFonts w:hint="eastAsia"/>
                      <w:color w:val="auto"/>
                      <w:sz w:val="21"/>
                      <w:szCs w:val="21"/>
                      <w:lang w:eastAsia="zh-CN"/>
                    </w:rPr>
                    <w:t>附近</w:t>
                  </w:r>
                </w:p>
              </w:tc>
              <w:tc>
                <w:tcPr>
                  <w:tcW w:w="1255" w:type="pct"/>
                  <w:tcBorders>
                    <w:tl2br w:val="nil"/>
                    <w:tr2bl w:val="nil"/>
                  </w:tcBorders>
                  <w:noWrap w:val="0"/>
                  <w:vAlign w:val="center"/>
                </w:tcPr>
                <w:p>
                  <w:pPr>
                    <w:adjustRightInd w:val="0"/>
                    <w:snapToGrid w:val="0"/>
                    <w:jc w:val="center"/>
                    <w:rPr>
                      <w:rFonts w:hint="default"/>
                      <w:color w:val="auto"/>
                      <w:sz w:val="21"/>
                      <w:szCs w:val="21"/>
                      <w:lang w:val="en-US" w:eastAsia="zh-CN"/>
                    </w:rPr>
                  </w:pPr>
                  <w:r>
                    <w:rPr>
                      <w:rFonts w:hint="eastAsia"/>
                      <w:color w:val="auto"/>
                      <w:sz w:val="21"/>
                      <w:szCs w:val="21"/>
                      <w:lang w:val="en-US" w:eastAsia="zh-CN"/>
                    </w:rPr>
                    <w:t>45项基本因子</w:t>
                  </w:r>
                </w:p>
              </w:tc>
              <w:tc>
                <w:tcPr>
                  <w:tcW w:w="1708" w:type="pct"/>
                  <w:tcBorders>
                    <w:tl2br w:val="nil"/>
                    <w:tr2bl w:val="nil"/>
                  </w:tcBorders>
                  <w:noWrap w:val="0"/>
                  <w:vAlign w:val="center"/>
                </w:tcPr>
                <w:p>
                  <w:pPr>
                    <w:adjustRightInd w:val="0"/>
                    <w:snapToGrid w:val="0"/>
                    <w:ind w:firstLine="480"/>
                    <w:jc w:val="center"/>
                    <w:rPr>
                      <w:color w:val="auto"/>
                      <w:sz w:val="21"/>
                      <w:szCs w:val="21"/>
                    </w:rPr>
                  </w:pPr>
                  <w:r>
                    <w:rPr>
                      <w:color w:val="auto"/>
                      <w:sz w:val="21"/>
                      <w:szCs w:val="21"/>
                    </w:rPr>
                    <w:t>每五年开展一次</w:t>
                  </w:r>
                </w:p>
              </w:tc>
            </w:tr>
          </w:tbl>
          <w:p>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color w:val="auto"/>
                <w:sz w:val="24"/>
                <w:szCs w:val="24"/>
              </w:rPr>
            </w:pPr>
          </w:p>
          <w:p>
            <w:pPr>
              <w:keepNext/>
              <w:keepLines/>
              <w:spacing w:before="80" w:after="80" w:line="360" w:lineRule="auto"/>
              <w:ind w:firstLine="472" w:firstLineChars="196"/>
              <w:outlineLvl w:val="2"/>
              <w:rPr>
                <w:rFonts w:hint="eastAsia"/>
                <w:b/>
                <w:bCs/>
                <w:color w:val="auto"/>
                <w:sz w:val="24"/>
                <w:szCs w:val="24"/>
                <w:lang w:val="en-US" w:eastAsia="zh-CN"/>
              </w:rPr>
            </w:pPr>
            <w:r>
              <w:rPr>
                <w:rFonts w:hint="eastAsia"/>
                <w:b/>
                <w:bCs/>
                <w:color w:val="auto"/>
                <w:sz w:val="24"/>
                <w:szCs w:val="24"/>
                <w:lang w:val="en-US" w:eastAsia="zh-CN"/>
              </w:rPr>
              <w:t>6.8建议</w:t>
            </w:r>
          </w:p>
          <w:p>
            <w:pPr>
              <w:pStyle w:val="119"/>
              <w:ind w:firstLine="480"/>
              <w:rPr>
                <w:rFonts w:hint="eastAsia"/>
                <w:color w:val="auto"/>
                <w:sz w:val="24"/>
                <w:szCs w:val="24"/>
              </w:rPr>
            </w:pPr>
            <w:r>
              <w:rPr>
                <w:rFonts w:hint="eastAsia"/>
                <w:color w:val="auto"/>
                <w:sz w:val="24"/>
                <w:szCs w:val="24"/>
              </w:rPr>
              <w:t>①土壤污染不易发现，且治理难度大、时间长、耗资大，因此，防治土壤污染应遵循“</w:t>
            </w:r>
            <w:r>
              <w:rPr>
                <w:color w:val="auto"/>
                <w:sz w:val="24"/>
                <w:szCs w:val="24"/>
              </w:rPr>
              <w:t>源头控制、分区防治、跟踪监测</w:t>
            </w:r>
            <w:r>
              <w:rPr>
                <w:rFonts w:hint="eastAsia"/>
                <w:color w:val="auto"/>
                <w:sz w:val="24"/>
                <w:szCs w:val="24"/>
              </w:rPr>
              <w:t>”原则，落实污染防治措施，并建立应急响应机制。</w:t>
            </w:r>
          </w:p>
          <w:p>
            <w:pPr>
              <w:pStyle w:val="119"/>
              <w:ind w:firstLine="480"/>
              <w:rPr>
                <w:color w:val="auto"/>
                <w:sz w:val="24"/>
                <w:szCs w:val="24"/>
              </w:rPr>
            </w:pPr>
            <w:r>
              <w:rPr>
                <w:rFonts w:hint="eastAsia"/>
                <w:color w:val="auto"/>
                <w:sz w:val="24"/>
                <w:szCs w:val="24"/>
              </w:rPr>
              <w:t>②</w:t>
            </w:r>
            <w:r>
              <w:rPr>
                <w:color w:val="auto"/>
                <w:sz w:val="24"/>
                <w:szCs w:val="24"/>
              </w:rPr>
              <w:t>企业要加强防治结合、预防为主的环境保护措施，严格遵守环境影响评价制度和</w:t>
            </w:r>
            <w:r>
              <w:rPr>
                <w:rFonts w:hint="eastAsia"/>
                <w:color w:val="auto"/>
                <w:sz w:val="24"/>
                <w:szCs w:val="24"/>
              </w:rPr>
              <w:t>“</w:t>
            </w:r>
            <w:r>
              <w:rPr>
                <w:color w:val="auto"/>
                <w:sz w:val="24"/>
                <w:szCs w:val="24"/>
              </w:rPr>
              <w:t>三同时</w:t>
            </w:r>
            <w:r>
              <w:rPr>
                <w:rFonts w:hint="eastAsia"/>
                <w:color w:val="auto"/>
                <w:sz w:val="24"/>
                <w:szCs w:val="24"/>
              </w:rPr>
              <w:t>”</w:t>
            </w:r>
            <w:r>
              <w:rPr>
                <w:color w:val="auto"/>
                <w:sz w:val="24"/>
                <w:szCs w:val="24"/>
              </w:rPr>
              <w:t>制度，建立和完善环境管理体系，全面实施清洁生产，杜绝土壤污染事件发生。</w:t>
            </w:r>
          </w:p>
          <w:p>
            <w:pPr>
              <w:spacing w:line="360" w:lineRule="auto"/>
              <w:ind w:firstLine="480" w:firstLineChars="200"/>
              <w:rPr>
                <w:color w:val="auto"/>
                <w:sz w:val="24"/>
                <w:szCs w:val="24"/>
              </w:rPr>
            </w:pPr>
            <w:r>
              <w:rPr>
                <w:color w:val="auto"/>
                <w:sz w:val="24"/>
                <w:szCs w:val="24"/>
              </w:rPr>
              <w:t>经采取严格的措施后，评价认为正常状态项目的建设对土壤环境影响较小。</w:t>
            </w:r>
          </w:p>
          <w:p>
            <w:pPr>
              <w:pStyle w:val="38"/>
              <w:keepNext w:val="0"/>
              <w:keepLines w:val="0"/>
              <w:pageBreakBefore w:val="0"/>
              <w:widowControl w:val="0"/>
              <w:kinsoku/>
              <w:wordWrap/>
              <w:overflowPunct/>
              <w:topLinePunct w:val="0"/>
              <w:autoSpaceDE w:val="0"/>
              <w:autoSpaceDN w:val="0"/>
              <w:bidi w:val="0"/>
              <w:adjustRightInd w:val="0"/>
              <w:snapToGrid/>
              <w:spacing w:line="360" w:lineRule="auto"/>
              <w:ind w:firstLine="482" w:firstLineChars="200"/>
              <w:textAlignment w:val="auto"/>
              <w:rPr>
                <w:rFonts w:hint="default" w:eastAsia="宋体"/>
                <w:b/>
                <w:bCs/>
                <w:sz w:val="24"/>
                <w:lang w:val="en-US" w:eastAsia="zh-CN"/>
              </w:rPr>
            </w:pPr>
            <w:r>
              <w:rPr>
                <w:rFonts w:hint="eastAsia" w:eastAsia="宋体"/>
                <w:b/>
                <w:bCs/>
                <w:sz w:val="24"/>
                <w:lang w:val="en-US" w:eastAsia="zh-CN"/>
              </w:rPr>
              <w:t>6.</w:t>
            </w:r>
            <w:r>
              <w:rPr>
                <w:rFonts w:hint="eastAsia"/>
                <w:b/>
                <w:bCs/>
                <w:sz w:val="24"/>
                <w:lang w:val="en-US" w:eastAsia="zh-CN"/>
              </w:rPr>
              <w:t>9</w:t>
            </w:r>
            <w:r>
              <w:rPr>
                <w:rFonts w:hint="default" w:eastAsia="宋体"/>
                <w:b/>
                <w:bCs/>
                <w:sz w:val="24"/>
                <w:lang w:val="en-US" w:eastAsia="zh-CN"/>
              </w:rPr>
              <w:t>土壤环境影响自查表</w:t>
            </w:r>
          </w:p>
          <w:p>
            <w:pPr>
              <w:pStyle w:val="7"/>
              <w:bidi w:val="0"/>
              <w:rPr>
                <w:rFonts w:hint="eastAsia" w:ascii="黑体" w:hAnsi="黑体" w:eastAsia="黑体" w:cs="黑体"/>
                <w:b w:val="0"/>
                <w:bCs w:val="0"/>
                <w:color w:val="auto"/>
                <w:kern w:val="2"/>
                <w:sz w:val="24"/>
                <w:szCs w:val="24"/>
                <w:highlight w:val="none"/>
                <w:u w:val="none"/>
                <w:lang w:val="en-US" w:eastAsia="zh-CN" w:bidi="ar-SA"/>
              </w:rPr>
            </w:pPr>
            <w:r>
              <w:rPr>
                <w:rFonts w:hint="eastAsia" w:ascii="黑体" w:hAnsi="黑体" w:eastAsia="黑体" w:cs="黑体"/>
                <w:b w:val="0"/>
                <w:bCs w:val="0"/>
                <w:color w:val="auto"/>
                <w:kern w:val="2"/>
                <w:sz w:val="24"/>
                <w:szCs w:val="24"/>
                <w:highlight w:val="none"/>
                <w:u w:val="none"/>
                <w:lang w:val="en-US" w:eastAsia="zh-CN" w:bidi="ar-SA"/>
              </w:rPr>
              <w:t>表32  土壤环境影响评价自查表</w:t>
            </w:r>
          </w:p>
          <w:tbl>
            <w:tblPr>
              <w:tblStyle w:val="31"/>
              <w:tblW w:w="9037" w:type="dxa"/>
              <w:jc w:val="center"/>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autofit"/>
              <w:tblCellMar>
                <w:top w:w="0" w:type="dxa"/>
                <w:left w:w="108" w:type="dxa"/>
                <w:bottom w:w="0" w:type="dxa"/>
                <w:right w:w="108" w:type="dxa"/>
              </w:tblCellMar>
            </w:tblPr>
            <w:tblGrid>
              <w:gridCol w:w="428"/>
              <w:gridCol w:w="1683"/>
              <w:gridCol w:w="1421"/>
              <w:gridCol w:w="1538"/>
              <w:gridCol w:w="1366"/>
              <w:gridCol w:w="262"/>
              <w:gridCol w:w="1184"/>
              <w:gridCol w:w="1155"/>
            </w:tblGrid>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2111"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b/>
                      <w:color w:val="000000"/>
                      <w:sz w:val="21"/>
                      <w:szCs w:val="21"/>
                      <w:highlight w:val="none"/>
                    </w:rPr>
                  </w:pPr>
                  <w:r>
                    <w:rPr>
                      <w:rFonts w:hint="default" w:ascii="Times New Roman" w:hAnsi="Times New Roman" w:eastAsia="宋体" w:cs="Times New Roman"/>
                      <w:b/>
                      <w:color w:val="000000"/>
                      <w:sz w:val="21"/>
                      <w:szCs w:val="21"/>
                      <w:highlight w:val="none"/>
                    </w:rPr>
                    <w:t>工作内容</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b/>
                      <w:color w:val="000000"/>
                      <w:sz w:val="21"/>
                      <w:szCs w:val="21"/>
                      <w:highlight w:val="none"/>
                    </w:rPr>
                  </w:pPr>
                  <w:r>
                    <w:rPr>
                      <w:rFonts w:hint="default" w:ascii="Times New Roman" w:hAnsi="Times New Roman" w:eastAsia="宋体" w:cs="Times New Roman"/>
                      <w:b/>
                      <w:color w:val="000000"/>
                      <w:sz w:val="21"/>
                      <w:szCs w:val="21"/>
                      <w:highlight w:val="none"/>
                    </w:rPr>
                    <w:t>完成情况</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b/>
                      <w:color w:val="000000"/>
                      <w:sz w:val="21"/>
                      <w:szCs w:val="21"/>
                      <w:highlight w:val="none"/>
                    </w:rPr>
                  </w:pPr>
                  <w:r>
                    <w:rPr>
                      <w:rFonts w:hint="default" w:ascii="Times New Roman" w:hAnsi="Times New Roman" w:eastAsia="宋体" w:cs="Times New Roman"/>
                      <w:b/>
                      <w:color w:val="000000"/>
                      <w:sz w:val="21"/>
                      <w:szCs w:val="21"/>
                      <w:highlight w:val="none"/>
                    </w:rPr>
                    <w:t>备注</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影响识别</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影响类型</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污染影响型☑；生态影响型</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；两种兼有</w:t>
                  </w:r>
                  <w:r>
                    <w:rPr>
                      <w:rFonts w:hint="default" w:ascii="Times New Roman" w:hAnsi="Times New Roman" w:eastAsia="宋体" w:cs="Times New Roman"/>
                      <w:color w:val="000000"/>
                      <w:sz w:val="21"/>
                      <w:szCs w:val="21"/>
                      <w:highlight w:val="none"/>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土地利用类型</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建设用地☑；农用地□；未利用地□</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pacing w:val="10"/>
                      <w:position w:val="-1"/>
                      <w:sz w:val="21"/>
                      <w:szCs w:val="21"/>
                      <w:highlight w:val="none"/>
                    </w:rPr>
                    <w:t>土</w:t>
                  </w:r>
                  <w:r>
                    <w:rPr>
                      <w:rFonts w:hint="default" w:ascii="Times New Roman" w:hAnsi="Times New Roman" w:eastAsia="宋体" w:cs="Times New Roman"/>
                      <w:color w:val="000000"/>
                      <w:spacing w:val="7"/>
                      <w:position w:val="-1"/>
                      <w:sz w:val="21"/>
                      <w:szCs w:val="21"/>
                      <w:highlight w:val="none"/>
                    </w:rPr>
                    <w:t>地</w:t>
                  </w:r>
                  <w:r>
                    <w:rPr>
                      <w:rFonts w:hint="default" w:ascii="Times New Roman" w:hAnsi="Times New Roman" w:eastAsia="宋体" w:cs="Times New Roman"/>
                      <w:color w:val="000000"/>
                      <w:spacing w:val="10"/>
                      <w:position w:val="-1"/>
                      <w:sz w:val="21"/>
                      <w:szCs w:val="21"/>
                      <w:highlight w:val="none"/>
                    </w:rPr>
                    <w:t>利用</w:t>
                  </w:r>
                  <w:r>
                    <w:rPr>
                      <w:rFonts w:hint="default" w:ascii="Times New Roman" w:hAnsi="Times New Roman" w:eastAsia="宋体" w:cs="Times New Roman"/>
                      <w:color w:val="000000"/>
                      <w:position w:val="-1"/>
                      <w:sz w:val="21"/>
                      <w:szCs w:val="21"/>
                      <w:highlight w:val="none"/>
                    </w:rPr>
                    <w:t>类</w:t>
                  </w:r>
                  <w:r>
                    <w:rPr>
                      <w:rFonts w:hint="default" w:ascii="Times New Roman" w:hAnsi="Times New Roman" w:eastAsia="宋体" w:cs="Times New Roman"/>
                      <w:color w:val="000000"/>
                      <w:sz w:val="21"/>
                      <w:szCs w:val="21"/>
                      <w:highlight w:val="none"/>
                    </w:rPr>
                    <w:t>型图</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占地规模</w:t>
                  </w:r>
                </w:p>
              </w:tc>
              <w:tc>
                <w:tcPr>
                  <w:tcW w:w="5771" w:type="dxa"/>
                  <w:gridSpan w:val="5"/>
                  <w:tcBorders>
                    <w:tl2br w:val="nil"/>
                    <w:tr2bl w:val="nil"/>
                  </w:tcBorders>
                  <w:noWrap w:val="0"/>
                  <w:vAlign w:val="center"/>
                </w:tcPr>
                <w:p>
                  <w:pPr>
                    <w:keepNext w:val="0"/>
                    <w:keepLines w:val="0"/>
                    <w:pageBreakBefore w:val="0"/>
                    <w:tabs>
                      <w:tab w:val="left" w:pos="1360"/>
                    </w:tabs>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w:t>
                  </w:r>
                  <w:r>
                    <w:rPr>
                      <w:rFonts w:hint="eastAsia" w:cs="Times New Roman"/>
                      <w:color w:val="000000"/>
                      <w:position w:val="-1"/>
                      <w:sz w:val="21"/>
                      <w:szCs w:val="21"/>
                      <w:highlight w:val="none"/>
                      <w:lang w:val="en-US" w:eastAsia="zh-CN"/>
                    </w:rPr>
                    <w:t>0.9</w:t>
                  </w:r>
                  <w:r>
                    <w:rPr>
                      <w:rFonts w:hint="default" w:ascii="Times New Roman" w:hAnsi="Times New Roman" w:eastAsia="宋体" w:cs="Times New Roman"/>
                      <w:color w:val="000000"/>
                      <w:position w:val="-1"/>
                      <w:sz w:val="21"/>
                      <w:szCs w:val="21"/>
                      <w:highlight w:val="none"/>
                    </w:rPr>
                    <w:t>）hm</w:t>
                  </w:r>
                  <w:r>
                    <w:rPr>
                      <w:rFonts w:hint="default" w:ascii="Times New Roman" w:hAnsi="Times New Roman" w:eastAsia="宋体" w:cs="Times New Roman"/>
                      <w:color w:val="000000"/>
                      <w:position w:val="-1"/>
                      <w:sz w:val="21"/>
                      <w:szCs w:val="21"/>
                      <w:highlight w:val="none"/>
                      <w:vertAlign w:val="superscript"/>
                    </w:rPr>
                    <w:t>2</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敏感目标信息</w:t>
                  </w:r>
                </w:p>
              </w:tc>
              <w:tc>
                <w:tcPr>
                  <w:tcW w:w="5771" w:type="dxa"/>
                  <w:gridSpan w:val="5"/>
                  <w:tcBorders>
                    <w:tl2br w:val="nil"/>
                    <w:tr2bl w:val="nil"/>
                  </w:tcBorders>
                  <w:noWrap w:val="0"/>
                  <w:vAlign w:val="center"/>
                </w:tcPr>
                <w:p>
                  <w:pPr>
                    <w:keepNext w:val="0"/>
                    <w:keepLines w:val="0"/>
                    <w:pageBreakBefore w:val="0"/>
                    <w:tabs>
                      <w:tab w:val="left" w:pos="1620"/>
                      <w:tab w:val="left" w:pos="3520"/>
                      <w:tab w:val="left" w:pos="5140"/>
                    </w:tabs>
                    <w:kinsoku/>
                    <w:wordWrap/>
                    <w:overflowPunct/>
                    <w:topLinePunct w:val="0"/>
                    <w:autoSpaceDE/>
                    <w:autoSpaceDN/>
                    <w:bidi w:val="0"/>
                    <w:adjustRightInd w:val="0"/>
                    <w:snapToGrid w:val="0"/>
                    <w:spacing w:line="240" w:lineRule="auto"/>
                    <w:ind w:firstLine="0" w:firstLineChars="0"/>
                    <w:jc w:val="both"/>
                    <w:textAlignment w:val="auto"/>
                    <w:rPr>
                      <w:rFonts w:hint="default"/>
                    </w:rPr>
                  </w:pPr>
                  <w:r>
                    <w:rPr>
                      <w:rFonts w:hint="default"/>
                    </w:rPr>
                    <w:t>敏感目标（耕地）、方位（</w:t>
                  </w:r>
                  <w:r>
                    <w:rPr>
                      <w:rFonts w:hint="eastAsia"/>
                      <w:lang w:eastAsia="zh-CN"/>
                    </w:rPr>
                    <w:t>南、东</w:t>
                  </w:r>
                  <w:r>
                    <w:rPr>
                      <w:rFonts w:hint="default"/>
                    </w:rPr>
                    <w:t>）、距离（</w:t>
                  </w:r>
                  <w:r>
                    <w:rPr>
                      <w:rFonts w:hint="eastAsia"/>
                      <w:lang w:eastAsia="zh-CN"/>
                    </w:rPr>
                    <w:t>紧邻</w:t>
                  </w:r>
                  <w:r>
                    <w:rPr>
                      <w:rFonts w:hint="default"/>
                    </w:rPr>
                    <w:t>）</w:t>
                  </w:r>
                </w:p>
                <w:p>
                  <w:pPr>
                    <w:pStyle w:val="2"/>
                    <w:ind w:left="0" w:leftChars="0" w:firstLine="0" w:firstLineChars="0"/>
                    <w:rPr>
                      <w:rFonts w:hint="default"/>
                    </w:rPr>
                  </w:pPr>
                  <w:r>
                    <w:rPr>
                      <w:rFonts w:hint="default"/>
                    </w:rPr>
                    <w:t>敏感目标（</w:t>
                  </w:r>
                  <w:r>
                    <w:rPr>
                      <w:rFonts w:hint="eastAsia"/>
                      <w:lang w:eastAsia="zh-CN"/>
                    </w:rPr>
                    <w:t>坡头村</w:t>
                  </w:r>
                  <w:r>
                    <w:rPr>
                      <w:rFonts w:hint="default"/>
                    </w:rPr>
                    <w:t>）、方位（</w:t>
                  </w:r>
                  <w:r>
                    <w:rPr>
                      <w:rFonts w:hint="eastAsia"/>
                      <w:lang w:eastAsia="zh-CN"/>
                    </w:rPr>
                    <w:t>西</w:t>
                  </w:r>
                  <w:r>
                    <w:rPr>
                      <w:rFonts w:hint="default"/>
                    </w:rPr>
                    <w:t>）、距离（</w:t>
                  </w:r>
                  <w:r>
                    <w:rPr>
                      <w:rFonts w:hint="eastAsia"/>
                      <w:lang w:val="en-US" w:eastAsia="zh-CN"/>
                    </w:rPr>
                    <w:t>35m</w:t>
                  </w:r>
                  <w:r>
                    <w:rPr>
                      <w:rFonts w:hint="default"/>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影响途径</w:t>
                  </w:r>
                </w:p>
              </w:tc>
              <w:tc>
                <w:tcPr>
                  <w:tcW w:w="5771" w:type="dxa"/>
                  <w:gridSpan w:val="5"/>
                  <w:tcBorders>
                    <w:tl2br w:val="nil"/>
                    <w:tr2bl w:val="nil"/>
                  </w:tcBorders>
                  <w:noWrap w:val="0"/>
                  <w:vAlign w:val="center"/>
                </w:tcPr>
                <w:p>
                  <w:pPr>
                    <w:keepNext w:val="0"/>
                    <w:keepLines w:val="0"/>
                    <w:pageBreakBefore w:val="0"/>
                    <w:tabs>
                      <w:tab w:val="left" w:pos="5220"/>
                    </w:tabs>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大气沉降☑；地面漫流</w:t>
                  </w:r>
                  <w:r>
                    <w:rPr>
                      <w:rFonts w:hint="eastAsia" w:cs="Times New Roman"/>
                      <w:color w:val="000000"/>
                      <w:position w:val="-1"/>
                      <w:sz w:val="21"/>
                      <w:szCs w:val="21"/>
                      <w:highlight w:val="none"/>
                      <w:lang w:eastAsia="zh-CN"/>
                    </w:rPr>
                    <w:t>□</w:t>
                  </w:r>
                  <w:r>
                    <w:rPr>
                      <w:rFonts w:hint="default" w:ascii="Times New Roman" w:hAnsi="Times New Roman" w:eastAsia="宋体" w:cs="Times New Roman"/>
                      <w:color w:val="000000"/>
                      <w:position w:val="-1"/>
                      <w:sz w:val="21"/>
                      <w:szCs w:val="21"/>
                      <w:highlight w:val="none"/>
                    </w:rPr>
                    <w:t>；垂直入渗☑；地下水位</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；其他（</w:t>
                  </w:r>
                  <w:r>
                    <w:rPr>
                      <w:rFonts w:hint="default" w:ascii="Times New Roman" w:hAnsi="Times New Roman" w:eastAsia="宋体" w:cs="Times New Roman"/>
                      <w:color w:val="000000"/>
                      <w:position w:val="-1"/>
                      <w:sz w:val="21"/>
                      <w:szCs w:val="21"/>
                      <w:highlight w:val="none"/>
                    </w:rPr>
                    <w:tab/>
                  </w:r>
                  <w:r>
                    <w:rPr>
                      <w:rFonts w:hint="default" w:ascii="Times New Roman" w:hAnsi="Times New Roman" w:eastAsia="宋体" w:cs="Times New Roman"/>
                      <w:color w:val="000000"/>
                      <w:position w:val="-1"/>
                      <w:sz w:val="21"/>
                      <w:szCs w:val="21"/>
                      <w:highlight w:val="none"/>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全部污染物</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颗粒物、COD、NH</w:t>
                  </w:r>
                  <w:r>
                    <w:rPr>
                      <w:rFonts w:hint="default" w:ascii="Times New Roman" w:hAnsi="Times New Roman" w:eastAsia="宋体" w:cs="Times New Roman"/>
                      <w:color w:val="000000"/>
                      <w:sz w:val="21"/>
                      <w:szCs w:val="21"/>
                      <w:highlight w:val="none"/>
                      <w:vertAlign w:val="subscript"/>
                    </w:rPr>
                    <w:t>3</w:t>
                  </w:r>
                  <w:r>
                    <w:rPr>
                      <w:rFonts w:hint="default" w:ascii="Times New Roman" w:hAnsi="Times New Roman" w:eastAsia="宋体" w:cs="Times New Roman"/>
                      <w:color w:val="000000"/>
                      <w:sz w:val="21"/>
                      <w:szCs w:val="21"/>
                      <w:highlight w:val="none"/>
                    </w:rPr>
                    <w:t>-N、SS</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特征因子</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颗粒物、COD、NH</w:t>
                  </w:r>
                  <w:r>
                    <w:rPr>
                      <w:rFonts w:hint="default" w:ascii="Times New Roman" w:hAnsi="Times New Roman" w:eastAsia="宋体" w:cs="Times New Roman"/>
                      <w:color w:val="000000"/>
                      <w:sz w:val="21"/>
                      <w:szCs w:val="21"/>
                      <w:highlight w:val="none"/>
                      <w:vertAlign w:val="subscript"/>
                    </w:rPr>
                    <w:t>3</w:t>
                  </w:r>
                  <w:r>
                    <w:rPr>
                      <w:rFonts w:hint="default" w:ascii="Times New Roman" w:hAnsi="Times New Roman" w:eastAsia="宋体" w:cs="Times New Roman"/>
                      <w:color w:val="000000"/>
                      <w:sz w:val="21"/>
                      <w:szCs w:val="21"/>
                      <w:highlight w:val="none"/>
                    </w:rPr>
                    <w:t>-N</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所属土壤环境影响</w:t>
                  </w:r>
                  <w:r>
                    <w:rPr>
                      <w:rFonts w:hint="default" w:ascii="Times New Roman" w:hAnsi="Times New Roman" w:eastAsia="宋体" w:cs="Times New Roman"/>
                      <w:color w:val="000000"/>
                      <w:sz w:val="21"/>
                      <w:szCs w:val="21"/>
                      <w:highlight w:val="none"/>
                    </w:rPr>
                    <w:t>评价项目类别</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Ⅰ类</w:t>
                  </w:r>
                  <w:r>
                    <w:rPr>
                      <w:rFonts w:hint="eastAsia" w:cs="Times New Roman"/>
                      <w:color w:val="000000"/>
                      <w:position w:val="-1"/>
                      <w:sz w:val="21"/>
                      <w:szCs w:val="21"/>
                      <w:highlight w:val="none"/>
                      <w:lang w:eastAsia="zh-CN"/>
                    </w:rPr>
                    <w:t>□</w:t>
                  </w:r>
                  <w:r>
                    <w:rPr>
                      <w:rFonts w:hint="default" w:ascii="Times New Roman" w:hAnsi="Times New Roman" w:eastAsia="宋体" w:cs="Times New Roman"/>
                      <w:color w:val="000000"/>
                      <w:sz w:val="21"/>
                      <w:szCs w:val="21"/>
                      <w:highlight w:val="none"/>
                    </w:rPr>
                    <w:t>；Ⅱ类□；Ⅲ类</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z w:val="21"/>
                      <w:szCs w:val="21"/>
                      <w:highlight w:val="none"/>
                    </w:rPr>
                    <w:t>；Ⅳ类□</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敏感程度</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敏感☑；较敏感</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；不敏感</w:t>
                  </w:r>
                  <w:r>
                    <w:rPr>
                      <w:rFonts w:hint="default" w:ascii="Times New Roman" w:hAnsi="Times New Roman" w:eastAsia="宋体" w:cs="Times New Roman"/>
                      <w:color w:val="000000"/>
                      <w:sz w:val="21"/>
                      <w:szCs w:val="21"/>
                      <w:highlight w:val="none"/>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2111"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评价工作等级</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一级</w:t>
                  </w:r>
                  <w:r>
                    <w:rPr>
                      <w:rFonts w:hint="eastAsia" w:cs="Times New Roman"/>
                      <w:color w:val="000000"/>
                      <w:position w:val="-1"/>
                      <w:sz w:val="21"/>
                      <w:szCs w:val="21"/>
                      <w:highlight w:val="none"/>
                      <w:lang w:eastAsia="zh-CN"/>
                    </w:rPr>
                    <w:t>□</w:t>
                  </w:r>
                  <w:r>
                    <w:rPr>
                      <w:rFonts w:hint="default" w:ascii="Times New Roman" w:hAnsi="Times New Roman" w:eastAsia="宋体" w:cs="Times New Roman"/>
                      <w:color w:val="000000"/>
                      <w:position w:val="-1"/>
                      <w:sz w:val="21"/>
                      <w:szCs w:val="21"/>
                      <w:highlight w:val="none"/>
                    </w:rPr>
                    <w:t>；二级</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；三级☑</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现状调查内容</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资料收集</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pacing w:val="-1"/>
                      <w:w w:val="99"/>
                      <w:position w:val="-1"/>
                      <w:sz w:val="21"/>
                      <w:szCs w:val="21"/>
                      <w:highlight w:val="none"/>
                    </w:rPr>
                    <w:t>a</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pacing w:val="-1"/>
                      <w:position w:val="-1"/>
                      <w:sz w:val="21"/>
                      <w:szCs w:val="21"/>
                      <w:highlight w:val="none"/>
                    </w:rPr>
                    <w:t>b</w:t>
                  </w:r>
                  <w:r>
                    <w:rPr>
                      <w:rFonts w:hint="default" w:ascii="Times New Roman" w:hAnsi="Times New Roman" w:eastAsia="宋体" w:cs="Times New Roman"/>
                      <w:color w:val="000000"/>
                      <w:position w:val="-1"/>
                      <w:sz w:val="21"/>
                      <w:szCs w:val="21"/>
                      <w:highlight w:val="none"/>
                    </w:rPr>
                    <w:t>）</w:t>
                  </w:r>
                  <w:r>
                    <w:rPr>
                      <w:rFonts w:hint="eastAsia" w:cs="Times New Roman"/>
                      <w:color w:val="000000"/>
                      <w:position w:val="-1"/>
                      <w:sz w:val="21"/>
                      <w:szCs w:val="21"/>
                      <w:highlight w:val="none"/>
                      <w:lang w:eastAsia="zh-CN"/>
                    </w:rPr>
                    <w:t>□</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pacing w:val="2"/>
                      <w:w w:val="99"/>
                      <w:position w:val="-1"/>
                      <w:sz w:val="21"/>
                      <w:szCs w:val="21"/>
                      <w:highlight w:val="none"/>
                    </w:rPr>
                    <w:t>c</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pacing w:val="-1"/>
                      <w:w w:val="78"/>
                      <w:position w:val="-1"/>
                      <w:sz w:val="21"/>
                      <w:szCs w:val="21"/>
                      <w:highlight w:val="none"/>
                    </w:rPr>
                    <w:t>d</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z w:val="21"/>
                      <w:szCs w:val="21"/>
                      <w:highlight w:val="none"/>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color w:val="000000"/>
                      <w:position w:val="-1"/>
                      <w:sz w:val="21"/>
                      <w:szCs w:val="21"/>
                      <w:highlight w:val="none"/>
                    </w:rPr>
                    <w:t>理化特性</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Theme="minorEastAsia" w:hAnsiTheme="minorEastAsia" w:eastAsiaTheme="minorEastAsia" w:cstheme="minorEastAsia"/>
                      <w:color w:val="000000"/>
                      <w:sz w:val="21"/>
                      <w:szCs w:val="21"/>
                      <w:highlight w:val="none"/>
                    </w:rPr>
                  </w:pPr>
                  <w:r>
                    <w:rPr>
                      <w:rFonts w:hint="eastAsia" w:asciiTheme="minorEastAsia" w:hAnsiTheme="minorEastAsia" w:eastAsiaTheme="minorEastAsia" w:cstheme="minorEastAsia"/>
                      <w:sz w:val="21"/>
                      <w:szCs w:val="21"/>
                      <w:lang w:val="en-US" w:eastAsia="zh-CN"/>
                    </w:rPr>
                    <w:t>pH、</w:t>
                  </w:r>
                  <w:r>
                    <w:rPr>
                      <w:rFonts w:hint="eastAsia" w:asciiTheme="minorEastAsia" w:hAnsiTheme="minorEastAsia" w:eastAsiaTheme="minorEastAsia" w:cstheme="minorEastAsia"/>
                      <w:sz w:val="21"/>
                      <w:szCs w:val="21"/>
                      <w:lang w:eastAsia="zh-CN"/>
                    </w:rPr>
                    <w:t>土壤结构、土壤质地、砂砾含量、其它异物、阳离子交换量、氧化还原电位、饱和导水率、土壤容重、孔隙度</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同附录C</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现状监测点位</w:t>
                  </w:r>
                </w:p>
              </w:tc>
              <w:tc>
                <w:tcPr>
                  <w:tcW w:w="1421"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538"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占地范围内</w:t>
                  </w:r>
                </w:p>
              </w:tc>
              <w:tc>
                <w:tcPr>
                  <w:tcW w:w="1366"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占地范围外</w:t>
                  </w:r>
                </w:p>
              </w:tc>
              <w:tc>
                <w:tcPr>
                  <w:tcW w:w="1446"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深度</w:t>
                  </w:r>
                </w:p>
              </w:tc>
              <w:tc>
                <w:tcPr>
                  <w:tcW w:w="1155"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点位布置图</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421"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表层样点数</w:t>
                  </w:r>
                </w:p>
              </w:tc>
              <w:tc>
                <w:tcPr>
                  <w:tcW w:w="1538" w:type="dxa"/>
                  <w:tcBorders>
                    <w:tl2br w:val="nil"/>
                    <w:tr2bl w:val="nil"/>
                  </w:tcBorders>
                  <w:noWrap w:val="0"/>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000000"/>
                      <w:sz w:val="21"/>
                      <w:szCs w:val="21"/>
                      <w:highlight w:val="none"/>
                    </w:rPr>
                  </w:pPr>
                  <w:r>
                    <w:rPr>
                      <w:rFonts w:hint="eastAsia"/>
                      <w:color w:val="auto"/>
                      <w:sz w:val="21"/>
                      <w:szCs w:val="21"/>
                      <w:lang w:val="en-US" w:eastAsia="zh-CN"/>
                    </w:rPr>
                    <w:t>3</w:t>
                  </w:r>
                </w:p>
              </w:tc>
              <w:tc>
                <w:tcPr>
                  <w:tcW w:w="1366" w:type="dxa"/>
                  <w:tcBorders>
                    <w:tl2br w:val="nil"/>
                    <w:tr2bl w:val="nil"/>
                  </w:tcBorders>
                  <w:noWrap w:val="0"/>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000000"/>
                      <w:sz w:val="21"/>
                      <w:szCs w:val="21"/>
                      <w:highlight w:val="none"/>
                    </w:rPr>
                  </w:pPr>
                  <w:r>
                    <w:rPr>
                      <w:rFonts w:hint="eastAsia"/>
                      <w:color w:val="auto"/>
                      <w:sz w:val="21"/>
                      <w:szCs w:val="21"/>
                      <w:lang w:val="en-US" w:eastAsia="zh-CN"/>
                    </w:rPr>
                    <w:t>0</w:t>
                  </w:r>
                </w:p>
              </w:tc>
              <w:tc>
                <w:tcPr>
                  <w:tcW w:w="1446" w:type="dxa"/>
                  <w:gridSpan w:val="2"/>
                  <w:tcBorders>
                    <w:tl2br w:val="nil"/>
                    <w:tr2bl w:val="nil"/>
                  </w:tcBorders>
                  <w:noWrap w:val="0"/>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000000"/>
                      <w:sz w:val="21"/>
                      <w:szCs w:val="21"/>
                      <w:highlight w:val="none"/>
                    </w:rPr>
                  </w:pPr>
                  <w:r>
                    <w:rPr>
                      <w:rFonts w:hint="default"/>
                      <w:color w:val="auto"/>
                      <w:sz w:val="21"/>
                      <w:szCs w:val="21"/>
                    </w:rPr>
                    <w:t>0.2m</w:t>
                  </w:r>
                </w:p>
              </w:tc>
              <w:tc>
                <w:tcPr>
                  <w:tcW w:w="115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421"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柱状样点数</w:t>
                  </w:r>
                </w:p>
              </w:tc>
              <w:tc>
                <w:tcPr>
                  <w:tcW w:w="1538"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366"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446"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15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现状监测因子</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left"/>
                    <w:textAlignment w:val="auto"/>
                    <w:rPr>
                      <w:rFonts w:hint="eastAsia" w:ascii="Times New Roman" w:hAnsi="Times New Roman" w:eastAsia="宋体" w:cs="Times New Roman"/>
                      <w:color w:val="000000"/>
                      <w:sz w:val="21"/>
                      <w:szCs w:val="21"/>
                      <w:highlight w:val="none"/>
                      <w:lang w:eastAsia="zh-CN"/>
                    </w:rPr>
                  </w:pPr>
                  <w:r>
                    <w:rPr>
                      <w:rFonts w:hint="default" w:ascii="Times New Roman" w:hAnsi="Times New Roman" w:eastAsia="宋体" w:cs="Times New Roman"/>
                      <w:color w:val="000000"/>
                      <w:sz w:val="21"/>
                      <w:szCs w:val="21"/>
                      <w:highlight w:val="none"/>
                    </w:rPr>
                    <w:t>pH、砷、镉、铬（六价）、铜、铅、汞、镍、四氯化碳、氯仿、氯甲烷、1,1-二氯乙烷、1,2-二氯乙烷、1,1-二氯乙烯、顺-1,2-二氯乙烯、反-1,2-二氯乙烯、二氯甲烷、1,2-二氯丙烷、1,1,1,2-四氯乙烷、1,1,2,2-四氯乙烷、四氯乙烯、1,1,1-三氯乙烷、1,1,2-三氯乙烷、三氯乙烯、1,2,3-三氯丙烷、氯乙烯、苯、氯苯、1,2-二氯苯、1,4-二氯苯、乙苯、苯乙烯、甲苯、间二甲苯+对二甲苯、邻二甲苯、硝基苯、苯胺、2-氯酚、苯并[a]蒽、苯并[a]芘、苯并[b]荧蒽、苯并[k]荧蒽、䓛、二苯并[a, h]蒽、茚并[1,2,3-cd]芘、萘</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现</w:t>
                  </w:r>
                </w:p>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状评价</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评价因子</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left"/>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砷、镉、铬（六价）、铜、铅、汞、镍、四氯化碳、氯仿、氯甲烷、1,1-二氯乙烷、1,2-二氯乙烷、1,1-二氯乙烯、顺-1,2-二氯乙烯、反-1,2-二氯乙烯、二氯甲烷、1,2-二氯丙烷、1,1,1,2-四氯乙烷、1,1,2,2-四氯乙烷、四氯乙烯、1,1,1-三氯乙烷、1,1,2-三氯乙烷、三氯乙烯、1,2,3-三氯丙烷、氯乙烯、苯、氯苯、1,2-二氯苯、1,4-二氯苯、乙苯、苯乙烯、甲苯、间二甲苯+对二甲苯、邻二甲苯、硝基苯、苯胺、2-氯酚、苯并[a]蒽、苯并[a]芘、苯并[b]荧蒽、苯并[k]荧蒽、䓛、二苯并[a, h]蒽、茚并[1,2,3-cd]芘、萘</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评价标准</w:t>
                  </w:r>
                </w:p>
              </w:tc>
              <w:tc>
                <w:tcPr>
                  <w:tcW w:w="5771" w:type="dxa"/>
                  <w:gridSpan w:val="5"/>
                  <w:tcBorders>
                    <w:tl2br w:val="nil"/>
                    <w:tr2bl w:val="nil"/>
                  </w:tcBorders>
                  <w:noWrap w:val="0"/>
                  <w:vAlign w:val="center"/>
                </w:tcPr>
                <w:p>
                  <w:pPr>
                    <w:keepNext w:val="0"/>
                    <w:keepLines w:val="0"/>
                    <w:pageBreakBefore w:val="0"/>
                    <w:tabs>
                      <w:tab w:val="left" w:pos="5080"/>
                    </w:tabs>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GB</w:t>
                  </w:r>
                  <w:r>
                    <w:rPr>
                      <w:rFonts w:hint="default" w:ascii="Times New Roman" w:hAnsi="Times New Roman" w:eastAsia="宋体" w:cs="Times New Roman"/>
                      <w:color w:val="000000"/>
                      <w:spacing w:val="1"/>
                      <w:sz w:val="21"/>
                      <w:szCs w:val="21"/>
                      <w:highlight w:val="none"/>
                    </w:rPr>
                    <w:t>1</w:t>
                  </w:r>
                  <w:r>
                    <w:rPr>
                      <w:rFonts w:hint="default" w:ascii="Times New Roman" w:hAnsi="Times New Roman" w:eastAsia="宋体" w:cs="Times New Roman"/>
                      <w:color w:val="000000"/>
                      <w:spacing w:val="-1"/>
                      <w:sz w:val="21"/>
                      <w:szCs w:val="21"/>
                      <w:highlight w:val="none"/>
                    </w:rPr>
                    <w:t>5</w:t>
                  </w:r>
                  <w:r>
                    <w:rPr>
                      <w:rFonts w:hint="default" w:ascii="Times New Roman" w:hAnsi="Times New Roman" w:eastAsia="宋体" w:cs="Times New Roman"/>
                      <w:color w:val="000000"/>
                      <w:spacing w:val="1"/>
                      <w:sz w:val="21"/>
                      <w:szCs w:val="21"/>
                      <w:highlight w:val="none"/>
                    </w:rPr>
                    <w:t>6</w:t>
                  </w:r>
                  <w:r>
                    <w:rPr>
                      <w:rFonts w:hint="default" w:ascii="Times New Roman" w:hAnsi="Times New Roman" w:eastAsia="宋体" w:cs="Times New Roman"/>
                      <w:color w:val="000000"/>
                      <w:spacing w:val="-1"/>
                      <w:sz w:val="21"/>
                      <w:szCs w:val="21"/>
                      <w:highlight w:val="none"/>
                    </w:rPr>
                    <w:t>18</w:t>
                  </w:r>
                  <w:r>
                    <w:rPr>
                      <w:rFonts w:hint="eastAsia" w:cs="Times New Roman"/>
                      <w:color w:val="000000"/>
                      <w:position w:val="-1"/>
                      <w:sz w:val="21"/>
                      <w:szCs w:val="21"/>
                      <w:highlight w:val="none"/>
                      <w:lang w:eastAsia="zh-CN"/>
                    </w:rPr>
                    <w:t>□</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z w:val="21"/>
                      <w:szCs w:val="21"/>
                      <w:highlight w:val="none"/>
                    </w:rPr>
                    <w:t>GB</w:t>
                  </w:r>
                  <w:r>
                    <w:rPr>
                      <w:rFonts w:hint="default" w:ascii="Times New Roman" w:hAnsi="Times New Roman" w:eastAsia="宋体" w:cs="Times New Roman"/>
                      <w:color w:val="000000"/>
                      <w:spacing w:val="1"/>
                      <w:sz w:val="21"/>
                      <w:szCs w:val="21"/>
                      <w:highlight w:val="none"/>
                    </w:rPr>
                    <w:t>3</w:t>
                  </w:r>
                  <w:r>
                    <w:rPr>
                      <w:rFonts w:hint="default" w:ascii="Times New Roman" w:hAnsi="Times New Roman" w:eastAsia="宋体" w:cs="Times New Roman"/>
                      <w:color w:val="000000"/>
                      <w:spacing w:val="-1"/>
                      <w:sz w:val="21"/>
                      <w:szCs w:val="21"/>
                      <w:highlight w:val="none"/>
                    </w:rPr>
                    <w:t>6</w:t>
                  </w:r>
                  <w:r>
                    <w:rPr>
                      <w:rFonts w:hint="default" w:ascii="Times New Roman" w:hAnsi="Times New Roman" w:eastAsia="宋体" w:cs="Times New Roman"/>
                      <w:color w:val="000000"/>
                      <w:spacing w:val="1"/>
                      <w:sz w:val="21"/>
                      <w:szCs w:val="21"/>
                      <w:highlight w:val="none"/>
                    </w:rPr>
                    <w:t>6</w:t>
                  </w:r>
                  <w:r>
                    <w:rPr>
                      <w:rFonts w:hint="default" w:ascii="Times New Roman" w:hAnsi="Times New Roman" w:eastAsia="宋体" w:cs="Times New Roman"/>
                      <w:color w:val="000000"/>
                      <w:spacing w:val="-1"/>
                      <w:sz w:val="21"/>
                      <w:szCs w:val="21"/>
                      <w:highlight w:val="none"/>
                    </w:rPr>
                    <w:t>0</w:t>
                  </w:r>
                  <w:r>
                    <w:rPr>
                      <w:rFonts w:hint="default" w:ascii="Times New Roman" w:hAnsi="Times New Roman" w:eastAsia="宋体" w:cs="Times New Roman"/>
                      <w:color w:val="000000"/>
                      <w:spacing w:val="1"/>
                      <w:sz w:val="21"/>
                      <w:szCs w:val="21"/>
                      <w:highlight w:val="none"/>
                    </w:rPr>
                    <w:t>0</w:t>
                  </w:r>
                  <w:r>
                    <w:rPr>
                      <w:rFonts w:hint="default" w:ascii="Times New Roman" w:hAnsi="Times New Roman" w:eastAsia="宋体" w:cs="Times New Roman"/>
                      <w:color w:val="000000"/>
                      <w:position w:val="-1"/>
                      <w:sz w:val="21"/>
                      <w:szCs w:val="21"/>
                      <w:highlight w:val="none"/>
                    </w:rPr>
                    <w:t>☑；表</w:t>
                  </w:r>
                  <w:r>
                    <w:rPr>
                      <w:rFonts w:hint="default" w:ascii="Times New Roman" w:hAnsi="Times New Roman" w:eastAsia="宋体" w:cs="Times New Roman"/>
                      <w:color w:val="000000"/>
                      <w:sz w:val="21"/>
                      <w:szCs w:val="21"/>
                      <w:highlight w:val="none"/>
                    </w:rPr>
                    <w:t>D</w:t>
                  </w:r>
                  <w:r>
                    <w:rPr>
                      <w:rFonts w:hint="default" w:ascii="Times New Roman" w:hAnsi="Times New Roman" w:eastAsia="宋体" w:cs="Times New Roman"/>
                      <w:color w:val="000000"/>
                      <w:spacing w:val="1"/>
                      <w:sz w:val="21"/>
                      <w:szCs w:val="21"/>
                      <w:highlight w:val="none"/>
                    </w:rPr>
                    <w:t>.1</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；表</w:t>
                  </w:r>
                  <w:r>
                    <w:rPr>
                      <w:rFonts w:hint="default" w:ascii="Times New Roman" w:hAnsi="Times New Roman" w:eastAsia="宋体" w:cs="Times New Roman"/>
                      <w:color w:val="000000"/>
                      <w:sz w:val="21"/>
                      <w:szCs w:val="21"/>
                      <w:highlight w:val="none"/>
                    </w:rPr>
                    <w:t>D</w:t>
                  </w:r>
                  <w:r>
                    <w:rPr>
                      <w:rFonts w:hint="default" w:ascii="Times New Roman" w:hAnsi="Times New Roman" w:eastAsia="宋体" w:cs="Times New Roman"/>
                      <w:color w:val="000000"/>
                      <w:spacing w:val="1"/>
                      <w:sz w:val="21"/>
                      <w:szCs w:val="21"/>
                      <w:highlight w:val="none"/>
                    </w:rPr>
                    <w:t>.</w:t>
                  </w:r>
                  <w:r>
                    <w:rPr>
                      <w:rFonts w:hint="default" w:ascii="Times New Roman" w:hAnsi="Times New Roman" w:eastAsia="宋体" w:cs="Times New Roman"/>
                      <w:color w:val="000000"/>
                      <w:spacing w:val="-1"/>
                      <w:sz w:val="21"/>
                      <w:szCs w:val="21"/>
                      <w:highlight w:val="none"/>
                    </w:rPr>
                    <w:t>2</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；其他（</w:t>
                  </w:r>
                  <w:r>
                    <w:rPr>
                      <w:rFonts w:hint="default" w:ascii="Times New Roman" w:hAnsi="Times New Roman" w:eastAsia="宋体" w:cs="Times New Roman"/>
                      <w:color w:val="000000"/>
                      <w:position w:val="-1"/>
                      <w:sz w:val="21"/>
                      <w:szCs w:val="21"/>
                      <w:highlight w:val="none"/>
                    </w:rPr>
                    <w:tab/>
                  </w:r>
                  <w:r>
                    <w:rPr>
                      <w:rFonts w:hint="default" w:ascii="Times New Roman" w:hAnsi="Times New Roman" w:eastAsia="宋体" w:cs="Times New Roman"/>
                      <w:color w:val="000000"/>
                      <w:position w:val="-1"/>
                      <w:sz w:val="21"/>
                      <w:szCs w:val="21"/>
                      <w:highlight w:val="none"/>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现状评价结论</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满足标准</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影响预测</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预测因子</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预测方法</w:t>
                  </w:r>
                </w:p>
              </w:tc>
              <w:tc>
                <w:tcPr>
                  <w:tcW w:w="5771" w:type="dxa"/>
                  <w:gridSpan w:val="5"/>
                  <w:tcBorders>
                    <w:tl2br w:val="nil"/>
                    <w:tr2bl w:val="nil"/>
                  </w:tcBorders>
                  <w:noWrap w:val="0"/>
                  <w:vAlign w:val="center"/>
                </w:tcPr>
                <w:p>
                  <w:pPr>
                    <w:keepNext w:val="0"/>
                    <w:keepLines w:val="0"/>
                    <w:pageBreakBefore w:val="0"/>
                    <w:tabs>
                      <w:tab w:val="left" w:pos="2920"/>
                    </w:tabs>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附录</w:t>
                  </w:r>
                  <w:r>
                    <w:rPr>
                      <w:rFonts w:hint="default" w:ascii="Times New Roman" w:hAnsi="Times New Roman" w:eastAsia="宋体" w:cs="Times New Roman"/>
                      <w:color w:val="000000"/>
                      <w:spacing w:val="-2"/>
                      <w:w w:val="99"/>
                      <w:position w:val="-1"/>
                      <w:sz w:val="21"/>
                      <w:szCs w:val="21"/>
                      <w:highlight w:val="none"/>
                    </w:rPr>
                    <w:t>E</w:t>
                  </w:r>
                  <w:r>
                    <w:rPr>
                      <w:rFonts w:hint="eastAsia" w:cs="Times New Roman"/>
                      <w:color w:val="000000"/>
                      <w:position w:val="-1"/>
                      <w:sz w:val="21"/>
                      <w:szCs w:val="21"/>
                      <w:highlight w:val="none"/>
                      <w:lang w:eastAsia="zh-CN"/>
                    </w:rPr>
                    <w:t>□</w:t>
                  </w:r>
                  <w:r>
                    <w:rPr>
                      <w:rFonts w:hint="default" w:ascii="Times New Roman" w:hAnsi="Times New Roman" w:eastAsia="宋体" w:cs="Times New Roman"/>
                      <w:color w:val="000000"/>
                      <w:position w:val="-1"/>
                      <w:sz w:val="21"/>
                      <w:szCs w:val="21"/>
                      <w:highlight w:val="none"/>
                    </w:rPr>
                    <w:t>；附录</w:t>
                  </w:r>
                  <w:r>
                    <w:rPr>
                      <w:rFonts w:hint="default" w:ascii="Times New Roman" w:hAnsi="Times New Roman" w:eastAsia="宋体" w:cs="Times New Roman"/>
                      <w:color w:val="000000"/>
                      <w:spacing w:val="1"/>
                      <w:position w:val="-1"/>
                      <w:sz w:val="21"/>
                      <w:szCs w:val="21"/>
                      <w:highlight w:val="none"/>
                    </w:rPr>
                    <w:t>F</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；其他（</w:t>
                  </w:r>
                  <w:r>
                    <w:rPr>
                      <w:rFonts w:hint="eastAsia" w:cs="Times New Roman"/>
                      <w:color w:val="000000"/>
                      <w:position w:val="-1"/>
                      <w:sz w:val="21"/>
                      <w:szCs w:val="21"/>
                      <w:highlight w:val="none"/>
                      <w:lang w:val="en-US" w:eastAsia="zh-CN"/>
                    </w:rPr>
                    <w:t xml:space="preserve">  </w:t>
                  </w:r>
                  <w:r>
                    <w:rPr>
                      <w:rFonts w:hint="default" w:ascii="Times New Roman" w:hAnsi="Times New Roman" w:eastAsia="宋体" w:cs="Times New Roman"/>
                      <w:color w:val="000000"/>
                      <w:position w:val="-1"/>
                      <w:sz w:val="21"/>
                      <w:szCs w:val="21"/>
                      <w:highlight w:val="none"/>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预测分析内容</w:t>
                  </w:r>
                </w:p>
              </w:tc>
              <w:tc>
                <w:tcPr>
                  <w:tcW w:w="5771" w:type="dxa"/>
                  <w:gridSpan w:val="5"/>
                  <w:tcBorders>
                    <w:tl2br w:val="nil"/>
                    <w:tr2bl w:val="nil"/>
                  </w:tcBorders>
                  <w:noWrap w:val="0"/>
                  <w:vAlign w:val="center"/>
                </w:tcPr>
                <w:p>
                  <w:pPr>
                    <w:tabs>
                      <w:tab w:val="left" w:pos="1620"/>
                    </w:tabs>
                    <w:snapToGrid w:val="0"/>
                    <w:spacing w:line="240" w:lineRule="auto"/>
                    <w:jc w:val="center"/>
                    <w:rPr>
                      <w:rFonts w:hint="default" w:ascii="Times New Roman" w:hAnsi="Times New Roman" w:cs="Times New Roman"/>
                      <w:color w:val="000000"/>
                      <w:sz w:val="21"/>
                      <w:szCs w:val="21"/>
                    </w:rPr>
                  </w:pPr>
                  <w:r>
                    <w:rPr>
                      <w:rFonts w:hint="default" w:ascii="Times New Roman" w:hAnsi="Times New Roman" w:cs="Times New Roman"/>
                      <w:color w:val="000000"/>
                      <w:position w:val="-1"/>
                      <w:sz w:val="21"/>
                      <w:szCs w:val="21"/>
                    </w:rPr>
                    <w:t>影响范围</w:t>
                  </w:r>
                  <w:r>
                    <w:rPr>
                      <w:rFonts w:hint="default" w:ascii="Times New Roman" w:hAnsi="Times New Roman" w:cs="Times New Roman"/>
                      <w:color w:val="000000"/>
                      <w:position w:val="-1"/>
                      <w:sz w:val="21"/>
                      <w:szCs w:val="21"/>
                      <w:lang w:eastAsia="zh-CN"/>
                    </w:rPr>
                    <w:t>（</w:t>
                  </w:r>
                  <w:r>
                    <w:rPr>
                      <w:rFonts w:hint="eastAsia" w:cs="Times New Roman"/>
                      <w:color w:val="000000"/>
                      <w:position w:val="-1"/>
                      <w:sz w:val="21"/>
                      <w:szCs w:val="21"/>
                      <w:lang w:val="en-US" w:eastAsia="zh-CN"/>
                    </w:rPr>
                    <w:t xml:space="preserve">       </w:t>
                  </w:r>
                  <w:r>
                    <w:rPr>
                      <w:rFonts w:hint="default" w:ascii="Times New Roman" w:hAnsi="Times New Roman" w:cs="Times New Roman"/>
                      <w:color w:val="000000"/>
                      <w:position w:val="-1"/>
                      <w:sz w:val="21"/>
                      <w:szCs w:val="21"/>
                      <w:lang w:eastAsia="zh-CN"/>
                    </w:rPr>
                    <w:t>）</w:t>
                  </w:r>
                </w:p>
                <w:p>
                  <w:pPr>
                    <w:keepNext w:val="0"/>
                    <w:keepLines w:val="0"/>
                    <w:pageBreakBefore w:val="0"/>
                    <w:tabs>
                      <w:tab w:val="left" w:pos="1620"/>
                    </w:tabs>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影响程度（</w:t>
                  </w:r>
                  <w:r>
                    <w:rPr>
                      <w:rFonts w:hint="eastAsia" w:cs="Times New Roman"/>
                      <w:color w:val="000000"/>
                      <w:sz w:val="21"/>
                      <w:szCs w:val="21"/>
                      <w:highlight w:val="none"/>
                      <w:lang w:val="en-US" w:eastAsia="zh-CN"/>
                    </w:rPr>
                    <w:t xml:space="preserve">       </w:t>
                  </w:r>
                  <w:r>
                    <w:rPr>
                      <w:rFonts w:hint="default" w:ascii="Times New Roman" w:hAnsi="Times New Roman" w:eastAsia="宋体" w:cs="Times New Roman"/>
                      <w:color w:val="000000"/>
                      <w:sz w:val="21"/>
                      <w:szCs w:val="21"/>
                      <w:highlight w:val="none"/>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预测结论</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达标结论：</w:t>
                  </w:r>
                  <w:r>
                    <w:rPr>
                      <w:rFonts w:hint="default" w:ascii="Times New Roman" w:hAnsi="Times New Roman" w:eastAsia="宋体" w:cs="Times New Roman"/>
                      <w:color w:val="000000"/>
                      <w:spacing w:val="-1"/>
                      <w:w w:val="99"/>
                      <w:position w:val="-1"/>
                      <w:sz w:val="21"/>
                      <w:szCs w:val="21"/>
                      <w:highlight w:val="none"/>
                    </w:rPr>
                    <w:t>a</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pacing w:val="-1"/>
                      <w:position w:val="-1"/>
                      <w:sz w:val="21"/>
                      <w:szCs w:val="21"/>
                      <w:highlight w:val="none"/>
                    </w:rPr>
                    <w:t>b</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pacing w:val="2"/>
                      <w:w w:val="99"/>
                      <w:position w:val="-1"/>
                      <w:sz w:val="21"/>
                      <w:szCs w:val="21"/>
                      <w:highlight w:val="none"/>
                    </w:rPr>
                    <w:t>c</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z w:val="21"/>
                      <w:szCs w:val="21"/>
                      <w:highlight w:val="none"/>
                    </w:rPr>
                    <w:t>□</w:t>
                  </w:r>
                </w:p>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不达标结论：</w:t>
                  </w:r>
                  <w:r>
                    <w:rPr>
                      <w:rFonts w:hint="default" w:ascii="Times New Roman" w:hAnsi="Times New Roman" w:eastAsia="宋体" w:cs="Times New Roman"/>
                      <w:color w:val="000000"/>
                      <w:spacing w:val="-1"/>
                      <w:w w:val="99"/>
                      <w:sz w:val="21"/>
                      <w:szCs w:val="21"/>
                      <w:highlight w:val="none"/>
                    </w:rPr>
                    <w:t>a</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spacing w:val="-1"/>
                      <w:sz w:val="21"/>
                      <w:szCs w:val="21"/>
                      <w:highlight w:val="none"/>
                    </w:rPr>
                    <w:t>b</w:t>
                  </w:r>
                  <w:r>
                    <w:rPr>
                      <w:rFonts w:hint="default" w:ascii="Times New Roman" w:hAnsi="Times New Roman" w:eastAsia="宋体" w:cs="Times New Roman"/>
                      <w:color w:val="000000"/>
                      <w:sz w:val="21"/>
                      <w:szCs w:val="21"/>
                      <w:highlight w:val="none"/>
                    </w:rPr>
                    <w:t>）□</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防</w:t>
                  </w:r>
                </w:p>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治措施</w:t>
                  </w: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防控措施</w:t>
                  </w:r>
                </w:p>
              </w:tc>
              <w:tc>
                <w:tcPr>
                  <w:tcW w:w="5771" w:type="dxa"/>
                  <w:gridSpan w:val="5"/>
                  <w:tcBorders>
                    <w:tl2br w:val="nil"/>
                    <w:tr2bl w:val="nil"/>
                  </w:tcBorders>
                  <w:noWrap w:val="0"/>
                  <w:vAlign w:val="center"/>
                </w:tcPr>
                <w:p>
                  <w:pPr>
                    <w:keepNext w:val="0"/>
                    <w:keepLines w:val="0"/>
                    <w:pageBreakBefore w:val="0"/>
                    <w:tabs>
                      <w:tab w:val="left" w:pos="5500"/>
                    </w:tabs>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土壤环境质量现状保障</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；源头控制☑；过程防控☑；其他（            ）</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跟踪监测</w:t>
                  </w:r>
                </w:p>
              </w:tc>
              <w:tc>
                <w:tcPr>
                  <w:tcW w:w="2959"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监测点数</w:t>
                  </w:r>
                </w:p>
              </w:tc>
              <w:tc>
                <w:tcPr>
                  <w:tcW w:w="1628"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监测指标</w:t>
                  </w:r>
                </w:p>
              </w:tc>
              <w:tc>
                <w:tcPr>
                  <w:tcW w:w="1184"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监测频次</w:t>
                  </w:r>
                </w:p>
              </w:tc>
              <w:tc>
                <w:tcPr>
                  <w:tcW w:w="1155" w:type="dxa"/>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2959"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000000"/>
                      <w:sz w:val="21"/>
                      <w:szCs w:val="21"/>
                      <w:highlight w:val="none"/>
                      <w:lang w:eastAsia="zh-CN"/>
                    </w:rPr>
                  </w:pPr>
                  <w:r>
                    <w:rPr>
                      <w:rFonts w:hint="eastAsia" w:cs="Times New Roman"/>
                      <w:color w:val="000000"/>
                      <w:sz w:val="21"/>
                      <w:szCs w:val="21"/>
                      <w:highlight w:val="none"/>
                      <w:lang w:val="en-US" w:eastAsia="zh-CN"/>
                    </w:rPr>
                    <w:t>生产车间附近</w:t>
                  </w:r>
                </w:p>
              </w:tc>
              <w:tc>
                <w:tcPr>
                  <w:tcW w:w="1628"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lang w:val="en-US" w:eastAsia="zh-CN"/>
                    </w:rPr>
                  </w:pPr>
                  <w:r>
                    <w:rPr>
                      <w:rFonts w:hint="eastAsia" w:cs="Times New Roman"/>
                      <w:color w:val="000000"/>
                      <w:sz w:val="21"/>
                      <w:szCs w:val="21"/>
                      <w:highlight w:val="none"/>
                      <w:lang w:val="en-US" w:eastAsia="zh-CN"/>
                    </w:rPr>
                    <w:t>45项基本因子</w:t>
                  </w:r>
                </w:p>
              </w:tc>
              <w:tc>
                <w:tcPr>
                  <w:tcW w:w="1184"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000000"/>
                      <w:sz w:val="21"/>
                      <w:szCs w:val="21"/>
                      <w:highlight w:val="none"/>
                      <w:lang w:eastAsia="zh-CN"/>
                    </w:rPr>
                  </w:pPr>
                  <w:r>
                    <w:rPr>
                      <w:rFonts w:hint="eastAsia" w:cs="Times New Roman"/>
                      <w:color w:val="000000"/>
                      <w:sz w:val="21"/>
                      <w:szCs w:val="21"/>
                      <w:highlight w:val="none"/>
                      <w:lang w:eastAsia="zh-CN"/>
                    </w:rPr>
                    <w:t>每</w:t>
                  </w:r>
                  <w:r>
                    <w:rPr>
                      <w:rFonts w:hint="eastAsia" w:cs="Times New Roman"/>
                      <w:color w:val="000000"/>
                      <w:sz w:val="21"/>
                      <w:szCs w:val="21"/>
                      <w:highlight w:val="none"/>
                      <w:lang w:val="en-US" w:eastAsia="zh-CN"/>
                    </w:rPr>
                    <w:t>5</w:t>
                  </w:r>
                  <w:r>
                    <w:rPr>
                      <w:rFonts w:hint="default" w:ascii="Times New Roman" w:hAnsi="Times New Roman" w:eastAsia="宋体" w:cs="Times New Roman"/>
                      <w:color w:val="000000"/>
                      <w:sz w:val="21"/>
                      <w:szCs w:val="21"/>
                      <w:highlight w:val="none"/>
                    </w:rPr>
                    <w:t>年</w:t>
                  </w:r>
                  <w:r>
                    <w:rPr>
                      <w:rFonts w:hint="eastAsia" w:cs="Times New Roman"/>
                      <w:color w:val="000000"/>
                      <w:sz w:val="21"/>
                      <w:szCs w:val="21"/>
                      <w:highlight w:val="none"/>
                      <w:lang w:val="en-US" w:eastAsia="zh-CN"/>
                    </w:rPr>
                    <w:t>1</w:t>
                  </w:r>
                  <w:r>
                    <w:rPr>
                      <w:rFonts w:hint="eastAsia" w:cs="Times New Roman"/>
                      <w:color w:val="000000"/>
                      <w:sz w:val="21"/>
                      <w:szCs w:val="21"/>
                      <w:highlight w:val="none"/>
                      <w:lang w:eastAsia="zh-CN"/>
                    </w:rPr>
                    <w:t>次</w:t>
                  </w:r>
                </w:p>
              </w:tc>
              <w:tc>
                <w:tcPr>
                  <w:tcW w:w="115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428"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c>
                <w:tcPr>
                  <w:tcW w:w="1683"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信息公开指标</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宋体" w:cs="Times New Roman"/>
                      <w:color w:val="000000"/>
                      <w:sz w:val="21"/>
                      <w:szCs w:val="21"/>
                      <w:highlight w:val="none"/>
                      <w:lang w:eastAsia="zh-CN"/>
                    </w:rPr>
                  </w:pPr>
                </w:p>
              </w:tc>
              <w:tc>
                <w:tcPr>
                  <w:tcW w:w="1155"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2111" w:type="dxa"/>
                  <w:gridSpan w:val="2"/>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评价结论</w:t>
                  </w:r>
                </w:p>
              </w:tc>
              <w:tc>
                <w:tcPr>
                  <w:tcW w:w="5771" w:type="dxa"/>
                  <w:gridSpan w:val="5"/>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left"/>
                    <w:textAlignment w:val="auto"/>
                    <w:rPr>
                      <w:rFonts w:hint="default" w:ascii="Times New Roman" w:hAnsi="Times New Roman" w:eastAsia="宋体" w:cs="Times New Roman"/>
                      <w:color w:val="000000"/>
                      <w:sz w:val="21"/>
                      <w:szCs w:val="21"/>
                      <w:highlight w:val="none"/>
                    </w:rPr>
                  </w:pPr>
                  <w:r>
                    <w:rPr>
                      <w:rStyle w:val="113"/>
                      <w:rFonts w:hint="default"/>
                      <w:color w:val="auto"/>
                      <w:sz w:val="21"/>
                      <w:szCs w:val="21"/>
                    </w:rPr>
                    <w:t>本项目对产生的废气</w:t>
                  </w:r>
                  <w:r>
                    <w:rPr>
                      <w:rStyle w:val="113"/>
                      <w:rFonts w:hint="eastAsia"/>
                      <w:color w:val="auto"/>
                      <w:sz w:val="21"/>
                      <w:szCs w:val="21"/>
                      <w:lang w:eastAsia="zh-CN"/>
                    </w:rPr>
                    <w:t>、废水</w:t>
                  </w:r>
                  <w:r>
                    <w:rPr>
                      <w:rStyle w:val="113"/>
                      <w:rFonts w:hint="default"/>
                      <w:color w:val="auto"/>
                      <w:sz w:val="21"/>
                      <w:szCs w:val="21"/>
                    </w:rPr>
                    <w:t>都采取了有效的防范措施，对土壤的各项污染途径进行了有效预防，在确保厂区各项预防措施得以落实并得到良好维护的前提下，项目生产对土壤的影响较小，项目可行</w:t>
                  </w:r>
                </w:p>
              </w:tc>
              <w:tc>
                <w:tcPr>
                  <w:tcW w:w="1155"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000000"/>
                      <w:sz w:val="21"/>
                      <w:szCs w:val="21"/>
                      <w:highlight w:val="none"/>
                    </w:rPr>
                  </w:pP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9037" w:type="dxa"/>
                  <w:gridSpan w:val="8"/>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left"/>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position w:val="-1"/>
                      <w:sz w:val="21"/>
                      <w:szCs w:val="21"/>
                      <w:highlight w:val="none"/>
                    </w:rPr>
                    <w:t>注</w:t>
                  </w:r>
                  <w:r>
                    <w:rPr>
                      <w:rFonts w:hint="default" w:ascii="Times New Roman" w:hAnsi="Times New Roman" w:eastAsia="宋体" w:cs="Times New Roman"/>
                      <w:color w:val="000000"/>
                      <w:spacing w:val="-1"/>
                      <w:sz w:val="21"/>
                      <w:szCs w:val="21"/>
                      <w:highlight w:val="none"/>
                    </w:rPr>
                    <w:t>1</w:t>
                  </w:r>
                  <w:r>
                    <w:rPr>
                      <w:rFonts w:hint="default" w:ascii="Times New Roman" w:hAnsi="Times New Roman" w:eastAsia="宋体" w:cs="Times New Roman"/>
                      <w:color w:val="000000"/>
                      <w:position w:val="-1"/>
                      <w:sz w:val="21"/>
                      <w:szCs w:val="21"/>
                      <w:highlight w:val="none"/>
                    </w:rPr>
                    <w:t>：“</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position w:val="-1"/>
                      <w:sz w:val="21"/>
                      <w:szCs w:val="21"/>
                      <w:highlight w:val="none"/>
                    </w:rPr>
                    <w:t>”为勾选项，可</w:t>
                  </w:r>
                  <w:r>
                    <w:rPr>
                      <w:rFonts w:hint="default" w:ascii="Times New Roman" w:hAnsi="Times New Roman" w:eastAsia="宋体" w:cs="Times New Roman"/>
                      <w:color w:val="000000"/>
                      <w:w w:val="142"/>
                      <w:position w:val="-1"/>
                      <w:sz w:val="21"/>
                      <w:szCs w:val="21"/>
                      <w:highlight w:val="none"/>
                    </w:rPr>
                    <w:t>√</w:t>
                  </w:r>
                  <w:r>
                    <w:rPr>
                      <w:rFonts w:hint="default" w:ascii="Times New Roman" w:hAnsi="Times New Roman" w:eastAsia="宋体" w:cs="Times New Roman"/>
                      <w:color w:val="000000"/>
                      <w:position w:val="-1"/>
                      <w:sz w:val="21"/>
                      <w:szCs w:val="21"/>
                      <w:highlight w:val="none"/>
                    </w:rPr>
                    <w:t>；“（）”为内容填写项；“备注”为其他补充内容。</w:t>
                  </w:r>
                </w:p>
                <w:p>
                  <w:pPr>
                    <w:keepNext w:val="0"/>
                    <w:keepLines w:val="0"/>
                    <w:pageBreakBefore w:val="0"/>
                    <w:kinsoku/>
                    <w:wordWrap/>
                    <w:overflowPunct/>
                    <w:topLinePunct w:val="0"/>
                    <w:autoSpaceDE/>
                    <w:autoSpaceDN/>
                    <w:bidi w:val="0"/>
                    <w:adjustRightInd w:val="0"/>
                    <w:snapToGrid w:val="0"/>
                    <w:spacing w:line="240" w:lineRule="auto"/>
                    <w:ind w:firstLine="0" w:firstLineChars="0"/>
                    <w:jc w:val="left"/>
                    <w:textAlignment w:val="auto"/>
                    <w:rPr>
                      <w:rFonts w:hint="default" w:ascii="Times New Roman" w:hAnsi="Times New Roman" w:eastAsia="宋体" w:cs="Times New Roman"/>
                      <w:color w:val="000000"/>
                      <w:sz w:val="21"/>
                      <w:szCs w:val="21"/>
                      <w:highlight w:val="none"/>
                    </w:rPr>
                  </w:pPr>
                  <w:r>
                    <w:rPr>
                      <w:rFonts w:hint="default" w:ascii="Times New Roman" w:hAnsi="Times New Roman" w:eastAsia="宋体" w:cs="Times New Roman"/>
                      <w:color w:val="000000"/>
                      <w:sz w:val="21"/>
                      <w:szCs w:val="21"/>
                      <w:highlight w:val="none"/>
                    </w:rPr>
                    <w:t>注</w:t>
                  </w:r>
                  <w:r>
                    <w:rPr>
                      <w:rFonts w:hint="default" w:ascii="Times New Roman" w:hAnsi="Times New Roman" w:eastAsia="宋体" w:cs="Times New Roman"/>
                      <w:color w:val="000000"/>
                      <w:spacing w:val="-1"/>
                      <w:sz w:val="21"/>
                      <w:szCs w:val="21"/>
                      <w:highlight w:val="none"/>
                    </w:rPr>
                    <w:t>2</w:t>
                  </w:r>
                  <w:r>
                    <w:rPr>
                      <w:rFonts w:hint="default" w:ascii="Times New Roman" w:hAnsi="Times New Roman" w:eastAsia="宋体" w:cs="Times New Roman"/>
                      <w:color w:val="000000"/>
                      <w:sz w:val="21"/>
                      <w:szCs w:val="21"/>
                      <w:highlight w:val="none"/>
                    </w:rPr>
                    <w:t>：需要分别开展土壤环境影响评级工作的，分别填写自查表。</w:t>
                  </w:r>
                </w:p>
              </w:tc>
            </w:tr>
          </w:tbl>
          <w:p>
            <w:pPr>
              <w:pStyle w:val="38"/>
              <w:rPr>
                <w:rFonts w:hint="default" w:eastAsia="宋体"/>
                <w:b/>
                <w:bCs/>
                <w:sz w:val="24"/>
                <w:lang w:val="en-US" w:eastAsia="zh-CN"/>
              </w:rPr>
            </w:pPr>
          </w:p>
          <w:p>
            <w:pPr>
              <w:pStyle w:val="4"/>
              <w:spacing w:line="500" w:lineRule="exact"/>
              <w:ind w:firstLine="482" w:firstLineChars="200"/>
              <w:jc w:val="both"/>
              <w:rPr>
                <w:b/>
                <w:color w:val="auto"/>
                <w:sz w:val="24"/>
              </w:rPr>
            </w:pPr>
            <w:r>
              <w:rPr>
                <w:rFonts w:hint="eastAsia"/>
                <w:b/>
                <w:color w:val="auto"/>
                <w:sz w:val="24"/>
              </w:rPr>
              <w:t>7</w:t>
            </w:r>
            <w:r>
              <w:rPr>
                <w:rFonts w:hint="eastAsia"/>
                <w:b/>
                <w:color w:val="auto"/>
                <w:sz w:val="24"/>
                <w:lang w:val="en-US" w:eastAsia="zh-CN"/>
              </w:rPr>
              <w:t>.</w:t>
            </w:r>
            <w:r>
              <w:rPr>
                <w:rFonts w:hAnsi="宋体"/>
                <w:b/>
                <w:color w:val="auto"/>
                <w:sz w:val="24"/>
              </w:rPr>
              <w:t>环境风险评价</w:t>
            </w:r>
          </w:p>
          <w:p>
            <w:pPr>
              <w:spacing w:line="500" w:lineRule="exact"/>
              <w:ind w:firstLine="480" w:firstLineChars="200"/>
              <w:rPr>
                <w:rFonts w:ascii="宋体" w:hAnsi="宋体"/>
                <w:color w:val="auto"/>
                <w:sz w:val="24"/>
              </w:rPr>
            </w:pPr>
            <w:r>
              <w:rPr>
                <w:rFonts w:hint="eastAsia" w:ascii="宋体" w:hAnsi="宋体"/>
                <w:color w:val="auto"/>
                <w:sz w:val="24"/>
              </w:rPr>
              <w:t>环境风险评价的目的是分析和预测建设项目存在的潜在危险、有害因素，建设项目运营期间可能产生的突发性事件或事故（一般不包括人为破坏及自然灾害），引起有毒有害和易燃易爆等物质泄漏，所造成的人身安全与环境影响和损害程度，提出合理可行的防范、应急减缓措施，以使建设项目的事故率、损失和环境影响降低到可接受水平。</w:t>
            </w:r>
          </w:p>
          <w:p>
            <w:pPr>
              <w:spacing w:line="500" w:lineRule="exact"/>
              <w:ind w:firstLine="480" w:firstLineChars="200"/>
              <w:rPr>
                <w:color w:val="auto"/>
                <w:sz w:val="24"/>
              </w:rPr>
            </w:pPr>
            <w:r>
              <w:rPr>
                <w:rFonts w:hint="eastAsia" w:ascii="宋体" w:hAnsi="宋体"/>
                <w:color w:val="auto"/>
                <w:sz w:val="24"/>
              </w:rPr>
              <w:t>本项目评价重点为：环境风险事故对厂界外人群的伤害、环境质量的影响，</w:t>
            </w:r>
            <w:r>
              <w:rPr>
                <w:rFonts w:hAnsi="宋体"/>
                <w:color w:val="auto"/>
                <w:sz w:val="24"/>
              </w:rPr>
              <w:t>并提出相对应的防范、减少、消除措施。</w:t>
            </w:r>
          </w:p>
          <w:p>
            <w:pPr>
              <w:pStyle w:val="5"/>
              <w:spacing w:before="0" w:after="0" w:line="500" w:lineRule="exact"/>
              <w:ind w:firstLine="482" w:firstLineChars="200"/>
              <w:rPr>
                <w:rFonts w:ascii="Times New Roman"/>
                <w:color w:val="auto"/>
                <w:sz w:val="24"/>
                <w:szCs w:val="24"/>
              </w:rPr>
            </w:pPr>
            <w:r>
              <w:rPr>
                <w:rFonts w:hint="eastAsia" w:ascii="Times New Roman"/>
                <w:color w:val="auto"/>
                <w:sz w:val="24"/>
                <w:szCs w:val="24"/>
              </w:rPr>
              <w:t>7</w:t>
            </w:r>
            <w:r>
              <w:rPr>
                <w:rFonts w:ascii="Times New Roman"/>
                <w:color w:val="auto"/>
                <w:sz w:val="24"/>
                <w:szCs w:val="24"/>
              </w:rPr>
              <w:t>.1评价依据</w:t>
            </w:r>
          </w:p>
          <w:p>
            <w:pPr>
              <w:spacing w:line="500" w:lineRule="exact"/>
              <w:ind w:firstLine="482" w:firstLineChars="200"/>
              <w:rPr>
                <w:b/>
                <w:bCs/>
                <w:color w:val="auto"/>
                <w:sz w:val="24"/>
              </w:rPr>
            </w:pPr>
            <w:r>
              <w:rPr>
                <w:rFonts w:hint="eastAsia"/>
                <w:b/>
                <w:bCs/>
                <w:color w:val="auto"/>
                <w:sz w:val="24"/>
              </w:rPr>
              <w:t>7</w:t>
            </w:r>
            <w:r>
              <w:rPr>
                <w:b/>
                <w:bCs/>
                <w:color w:val="auto"/>
                <w:sz w:val="24"/>
              </w:rPr>
              <w:t>.1.1风险调查</w:t>
            </w:r>
          </w:p>
          <w:p>
            <w:pPr>
              <w:spacing w:line="500" w:lineRule="exact"/>
              <w:ind w:firstLine="480" w:firstLineChars="200"/>
              <w:rPr>
                <w:rFonts w:hint="eastAsia" w:eastAsia="宋体"/>
                <w:color w:val="auto"/>
                <w:sz w:val="24"/>
                <w:lang w:val="en-US" w:eastAsia="zh-CN"/>
              </w:rPr>
            </w:pPr>
            <w:r>
              <w:rPr>
                <w:rFonts w:hAnsi="宋体"/>
                <w:color w:val="auto"/>
                <w:sz w:val="24"/>
              </w:rPr>
              <w:t>风险源调查主要依据是项目的危险物质数量和分布情况、生产工艺特点，收集危险物质安全技术说明书等基础资料</w:t>
            </w:r>
            <w:r>
              <w:rPr>
                <w:color w:val="auto"/>
                <w:sz w:val="24"/>
                <w:szCs w:val="24"/>
              </w:rPr>
              <w:t>。</w:t>
            </w:r>
            <w:r>
              <w:rPr>
                <w:rFonts w:hint="eastAsia"/>
                <w:color w:val="auto"/>
                <w:sz w:val="24"/>
                <w:szCs w:val="24"/>
                <w:lang w:eastAsia="zh-CN"/>
              </w:rPr>
              <w:t>本项目原料为含铝废渣，主要成分为</w:t>
            </w:r>
            <w:r>
              <w:rPr>
                <w:rFonts w:hint="eastAsia"/>
                <w:bCs/>
                <w:color w:val="auto"/>
                <w:sz w:val="24"/>
              </w:rPr>
              <w:t>氧化铝49-62％</w:t>
            </w:r>
            <w:r>
              <w:rPr>
                <w:rFonts w:hint="eastAsia"/>
                <w:bCs/>
                <w:color w:val="auto"/>
                <w:sz w:val="24"/>
                <w:lang w:eastAsia="zh-CN"/>
              </w:rPr>
              <w:t>，不属于风险物质。</w:t>
            </w:r>
            <w:r>
              <w:rPr>
                <w:rFonts w:ascii="Times New Roman" w:hAnsi="Times New Roman"/>
                <w:color w:val="auto"/>
                <w:sz w:val="24"/>
              </w:rPr>
              <w:t>本项目</w:t>
            </w:r>
            <w:r>
              <w:rPr>
                <w:color w:val="auto"/>
                <w:sz w:val="24"/>
                <w:szCs w:val="24"/>
              </w:rPr>
              <w:t>原材料不涉及</w:t>
            </w:r>
            <w:r>
              <w:rPr>
                <w:rFonts w:hint="eastAsia"/>
                <w:color w:val="auto"/>
                <w:sz w:val="24"/>
                <w:szCs w:val="24"/>
                <w:lang w:eastAsia="zh-CN"/>
              </w:rPr>
              <w:t>其他</w:t>
            </w:r>
            <w:r>
              <w:rPr>
                <w:color w:val="auto"/>
                <w:sz w:val="24"/>
                <w:szCs w:val="24"/>
              </w:rPr>
              <w:t>有毒有害物质，项目运营期主要风险为</w:t>
            </w:r>
            <w:r>
              <w:rPr>
                <w:rFonts w:hint="eastAsia"/>
                <w:color w:val="auto"/>
                <w:sz w:val="24"/>
                <w:szCs w:val="24"/>
                <w:lang w:eastAsia="zh-CN"/>
              </w:rPr>
              <w:t>废气处理设备</w:t>
            </w:r>
            <w:r>
              <w:rPr>
                <w:color w:val="auto"/>
                <w:sz w:val="24"/>
                <w:szCs w:val="24"/>
              </w:rPr>
              <w:t>不能正常运行时未经处理的</w:t>
            </w:r>
            <w:r>
              <w:rPr>
                <w:rFonts w:hint="eastAsia"/>
                <w:color w:val="auto"/>
                <w:sz w:val="24"/>
                <w:szCs w:val="24"/>
                <w:lang w:eastAsia="zh-CN"/>
              </w:rPr>
              <w:t>废气</w:t>
            </w:r>
            <w:r>
              <w:rPr>
                <w:color w:val="auto"/>
                <w:sz w:val="24"/>
                <w:szCs w:val="24"/>
              </w:rPr>
              <w:t>对周边环境的影响。</w:t>
            </w:r>
          </w:p>
          <w:p>
            <w:pPr>
              <w:spacing w:line="500" w:lineRule="exact"/>
              <w:ind w:firstLine="482" w:firstLineChars="200"/>
              <w:rPr>
                <w:b/>
                <w:bCs/>
                <w:color w:val="auto"/>
                <w:sz w:val="24"/>
              </w:rPr>
            </w:pPr>
            <w:r>
              <w:rPr>
                <w:rFonts w:hint="eastAsia"/>
                <w:b/>
                <w:bCs/>
                <w:color w:val="auto"/>
                <w:sz w:val="24"/>
              </w:rPr>
              <w:t>7</w:t>
            </w:r>
            <w:r>
              <w:rPr>
                <w:b/>
                <w:bCs/>
                <w:color w:val="auto"/>
                <w:sz w:val="24"/>
              </w:rPr>
              <w:t>.1.2</w:t>
            </w:r>
            <w:r>
              <w:rPr>
                <w:rFonts w:hAnsi="宋体"/>
                <w:b/>
                <w:bCs/>
                <w:color w:val="auto"/>
                <w:sz w:val="24"/>
              </w:rPr>
              <w:t>环境风险潜势初判</w:t>
            </w:r>
          </w:p>
          <w:p>
            <w:pPr>
              <w:spacing w:line="500" w:lineRule="exact"/>
              <w:ind w:firstLine="482" w:firstLineChars="200"/>
              <w:rPr>
                <w:b/>
                <w:bCs/>
                <w:color w:val="auto"/>
                <w:sz w:val="24"/>
              </w:rPr>
            </w:pPr>
            <w:r>
              <w:rPr>
                <w:rFonts w:hint="eastAsia"/>
                <w:b/>
                <w:bCs/>
                <w:color w:val="auto"/>
                <w:sz w:val="24"/>
              </w:rPr>
              <w:t>（1）</w:t>
            </w:r>
            <w:r>
              <w:rPr>
                <w:rFonts w:hAnsi="宋体"/>
                <w:b/>
                <w:bCs/>
                <w:color w:val="auto"/>
                <w:sz w:val="24"/>
              </w:rPr>
              <w:t>环境风险潜势划分</w:t>
            </w:r>
          </w:p>
          <w:p>
            <w:pPr>
              <w:spacing w:line="500" w:lineRule="exact"/>
              <w:ind w:firstLine="480" w:firstLineChars="200"/>
              <w:rPr>
                <w:color w:val="auto"/>
                <w:sz w:val="24"/>
              </w:rPr>
            </w:pPr>
            <w:r>
              <w:rPr>
                <w:rFonts w:hAnsi="宋体"/>
                <w:color w:val="auto"/>
                <w:sz w:val="24"/>
              </w:rPr>
              <w:t>建设项目环境风险潜势划分为级。根据建设项目设计的物质和工艺系统的危险性及其所在</w:t>
            </w:r>
            <w:r>
              <w:rPr>
                <w:color w:val="auto"/>
                <w:sz w:val="24"/>
              </w:rPr>
              <w:t>地的环境敏感程度，结合事故情形下环境影响途径，对建设项目潜在环境危害程度进行概化分析。建设项目环境风险潜势划分见表</w:t>
            </w:r>
            <w:r>
              <w:rPr>
                <w:rFonts w:hint="eastAsia"/>
                <w:color w:val="auto"/>
                <w:sz w:val="24"/>
                <w:lang w:val="en-US" w:eastAsia="zh-CN"/>
              </w:rPr>
              <w:t>33</w:t>
            </w:r>
            <w:r>
              <w:rPr>
                <w:color w:val="auto"/>
                <w:sz w:val="24"/>
              </w:rPr>
              <w:t>。</w:t>
            </w:r>
          </w:p>
          <w:p>
            <w:pPr>
              <w:autoSpaceDE w:val="0"/>
              <w:autoSpaceDN w:val="0"/>
              <w:spacing w:line="240" w:lineRule="auto"/>
              <w:jc w:val="center"/>
              <w:rPr>
                <w:rFonts w:hint="eastAsia" w:ascii="黑体" w:hAnsi="黑体" w:eastAsia="黑体" w:cs="黑体"/>
                <w:b w:val="0"/>
                <w:bCs/>
                <w:color w:val="auto"/>
                <w:spacing w:val="-5"/>
                <w:sz w:val="24"/>
              </w:rPr>
            </w:pPr>
            <w:r>
              <w:rPr>
                <w:rFonts w:hint="eastAsia" w:ascii="黑体" w:hAnsi="黑体" w:eastAsia="黑体" w:cs="黑体"/>
                <w:b w:val="0"/>
                <w:bCs/>
                <w:color w:val="auto"/>
                <w:spacing w:val="-5"/>
                <w:sz w:val="24"/>
              </w:rPr>
              <w:t>表</w:t>
            </w:r>
            <w:r>
              <w:rPr>
                <w:rFonts w:hint="eastAsia" w:ascii="黑体" w:hAnsi="黑体" w:eastAsia="黑体" w:cs="黑体"/>
                <w:b w:val="0"/>
                <w:bCs/>
                <w:color w:val="auto"/>
                <w:spacing w:val="-5"/>
                <w:sz w:val="24"/>
                <w:lang w:val="en-US" w:eastAsia="zh-CN"/>
              </w:rPr>
              <w:t>33</w:t>
            </w:r>
            <w:r>
              <w:rPr>
                <w:rFonts w:hint="eastAsia" w:ascii="黑体" w:hAnsi="黑体" w:eastAsia="黑体" w:cs="黑体"/>
                <w:b w:val="0"/>
                <w:bCs/>
                <w:color w:val="auto"/>
                <w:spacing w:val="-5"/>
                <w:sz w:val="24"/>
              </w:rPr>
              <w:t xml:space="preserve">  建设项目环境风险潜势划分一览表</w:t>
            </w:r>
          </w:p>
          <w:tbl>
            <w:tblPr>
              <w:tblStyle w:val="31"/>
              <w:tblW w:w="906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441"/>
              <w:gridCol w:w="1662"/>
              <w:gridCol w:w="1658"/>
              <w:gridCol w:w="1653"/>
              <w:gridCol w:w="164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41" w:type="dxa"/>
                  <w:vMerge w:val="restart"/>
                  <w:tcBorders>
                    <w:tl2br w:val="nil"/>
                    <w:tr2bl w:val="nil"/>
                  </w:tcBorders>
                  <w:vAlign w:val="center"/>
                </w:tcPr>
                <w:p>
                  <w:pPr>
                    <w:adjustRightInd w:val="0"/>
                    <w:snapToGrid w:val="0"/>
                    <w:spacing w:line="240" w:lineRule="auto"/>
                    <w:jc w:val="center"/>
                    <w:rPr>
                      <w:color w:val="auto"/>
                      <w:szCs w:val="21"/>
                    </w:rPr>
                  </w:pPr>
                  <w:r>
                    <w:rPr>
                      <w:color w:val="auto"/>
                      <w:szCs w:val="21"/>
                    </w:rPr>
                    <w:t>环境敏感程度（E）</w:t>
                  </w:r>
                </w:p>
              </w:tc>
              <w:tc>
                <w:tcPr>
                  <w:tcW w:w="6620" w:type="dxa"/>
                  <w:gridSpan w:val="4"/>
                  <w:tcBorders>
                    <w:tl2br w:val="nil"/>
                    <w:tr2bl w:val="nil"/>
                  </w:tcBorders>
                  <w:vAlign w:val="center"/>
                </w:tcPr>
                <w:p>
                  <w:pPr>
                    <w:adjustRightInd w:val="0"/>
                    <w:snapToGrid w:val="0"/>
                    <w:spacing w:line="240" w:lineRule="auto"/>
                    <w:jc w:val="center"/>
                    <w:rPr>
                      <w:color w:val="auto"/>
                      <w:szCs w:val="21"/>
                    </w:rPr>
                  </w:pPr>
                  <w:r>
                    <w:rPr>
                      <w:color w:val="auto"/>
                      <w:szCs w:val="21"/>
                    </w:rPr>
                    <w:t>危险物质及工艺系统危险性（P）</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41" w:type="dxa"/>
                  <w:vMerge w:val="continue"/>
                  <w:tcBorders>
                    <w:tl2br w:val="nil"/>
                    <w:tr2bl w:val="nil"/>
                  </w:tcBorders>
                  <w:vAlign w:val="center"/>
                </w:tcPr>
                <w:p>
                  <w:pPr>
                    <w:adjustRightInd w:val="0"/>
                    <w:snapToGrid w:val="0"/>
                    <w:spacing w:line="240" w:lineRule="auto"/>
                    <w:jc w:val="center"/>
                    <w:rPr>
                      <w:color w:val="auto"/>
                      <w:szCs w:val="21"/>
                    </w:rPr>
                  </w:pPr>
                </w:p>
              </w:tc>
              <w:tc>
                <w:tcPr>
                  <w:tcW w:w="1662" w:type="dxa"/>
                  <w:tcBorders>
                    <w:tl2br w:val="nil"/>
                    <w:tr2bl w:val="nil"/>
                  </w:tcBorders>
                  <w:vAlign w:val="center"/>
                </w:tcPr>
                <w:p>
                  <w:pPr>
                    <w:adjustRightInd w:val="0"/>
                    <w:snapToGrid w:val="0"/>
                    <w:spacing w:line="240" w:lineRule="auto"/>
                    <w:jc w:val="center"/>
                    <w:rPr>
                      <w:color w:val="auto"/>
                      <w:szCs w:val="21"/>
                    </w:rPr>
                  </w:pPr>
                  <w:r>
                    <w:rPr>
                      <w:color w:val="auto"/>
                      <w:szCs w:val="21"/>
                    </w:rPr>
                    <w:t>极高危害（P1）</w:t>
                  </w:r>
                </w:p>
              </w:tc>
              <w:tc>
                <w:tcPr>
                  <w:tcW w:w="1658" w:type="dxa"/>
                  <w:tcBorders>
                    <w:tl2br w:val="nil"/>
                    <w:tr2bl w:val="nil"/>
                  </w:tcBorders>
                  <w:vAlign w:val="center"/>
                </w:tcPr>
                <w:p>
                  <w:pPr>
                    <w:adjustRightInd w:val="0"/>
                    <w:snapToGrid w:val="0"/>
                    <w:spacing w:line="240" w:lineRule="auto"/>
                    <w:jc w:val="center"/>
                    <w:rPr>
                      <w:color w:val="auto"/>
                      <w:szCs w:val="21"/>
                    </w:rPr>
                  </w:pPr>
                  <w:r>
                    <w:rPr>
                      <w:color w:val="auto"/>
                      <w:szCs w:val="21"/>
                    </w:rPr>
                    <w:t>高度危害（P2）</w:t>
                  </w:r>
                </w:p>
              </w:tc>
              <w:tc>
                <w:tcPr>
                  <w:tcW w:w="1653" w:type="dxa"/>
                  <w:tcBorders>
                    <w:tl2br w:val="nil"/>
                    <w:tr2bl w:val="nil"/>
                  </w:tcBorders>
                  <w:vAlign w:val="center"/>
                </w:tcPr>
                <w:p>
                  <w:pPr>
                    <w:adjustRightInd w:val="0"/>
                    <w:snapToGrid w:val="0"/>
                    <w:spacing w:line="240" w:lineRule="auto"/>
                    <w:jc w:val="center"/>
                    <w:rPr>
                      <w:color w:val="auto"/>
                      <w:szCs w:val="21"/>
                    </w:rPr>
                  </w:pPr>
                  <w:r>
                    <w:rPr>
                      <w:color w:val="auto"/>
                      <w:szCs w:val="21"/>
                    </w:rPr>
                    <w:t>中度危害（P3）</w:t>
                  </w:r>
                </w:p>
              </w:tc>
              <w:tc>
                <w:tcPr>
                  <w:tcW w:w="1647" w:type="dxa"/>
                  <w:tcBorders>
                    <w:tl2br w:val="nil"/>
                    <w:tr2bl w:val="nil"/>
                  </w:tcBorders>
                  <w:vAlign w:val="center"/>
                </w:tcPr>
                <w:p>
                  <w:pPr>
                    <w:adjustRightInd w:val="0"/>
                    <w:snapToGrid w:val="0"/>
                    <w:spacing w:line="240" w:lineRule="auto"/>
                    <w:jc w:val="center"/>
                    <w:rPr>
                      <w:color w:val="auto"/>
                      <w:szCs w:val="21"/>
                    </w:rPr>
                  </w:pPr>
                  <w:r>
                    <w:rPr>
                      <w:color w:val="auto"/>
                      <w:szCs w:val="21"/>
                    </w:rPr>
                    <w:t>轻度危害（P4）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41" w:type="dxa"/>
                  <w:tcBorders>
                    <w:tl2br w:val="nil"/>
                    <w:tr2bl w:val="nil"/>
                  </w:tcBorders>
                  <w:vAlign w:val="center"/>
                </w:tcPr>
                <w:p>
                  <w:pPr>
                    <w:adjustRightInd w:val="0"/>
                    <w:snapToGrid w:val="0"/>
                    <w:spacing w:line="240" w:lineRule="auto"/>
                    <w:jc w:val="center"/>
                    <w:rPr>
                      <w:color w:val="auto"/>
                      <w:szCs w:val="21"/>
                    </w:rPr>
                  </w:pPr>
                  <w:r>
                    <w:rPr>
                      <w:color w:val="auto"/>
                      <w:szCs w:val="21"/>
                    </w:rPr>
                    <w:t>环境高度敏感区（E1）</w:t>
                  </w:r>
                </w:p>
              </w:tc>
              <w:tc>
                <w:tcPr>
                  <w:tcW w:w="1662"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Ⅳ</w:t>
                  </w:r>
                  <w:r>
                    <w:rPr>
                      <w:color w:val="auto"/>
                      <w:szCs w:val="21"/>
                      <w:vertAlign w:val="superscript"/>
                    </w:rPr>
                    <w:t>+</w:t>
                  </w:r>
                </w:p>
              </w:tc>
              <w:tc>
                <w:tcPr>
                  <w:tcW w:w="1658"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Ⅳ</w:t>
                  </w:r>
                </w:p>
              </w:tc>
              <w:tc>
                <w:tcPr>
                  <w:tcW w:w="1653"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Ⅲ</w:t>
                  </w:r>
                </w:p>
              </w:tc>
              <w:tc>
                <w:tcPr>
                  <w:tcW w:w="1647"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41" w:type="dxa"/>
                  <w:tcBorders>
                    <w:tl2br w:val="nil"/>
                    <w:tr2bl w:val="nil"/>
                  </w:tcBorders>
                  <w:vAlign w:val="center"/>
                </w:tcPr>
                <w:p>
                  <w:pPr>
                    <w:adjustRightInd w:val="0"/>
                    <w:snapToGrid w:val="0"/>
                    <w:spacing w:line="240" w:lineRule="auto"/>
                    <w:jc w:val="center"/>
                    <w:rPr>
                      <w:color w:val="auto"/>
                      <w:szCs w:val="21"/>
                    </w:rPr>
                  </w:pPr>
                  <w:r>
                    <w:rPr>
                      <w:color w:val="auto"/>
                      <w:szCs w:val="21"/>
                    </w:rPr>
                    <w:t>环境中度敏感区（E2）</w:t>
                  </w:r>
                </w:p>
              </w:tc>
              <w:tc>
                <w:tcPr>
                  <w:tcW w:w="1662"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Ⅳ</w:t>
                  </w:r>
                </w:p>
              </w:tc>
              <w:tc>
                <w:tcPr>
                  <w:tcW w:w="1658"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Ⅲ</w:t>
                  </w:r>
                </w:p>
              </w:tc>
              <w:tc>
                <w:tcPr>
                  <w:tcW w:w="1653"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Ⅲ</w:t>
                  </w:r>
                </w:p>
              </w:tc>
              <w:tc>
                <w:tcPr>
                  <w:tcW w:w="1647"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Ⅱ</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41" w:type="dxa"/>
                  <w:tcBorders>
                    <w:tl2br w:val="nil"/>
                    <w:tr2bl w:val="nil"/>
                  </w:tcBorders>
                  <w:vAlign w:val="center"/>
                </w:tcPr>
                <w:p>
                  <w:pPr>
                    <w:adjustRightInd w:val="0"/>
                    <w:snapToGrid w:val="0"/>
                    <w:spacing w:line="240" w:lineRule="auto"/>
                    <w:jc w:val="center"/>
                    <w:rPr>
                      <w:color w:val="auto"/>
                      <w:szCs w:val="21"/>
                    </w:rPr>
                  </w:pPr>
                  <w:r>
                    <w:rPr>
                      <w:color w:val="auto"/>
                      <w:szCs w:val="21"/>
                    </w:rPr>
                    <w:t>环境低度敏感区（E3）</w:t>
                  </w:r>
                </w:p>
              </w:tc>
              <w:tc>
                <w:tcPr>
                  <w:tcW w:w="1662"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Ⅲ</w:t>
                  </w:r>
                </w:p>
              </w:tc>
              <w:tc>
                <w:tcPr>
                  <w:tcW w:w="1658"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Ⅲ</w:t>
                  </w:r>
                </w:p>
              </w:tc>
              <w:tc>
                <w:tcPr>
                  <w:tcW w:w="1653"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Ⅱ</w:t>
                  </w:r>
                </w:p>
              </w:tc>
              <w:tc>
                <w:tcPr>
                  <w:tcW w:w="1647" w:type="dxa"/>
                  <w:tcBorders>
                    <w:tl2br w:val="nil"/>
                    <w:tr2bl w:val="nil"/>
                  </w:tcBorders>
                  <w:vAlign w:val="center"/>
                </w:tcPr>
                <w:p>
                  <w:pPr>
                    <w:adjustRightInd w:val="0"/>
                    <w:snapToGrid w:val="0"/>
                    <w:spacing w:line="240" w:lineRule="auto"/>
                    <w:jc w:val="center"/>
                    <w:rPr>
                      <w:color w:val="auto"/>
                      <w:szCs w:val="21"/>
                    </w:rPr>
                  </w:pPr>
                  <w:r>
                    <w:rPr>
                      <w:rFonts w:hint="eastAsia" w:ascii="宋体" w:hAnsi="宋体" w:cs="宋体"/>
                      <w:color w:val="auto"/>
                      <w:szCs w:val="21"/>
                    </w:rPr>
                    <w:t>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61" w:type="dxa"/>
                  <w:gridSpan w:val="5"/>
                  <w:tcBorders>
                    <w:tl2br w:val="nil"/>
                    <w:tr2bl w:val="nil"/>
                  </w:tcBorders>
                  <w:vAlign w:val="center"/>
                </w:tcPr>
                <w:p>
                  <w:pPr>
                    <w:adjustRightInd w:val="0"/>
                    <w:snapToGrid w:val="0"/>
                    <w:spacing w:line="240" w:lineRule="auto"/>
                    <w:rPr>
                      <w:color w:val="auto"/>
                      <w:szCs w:val="21"/>
                    </w:rPr>
                  </w:pPr>
                  <w:r>
                    <w:rPr>
                      <w:color w:val="auto"/>
                      <w:szCs w:val="21"/>
                    </w:rPr>
                    <w:t>注：</w:t>
                  </w:r>
                  <w:r>
                    <w:rPr>
                      <w:rFonts w:hint="eastAsia" w:ascii="宋体" w:hAnsi="宋体" w:cs="宋体"/>
                      <w:color w:val="auto"/>
                      <w:szCs w:val="21"/>
                    </w:rPr>
                    <w:t>Ⅳ</w:t>
                  </w:r>
                  <w:r>
                    <w:rPr>
                      <w:color w:val="auto"/>
                      <w:szCs w:val="21"/>
                      <w:vertAlign w:val="superscript"/>
                    </w:rPr>
                    <w:t>+</w:t>
                  </w:r>
                  <w:r>
                    <w:rPr>
                      <w:color w:val="auto"/>
                      <w:szCs w:val="21"/>
                    </w:rPr>
                    <w:t>为极高环境风险。</w:t>
                  </w:r>
                </w:p>
              </w:tc>
            </w:tr>
          </w:tbl>
          <w:p>
            <w:pPr>
              <w:spacing w:line="240" w:lineRule="exact"/>
              <w:ind w:firstLine="480" w:firstLineChars="200"/>
              <w:rPr>
                <w:bCs/>
                <w:color w:val="auto"/>
                <w:sz w:val="24"/>
              </w:rPr>
            </w:pPr>
          </w:p>
          <w:p>
            <w:pPr>
              <w:spacing w:line="500" w:lineRule="exact"/>
              <w:ind w:firstLine="482" w:firstLineChars="200"/>
              <w:rPr>
                <w:b/>
                <w:bCs w:val="0"/>
                <w:color w:val="auto"/>
                <w:sz w:val="24"/>
              </w:rPr>
            </w:pPr>
            <w:r>
              <w:rPr>
                <w:rFonts w:hint="eastAsia"/>
                <w:b/>
                <w:bCs w:val="0"/>
                <w:color w:val="auto"/>
                <w:sz w:val="24"/>
              </w:rPr>
              <w:t>（2）</w:t>
            </w:r>
            <w:r>
              <w:rPr>
                <w:b/>
                <w:bCs w:val="0"/>
                <w:color w:val="auto"/>
                <w:sz w:val="24"/>
              </w:rPr>
              <w:t>P</w:t>
            </w:r>
            <w:r>
              <w:rPr>
                <w:rFonts w:hAnsi="宋体"/>
                <w:b/>
                <w:bCs w:val="0"/>
                <w:color w:val="auto"/>
                <w:sz w:val="24"/>
              </w:rPr>
              <w:t>的分级确定</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宋体" w:cs="Times New Roman"/>
              </w:rPr>
            </w:pPr>
            <w:r>
              <w:rPr>
                <w:rFonts w:hint="default" w:ascii="Times New Roman" w:hAnsi="Times New Roman" w:eastAsia="宋体" w:cs="Times New Roman"/>
                <w:color w:val="000000"/>
                <w:kern w:val="0"/>
                <w:sz w:val="24"/>
                <w:szCs w:val="24"/>
                <w:lang w:val="en-US" w:eastAsia="zh-CN" w:bidi="ar"/>
              </w:rPr>
              <w:t xml:space="preserve">依据《建设项目环境风险评价技术导则》（HJ169-2018）附录 B和附录 H，经风险物质识别，本项目不涉及风险物质，无需进行风险分析。 </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ascii="Noto Sans Mono CJK SC" w:hAnsi="Noto Sans Mono CJK SC" w:eastAsia="Noto Sans Mono CJK SC" w:cs="Noto Sans Mono CJK SC"/>
                <w:color w:val="000000"/>
                <w:kern w:val="0"/>
                <w:sz w:val="24"/>
                <w:szCs w:val="24"/>
                <w:lang w:val="en-US" w:eastAsia="zh-CN" w:bidi="ar"/>
              </w:rPr>
              <w:t>为</w:t>
            </w:r>
            <w:r>
              <w:rPr>
                <w:rFonts w:hint="eastAsia" w:ascii="宋体" w:hAnsi="宋体" w:eastAsia="宋体" w:cs="宋体"/>
                <w:color w:val="000000"/>
                <w:kern w:val="0"/>
                <w:sz w:val="24"/>
                <w:szCs w:val="24"/>
                <w:lang w:val="en-US" w:eastAsia="zh-CN" w:bidi="ar"/>
              </w:rPr>
              <w:t>降低除尘设备不能正常运行时未经处理的废气对周边环境的影响，企业在运营过程中应加强对</w:t>
            </w:r>
            <w:r>
              <w:rPr>
                <w:rFonts w:hint="eastAsia" w:ascii="宋体" w:hAnsi="宋体" w:cs="宋体"/>
                <w:color w:val="000000"/>
                <w:kern w:val="0"/>
                <w:sz w:val="24"/>
                <w:szCs w:val="24"/>
                <w:lang w:val="en-US" w:eastAsia="zh-CN" w:bidi="ar"/>
              </w:rPr>
              <w:t>焊烟净化器</w:t>
            </w:r>
            <w:r>
              <w:rPr>
                <w:rFonts w:hint="eastAsia" w:ascii="宋体" w:hAnsi="宋体" w:eastAsia="宋体" w:cs="宋体"/>
                <w:color w:val="000000"/>
                <w:kern w:val="0"/>
                <w:sz w:val="24"/>
                <w:szCs w:val="24"/>
                <w:lang w:val="en-US" w:eastAsia="zh-CN" w:bidi="ar"/>
              </w:rPr>
              <w:t>的管理，如出现故障，及时停车进行检修。企业在严格做好各项风险防范措施后，从环境风险水平上来看是可控的。</w:t>
            </w:r>
          </w:p>
          <w:p>
            <w:pPr>
              <w:spacing w:line="360" w:lineRule="auto"/>
              <w:ind w:firstLine="482" w:firstLineChars="200"/>
              <w:rPr>
                <w:b/>
                <w:bCs/>
                <w:sz w:val="24"/>
              </w:rPr>
            </w:pPr>
            <w:r>
              <w:rPr>
                <w:rFonts w:hint="eastAsia"/>
                <w:b/>
                <w:bCs/>
                <w:sz w:val="24"/>
                <w:lang w:val="en-US" w:eastAsia="zh-CN"/>
              </w:rPr>
              <w:t>8.</w:t>
            </w:r>
            <w:r>
              <w:rPr>
                <w:rFonts w:hint="eastAsia"/>
                <w:b/>
                <w:bCs/>
                <w:sz w:val="24"/>
              </w:rPr>
              <w:t>项目选址合理性分析</w:t>
            </w:r>
          </w:p>
          <w:p>
            <w:pPr>
              <w:adjustRightInd w:val="0"/>
              <w:snapToGrid w:val="0"/>
              <w:jc w:val="center"/>
              <w:rPr>
                <w:rFonts w:hint="eastAsia" w:ascii="黑体" w:hAnsi="黑体" w:eastAsia="黑体" w:cs="黑体"/>
                <w:b w:val="0"/>
                <w:bCs w:val="0"/>
                <w:sz w:val="24"/>
                <w:szCs w:val="24"/>
              </w:rPr>
            </w:pPr>
            <w:r>
              <w:rPr>
                <w:rFonts w:hint="eastAsia" w:ascii="黑体" w:hAnsi="黑体" w:eastAsia="黑体" w:cs="黑体"/>
                <w:b w:val="0"/>
                <w:bCs w:val="0"/>
                <w:sz w:val="24"/>
                <w:szCs w:val="24"/>
              </w:rPr>
              <w:t>表</w:t>
            </w:r>
            <w:r>
              <w:rPr>
                <w:rFonts w:hint="eastAsia" w:ascii="黑体" w:hAnsi="黑体" w:eastAsia="黑体" w:cs="黑体"/>
                <w:b w:val="0"/>
                <w:bCs w:val="0"/>
                <w:sz w:val="24"/>
                <w:szCs w:val="24"/>
                <w:lang w:val="en-US" w:eastAsia="zh-CN"/>
              </w:rPr>
              <w:t>34</w:t>
            </w:r>
            <w:r>
              <w:rPr>
                <w:rFonts w:hint="eastAsia" w:ascii="黑体" w:hAnsi="黑体" w:eastAsia="黑体" w:cs="黑体"/>
                <w:b w:val="0"/>
                <w:bCs w:val="0"/>
                <w:sz w:val="24"/>
                <w:szCs w:val="24"/>
              </w:rPr>
              <w:t xml:space="preserve">  本项目选址环境可行性分析</w:t>
            </w:r>
          </w:p>
          <w:tbl>
            <w:tblPr>
              <w:tblStyle w:val="31"/>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57" w:type="dxa"/>
                <w:left w:w="108" w:type="dxa"/>
                <w:bottom w:w="57" w:type="dxa"/>
                <w:right w:w="108" w:type="dxa"/>
              </w:tblCellMar>
            </w:tblPr>
            <w:tblGrid>
              <w:gridCol w:w="704"/>
              <w:gridCol w:w="1705"/>
              <w:gridCol w:w="6662"/>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72" w:hRule="atLeast"/>
                <w:jc w:val="center"/>
              </w:trPr>
              <w:tc>
                <w:tcPr>
                  <w:tcW w:w="388" w:type="pct"/>
                  <w:tcBorders>
                    <w:top w:val="single" w:color="auto" w:sz="12" w:space="0"/>
                    <w:left w:val="nil"/>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序号</w:t>
                  </w:r>
                </w:p>
              </w:tc>
              <w:tc>
                <w:tcPr>
                  <w:tcW w:w="940" w:type="pct"/>
                  <w:tcBorders>
                    <w:top w:val="single" w:color="auto" w:sz="12" w:space="0"/>
                    <w:left w:val="single" w:color="auto" w:sz="6" w:space="0"/>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指标</w:t>
                  </w:r>
                </w:p>
              </w:tc>
              <w:tc>
                <w:tcPr>
                  <w:tcW w:w="3672" w:type="pct"/>
                  <w:tcBorders>
                    <w:top w:val="single" w:color="auto" w:sz="12" w:space="0"/>
                    <w:left w:val="single" w:color="auto" w:sz="6" w:space="0"/>
                    <w:bottom w:val="single" w:color="auto" w:sz="6" w:space="0"/>
                    <w:right w:val="nil"/>
                  </w:tcBorders>
                  <w:noWrap w:val="0"/>
                  <w:vAlign w:val="center"/>
                </w:tcPr>
                <w:p>
                  <w:pPr>
                    <w:adjustRightInd w:val="0"/>
                    <w:snapToGrid w:val="0"/>
                    <w:jc w:val="center"/>
                    <w:rPr>
                      <w:snapToGrid w:val="0"/>
                      <w:kern w:val="0"/>
                      <w:sz w:val="21"/>
                      <w:szCs w:val="21"/>
                    </w:rPr>
                  </w:pPr>
                  <w:r>
                    <w:rPr>
                      <w:snapToGrid w:val="0"/>
                      <w:kern w:val="0"/>
                      <w:sz w:val="21"/>
                      <w:szCs w:val="21"/>
                    </w:rPr>
                    <w:t>内容</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293" w:hRule="atLeast"/>
                <w:jc w:val="center"/>
              </w:trPr>
              <w:tc>
                <w:tcPr>
                  <w:tcW w:w="388" w:type="pct"/>
                  <w:tcBorders>
                    <w:top w:val="single" w:color="auto" w:sz="6" w:space="0"/>
                    <w:left w:val="nil"/>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1</w:t>
                  </w:r>
                </w:p>
              </w:tc>
              <w:tc>
                <w:tcPr>
                  <w:tcW w:w="940" w:type="pct"/>
                  <w:tcBorders>
                    <w:top w:val="single" w:color="auto" w:sz="6" w:space="0"/>
                    <w:left w:val="single" w:color="auto" w:sz="6" w:space="0"/>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地理位置</w:t>
                  </w:r>
                </w:p>
              </w:tc>
              <w:tc>
                <w:tcPr>
                  <w:tcW w:w="3672" w:type="pct"/>
                  <w:tcBorders>
                    <w:top w:val="single" w:color="auto" w:sz="6" w:space="0"/>
                    <w:left w:val="single" w:color="auto" w:sz="6" w:space="0"/>
                    <w:bottom w:val="single" w:color="auto" w:sz="6" w:space="0"/>
                    <w:right w:val="nil"/>
                  </w:tcBorders>
                  <w:noWrap w:val="0"/>
                  <w:vAlign w:val="center"/>
                </w:tcPr>
                <w:p>
                  <w:pPr>
                    <w:adjustRightInd w:val="0"/>
                    <w:snapToGrid w:val="0"/>
                    <w:jc w:val="center"/>
                    <w:rPr>
                      <w:rFonts w:hint="eastAsia" w:eastAsia="宋体"/>
                      <w:snapToGrid w:val="0"/>
                      <w:kern w:val="0"/>
                      <w:sz w:val="21"/>
                      <w:szCs w:val="21"/>
                      <w:lang w:eastAsia="zh-CN"/>
                    </w:rPr>
                  </w:pPr>
                  <w:r>
                    <w:rPr>
                      <w:rFonts w:hint="eastAsia"/>
                      <w:snapToGrid w:val="0"/>
                      <w:kern w:val="0"/>
                      <w:sz w:val="21"/>
                      <w:szCs w:val="21"/>
                    </w:rPr>
                    <w:t>本项目位于</w:t>
                  </w:r>
                  <w:r>
                    <w:rPr>
                      <w:rFonts w:hint="eastAsia"/>
                      <w:bCs/>
                      <w:snapToGrid w:val="0"/>
                      <w:kern w:val="0"/>
                      <w:sz w:val="21"/>
                      <w:szCs w:val="21"/>
                      <w:lang w:eastAsia="zh-CN"/>
                    </w:rPr>
                    <w:t>济源市坡头镇高新路东侧中段</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300" w:hRule="atLeast"/>
                <w:jc w:val="center"/>
              </w:trPr>
              <w:tc>
                <w:tcPr>
                  <w:tcW w:w="388" w:type="pct"/>
                  <w:tcBorders>
                    <w:top w:val="single" w:color="auto" w:sz="6" w:space="0"/>
                    <w:left w:val="nil"/>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2</w:t>
                  </w:r>
                </w:p>
              </w:tc>
              <w:tc>
                <w:tcPr>
                  <w:tcW w:w="940" w:type="pct"/>
                  <w:tcBorders>
                    <w:top w:val="single" w:color="auto" w:sz="6" w:space="0"/>
                    <w:left w:val="single" w:color="auto" w:sz="6" w:space="0"/>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土地性质</w:t>
                  </w:r>
                </w:p>
              </w:tc>
              <w:tc>
                <w:tcPr>
                  <w:tcW w:w="3672" w:type="pct"/>
                  <w:tcBorders>
                    <w:top w:val="single" w:color="auto" w:sz="6" w:space="0"/>
                    <w:left w:val="single" w:color="auto" w:sz="6" w:space="0"/>
                    <w:bottom w:val="single" w:color="auto" w:sz="6" w:space="0"/>
                    <w:right w:val="nil"/>
                  </w:tcBorders>
                  <w:noWrap w:val="0"/>
                  <w:vAlign w:val="center"/>
                </w:tcPr>
                <w:p>
                  <w:pPr>
                    <w:adjustRightInd w:val="0"/>
                    <w:snapToGrid w:val="0"/>
                    <w:jc w:val="center"/>
                    <w:rPr>
                      <w:snapToGrid w:val="0"/>
                      <w:kern w:val="0"/>
                      <w:sz w:val="21"/>
                      <w:szCs w:val="21"/>
                    </w:rPr>
                  </w:pPr>
                  <w:r>
                    <w:rPr>
                      <w:rFonts w:hint="eastAsia"/>
                      <w:bCs/>
                      <w:snapToGrid w:val="0"/>
                      <w:kern w:val="0"/>
                      <w:sz w:val="21"/>
                      <w:szCs w:val="21"/>
                    </w:rPr>
                    <w:t>本项目租赁现有厂房进行建设，其用地性质属于建设用地，符合</w:t>
                  </w:r>
                  <w:r>
                    <w:rPr>
                      <w:rFonts w:hint="eastAsia"/>
                      <w:bCs/>
                      <w:snapToGrid w:val="0"/>
                      <w:kern w:val="0"/>
                      <w:sz w:val="21"/>
                      <w:szCs w:val="21"/>
                      <w:lang w:eastAsia="zh-CN"/>
                    </w:rPr>
                    <w:t>承留</w:t>
                  </w:r>
                  <w:r>
                    <w:rPr>
                      <w:rFonts w:hint="eastAsia"/>
                      <w:bCs/>
                      <w:snapToGrid w:val="0"/>
                      <w:kern w:val="0"/>
                      <w:sz w:val="21"/>
                      <w:szCs w:val="21"/>
                    </w:rPr>
                    <w:t>镇土地利用规划</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324" w:hRule="atLeast"/>
                <w:jc w:val="center"/>
              </w:trPr>
              <w:tc>
                <w:tcPr>
                  <w:tcW w:w="388" w:type="pct"/>
                  <w:tcBorders>
                    <w:top w:val="single" w:color="auto" w:sz="6" w:space="0"/>
                    <w:left w:val="nil"/>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3</w:t>
                  </w:r>
                </w:p>
              </w:tc>
              <w:tc>
                <w:tcPr>
                  <w:tcW w:w="940" w:type="pct"/>
                  <w:tcBorders>
                    <w:top w:val="single" w:color="auto" w:sz="6" w:space="0"/>
                    <w:left w:val="single" w:color="auto" w:sz="6" w:space="0"/>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基础设施</w:t>
                  </w:r>
                </w:p>
              </w:tc>
              <w:tc>
                <w:tcPr>
                  <w:tcW w:w="3672" w:type="pct"/>
                  <w:tcBorders>
                    <w:top w:val="single" w:color="auto" w:sz="6" w:space="0"/>
                    <w:left w:val="single" w:color="auto" w:sz="6" w:space="0"/>
                    <w:bottom w:val="single" w:color="auto" w:sz="6" w:space="0"/>
                    <w:right w:val="nil"/>
                  </w:tcBorders>
                  <w:noWrap w:val="0"/>
                  <w:vAlign w:val="center"/>
                </w:tcPr>
                <w:p>
                  <w:pPr>
                    <w:adjustRightInd w:val="0"/>
                    <w:snapToGrid w:val="0"/>
                    <w:jc w:val="center"/>
                    <w:rPr>
                      <w:snapToGrid w:val="0"/>
                      <w:kern w:val="0"/>
                      <w:sz w:val="21"/>
                      <w:szCs w:val="21"/>
                    </w:rPr>
                  </w:pPr>
                  <w:r>
                    <w:rPr>
                      <w:snapToGrid w:val="0"/>
                      <w:kern w:val="0"/>
                      <w:sz w:val="21"/>
                      <w:szCs w:val="21"/>
                    </w:rPr>
                    <w:t>供水</w:t>
                  </w:r>
                  <w:r>
                    <w:rPr>
                      <w:rFonts w:hint="eastAsia"/>
                      <w:snapToGrid w:val="0"/>
                      <w:kern w:val="0"/>
                      <w:sz w:val="21"/>
                      <w:szCs w:val="21"/>
                    </w:rPr>
                    <w:t>由</w:t>
                  </w:r>
                  <w:r>
                    <w:rPr>
                      <w:rFonts w:hint="eastAsia"/>
                      <w:snapToGrid w:val="0"/>
                      <w:kern w:val="0"/>
                      <w:sz w:val="21"/>
                      <w:szCs w:val="21"/>
                      <w:lang w:eastAsia="zh-CN"/>
                    </w:rPr>
                    <w:t>北石村</w:t>
                  </w:r>
                  <w:r>
                    <w:rPr>
                      <w:rFonts w:hint="eastAsia"/>
                      <w:snapToGrid w:val="0"/>
                      <w:kern w:val="0"/>
                      <w:sz w:val="21"/>
                      <w:szCs w:val="21"/>
                    </w:rPr>
                    <w:t>提供</w:t>
                  </w:r>
                  <w:r>
                    <w:rPr>
                      <w:snapToGrid w:val="0"/>
                      <w:kern w:val="0"/>
                      <w:sz w:val="21"/>
                      <w:szCs w:val="21"/>
                    </w:rPr>
                    <w:t>、供电</w:t>
                  </w:r>
                  <w:r>
                    <w:rPr>
                      <w:rFonts w:hint="eastAsia"/>
                      <w:snapToGrid w:val="0"/>
                      <w:kern w:val="0"/>
                      <w:sz w:val="21"/>
                      <w:szCs w:val="21"/>
                    </w:rPr>
                    <w:t>由</w:t>
                  </w:r>
                  <w:r>
                    <w:rPr>
                      <w:rFonts w:hint="eastAsia"/>
                      <w:snapToGrid w:val="0"/>
                      <w:kern w:val="0"/>
                      <w:sz w:val="21"/>
                      <w:szCs w:val="21"/>
                      <w:lang w:eastAsia="zh-CN"/>
                    </w:rPr>
                    <w:t>坡头村</w:t>
                  </w:r>
                  <w:r>
                    <w:rPr>
                      <w:rFonts w:hint="eastAsia"/>
                      <w:snapToGrid w:val="0"/>
                      <w:kern w:val="0"/>
                      <w:sz w:val="21"/>
                      <w:szCs w:val="21"/>
                    </w:rPr>
                    <w:t>集中供电</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425" w:hRule="atLeast"/>
                <w:jc w:val="center"/>
              </w:trPr>
              <w:tc>
                <w:tcPr>
                  <w:tcW w:w="388" w:type="pct"/>
                  <w:tcBorders>
                    <w:top w:val="single" w:color="auto" w:sz="6" w:space="0"/>
                    <w:left w:val="nil"/>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4</w:t>
                  </w:r>
                </w:p>
              </w:tc>
              <w:tc>
                <w:tcPr>
                  <w:tcW w:w="940" w:type="pct"/>
                  <w:tcBorders>
                    <w:top w:val="single" w:color="auto" w:sz="6" w:space="0"/>
                    <w:left w:val="single" w:color="auto" w:sz="6" w:space="0"/>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环境空气影响</w:t>
                  </w:r>
                </w:p>
              </w:tc>
              <w:tc>
                <w:tcPr>
                  <w:tcW w:w="3672" w:type="pct"/>
                  <w:tcBorders>
                    <w:top w:val="single" w:color="auto" w:sz="6" w:space="0"/>
                    <w:left w:val="single" w:color="auto" w:sz="6" w:space="0"/>
                    <w:bottom w:val="single" w:color="auto" w:sz="6" w:space="0"/>
                    <w:right w:val="nil"/>
                  </w:tcBorders>
                  <w:noWrap w:val="0"/>
                  <w:vAlign w:val="center"/>
                </w:tcPr>
                <w:p>
                  <w:pPr>
                    <w:adjustRightInd w:val="0"/>
                    <w:snapToGrid w:val="0"/>
                    <w:jc w:val="center"/>
                    <w:rPr>
                      <w:rFonts w:hint="eastAsia"/>
                      <w:bCs/>
                      <w:snapToGrid w:val="0"/>
                      <w:kern w:val="0"/>
                      <w:sz w:val="21"/>
                      <w:szCs w:val="21"/>
                    </w:rPr>
                  </w:pPr>
                  <w:r>
                    <w:rPr>
                      <w:rFonts w:hint="eastAsia"/>
                      <w:bCs/>
                      <w:snapToGrid w:val="0"/>
                      <w:kern w:val="0"/>
                      <w:sz w:val="21"/>
                      <w:szCs w:val="21"/>
                      <w:lang w:eastAsia="zh-CN"/>
                    </w:rPr>
                    <w:t>本项目焊接过程产生的焊烟经焊烟净化器收集处理后排放</w:t>
                  </w:r>
                  <w:r>
                    <w:rPr>
                      <w:rFonts w:hint="eastAsia"/>
                      <w:bCs/>
                      <w:snapToGrid w:val="0"/>
                      <w:kern w:val="0"/>
                      <w:sz w:val="21"/>
                      <w:szCs w:val="21"/>
                    </w:rPr>
                    <w:t>。在采取以上措施后，项目运行对周围环境空气影响较小。</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425" w:hRule="atLeast"/>
                <w:jc w:val="center"/>
              </w:trPr>
              <w:tc>
                <w:tcPr>
                  <w:tcW w:w="388" w:type="pct"/>
                  <w:tcBorders>
                    <w:top w:val="single" w:color="auto" w:sz="6" w:space="0"/>
                    <w:left w:val="nil"/>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5</w:t>
                  </w:r>
                </w:p>
              </w:tc>
              <w:tc>
                <w:tcPr>
                  <w:tcW w:w="940" w:type="pct"/>
                  <w:tcBorders>
                    <w:top w:val="single" w:color="auto" w:sz="6" w:space="0"/>
                    <w:left w:val="single" w:color="auto" w:sz="6" w:space="0"/>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地表水环境影响</w:t>
                  </w:r>
                </w:p>
              </w:tc>
              <w:tc>
                <w:tcPr>
                  <w:tcW w:w="3672" w:type="pct"/>
                  <w:tcBorders>
                    <w:top w:val="single" w:color="auto" w:sz="6" w:space="0"/>
                    <w:left w:val="single" w:color="auto" w:sz="6" w:space="0"/>
                    <w:bottom w:val="single" w:color="auto" w:sz="6" w:space="0"/>
                    <w:right w:val="nil"/>
                  </w:tcBorders>
                  <w:noWrap w:val="0"/>
                  <w:vAlign w:val="center"/>
                </w:tcPr>
                <w:p>
                  <w:pPr>
                    <w:adjustRightInd w:val="0"/>
                    <w:snapToGrid w:val="0"/>
                    <w:jc w:val="center"/>
                    <w:rPr>
                      <w:snapToGrid w:val="0"/>
                      <w:kern w:val="0"/>
                      <w:sz w:val="21"/>
                      <w:szCs w:val="21"/>
                    </w:rPr>
                  </w:pPr>
                  <w:r>
                    <w:rPr>
                      <w:snapToGrid w:val="0"/>
                      <w:kern w:val="0"/>
                      <w:sz w:val="21"/>
                      <w:szCs w:val="21"/>
                    </w:rPr>
                    <w:t>项目</w:t>
                  </w:r>
                  <w:r>
                    <w:rPr>
                      <w:rFonts w:hint="eastAsia"/>
                      <w:snapToGrid w:val="0"/>
                      <w:kern w:val="0"/>
                      <w:sz w:val="21"/>
                      <w:szCs w:val="21"/>
                    </w:rPr>
                    <w:t>生活污水</w:t>
                  </w:r>
                  <w:r>
                    <w:rPr>
                      <w:snapToGrid w:val="0"/>
                      <w:kern w:val="0"/>
                      <w:sz w:val="21"/>
                      <w:szCs w:val="21"/>
                    </w:rPr>
                    <w:t>经</w:t>
                  </w:r>
                  <w:r>
                    <w:rPr>
                      <w:rFonts w:hint="eastAsia"/>
                      <w:snapToGrid w:val="0"/>
                      <w:kern w:val="0"/>
                      <w:sz w:val="21"/>
                      <w:szCs w:val="21"/>
                    </w:rPr>
                    <w:t>厂区内</w:t>
                  </w:r>
                  <w:r>
                    <w:rPr>
                      <w:rFonts w:hint="eastAsia"/>
                      <w:snapToGrid w:val="0"/>
                      <w:kern w:val="0"/>
                      <w:sz w:val="21"/>
                      <w:szCs w:val="21"/>
                      <w:lang w:eastAsia="zh-CN"/>
                    </w:rPr>
                    <w:t>现</w:t>
                  </w:r>
                  <w:r>
                    <w:rPr>
                      <w:rFonts w:hint="eastAsia"/>
                      <w:snapToGrid w:val="0"/>
                      <w:kern w:val="0"/>
                      <w:sz w:val="21"/>
                      <w:szCs w:val="21"/>
                    </w:rPr>
                    <w:t>有</w:t>
                  </w:r>
                  <w:r>
                    <w:rPr>
                      <w:rFonts w:hint="eastAsia"/>
                      <w:snapToGrid w:val="0"/>
                      <w:kern w:val="0"/>
                      <w:sz w:val="21"/>
                      <w:szCs w:val="21"/>
                      <w:lang w:eastAsia="zh-CN"/>
                    </w:rPr>
                    <w:t>三格式</w:t>
                  </w:r>
                  <w:r>
                    <w:rPr>
                      <w:snapToGrid w:val="0"/>
                      <w:kern w:val="0"/>
                      <w:sz w:val="21"/>
                      <w:szCs w:val="21"/>
                    </w:rPr>
                    <w:t>化粪池处理</w:t>
                  </w:r>
                  <w:r>
                    <w:rPr>
                      <w:rFonts w:hint="eastAsia"/>
                      <w:snapToGrid w:val="0"/>
                      <w:kern w:val="0"/>
                      <w:sz w:val="21"/>
                      <w:szCs w:val="21"/>
                    </w:rPr>
                    <w:t>后，</w:t>
                  </w:r>
                  <w:r>
                    <w:rPr>
                      <w:rFonts w:hint="eastAsia"/>
                      <w:bCs/>
                      <w:sz w:val="21"/>
                      <w:szCs w:val="21"/>
                    </w:rPr>
                    <w:t>由专业服务队伍采用专业抽粪车辆定期对粪水、粪渣进行收集、有效利用和无害化处理</w:t>
                  </w:r>
                  <w:r>
                    <w:rPr>
                      <w:rFonts w:hint="eastAsia"/>
                      <w:snapToGrid w:val="0"/>
                      <w:kern w:val="0"/>
                      <w:sz w:val="21"/>
                      <w:szCs w:val="21"/>
                      <w:lang w:eastAsia="zh-CN"/>
                    </w:rPr>
                    <w:t>；车辆</w:t>
                  </w:r>
                  <w:r>
                    <w:rPr>
                      <w:rFonts w:hint="eastAsia" w:ascii="宋体" w:hAnsi="宋体" w:eastAsia="宋体" w:cs="宋体"/>
                      <w:color w:val="000000"/>
                      <w:kern w:val="0"/>
                      <w:sz w:val="21"/>
                      <w:szCs w:val="21"/>
                      <w:lang w:val="en-US" w:eastAsia="zh-CN" w:bidi="ar"/>
                    </w:rPr>
                    <w:t>冲洗水通过车辆冲洗池底部的管沟排入</w:t>
                  </w:r>
                  <w:r>
                    <w:rPr>
                      <w:rFonts w:hint="eastAsia" w:ascii="宋体" w:hAnsi="宋体" w:cs="宋体"/>
                      <w:color w:val="000000"/>
                      <w:kern w:val="0"/>
                      <w:sz w:val="21"/>
                      <w:szCs w:val="21"/>
                      <w:lang w:val="en-US" w:eastAsia="zh-CN" w:bidi="ar"/>
                    </w:rPr>
                    <w:t>三级</w:t>
                  </w:r>
                  <w:r>
                    <w:rPr>
                      <w:rFonts w:hint="eastAsia" w:ascii="宋体" w:hAnsi="宋体" w:eastAsia="宋体" w:cs="宋体"/>
                      <w:color w:val="000000"/>
                      <w:kern w:val="0"/>
                      <w:sz w:val="21"/>
                      <w:szCs w:val="21"/>
                      <w:lang w:val="en-US" w:eastAsia="zh-CN" w:bidi="ar"/>
                    </w:rPr>
                    <w:t>沉淀池，经过沉淀池沉淀后用作</w:t>
                  </w:r>
                  <w:r>
                    <w:rPr>
                      <w:rFonts w:hint="eastAsia" w:ascii="宋体" w:hAnsi="宋体" w:cs="宋体"/>
                      <w:color w:val="000000"/>
                      <w:kern w:val="0"/>
                      <w:sz w:val="21"/>
                      <w:szCs w:val="21"/>
                      <w:lang w:val="en-US" w:eastAsia="zh-CN" w:bidi="ar"/>
                    </w:rPr>
                    <w:t>道路洒水抑尘。</w:t>
                  </w:r>
                  <w:r>
                    <w:rPr>
                      <w:rFonts w:hint="eastAsia"/>
                      <w:snapToGrid w:val="0"/>
                      <w:kern w:val="0"/>
                      <w:sz w:val="21"/>
                      <w:szCs w:val="21"/>
                    </w:rPr>
                    <w:t>废水</w:t>
                  </w:r>
                  <w:r>
                    <w:rPr>
                      <w:rFonts w:hint="eastAsia"/>
                      <w:snapToGrid w:val="0"/>
                      <w:kern w:val="0"/>
                      <w:sz w:val="21"/>
                      <w:szCs w:val="21"/>
                      <w:lang w:eastAsia="zh-CN"/>
                    </w:rPr>
                    <w:t>均</w:t>
                  </w:r>
                  <w:r>
                    <w:rPr>
                      <w:rFonts w:hint="eastAsia"/>
                      <w:snapToGrid w:val="0"/>
                      <w:kern w:val="0"/>
                      <w:sz w:val="21"/>
                      <w:szCs w:val="21"/>
                    </w:rPr>
                    <w:t>不外排，对区域水环境无影响</w:t>
                  </w:r>
                  <w:r>
                    <w:rPr>
                      <w:snapToGrid w:val="0"/>
                      <w:kern w:val="0"/>
                      <w:sz w:val="21"/>
                      <w:szCs w:val="21"/>
                    </w:rPr>
                    <w:t xml:space="preserve"> </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425" w:hRule="atLeast"/>
                <w:jc w:val="center"/>
              </w:trPr>
              <w:tc>
                <w:tcPr>
                  <w:tcW w:w="388" w:type="pct"/>
                  <w:tcBorders>
                    <w:top w:val="single" w:color="auto" w:sz="6" w:space="0"/>
                    <w:left w:val="nil"/>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6</w:t>
                  </w:r>
                </w:p>
              </w:tc>
              <w:tc>
                <w:tcPr>
                  <w:tcW w:w="940" w:type="pct"/>
                  <w:tcBorders>
                    <w:top w:val="single" w:color="auto" w:sz="6" w:space="0"/>
                    <w:left w:val="single" w:color="auto" w:sz="6" w:space="0"/>
                    <w:bottom w:val="single" w:color="auto" w:sz="6"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声环境影响</w:t>
                  </w:r>
                </w:p>
              </w:tc>
              <w:tc>
                <w:tcPr>
                  <w:tcW w:w="3672" w:type="pct"/>
                  <w:tcBorders>
                    <w:top w:val="single" w:color="auto" w:sz="6" w:space="0"/>
                    <w:left w:val="single" w:color="auto" w:sz="6" w:space="0"/>
                    <w:bottom w:val="single" w:color="auto" w:sz="6" w:space="0"/>
                    <w:right w:val="nil"/>
                  </w:tcBorders>
                  <w:noWrap w:val="0"/>
                  <w:vAlign w:val="center"/>
                </w:tcPr>
                <w:p>
                  <w:pPr>
                    <w:adjustRightInd w:val="0"/>
                    <w:snapToGrid w:val="0"/>
                    <w:jc w:val="center"/>
                    <w:rPr>
                      <w:snapToGrid w:val="0"/>
                      <w:kern w:val="0"/>
                      <w:sz w:val="21"/>
                      <w:szCs w:val="21"/>
                    </w:rPr>
                  </w:pPr>
                  <w:r>
                    <w:rPr>
                      <w:snapToGrid w:val="0"/>
                      <w:kern w:val="0"/>
                      <w:sz w:val="21"/>
                      <w:szCs w:val="21"/>
                    </w:rPr>
                    <w:t>经预测</w:t>
                  </w:r>
                  <w:r>
                    <w:rPr>
                      <w:rFonts w:hint="eastAsia"/>
                      <w:snapToGrid w:val="0"/>
                      <w:kern w:val="0"/>
                      <w:sz w:val="21"/>
                      <w:szCs w:val="21"/>
                    </w:rPr>
                    <w:t>分析</w:t>
                  </w:r>
                  <w:r>
                    <w:rPr>
                      <w:snapToGrid w:val="0"/>
                      <w:kern w:val="0"/>
                      <w:sz w:val="21"/>
                      <w:szCs w:val="21"/>
                    </w:rPr>
                    <w:t>，项目运行后四周厂界的噪声</w:t>
                  </w:r>
                  <w:r>
                    <w:rPr>
                      <w:rFonts w:hint="eastAsia"/>
                      <w:snapToGrid w:val="0"/>
                      <w:kern w:val="0"/>
                      <w:sz w:val="21"/>
                      <w:szCs w:val="21"/>
                    </w:rPr>
                    <w:t>贡献</w:t>
                  </w:r>
                  <w:r>
                    <w:rPr>
                      <w:snapToGrid w:val="0"/>
                      <w:kern w:val="0"/>
                      <w:sz w:val="21"/>
                      <w:szCs w:val="21"/>
                    </w:rPr>
                    <w:t>值均可达标，对周围声环境影响较小</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57" w:type="dxa"/>
                  <w:left w:w="108" w:type="dxa"/>
                  <w:bottom w:w="57" w:type="dxa"/>
                  <w:right w:w="108" w:type="dxa"/>
                </w:tblCellMar>
              </w:tblPrEx>
              <w:trPr>
                <w:trHeight w:val="425" w:hRule="atLeast"/>
                <w:jc w:val="center"/>
              </w:trPr>
              <w:tc>
                <w:tcPr>
                  <w:tcW w:w="388" w:type="pct"/>
                  <w:tcBorders>
                    <w:top w:val="single" w:color="auto" w:sz="6" w:space="0"/>
                    <w:left w:val="nil"/>
                    <w:bottom w:val="single" w:color="auto" w:sz="12"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7</w:t>
                  </w:r>
                </w:p>
              </w:tc>
              <w:tc>
                <w:tcPr>
                  <w:tcW w:w="940" w:type="pct"/>
                  <w:tcBorders>
                    <w:top w:val="single" w:color="auto" w:sz="6" w:space="0"/>
                    <w:left w:val="single" w:color="auto" w:sz="6" w:space="0"/>
                    <w:bottom w:val="single" w:color="auto" w:sz="12" w:space="0"/>
                    <w:right w:val="single" w:color="auto" w:sz="6" w:space="0"/>
                  </w:tcBorders>
                  <w:noWrap w:val="0"/>
                  <w:vAlign w:val="center"/>
                </w:tcPr>
                <w:p>
                  <w:pPr>
                    <w:adjustRightInd w:val="0"/>
                    <w:snapToGrid w:val="0"/>
                    <w:jc w:val="center"/>
                    <w:rPr>
                      <w:snapToGrid w:val="0"/>
                      <w:kern w:val="0"/>
                      <w:sz w:val="21"/>
                      <w:szCs w:val="21"/>
                    </w:rPr>
                  </w:pPr>
                  <w:r>
                    <w:rPr>
                      <w:snapToGrid w:val="0"/>
                      <w:kern w:val="0"/>
                      <w:sz w:val="21"/>
                      <w:szCs w:val="21"/>
                    </w:rPr>
                    <w:t>固体废物影响</w:t>
                  </w:r>
                </w:p>
              </w:tc>
              <w:tc>
                <w:tcPr>
                  <w:tcW w:w="3672" w:type="pct"/>
                  <w:tcBorders>
                    <w:top w:val="single" w:color="auto" w:sz="6" w:space="0"/>
                    <w:left w:val="single" w:color="auto" w:sz="6" w:space="0"/>
                    <w:bottom w:val="single" w:color="auto" w:sz="12" w:space="0"/>
                    <w:right w:val="nil"/>
                  </w:tcBorders>
                  <w:noWrap w:val="0"/>
                  <w:vAlign w:val="center"/>
                </w:tcPr>
                <w:p>
                  <w:pPr>
                    <w:adjustRightInd w:val="0"/>
                    <w:snapToGrid w:val="0"/>
                    <w:jc w:val="center"/>
                    <w:rPr>
                      <w:snapToGrid w:val="0"/>
                      <w:kern w:val="0"/>
                      <w:sz w:val="21"/>
                      <w:szCs w:val="21"/>
                    </w:rPr>
                  </w:pPr>
                  <w:r>
                    <w:rPr>
                      <w:snapToGrid w:val="0"/>
                      <w:kern w:val="0"/>
                      <w:sz w:val="21"/>
                      <w:szCs w:val="21"/>
                    </w:rPr>
                    <w:t>项目各种固体废物均能得到合理处置，不会产生二次污染</w:t>
                  </w:r>
                </w:p>
              </w:tc>
            </w:tr>
          </w:tbl>
          <w:p>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kern w:val="0"/>
                <w:sz w:val="24"/>
                <w:lang w:val="en-GB"/>
              </w:rPr>
            </w:pPr>
          </w:p>
          <w:p>
            <w:pPr>
              <w:keepNext/>
              <w:keepLines/>
              <w:spacing w:before="80" w:after="80" w:line="360" w:lineRule="auto"/>
              <w:ind w:firstLine="472" w:firstLineChars="196"/>
              <w:outlineLvl w:val="2"/>
              <w:rPr>
                <w:b/>
                <w:bCs/>
                <w:color w:val="auto"/>
                <w:sz w:val="24"/>
              </w:rPr>
            </w:pPr>
            <w:r>
              <w:rPr>
                <w:rFonts w:hint="eastAsia"/>
                <w:b/>
                <w:bCs/>
                <w:color w:val="auto"/>
                <w:sz w:val="24"/>
                <w:lang w:val="en-US" w:eastAsia="zh-CN"/>
              </w:rPr>
              <w:t>9.</w:t>
            </w:r>
            <w:r>
              <w:rPr>
                <w:rFonts w:hint="eastAsia"/>
                <w:b/>
                <w:bCs/>
                <w:color w:val="auto"/>
                <w:sz w:val="24"/>
              </w:rPr>
              <w:t>总量控制分析</w:t>
            </w:r>
          </w:p>
          <w:p>
            <w:pPr>
              <w:keepNext/>
              <w:keepLines/>
              <w:spacing w:before="80" w:after="80" w:line="360" w:lineRule="auto"/>
              <w:ind w:firstLine="470" w:firstLineChars="196"/>
              <w:outlineLvl w:val="2"/>
              <w:rPr>
                <w:bCs/>
                <w:color w:val="auto"/>
                <w:sz w:val="24"/>
                <w:highlight w:val="none"/>
              </w:rPr>
            </w:pPr>
            <w:r>
              <w:rPr>
                <w:rFonts w:hint="default" w:ascii="Times New Roman" w:hAnsi="Times New Roman" w:cs="Times New Roman"/>
                <w:bCs/>
                <w:color w:val="auto"/>
                <w:sz w:val="24"/>
              </w:rPr>
              <w:t>本项目废水不外排，产生的废气</w:t>
            </w:r>
            <w:r>
              <w:rPr>
                <w:rFonts w:hint="default" w:ascii="Times New Roman" w:hAnsi="Times New Roman" w:cs="Times New Roman"/>
                <w:bCs/>
                <w:color w:val="auto"/>
                <w:sz w:val="24"/>
                <w:lang w:eastAsia="zh-CN"/>
              </w:rPr>
              <w:t>为颗粒物</w:t>
            </w:r>
            <w:r>
              <w:rPr>
                <w:rFonts w:hint="default" w:ascii="Times New Roman" w:hAnsi="Times New Roman" w:cs="Times New Roman"/>
                <w:bCs/>
                <w:color w:val="auto"/>
                <w:sz w:val="24"/>
                <w:lang w:val="en-US" w:eastAsia="zh-CN"/>
              </w:rPr>
              <w:t>，</w:t>
            </w:r>
            <w:r>
              <w:rPr>
                <w:rFonts w:hint="default" w:ascii="Times New Roman" w:hAnsi="Times New Roman" w:cs="Times New Roman"/>
                <w:bCs/>
                <w:color w:val="auto"/>
                <w:sz w:val="24"/>
              </w:rPr>
              <w:t>不含SO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、NOx</w:t>
            </w:r>
            <w:r>
              <w:rPr>
                <w:rFonts w:hint="eastAsia" w:cs="Times New Roman"/>
                <w:bCs/>
                <w:color w:val="auto"/>
                <w:sz w:val="24"/>
                <w:lang w:eastAsia="zh-CN"/>
              </w:rPr>
              <w:t>。</w:t>
            </w:r>
            <w:r>
              <w:rPr>
                <w:rFonts w:hint="default" w:ascii="Times New Roman" w:hAnsi="Times New Roman" w:cs="Times New Roman"/>
                <w:bCs/>
                <w:color w:val="auto"/>
                <w:sz w:val="24"/>
              </w:rPr>
              <w:t>本项目</w:t>
            </w:r>
            <w:r>
              <w:rPr>
                <w:rFonts w:hint="eastAsia" w:cs="Times New Roman"/>
                <w:bCs/>
                <w:color w:val="auto"/>
                <w:sz w:val="24"/>
                <w:lang w:eastAsia="zh-CN"/>
              </w:rPr>
              <w:t>建成后，</w:t>
            </w:r>
            <w:r>
              <w:rPr>
                <w:rFonts w:hint="eastAsia" w:ascii="Times New Roman" w:hAnsi="Times New Roman" w:cs="Times New Roman"/>
                <w:bCs/>
                <w:color w:val="auto"/>
                <w:sz w:val="24"/>
                <w:lang w:eastAsia="zh-CN"/>
              </w:rPr>
              <w:t>污染物排放总量为</w:t>
            </w:r>
            <w:r>
              <w:rPr>
                <w:rFonts w:hint="default" w:ascii="Times New Roman" w:hAnsi="Times New Roman" w:cs="Times New Roman"/>
                <w:bCs/>
                <w:color w:val="auto"/>
                <w:sz w:val="24"/>
              </w:rPr>
              <w:t>：</w:t>
            </w:r>
            <w:r>
              <w:rPr>
                <w:bCs/>
                <w:color w:val="auto"/>
                <w:sz w:val="24"/>
                <w:highlight w:val="none"/>
              </w:rPr>
              <w:t>COD0t/a、NH</w:t>
            </w:r>
            <w:r>
              <w:rPr>
                <w:bCs/>
                <w:color w:val="auto"/>
                <w:sz w:val="24"/>
                <w:highlight w:val="none"/>
                <w:vertAlign w:val="subscript"/>
              </w:rPr>
              <w:t>3</w:t>
            </w:r>
            <w:r>
              <w:rPr>
                <w:bCs/>
                <w:color w:val="auto"/>
                <w:sz w:val="24"/>
                <w:highlight w:val="none"/>
              </w:rPr>
              <w:t>-N0t/a、SO</w:t>
            </w:r>
            <w:r>
              <w:rPr>
                <w:bCs/>
                <w:color w:val="auto"/>
                <w:sz w:val="24"/>
                <w:highlight w:val="none"/>
                <w:vertAlign w:val="subscript"/>
              </w:rPr>
              <w:t>2</w:t>
            </w:r>
            <w:r>
              <w:rPr>
                <w:bCs/>
                <w:color w:val="auto"/>
                <w:sz w:val="24"/>
                <w:highlight w:val="none"/>
              </w:rPr>
              <w:t>0t/a、NOx0t/a</w:t>
            </w:r>
            <w:r>
              <w:rPr>
                <w:rFonts w:hint="eastAsia"/>
                <w:bCs/>
                <w:color w:val="auto"/>
                <w:sz w:val="24"/>
                <w:highlight w:val="none"/>
              </w:rPr>
              <w:t>、</w:t>
            </w:r>
            <w:r>
              <w:rPr>
                <w:rFonts w:hint="eastAsia"/>
                <w:bCs/>
                <w:color w:val="auto"/>
                <w:sz w:val="24"/>
                <w:highlight w:val="none"/>
                <w:lang w:eastAsia="zh-CN"/>
              </w:rPr>
              <w:t>颗粒物</w:t>
            </w:r>
            <w:r>
              <w:rPr>
                <w:rFonts w:hint="eastAsia"/>
                <w:bCs/>
                <w:color w:val="auto"/>
                <w:sz w:val="24"/>
                <w:highlight w:val="none"/>
                <w:lang w:val="en-US" w:eastAsia="zh-CN"/>
              </w:rPr>
              <w:t>0.0242t/a</w:t>
            </w:r>
            <w:r>
              <w:rPr>
                <w:bCs/>
                <w:color w:val="auto"/>
                <w:sz w:val="24"/>
                <w:highlight w:val="none"/>
              </w:rPr>
              <w:t>。</w:t>
            </w:r>
          </w:p>
          <w:p>
            <w:pPr>
              <w:pStyle w:val="117"/>
              <w:ind w:firstLine="482"/>
              <w:rPr>
                <w:rFonts w:hint="eastAsia"/>
                <w:b/>
                <w:bCs/>
                <w:color w:val="auto"/>
                <w:highlight w:val="none"/>
              </w:rPr>
            </w:pPr>
            <w:r>
              <w:rPr>
                <w:rFonts w:hint="eastAsia"/>
                <w:b/>
                <w:kern w:val="0"/>
                <w:sz w:val="24"/>
                <w:lang w:val="en-US" w:eastAsia="zh-CN"/>
              </w:rPr>
              <w:t>10.</w:t>
            </w:r>
            <w:r>
              <w:rPr>
                <w:rFonts w:hint="eastAsia"/>
                <w:b/>
                <w:bCs/>
                <w:color w:val="auto"/>
                <w:highlight w:val="none"/>
              </w:rPr>
              <w:t>环境管理监测计划</w:t>
            </w:r>
          </w:p>
          <w:p>
            <w:pPr>
              <w:pStyle w:val="117"/>
              <w:spacing w:line="360" w:lineRule="auto"/>
              <w:ind w:firstLine="482"/>
              <w:rPr>
                <w:b w:val="0"/>
                <w:bCs w:val="0"/>
                <w:color w:val="auto"/>
              </w:rPr>
            </w:pPr>
            <w:r>
              <w:rPr>
                <w:b w:val="0"/>
                <w:bCs w:val="0"/>
                <w:color w:val="auto"/>
              </w:rPr>
              <w:t>（1）环境管理体制</w:t>
            </w:r>
          </w:p>
          <w:p>
            <w:pPr>
              <w:pStyle w:val="117"/>
              <w:spacing w:line="360" w:lineRule="auto"/>
              <w:ind w:firstLine="482"/>
              <w:jc w:val="both"/>
              <w:rPr>
                <w:b w:val="0"/>
                <w:bCs w:val="0"/>
                <w:color w:val="auto"/>
              </w:rPr>
            </w:pPr>
            <w:r>
              <w:rPr>
                <w:b w:val="0"/>
                <w:bCs w:val="0"/>
                <w:color w:val="auto"/>
              </w:rPr>
              <w:t>企业的环境管理体制在于解决企业环境管理中</w:t>
            </w:r>
            <w:r>
              <w:rPr>
                <w:rFonts w:hint="eastAsia"/>
                <w:b w:val="0"/>
                <w:bCs w:val="0"/>
                <w:color w:val="auto"/>
                <w:lang w:eastAsia="zh-CN"/>
              </w:rPr>
              <w:t>“</w:t>
            </w:r>
            <w:r>
              <w:rPr>
                <w:b w:val="0"/>
                <w:bCs w:val="0"/>
                <w:color w:val="auto"/>
              </w:rPr>
              <w:t>上下左右</w:t>
            </w:r>
            <w:r>
              <w:rPr>
                <w:rFonts w:hint="eastAsia"/>
                <w:b w:val="0"/>
                <w:bCs w:val="0"/>
                <w:color w:val="auto"/>
                <w:lang w:eastAsia="zh-CN"/>
              </w:rPr>
              <w:t>”</w:t>
            </w:r>
            <w:r>
              <w:rPr>
                <w:b w:val="0"/>
                <w:bCs w:val="0"/>
                <w:color w:val="auto"/>
              </w:rPr>
              <w:t>的关系问题，是关系到企业环境管理工作能否顺利实施的关键。为实现科学管理，评价建议</w:t>
            </w:r>
            <w:r>
              <w:rPr>
                <w:rFonts w:hint="eastAsia"/>
                <w:b w:val="0"/>
                <w:bCs w:val="0"/>
                <w:color w:val="auto"/>
                <w:sz w:val="24"/>
                <w:lang w:eastAsia="zh-CN"/>
              </w:rPr>
              <w:t>企业</w:t>
            </w:r>
            <w:r>
              <w:rPr>
                <w:b w:val="0"/>
                <w:bCs w:val="0"/>
                <w:color w:val="auto"/>
              </w:rPr>
              <w:t>结合本次工程建设，实行公司、车间二级管理体制。</w:t>
            </w:r>
          </w:p>
          <w:p>
            <w:pPr>
              <w:pStyle w:val="117"/>
              <w:spacing w:line="360" w:lineRule="auto"/>
              <w:ind w:firstLine="482"/>
              <w:rPr>
                <w:b w:val="0"/>
                <w:bCs w:val="0"/>
                <w:color w:val="auto"/>
              </w:rPr>
            </w:pPr>
            <w:r>
              <w:rPr>
                <w:rFonts w:hint="eastAsia"/>
                <w:b w:val="0"/>
                <w:bCs w:val="0"/>
                <w:color w:val="auto"/>
              </w:rPr>
              <w:t>①</w:t>
            </w:r>
            <w:r>
              <w:rPr>
                <w:b w:val="0"/>
                <w:bCs w:val="0"/>
                <w:color w:val="auto"/>
              </w:rPr>
              <w:t>总经理作为环境保护工作的领导者，负责全厂的环境保护工作。</w:t>
            </w:r>
          </w:p>
          <w:p>
            <w:pPr>
              <w:pStyle w:val="117"/>
              <w:spacing w:line="360" w:lineRule="auto"/>
              <w:ind w:firstLine="482"/>
              <w:jc w:val="both"/>
              <w:rPr>
                <w:b w:val="0"/>
                <w:bCs w:val="0"/>
                <w:color w:val="auto"/>
              </w:rPr>
            </w:pPr>
            <w:r>
              <w:rPr>
                <w:rFonts w:hint="eastAsia"/>
                <w:b w:val="0"/>
                <w:bCs w:val="0"/>
                <w:color w:val="auto"/>
              </w:rPr>
              <w:t>②</w:t>
            </w:r>
            <w:r>
              <w:rPr>
                <w:b w:val="0"/>
                <w:bCs w:val="0"/>
                <w:color w:val="auto"/>
              </w:rPr>
              <w:t>在总经理的领导下，由生产车间主管主持本车间的环境保护工作。各生产车间按照其业务范围明确环境保护的职责，并在车间建立健全环境保护岗位责任制，将环境管理落实到岗位或个人。</w:t>
            </w:r>
          </w:p>
          <w:p>
            <w:pPr>
              <w:pStyle w:val="117"/>
              <w:spacing w:line="360" w:lineRule="auto"/>
              <w:ind w:firstLine="482"/>
              <w:rPr>
                <w:b w:val="0"/>
                <w:bCs w:val="0"/>
                <w:color w:val="auto"/>
              </w:rPr>
            </w:pPr>
            <w:r>
              <w:rPr>
                <w:b w:val="0"/>
                <w:bCs w:val="0"/>
                <w:color w:val="auto"/>
              </w:rPr>
              <w:t>本次评价建议公司设立专门的环保部，配备1~2名环保管理人员，环保管理人员应具备一定的环境管理知识，熟悉项目生产特点，由有责任心、组织能力强的人员担任，同时在生产车间培训若干有经验、懂技术的技术人员担任车间兼职环保管理人员，以随时掌握项目生产状况和各项环保设施的运行情况，同时也有利于环保措施的落实。</w:t>
            </w:r>
          </w:p>
          <w:p>
            <w:pPr>
              <w:pStyle w:val="117"/>
              <w:spacing w:line="360" w:lineRule="auto"/>
              <w:ind w:firstLine="482"/>
              <w:rPr>
                <w:b w:val="0"/>
                <w:bCs w:val="0"/>
                <w:color w:val="auto"/>
              </w:rPr>
            </w:pPr>
            <w:r>
              <w:rPr>
                <w:b w:val="0"/>
                <w:bCs w:val="0"/>
                <w:color w:val="auto"/>
              </w:rPr>
              <w:t>（2）环境监测计划</w:t>
            </w:r>
          </w:p>
          <w:p>
            <w:pPr>
              <w:pStyle w:val="117"/>
              <w:spacing w:line="360" w:lineRule="auto"/>
              <w:ind w:firstLine="482"/>
              <w:rPr>
                <w:b w:val="0"/>
                <w:bCs w:val="0"/>
                <w:color w:val="auto"/>
              </w:rPr>
            </w:pPr>
            <w:r>
              <w:rPr>
                <w:b w:val="0"/>
                <w:bCs w:val="0"/>
                <w:color w:val="auto"/>
              </w:rPr>
              <w:t>评价建议对生产过程中产生的废气、噪声</w:t>
            </w:r>
            <w:r>
              <w:rPr>
                <w:rFonts w:hint="eastAsia"/>
                <w:b w:val="0"/>
                <w:bCs w:val="0"/>
                <w:color w:val="auto"/>
                <w:lang w:eastAsia="zh-CN"/>
              </w:rPr>
              <w:t>、土壤</w:t>
            </w:r>
            <w:r>
              <w:rPr>
                <w:b w:val="0"/>
                <w:bCs w:val="0"/>
                <w:color w:val="auto"/>
              </w:rPr>
              <w:t>进行监测。根据工程排污特征，监测计划见表</w:t>
            </w:r>
            <w:r>
              <w:rPr>
                <w:rFonts w:hint="eastAsia"/>
                <w:b w:val="0"/>
                <w:bCs w:val="0"/>
                <w:color w:val="auto"/>
                <w:lang w:val="en-US" w:eastAsia="zh-CN"/>
              </w:rPr>
              <w:t>35</w:t>
            </w:r>
            <w:r>
              <w:rPr>
                <w:b w:val="0"/>
                <w:bCs w:val="0"/>
                <w:color w:val="auto"/>
              </w:rPr>
              <w:t>，监测分析方法按照国家有关技术标准和规范进行。</w:t>
            </w:r>
          </w:p>
          <w:p>
            <w:pPr>
              <w:spacing w:line="240" w:lineRule="auto"/>
              <w:jc w:val="center"/>
              <w:rPr>
                <w:rFonts w:hint="eastAsia" w:ascii="黑体" w:hAnsi="黑体" w:eastAsia="黑体" w:cs="黑体"/>
                <w:b w:val="0"/>
                <w:bCs w:val="0"/>
                <w:color w:val="auto"/>
                <w:sz w:val="24"/>
              </w:rPr>
            </w:pPr>
            <w:r>
              <w:rPr>
                <w:rFonts w:hint="eastAsia" w:ascii="黑体" w:hAnsi="黑体" w:eastAsia="黑体" w:cs="黑体"/>
                <w:b w:val="0"/>
                <w:bCs w:val="0"/>
                <w:color w:val="auto"/>
                <w:sz w:val="24"/>
              </w:rPr>
              <w:t>表</w:t>
            </w:r>
            <w:r>
              <w:rPr>
                <w:rFonts w:hint="eastAsia" w:ascii="黑体" w:hAnsi="黑体" w:eastAsia="黑体" w:cs="黑体"/>
                <w:b w:val="0"/>
                <w:bCs w:val="0"/>
                <w:color w:val="auto"/>
                <w:sz w:val="24"/>
                <w:lang w:val="en-US" w:eastAsia="zh-CN"/>
              </w:rPr>
              <w:t>35</w:t>
            </w:r>
            <w:r>
              <w:rPr>
                <w:rFonts w:hint="eastAsia" w:ascii="黑体" w:hAnsi="黑体" w:eastAsia="黑体" w:cs="黑体"/>
                <w:b w:val="0"/>
                <w:bCs w:val="0"/>
                <w:color w:val="auto"/>
                <w:sz w:val="24"/>
              </w:rPr>
              <w:t xml:space="preserve">  </w:t>
            </w:r>
            <w:r>
              <w:rPr>
                <w:rFonts w:hint="eastAsia" w:ascii="黑体" w:hAnsi="黑体" w:eastAsia="黑体" w:cs="黑体"/>
                <w:b w:val="0"/>
                <w:bCs w:val="0"/>
                <w:color w:val="auto"/>
                <w:sz w:val="24"/>
                <w:lang w:eastAsia="zh-CN"/>
              </w:rPr>
              <w:t>本项目环境</w:t>
            </w:r>
            <w:r>
              <w:rPr>
                <w:rFonts w:hint="eastAsia" w:ascii="黑体" w:hAnsi="黑体" w:eastAsia="黑体" w:cs="黑体"/>
                <w:b w:val="0"/>
                <w:bCs w:val="0"/>
                <w:color w:val="auto"/>
                <w:sz w:val="24"/>
              </w:rPr>
              <w:t>监测计划方案</w:t>
            </w:r>
          </w:p>
          <w:tbl>
            <w:tblPr>
              <w:tblStyle w:val="31"/>
              <w:tblW w:w="9036"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285"/>
              <w:gridCol w:w="1395"/>
              <w:gridCol w:w="1155"/>
              <w:gridCol w:w="1117"/>
              <w:gridCol w:w="408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85" w:type="dxa"/>
                  <w:tcBorders>
                    <w:tl2br w:val="nil"/>
                    <w:tr2bl w:val="nil"/>
                  </w:tcBorders>
                  <w:vAlign w:val="center"/>
                </w:tcPr>
                <w:p>
                  <w:pPr>
                    <w:spacing w:line="240" w:lineRule="auto"/>
                    <w:jc w:val="center"/>
                    <w:rPr>
                      <w:color w:val="auto"/>
                      <w:sz w:val="21"/>
                      <w:szCs w:val="21"/>
                    </w:rPr>
                  </w:pPr>
                  <w:r>
                    <w:rPr>
                      <w:rFonts w:hint="eastAsia"/>
                      <w:color w:val="auto"/>
                      <w:lang w:eastAsia="zh-CN"/>
                    </w:rPr>
                    <w:t>类别</w:t>
                  </w:r>
                </w:p>
              </w:tc>
              <w:tc>
                <w:tcPr>
                  <w:tcW w:w="1395" w:type="dxa"/>
                  <w:tcBorders>
                    <w:tl2br w:val="nil"/>
                    <w:tr2bl w:val="nil"/>
                  </w:tcBorders>
                  <w:vAlign w:val="center"/>
                </w:tcPr>
                <w:p>
                  <w:pPr>
                    <w:spacing w:line="240" w:lineRule="auto"/>
                    <w:jc w:val="center"/>
                    <w:rPr>
                      <w:color w:val="auto"/>
                      <w:sz w:val="21"/>
                      <w:szCs w:val="21"/>
                    </w:rPr>
                  </w:pPr>
                  <w:r>
                    <w:rPr>
                      <w:color w:val="auto"/>
                      <w:sz w:val="21"/>
                      <w:szCs w:val="21"/>
                    </w:rPr>
                    <w:t>监测</w:t>
                  </w:r>
                  <w:r>
                    <w:rPr>
                      <w:rFonts w:hint="eastAsia"/>
                      <w:color w:val="auto"/>
                      <w:sz w:val="21"/>
                      <w:szCs w:val="21"/>
                    </w:rPr>
                    <w:t>点位</w:t>
                  </w:r>
                </w:p>
              </w:tc>
              <w:tc>
                <w:tcPr>
                  <w:tcW w:w="1155" w:type="dxa"/>
                  <w:tcBorders>
                    <w:tl2br w:val="nil"/>
                    <w:tr2bl w:val="nil"/>
                  </w:tcBorders>
                  <w:vAlign w:val="center"/>
                </w:tcPr>
                <w:p>
                  <w:pPr>
                    <w:spacing w:line="240" w:lineRule="auto"/>
                    <w:jc w:val="center"/>
                    <w:rPr>
                      <w:color w:val="auto"/>
                      <w:sz w:val="21"/>
                      <w:szCs w:val="21"/>
                    </w:rPr>
                  </w:pPr>
                  <w:r>
                    <w:rPr>
                      <w:color w:val="auto"/>
                      <w:sz w:val="21"/>
                      <w:szCs w:val="21"/>
                    </w:rPr>
                    <w:t>监测</w:t>
                  </w:r>
                  <w:r>
                    <w:rPr>
                      <w:rFonts w:hint="eastAsia"/>
                      <w:color w:val="auto"/>
                      <w:sz w:val="21"/>
                      <w:szCs w:val="21"/>
                    </w:rPr>
                    <w:t>指标</w:t>
                  </w:r>
                </w:p>
              </w:tc>
              <w:tc>
                <w:tcPr>
                  <w:tcW w:w="1117" w:type="dxa"/>
                  <w:tcBorders>
                    <w:tl2br w:val="nil"/>
                    <w:tr2bl w:val="nil"/>
                  </w:tcBorders>
                  <w:vAlign w:val="center"/>
                </w:tcPr>
                <w:p>
                  <w:pPr>
                    <w:spacing w:line="240" w:lineRule="auto"/>
                    <w:jc w:val="center"/>
                    <w:rPr>
                      <w:color w:val="auto"/>
                      <w:sz w:val="21"/>
                      <w:szCs w:val="21"/>
                    </w:rPr>
                  </w:pPr>
                  <w:r>
                    <w:rPr>
                      <w:color w:val="auto"/>
                      <w:sz w:val="21"/>
                      <w:szCs w:val="21"/>
                    </w:rPr>
                    <w:t>监测频</w:t>
                  </w:r>
                  <w:r>
                    <w:rPr>
                      <w:rFonts w:hint="eastAsia"/>
                      <w:color w:val="auto"/>
                      <w:sz w:val="21"/>
                      <w:szCs w:val="21"/>
                    </w:rPr>
                    <w:t>次</w:t>
                  </w:r>
                </w:p>
              </w:tc>
              <w:tc>
                <w:tcPr>
                  <w:tcW w:w="4084" w:type="dxa"/>
                  <w:tcBorders>
                    <w:tl2br w:val="nil"/>
                    <w:tr2bl w:val="nil"/>
                  </w:tcBorders>
                  <w:vAlign w:val="center"/>
                </w:tcPr>
                <w:p>
                  <w:pPr>
                    <w:spacing w:line="240" w:lineRule="auto"/>
                    <w:jc w:val="center"/>
                    <w:rPr>
                      <w:color w:val="auto"/>
                      <w:sz w:val="21"/>
                      <w:szCs w:val="21"/>
                    </w:rPr>
                  </w:pPr>
                  <w:r>
                    <w:rPr>
                      <w:rFonts w:hint="eastAsia"/>
                      <w:color w:val="auto"/>
                      <w:sz w:val="21"/>
                      <w:szCs w:val="21"/>
                    </w:rPr>
                    <w:t>执行排放标准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85" w:type="dxa"/>
                  <w:tcBorders>
                    <w:tl2br w:val="nil"/>
                    <w:tr2bl w:val="nil"/>
                  </w:tcBorders>
                  <w:vAlign w:val="center"/>
                </w:tcPr>
                <w:p>
                  <w:pPr>
                    <w:keepNext w:val="0"/>
                    <w:keepLines w:val="0"/>
                    <w:widowControl/>
                    <w:suppressLineNumbers w:val="0"/>
                    <w:jc w:val="center"/>
                    <w:textAlignment w:val="center"/>
                    <w:rPr>
                      <w:rFonts w:hint="eastAsia"/>
                      <w:color w:val="auto"/>
                      <w:sz w:val="21"/>
                      <w:szCs w:val="21"/>
                    </w:rPr>
                  </w:pPr>
                  <w:r>
                    <w:rPr>
                      <w:rFonts w:hint="eastAsia" w:eastAsiaTheme="minorEastAsia"/>
                      <w:color w:val="auto"/>
                      <w:lang w:eastAsia="zh-CN"/>
                    </w:rPr>
                    <w:t>废气</w:t>
                  </w:r>
                </w:p>
              </w:tc>
              <w:tc>
                <w:tcPr>
                  <w:tcW w:w="1395" w:type="dxa"/>
                  <w:tcBorders>
                    <w:tl2br w:val="nil"/>
                    <w:tr2bl w:val="nil"/>
                  </w:tcBorders>
                  <w:vAlign w:val="center"/>
                </w:tcPr>
                <w:p>
                  <w:pPr>
                    <w:keepNext w:val="0"/>
                    <w:keepLines w:val="0"/>
                    <w:widowControl/>
                    <w:suppressLineNumbers w:val="0"/>
                    <w:jc w:val="center"/>
                    <w:textAlignment w:val="center"/>
                    <w:rPr>
                      <w:color w:val="auto"/>
                      <w:sz w:val="21"/>
                      <w:szCs w:val="21"/>
                    </w:rPr>
                  </w:pPr>
                  <w:r>
                    <w:rPr>
                      <w:color w:val="auto"/>
                      <w:sz w:val="21"/>
                      <w:szCs w:val="21"/>
                    </w:rPr>
                    <w:t>厂界</w:t>
                  </w:r>
                  <w:r>
                    <w:rPr>
                      <w:rFonts w:hint="eastAsia"/>
                      <w:color w:val="auto"/>
                      <w:sz w:val="21"/>
                      <w:szCs w:val="21"/>
                      <w:lang w:eastAsia="zh-CN"/>
                    </w:rPr>
                    <w:t>外</w:t>
                  </w:r>
                </w:p>
              </w:tc>
              <w:tc>
                <w:tcPr>
                  <w:tcW w:w="1155" w:type="dxa"/>
                  <w:tcBorders>
                    <w:tl2br w:val="nil"/>
                    <w:tr2bl w:val="nil"/>
                  </w:tcBorders>
                  <w:vAlign w:val="center"/>
                </w:tcPr>
                <w:p>
                  <w:pPr>
                    <w:spacing w:line="240" w:lineRule="auto"/>
                    <w:jc w:val="center"/>
                    <w:rPr>
                      <w:color w:val="auto"/>
                      <w:sz w:val="21"/>
                      <w:szCs w:val="21"/>
                    </w:rPr>
                  </w:pPr>
                  <w:r>
                    <w:rPr>
                      <w:rFonts w:hint="eastAsia"/>
                      <w:color w:val="auto"/>
                      <w:sz w:val="21"/>
                      <w:szCs w:val="21"/>
                    </w:rPr>
                    <w:t>颗粒物</w:t>
                  </w:r>
                </w:p>
              </w:tc>
              <w:tc>
                <w:tcPr>
                  <w:tcW w:w="1117" w:type="dxa"/>
                  <w:tcBorders>
                    <w:tl2br w:val="nil"/>
                    <w:tr2bl w:val="nil"/>
                  </w:tcBorders>
                  <w:vAlign w:val="center"/>
                </w:tcPr>
                <w:p>
                  <w:pPr>
                    <w:spacing w:line="240" w:lineRule="auto"/>
                    <w:jc w:val="center"/>
                    <w:rPr>
                      <w:color w:val="auto"/>
                      <w:sz w:val="21"/>
                      <w:szCs w:val="21"/>
                    </w:rPr>
                  </w:pPr>
                  <w:r>
                    <w:rPr>
                      <w:color w:val="auto"/>
                      <w:sz w:val="21"/>
                      <w:szCs w:val="21"/>
                    </w:rPr>
                    <w:t>每年1次</w:t>
                  </w:r>
                </w:p>
              </w:tc>
              <w:tc>
                <w:tcPr>
                  <w:tcW w:w="4084" w:type="dxa"/>
                  <w:tcBorders>
                    <w:tl2br w:val="nil"/>
                    <w:tr2bl w:val="nil"/>
                  </w:tcBorders>
                  <w:vAlign w:val="center"/>
                </w:tcPr>
                <w:p>
                  <w:pPr>
                    <w:autoSpaceDE w:val="0"/>
                    <w:autoSpaceDN w:val="0"/>
                    <w:jc w:val="center"/>
                    <w:rPr>
                      <w:rFonts w:hint="eastAsia"/>
                      <w:color w:val="auto"/>
                      <w:sz w:val="21"/>
                      <w:szCs w:val="21"/>
                    </w:rPr>
                  </w:pPr>
                  <w:r>
                    <w:rPr>
                      <w:rFonts w:eastAsiaTheme="minorEastAsia"/>
                      <w:color w:val="auto"/>
                      <w:spacing w:val="-5"/>
                      <w:sz w:val="21"/>
                      <w:szCs w:val="21"/>
                    </w:rPr>
                    <w:t>《大气污染物综合排放标准》（GB16297-1996）表2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85" w:type="dxa"/>
                  <w:tcBorders>
                    <w:tl2br w:val="nil"/>
                    <w:tr2bl w:val="nil"/>
                  </w:tcBorders>
                  <w:vAlign w:val="center"/>
                </w:tcPr>
                <w:p>
                  <w:pPr>
                    <w:spacing w:line="240" w:lineRule="auto"/>
                    <w:jc w:val="center"/>
                    <w:rPr>
                      <w:rFonts w:hint="eastAsia"/>
                      <w:color w:val="auto"/>
                      <w:lang w:eastAsia="zh-CN"/>
                    </w:rPr>
                  </w:pPr>
                  <w:r>
                    <w:rPr>
                      <w:rFonts w:hint="eastAsia"/>
                      <w:color w:val="auto"/>
                      <w:lang w:eastAsia="zh-CN"/>
                    </w:rPr>
                    <w:t>土壤</w:t>
                  </w:r>
                </w:p>
              </w:tc>
              <w:tc>
                <w:tcPr>
                  <w:tcW w:w="1395" w:type="dxa"/>
                  <w:tcBorders>
                    <w:tl2br w:val="nil"/>
                    <w:tr2bl w:val="nil"/>
                  </w:tcBorders>
                  <w:vAlign w:val="center"/>
                </w:tcPr>
                <w:p>
                  <w:pPr>
                    <w:spacing w:line="240" w:lineRule="auto"/>
                    <w:jc w:val="center"/>
                    <w:rPr>
                      <w:rFonts w:hint="eastAsia" w:eastAsia="宋体"/>
                      <w:color w:val="auto"/>
                      <w:lang w:eastAsia="zh-CN"/>
                    </w:rPr>
                  </w:pPr>
                  <w:r>
                    <w:rPr>
                      <w:rFonts w:hint="eastAsia"/>
                      <w:color w:val="auto"/>
                      <w:lang w:val="en-US" w:eastAsia="zh-CN"/>
                    </w:rPr>
                    <w:t>焊接加工区</w:t>
                  </w:r>
                  <w:r>
                    <w:rPr>
                      <w:rFonts w:hint="eastAsia"/>
                      <w:color w:val="auto"/>
                      <w:lang w:eastAsia="zh-CN"/>
                    </w:rPr>
                    <w:t>附近</w:t>
                  </w:r>
                </w:p>
              </w:tc>
              <w:tc>
                <w:tcPr>
                  <w:tcW w:w="1155" w:type="dxa"/>
                  <w:tcBorders>
                    <w:tl2br w:val="nil"/>
                    <w:tr2bl w:val="nil"/>
                  </w:tcBorders>
                  <w:vAlign w:val="center"/>
                </w:tcPr>
                <w:p>
                  <w:pPr>
                    <w:spacing w:line="240" w:lineRule="auto"/>
                    <w:jc w:val="center"/>
                    <w:rPr>
                      <w:rFonts w:hint="eastAsia"/>
                      <w:color w:val="auto"/>
                      <w:lang w:eastAsia="zh-CN"/>
                    </w:rPr>
                  </w:pPr>
                  <w:r>
                    <w:rPr>
                      <w:rFonts w:hint="eastAsia"/>
                      <w:color w:val="auto"/>
                      <w:lang w:val="en-US" w:eastAsia="zh-CN"/>
                    </w:rPr>
                    <w:t>45项基本因子</w:t>
                  </w:r>
                </w:p>
              </w:tc>
              <w:tc>
                <w:tcPr>
                  <w:tcW w:w="1117" w:type="dxa"/>
                  <w:tcBorders>
                    <w:tl2br w:val="nil"/>
                    <w:tr2bl w:val="nil"/>
                  </w:tcBorders>
                  <w:vAlign w:val="center"/>
                </w:tcPr>
                <w:p>
                  <w:pPr>
                    <w:jc w:val="center"/>
                    <w:rPr>
                      <w:color w:val="auto"/>
                      <w:sz w:val="21"/>
                      <w:szCs w:val="21"/>
                    </w:rPr>
                  </w:pPr>
                  <w:r>
                    <w:rPr>
                      <w:rFonts w:hint="eastAsia"/>
                      <w:color w:val="auto"/>
                      <w:szCs w:val="21"/>
                      <w:lang w:val="en-US" w:eastAsia="zh-CN"/>
                    </w:rPr>
                    <w:t>5</w:t>
                  </w:r>
                  <w:r>
                    <w:rPr>
                      <w:color w:val="auto"/>
                      <w:szCs w:val="21"/>
                    </w:rPr>
                    <w:t>年1次</w:t>
                  </w:r>
                </w:p>
              </w:tc>
              <w:tc>
                <w:tcPr>
                  <w:tcW w:w="4084" w:type="dxa"/>
                  <w:tcBorders>
                    <w:tl2br w:val="nil"/>
                    <w:tr2bl w:val="nil"/>
                  </w:tcBorders>
                  <w:vAlign w:val="center"/>
                </w:tcPr>
                <w:p>
                  <w:pPr>
                    <w:spacing w:line="300" w:lineRule="exact"/>
                    <w:jc w:val="center"/>
                    <w:rPr>
                      <w:rFonts w:hint="eastAsia"/>
                      <w:color w:val="auto"/>
                      <w:sz w:val="21"/>
                      <w:szCs w:val="21"/>
                    </w:rPr>
                  </w:pPr>
                  <w:r>
                    <w:rPr>
                      <w:bCs/>
                      <w:color w:val="auto"/>
                      <w:szCs w:val="21"/>
                    </w:rPr>
                    <w:t>《土壤环境质量-建设用地土壤污染风险管控标准（试行）》（GB36600-2018）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85" w:type="dxa"/>
                  <w:tcBorders>
                    <w:tl2br w:val="nil"/>
                    <w:tr2bl w:val="nil"/>
                  </w:tcBorders>
                  <w:vAlign w:val="center"/>
                </w:tcPr>
                <w:p>
                  <w:pPr>
                    <w:spacing w:line="240" w:lineRule="auto"/>
                    <w:jc w:val="center"/>
                    <w:rPr>
                      <w:rFonts w:hint="eastAsia"/>
                      <w:color w:val="auto"/>
                      <w:lang w:eastAsia="zh-CN"/>
                    </w:rPr>
                  </w:pPr>
                  <w:r>
                    <w:rPr>
                      <w:rFonts w:hint="eastAsia"/>
                      <w:color w:val="auto"/>
                      <w:lang w:eastAsia="zh-CN"/>
                    </w:rPr>
                    <w:t>噪声</w:t>
                  </w:r>
                </w:p>
              </w:tc>
              <w:tc>
                <w:tcPr>
                  <w:tcW w:w="1395" w:type="dxa"/>
                  <w:tcBorders>
                    <w:tl2br w:val="nil"/>
                    <w:tr2bl w:val="nil"/>
                  </w:tcBorders>
                  <w:vAlign w:val="center"/>
                </w:tcPr>
                <w:p>
                  <w:pPr>
                    <w:spacing w:line="240" w:lineRule="auto"/>
                    <w:jc w:val="center"/>
                    <w:rPr>
                      <w:rFonts w:hint="eastAsia"/>
                      <w:color w:val="auto"/>
                      <w:lang w:val="en-US" w:eastAsia="zh-CN"/>
                    </w:rPr>
                  </w:pPr>
                  <w:r>
                    <w:rPr>
                      <w:color w:val="auto"/>
                    </w:rPr>
                    <w:t>厂界</w:t>
                  </w:r>
                </w:p>
              </w:tc>
              <w:tc>
                <w:tcPr>
                  <w:tcW w:w="1155" w:type="dxa"/>
                  <w:tcBorders>
                    <w:tl2br w:val="nil"/>
                    <w:tr2bl w:val="nil"/>
                  </w:tcBorders>
                  <w:vAlign w:val="center"/>
                </w:tcPr>
                <w:p>
                  <w:pPr>
                    <w:spacing w:line="240" w:lineRule="auto"/>
                    <w:jc w:val="center"/>
                    <w:rPr>
                      <w:rFonts w:hint="eastAsia"/>
                      <w:color w:val="auto"/>
                      <w:lang w:val="en-US" w:eastAsia="zh-CN"/>
                    </w:rPr>
                  </w:pPr>
                  <w:r>
                    <w:rPr>
                      <w:rFonts w:hint="eastAsia"/>
                      <w:color w:val="auto"/>
                      <w:lang w:eastAsia="zh-CN"/>
                    </w:rPr>
                    <w:t>噪声</w:t>
                  </w:r>
                </w:p>
              </w:tc>
              <w:tc>
                <w:tcPr>
                  <w:tcW w:w="1117" w:type="dxa"/>
                  <w:tcBorders>
                    <w:tl2br w:val="nil"/>
                    <w:tr2bl w:val="nil"/>
                  </w:tcBorders>
                  <w:vAlign w:val="center"/>
                </w:tcPr>
                <w:p>
                  <w:pPr>
                    <w:spacing w:line="240" w:lineRule="auto"/>
                    <w:jc w:val="center"/>
                    <w:rPr>
                      <w:rFonts w:hint="eastAsia"/>
                      <w:color w:val="auto"/>
                      <w:szCs w:val="21"/>
                      <w:lang w:val="en-US" w:eastAsia="zh-CN"/>
                    </w:rPr>
                  </w:pPr>
                  <w:r>
                    <w:rPr>
                      <w:color w:val="auto"/>
                      <w:sz w:val="21"/>
                      <w:szCs w:val="21"/>
                    </w:rPr>
                    <w:t>每</w:t>
                  </w:r>
                  <w:r>
                    <w:rPr>
                      <w:rFonts w:hint="eastAsia"/>
                      <w:color w:val="auto"/>
                      <w:sz w:val="21"/>
                      <w:szCs w:val="21"/>
                      <w:lang w:val="en-US" w:eastAsia="zh-CN"/>
                    </w:rPr>
                    <w:t>季度</w:t>
                  </w:r>
                  <w:r>
                    <w:rPr>
                      <w:color w:val="auto"/>
                      <w:sz w:val="21"/>
                      <w:szCs w:val="21"/>
                    </w:rPr>
                    <w:t>1次</w:t>
                  </w:r>
                </w:p>
              </w:tc>
              <w:tc>
                <w:tcPr>
                  <w:tcW w:w="4084" w:type="dxa"/>
                  <w:tcBorders>
                    <w:tl2br w:val="nil"/>
                    <w:tr2bl w:val="nil"/>
                  </w:tcBorders>
                  <w:vAlign w:val="center"/>
                </w:tcPr>
                <w:p>
                  <w:pPr>
                    <w:spacing w:line="240" w:lineRule="auto"/>
                    <w:jc w:val="center"/>
                    <w:rPr>
                      <w:bCs/>
                      <w:color w:val="auto"/>
                      <w:szCs w:val="21"/>
                    </w:rPr>
                  </w:pPr>
                  <w:r>
                    <w:rPr>
                      <w:rFonts w:hint="eastAsia"/>
                      <w:color w:val="auto"/>
                      <w:sz w:val="21"/>
                      <w:szCs w:val="21"/>
                    </w:rPr>
                    <w:t>《工业企业厂界环境噪声排放标准》（GB12348-2008）</w:t>
                  </w:r>
                  <w:r>
                    <w:rPr>
                      <w:rFonts w:hint="eastAsia"/>
                      <w:color w:val="auto"/>
                      <w:sz w:val="21"/>
                      <w:szCs w:val="21"/>
                      <w:lang w:val="en-US" w:eastAsia="zh-CN"/>
                    </w:rPr>
                    <w:t>2</w:t>
                  </w:r>
                  <w:r>
                    <w:rPr>
                      <w:rFonts w:hint="eastAsia"/>
                      <w:color w:val="auto"/>
                      <w:sz w:val="21"/>
                      <w:szCs w:val="21"/>
                    </w:rPr>
                    <w:t>类</w:t>
                  </w:r>
                </w:p>
              </w:tc>
            </w:tr>
          </w:tbl>
          <w:p>
            <w:pPr>
              <w:pStyle w:val="38"/>
            </w:pPr>
          </w:p>
          <w:p>
            <w:pPr>
              <w:keepNext/>
              <w:keepLines/>
              <w:spacing w:before="80" w:after="80" w:line="360" w:lineRule="auto"/>
              <w:ind w:firstLine="472" w:firstLineChars="196"/>
              <w:outlineLvl w:val="2"/>
              <w:rPr>
                <w:b/>
                <w:bCs/>
                <w:sz w:val="24"/>
                <w:highlight w:val="none"/>
              </w:rPr>
            </w:pPr>
            <w:r>
              <w:rPr>
                <w:rFonts w:hint="eastAsia"/>
                <w:b/>
                <w:bCs/>
                <w:sz w:val="24"/>
                <w:highlight w:val="none"/>
                <w:lang w:val="en-US" w:eastAsia="zh-CN"/>
              </w:rPr>
              <w:t>11.</w:t>
            </w:r>
            <w:r>
              <w:rPr>
                <w:b/>
                <w:bCs/>
                <w:sz w:val="24"/>
                <w:highlight w:val="none"/>
              </w:rPr>
              <w:t>环保投资估算及</w:t>
            </w:r>
            <w:r>
              <w:rPr>
                <w:rFonts w:hint="eastAsia"/>
                <w:b/>
                <w:bCs/>
                <w:sz w:val="24"/>
                <w:highlight w:val="none"/>
              </w:rPr>
              <w:t>“</w:t>
            </w:r>
            <w:r>
              <w:rPr>
                <w:b/>
                <w:bCs/>
                <w:sz w:val="24"/>
                <w:highlight w:val="none"/>
              </w:rPr>
              <w:t>三同时</w:t>
            </w:r>
            <w:r>
              <w:rPr>
                <w:rFonts w:hint="eastAsia"/>
                <w:b/>
                <w:bCs/>
                <w:sz w:val="24"/>
                <w:highlight w:val="none"/>
              </w:rPr>
              <w:t>”</w:t>
            </w:r>
            <w:r>
              <w:rPr>
                <w:b/>
                <w:bCs/>
                <w:sz w:val="24"/>
                <w:highlight w:val="none"/>
              </w:rPr>
              <w:t>验收</w:t>
            </w:r>
          </w:p>
          <w:p>
            <w:pPr>
              <w:spacing w:line="360" w:lineRule="auto"/>
              <w:ind w:firstLine="480"/>
              <w:textAlignment w:val="baseline"/>
              <w:rPr>
                <w:sz w:val="24"/>
              </w:rPr>
            </w:pPr>
            <w:r>
              <w:rPr>
                <w:sz w:val="24"/>
              </w:rPr>
              <w:t>本项目总投资</w:t>
            </w:r>
            <w:r>
              <w:rPr>
                <w:rFonts w:hint="eastAsia"/>
                <w:sz w:val="24"/>
                <w:lang w:val="en-US" w:eastAsia="zh-CN"/>
              </w:rPr>
              <w:t>15</w:t>
            </w:r>
            <w:r>
              <w:rPr>
                <w:rFonts w:hint="eastAsia"/>
                <w:sz w:val="24"/>
              </w:rPr>
              <w:t>0</w:t>
            </w:r>
            <w:r>
              <w:rPr>
                <w:sz w:val="24"/>
              </w:rPr>
              <w:t>万元，其中环保投资为</w:t>
            </w:r>
            <w:r>
              <w:rPr>
                <w:rFonts w:hint="eastAsia"/>
                <w:sz w:val="24"/>
                <w:lang w:val="en-US" w:eastAsia="zh-CN"/>
              </w:rPr>
              <w:t>13</w:t>
            </w:r>
            <w:r>
              <w:rPr>
                <w:sz w:val="24"/>
              </w:rPr>
              <w:t>万元，</w:t>
            </w:r>
            <w:r>
              <w:rPr>
                <w:rFonts w:hint="eastAsia"/>
                <w:sz w:val="24"/>
              </w:rPr>
              <w:t>环保投资占比为</w:t>
            </w:r>
            <w:r>
              <w:rPr>
                <w:rFonts w:hint="eastAsia"/>
                <w:sz w:val="24"/>
                <w:lang w:val="en-US" w:eastAsia="zh-CN"/>
              </w:rPr>
              <w:t>8.67</w:t>
            </w:r>
            <w:r>
              <w:rPr>
                <w:rFonts w:hint="eastAsia"/>
                <w:sz w:val="24"/>
              </w:rPr>
              <w:t>%，</w:t>
            </w:r>
            <w:r>
              <w:rPr>
                <w:sz w:val="24"/>
              </w:rPr>
              <w:t>环保投资</w:t>
            </w:r>
            <w:r>
              <w:rPr>
                <w:rFonts w:hint="eastAsia"/>
                <w:sz w:val="24"/>
              </w:rPr>
              <w:t>估算及“三同时”验收内容</w:t>
            </w:r>
            <w:r>
              <w:rPr>
                <w:sz w:val="24"/>
              </w:rPr>
              <w:t>见</w:t>
            </w:r>
            <w:r>
              <w:rPr>
                <w:rFonts w:hint="eastAsia"/>
                <w:sz w:val="24"/>
              </w:rPr>
              <w:t>下</w:t>
            </w:r>
            <w:r>
              <w:rPr>
                <w:sz w:val="24"/>
              </w:rPr>
              <w:t>表。</w:t>
            </w:r>
          </w:p>
          <w:p>
            <w:pPr>
              <w:spacing w:line="240" w:lineRule="auto"/>
              <w:jc w:val="center"/>
              <w:rPr>
                <w:rFonts w:hint="eastAsia" w:eastAsia="黑体"/>
                <w:color w:val="auto"/>
                <w:sz w:val="24"/>
              </w:rPr>
            </w:pPr>
            <w:r>
              <w:rPr>
                <w:rFonts w:hint="eastAsia" w:eastAsia="黑体"/>
                <w:color w:val="auto"/>
                <w:sz w:val="24"/>
              </w:rPr>
              <w:t>表</w:t>
            </w:r>
            <w:r>
              <w:rPr>
                <w:rFonts w:hint="eastAsia" w:eastAsia="黑体"/>
                <w:color w:val="auto"/>
                <w:sz w:val="24"/>
                <w:lang w:val="en-US" w:eastAsia="zh-CN"/>
              </w:rPr>
              <w:t>36</w:t>
            </w:r>
            <w:r>
              <w:rPr>
                <w:rFonts w:hint="eastAsia" w:eastAsia="黑体"/>
                <w:color w:val="auto"/>
                <w:sz w:val="24"/>
              </w:rPr>
              <w:t xml:space="preserve">  环保投资估算一览表</w:t>
            </w:r>
          </w:p>
          <w:tbl>
            <w:tblPr>
              <w:tblStyle w:val="31"/>
              <w:tblW w:w="9036"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0" w:type="dxa"/>
                <w:bottom w:w="0" w:type="dxa"/>
                <w:right w:w="0" w:type="dxa"/>
              </w:tblCellMar>
            </w:tblPr>
            <w:tblGrid>
              <w:gridCol w:w="612"/>
              <w:gridCol w:w="830"/>
              <w:gridCol w:w="1600"/>
              <w:gridCol w:w="4470"/>
              <w:gridCol w:w="152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blHeader/>
                <w:jc w:val="center"/>
              </w:trPr>
              <w:tc>
                <w:tcPr>
                  <w:tcW w:w="612" w:type="dxa"/>
                  <w:tcBorders>
                    <w:tl2br w:val="nil"/>
                    <w:tr2bl w:val="nil"/>
                  </w:tcBorders>
                  <w:vAlign w:val="center"/>
                </w:tcPr>
                <w:p>
                  <w:pPr>
                    <w:widowControl/>
                    <w:adjustRightInd w:val="0"/>
                    <w:snapToGrid w:val="0"/>
                    <w:jc w:val="center"/>
                    <w:rPr>
                      <w:kern w:val="0"/>
                    </w:rPr>
                  </w:pPr>
                  <w:r>
                    <w:rPr>
                      <w:rFonts w:hint="eastAsia"/>
                      <w:kern w:val="0"/>
                    </w:rPr>
                    <w:t>序号</w:t>
                  </w:r>
                </w:p>
              </w:tc>
              <w:tc>
                <w:tcPr>
                  <w:tcW w:w="830" w:type="dxa"/>
                  <w:tcBorders>
                    <w:tl2br w:val="nil"/>
                    <w:tr2bl w:val="nil"/>
                  </w:tcBorders>
                  <w:vAlign w:val="center"/>
                </w:tcPr>
                <w:p>
                  <w:pPr>
                    <w:widowControl/>
                    <w:adjustRightInd w:val="0"/>
                    <w:snapToGrid w:val="0"/>
                    <w:jc w:val="center"/>
                    <w:rPr>
                      <w:kern w:val="0"/>
                      <w:szCs w:val="21"/>
                    </w:rPr>
                  </w:pPr>
                  <w:r>
                    <w:rPr>
                      <w:rFonts w:hint="eastAsia"/>
                      <w:kern w:val="0"/>
                      <w:szCs w:val="21"/>
                    </w:rPr>
                    <w:t>项目</w:t>
                  </w:r>
                </w:p>
              </w:tc>
              <w:tc>
                <w:tcPr>
                  <w:tcW w:w="1600" w:type="dxa"/>
                  <w:tcBorders>
                    <w:tl2br w:val="nil"/>
                    <w:tr2bl w:val="nil"/>
                  </w:tcBorders>
                  <w:vAlign w:val="center"/>
                </w:tcPr>
                <w:p>
                  <w:pPr>
                    <w:widowControl/>
                    <w:adjustRightInd w:val="0"/>
                    <w:snapToGrid w:val="0"/>
                    <w:jc w:val="center"/>
                    <w:rPr>
                      <w:kern w:val="0"/>
                      <w:szCs w:val="21"/>
                    </w:rPr>
                  </w:pPr>
                  <w:r>
                    <w:rPr>
                      <w:rFonts w:hint="eastAsia"/>
                      <w:kern w:val="0"/>
                      <w:szCs w:val="21"/>
                    </w:rPr>
                    <w:t>内容</w:t>
                  </w:r>
                </w:p>
              </w:tc>
              <w:tc>
                <w:tcPr>
                  <w:tcW w:w="4470" w:type="dxa"/>
                  <w:tcBorders>
                    <w:tl2br w:val="nil"/>
                    <w:tr2bl w:val="nil"/>
                  </w:tcBorders>
                  <w:vAlign w:val="center"/>
                </w:tcPr>
                <w:p>
                  <w:pPr>
                    <w:widowControl/>
                    <w:adjustRightInd w:val="0"/>
                    <w:snapToGrid w:val="0"/>
                    <w:jc w:val="center"/>
                    <w:rPr>
                      <w:kern w:val="0"/>
                    </w:rPr>
                  </w:pPr>
                  <w:r>
                    <w:rPr>
                      <w:rFonts w:hint="eastAsia"/>
                      <w:kern w:val="0"/>
                    </w:rPr>
                    <w:t>环保措施</w:t>
                  </w:r>
                </w:p>
              </w:tc>
              <w:tc>
                <w:tcPr>
                  <w:tcW w:w="1524" w:type="dxa"/>
                  <w:tcBorders>
                    <w:tl2br w:val="nil"/>
                    <w:tr2bl w:val="nil"/>
                  </w:tcBorders>
                  <w:vAlign w:val="center"/>
                </w:tcPr>
                <w:p>
                  <w:pPr>
                    <w:widowControl/>
                    <w:adjustRightInd w:val="0"/>
                    <w:snapToGrid w:val="0"/>
                    <w:jc w:val="center"/>
                    <w:rPr>
                      <w:kern w:val="0"/>
                    </w:rPr>
                  </w:pPr>
                  <w:r>
                    <w:rPr>
                      <w:rFonts w:hint="eastAsia"/>
                      <w:kern w:val="0"/>
                    </w:rPr>
                    <w:t>投资额</w:t>
                  </w:r>
                </w:p>
                <w:p>
                  <w:pPr>
                    <w:widowControl/>
                    <w:adjustRightInd w:val="0"/>
                    <w:snapToGrid w:val="0"/>
                    <w:jc w:val="center"/>
                    <w:rPr>
                      <w:kern w:val="0"/>
                    </w:rPr>
                  </w:pPr>
                  <w:r>
                    <w:rPr>
                      <w:rFonts w:hint="eastAsia"/>
                      <w:kern w:val="0"/>
                    </w:rPr>
                    <w:t>（万元）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blHeader/>
                <w:jc w:val="center"/>
              </w:trPr>
              <w:tc>
                <w:tcPr>
                  <w:tcW w:w="612" w:type="dxa"/>
                  <w:tcBorders>
                    <w:tl2br w:val="nil"/>
                    <w:tr2bl w:val="nil"/>
                  </w:tcBorders>
                  <w:vAlign w:val="center"/>
                </w:tcPr>
                <w:p>
                  <w:pPr>
                    <w:adjustRightInd w:val="0"/>
                    <w:snapToGrid w:val="0"/>
                    <w:jc w:val="center"/>
                    <w:rPr>
                      <w:kern w:val="0"/>
                    </w:rPr>
                  </w:pPr>
                  <w:r>
                    <w:rPr>
                      <w:rFonts w:hint="eastAsia"/>
                      <w:kern w:val="0"/>
                    </w:rPr>
                    <w:t>1</w:t>
                  </w:r>
                </w:p>
              </w:tc>
              <w:tc>
                <w:tcPr>
                  <w:tcW w:w="830" w:type="dxa"/>
                  <w:tcBorders>
                    <w:tl2br w:val="nil"/>
                    <w:tr2bl w:val="nil"/>
                  </w:tcBorders>
                  <w:vAlign w:val="center"/>
                </w:tcPr>
                <w:p>
                  <w:pPr>
                    <w:adjustRightInd w:val="0"/>
                    <w:snapToGrid w:val="0"/>
                    <w:jc w:val="center"/>
                    <w:rPr>
                      <w:kern w:val="0"/>
                      <w:szCs w:val="21"/>
                    </w:rPr>
                  </w:pPr>
                  <w:r>
                    <w:rPr>
                      <w:rFonts w:hint="eastAsia"/>
                      <w:kern w:val="0"/>
                      <w:szCs w:val="21"/>
                    </w:rPr>
                    <w:t>废气</w:t>
                  </w:r>
                </w:p>
              </w:tc>
              <w:tc>
                <w:tcPr>
                  <w:tcW w:w="1600" w:type="dxa"/>
                  <w:tcBorders>
                    <w:tl2br w:val="nil"/>
                    <w:tr2bl w:val="nil"/>
                  </w:tcBorders>
                  <w:vAlign w:val="center"/>
                </w:tcPr>
                <w:p>
                  <w:pPr>
                    <w:widowControl/>
                    <w:adjustRightInd w:val="0"/>
                    <w:snapToGrid w:val="0"/>
                    <w:jc w:val="center"/>
                    <w:rPr>
                      <w:rFonts w:hint="eastAsia" w:ascii="Times New Roman" w:hAnsi="黑体" w:eastAsia="宋体" w:cs="Times New Roman"/>
                      <w:kern w:val="2"/>
                      <w:sz w:val="21"/>
                      <w:szCs w:val="21"/>
                      <w:lang w:val="en-US" w:eastAsia="zh-CN" w:bidi="ar-SA"/>
                    </w:rPr>
                  </w:pPr>
                  <w:r>
                    <w:rPr>
                      <w:rFonts w:hint="eastAsia" w:hAnsi="黑体"/>
                      <w:szCs w:val="21"/>
                      <w:lang w:eastAsia="zh-CN"/>
                    </w:rPr>
                    <w:t>焊接工序</w:t>
                  </w:r>
                </w:p>
              </w:tc>
              <w:tc>
                <w:tcPr>
                  <w:tcW w:w="4470" w:type="dxa"/>
                  <w:tcBorders>
                    <w:tl2br w:val="nil"/>
                    <w:tr2bl w:val="nil"/>
                  </w:tcBorders>
                  <w:vAlign w:val="center"/>
                </w:tcPr>
                <w:p>
                  <w:pPr>
                    <w:widowControl/>
                    <w:adjustRightInd w:val="0"/>
                    <w:snapToGrid w:val="0"/>
                    <w:jc w:val="center"/>
                    <w:rPr>
                      <w:rFonts w:ascii="Times New Roman" w:hAnsi="Times New Roman" w:eastAsia="宋体" w:cs="Times New Roman"/>
                      <w:kern w:val="0"/>
                      <w:sz w:val="21"/>
                      <w:szCs w:val="21"/>
                      <w:lang w:val="en-US" w:eastAsia="zh-CN" w:bidi="ar-SA"/>
                    </w:rPr>
                  </w:pPr>
                  <w:r>
                    <w:rPr>
                      <w:rFonts w:hint="eastAsia"/>
                      <w:bCs/>
                      <w:snapToGrid w:val="0"/>
                      <w:kern w:val="0"/>
                      <w:sz w:val="21"/>
                      <w:szCs w:val="21"/>
                      <w:lang w:val="en-US" w:eastAsia="zh-CN"/>
                    </w:rPr>
                    <w:t>6台焊烟净化器</w:t>
                  </w:r>
                </w:p>
              </w:tc>
              <w:tc>
                <w:tcPr>
                  <w:tcW w:w="1524" w:type="dxa"/>
                  <w:tcBorders>
                    <w:tl2br w:val="nil"/>
                    <w:tr2bl w:val="nil"/>
                  </w:tcBorders>
                  <w:vAlign w:val="center"/>
                </w:tcPr>
                <w:p>
                  <w:pPr>
                    <w:widowControl/>
                    <w:adjustRightInd w:val="0"/>
                    <w:snapToGrid w:val="0"/>
                    <w:jc w:val="center"/>
                    <w:rPr>
                      <w:rFonts w:hint="default" w:eastAsia="宋体"/>
                      <w:kern w:val="0"/>
                      <w:lang w:val="en-US" w:eastAsia="zh-CN"/>
                    </w:rPr>
                  </w:pPr>
                  <w:r>
                    <w:rPr>
                      <w:rFonts w:hint="eastAsia"/>
                      <w:kern w:val="0"/>
                      <w:lang w:val="en-US" w:eastAsia="zh-CN"/>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blHeader/>
                <w:jc w:val="center"/>
              </w:trPr>
              <w:tc>
                <w:tcPr>
                  <w:tcW w:w="612" w:type="dxa"/>
                  <w:vMerge w:val="restart"/>
                  <w:tcBorders>
                    <w:tl2br w:val="nil"/>
                    <w:tr2bl w:val="nil"/>
                  </w:tcBorders>
                  <w:vAlign w:val="center"/>
                </w:tcPr>
                <w:p>
                  <w:pPr>
                    <w:widowControl/>
                    <w:adjustRightInd w:val="0"/>
                    <w:snapToGrid w:val="0"/>
                    <w:jc w:val="center"/>
                    <w:rPr>
                      <w:kern w:val="0"/>
                    </w:rPr>
                  </w:pPr>
                  <w:r>
                    <w:rPr>
                      <w:rFonts w:hint="eastAsia"/>
                      <w:kern w:val="0"/>
                    </w:rPr>
                    <w:t>2</w:t>
                  </w:r>
                </w:p>
              </w:tc>
              <w:tc>
                <w:tcPr>
                  <w:tcW w:w="830" w:type="dxa"/>
                  <w:vMerge w:val="restart"/>
                  <w:tcBorders>
                    <w:tl2br w:val="nil"/>
                    <w:tr2bl w:val="nil"/>
                  </w:tcBorders>
                  <w:vAlign w:val="center"/>
                </w:tcPr>
                <w:p>
                  <w:pPr>
                    <w:widowControl/>
                    <w:adjustRightInd w:val="0"/>
                    <w:snapToGrid w:val="0"/>
                    <w:jc w:val="center"/>
                    <w:rPr>
                      <w:kern w:val="0"/>
                    </w:rPr>
                  </w:pPr>
                  <w:r>
                    <w:rPr>
                      <w:rFonts w:hint="eastAsia"/>
                      <w:kern w:val="0"/>
                    </w:rPr>
                    <w:t>废水</w:t>
                  </w:r>
                </w:p>
              </w:tc>
              <w:tc>
                <w:tcPr>
                  <w:tcW w:w="1600" w:type="dxa"/>
                  <w:tcBorders>
                    <w:tl2br w:val="nil"/>
                    <w:tr2bl w:val="nil"/>
                  </w:tcBorders>
                  <w:vAlign w:val="center"/>
                </w:tcPr>
                <w:p>
                  <w:pPr>
                    <w:widowControl/>
                    <w:adjustRightInd w:val="0"/>
                    <w:snapToGrid w:val="0"/>
                    <w:jc w:val="center"/>
                    <w:rPr>
                      <w:kern w:val="0"/>
                    </w:rPr>
                  </w:pPr>
                  <w:r>
                    <w:rPr>
                      <w:rFonts w:hint="eastAsia"/>
                      <w:kern w:val="0"/>
                    </w:rPr>
                    <w:t>生活污水</w:t>
                  </w:r>
                </w:p>
              </w:tc>
              <w:tc>
                <w:tcPr>
                  <w:tcW w:w="4470" w:type="dxa"/>
                  <w:tcBorders>
                    <w:tl2br w:val="nil"/>
                    <w:tr2bl w:val="nil"/>
                  </w:tcBorders>
                  <w:vAlign w:val="center"/>
                </w:tcPr>
                <w:p>
                  <w:pPr>
                    <w:widowControl/>
                    <w:adjustRightInd w:val="0"/>
                    <w:snapToGrid w:val="0"/>
                    <w:jc w:val="center"/>
                    <w:rPr>
                      <w:kern w:val="0"/>
                    </w:rPr>
                  </w:pPr>
                  <w:r>
                    <w:rPr>
                      <w:rFonts w:hint="eastAsia"/>
                      <w:kern w:val="0"/>
                    </w:rPr>
                    <w:t>1个</w:t>
                  </w:r>
                  <w:r>
                    <w:rPr>
                      <w:rFonts w:hint="eastAsia"/>
                      <w:kern w:val="0"/>
                      <w:lang w:val="en-US" w:eastAsia="zh-CN"/>
                    </w:rPr>
                    <w:t>10</w:t>
                  </w:r>
                  <w:r>
                    <w:rPr>
                      <w:rFonts w:hint="eastAsia"/>
                      <w:kern w:val="0"/>
                    </w:rPr>
                    <w:t>m</w:t>
                  </w:r>
                  <w:r>
                    <w:rPr>
                      <w:rFonts w:hint="eastAsia"/>
                      <w:kern w:val="0"/>
                      <w:vertAlign w:val="superscript"/>
                    </w:rPr>
                    <w:t>3</w:t>
                  </w:r>
                  <w:r>
                    <w:rPr>
                      <w:rFonts w:hint="eastAsia"/>
                      <w:kern w:val="0"/>
                    </w:rPr>
                    <w:t>化粪池（现有）</w:t>
                  </w:r>
                </w:p>
              </w:tc>
              <w:tc>
                <w:tcPr>
                  <w:tcW w:w="1524" w:type="dxa"/>
                  <w:tcBorders>
                    <w:tl2br w:val="nil"/>
                    <w:tr2bl w:val="nil"/>
                  </w:tcBorders>
                  <w:vAlign w:val="center"/>
                </w:tcPr>
                <w:p>
                  <w:pPr>
                    <w:widowControl/>
                    <w:adjustRightInd w:val="0"/>
                    <w:snapToGrid w:val="0"/>
                    <w:jc w:val="center"/>
                    <w:rPr>
                      <w:kern w:val="0"/>
                    </w:rPr>
                  </w:pPr>
                  <w:r>
                    <w:rPr>
                      <w:rFonts w:hint="eastAsia"/>
                      <w:kern w:val="0"/>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tblHeader/>
                <w:jc w:val="center"/>
              </w:trPr>
              <w:tc>
                <w:tcPr>
                  <w:tcW w:w="612" w:type="dxa"/>
                  <w:vMerge w:val="continue"/>
                  <w:tcBorders>
                    <w:tl2br w:val="nil"/>
                    <w:tr2bl w:val="nil"/>
                  </w:tcBorders>
                  <w:vAlign w:val="center"/>
                </w:tcPr>
                <w:p>
                  <w:pPr>
                    <w:widowControl/>
                    <w:adjustRightInd w:val="0"/>
                    <w:snapToGrid w:val="0"/>
                    <w:jc w:val="center"/>
                    <w:rPr>
                      <w:rFonts w:hint="eastAsia"/>
                      <w:kern w:val="0"/>
                    </w:rPr>
                  </w:pPr>
                </w:p>
              </w:tc>
              <w:tc>
                <w:tcPr>
                  <w:tcW w:w="830" w:type="dxa"/>
                  <w:vMerge w:val="continue"/>
                  <w:tcBorders>
                    <w:tl2br w:val="nil"/>
                    <w:tr2bl w:val="nil"/>
                  </w:tcBorders>
                  <w:vAlign w:val="center"/>
                </w:tcPr>
                <w:p>
                  <w:pPr>
                    <w:widowControl/>
                    <w:adjustRightInd w:val="0"/>
                    <w:snapToGrid w:val="0"/>
                    <w:jc w:val="center"/>
                    <w:rPr>
                      <w:rFonts w:hint="eastAsia"/>
                      <w:kern w:val="0"/>
                    </w:rPr>
                  </w:pPr>
                </w:p>
              </w:tc>
              <w:tc>
                <w:tcPr>
                  <w:tcW w:w="1600" w:type="dxa"/>
                  <w:tcBorders>
                    <w:tl2br w:val="nil"/>
                    <w:tr2bl w:val="nil"/>
                  </w:tcBorders>
                  <w:vAlign w:val="center"/>
                </w:tcPr>
                <w:p>
                  <w:pPr>
                    <w:widowControl/>
                    <w:adjustRightInd w:val="0"/>
                    <w:snapToGrid w:val="0"/>
                    <w:jc w:val="center"/>
                    <w:rPr>
                      <w:rFonts w:hint="eastAsia" w:eastAsia="宋体"/>
                      <w:kern w:val="0"/>
                      <w:lang w:eastAsia="zh-CN"/>
                    </w:rPr>
                  </w:pPr>
                  <w:r>
                    <w:rPr>
                      <w:rFonts w:hint="eastAsia"/>
                      <w:kern w:val="0"/>
                      <w:lang w:eastAsia="zh-CN"/>
                    </w:rPr>
                    <w:t>洗车废水</w:t>
                  </w:r>
                </w:p>
              </w:tc>
              <w:tc>
                <w:tcPr>
                  <w:tcW w:w="4470" w:type="dxa"/>
                  <w:tcBorders>
                    <w:tl2br w:val="nil"/>
                    <w:tr2bl w:val="nil"/>
                  </w:tcBorders>
                  <w:vAlign w:val="center"/>
                </w:tcPr>
                <w:p>
                  <w:pPr>
                    <w:widowControl/>
                    <w:adjustRightInd w:val="0"/>
                    <w:snapToGrid w:val="0"/>
                    <w:jc w:val="center"/>
                    <w:rPr>
                      <w:rFonts w:hint="eastAsia"/>
                      <w:kern w:val="0"/>
                    </w:rPr>
                  </w:pPr>
                  <w:r>
                    <w:rPr>
                      <w:rFonts w:hint="default" w:ascii="Times New Roman" w:hAnsi="Times New Roman" w:eastAsia="宋体" w:cs="Times New Roman"/>
                      <w:color w:val="000000"/>
                      <w:kern w:val="0"/>
                      <w:sz w:val="21"/>
                      <w:szCs w:val="21"/>
                      <w:lang w:val="en-US" w:eastAsia="zh-CN" w:bidi="ar"/>
                    </w:rPr>
                    <w:t>1个</w:t>
                  </w:r>
                  <w:r>
                    <w:rPr>
                      <w:rFonts w:hint="default" w:ascii="Times New Roman" w:hAnsi="Times New Roman" w:cs="Times New Roman"/>
                      <w:sz w:val="21"/>
                      <w:szCs w:val="21"/>
                    </w:rPr>
                    <w:t>5.0m×3.0m×</w:t>
                  </w:r>
                  <w:r>
                    <w:rPr>
                      <w:rFonts w:hint="default" w:ascii="Times New Roman" w:hAnsi="Times New Roman" w:cs="Times New Roman"/>
                      <w:sz w:val="21"/>
                      <w:szCs w:val="21"/>
                      <w:lang w:val="en-US" w:eastAsia="zh-CN"/>
                    </w:rPr>
                    <w:t>1.5</w:t>
                  </w:r>
                  <w:r>
                    <w:rPr>
                      <w:rFonts w:hint="default" w:ascii="Times New Roman" w:hAnsi="Times New Roman" w:cs="Times New Roman"/>
                      <w:sz w:val="21"/>
                      <w:szCs w:val="21"/>
                    </w:rPr>
                    <w:t>m</w:t>
                  </w:r>
                  <w:r>
                    <w:rPr>
                      <w:rFonts w:hint="default" w:ascii="Times New Roman" w:hAnsi="Times New Roman" w:cs="Times New Roman"/>
                      <w:sz w:val="21"/>
                      <w:szCs w:val="21"/>
                      <w:lang w:eastAsia="zh-CN"/>
                    </w:rPr>
                    <w:t>三级</w:t>
                  </w:r>
                  <w:r>
                    <w:rPr>
                      <w:rFonts w:hint="default" w:ascii="Times New Roman" w:hAnsi="Times New Roman" w:eastAsia="宋体" w:cs="Times New Roman"/>
                      <w:color w:val="000000"/>
                      <w:kern w:val="0"/>
                      <w:sz w:val="21"/>
                      <w:szCs w:val="21"/>
                      <w:lang w:val="en-US" w:eastAsia="zh-CN" w:bidi="ar"/>
                    </w:rPr>
                    <w:t>沉淀池</w:t>
                  </w:r>
                </w:p>
              </w:tc>
              <w:tc>
                <w:tcPr>
                  <w:tcW w:w="1524" w:type="dxa"/>
                  <w:tcBorders>
                    <w:tl2br w:val="nil"/>
                    <w:tr2bl w:val="nil"/>
                  </w:tcBorders>
                  <w:vAlign w:val="center"/>
                </w:tcPr>
                <w:p>
                  <w:pPr>
                    <w:widowControl/>
                    <w:adjustRightInd w:val="0"/>
                    <w:snapToGrid w:val="0"/>
                    <w:jc w:val="center"/>
                    <w:rPr>
                      <w:rFonts w:hint="eastAsia" w:eastAsia="宋体"/>
                      <w:kern w:val="0"/>
                      <w:lang w:val="en-US" w:eastAsia="zh-CN"/>
                    </w:rPr>
                  </w:pPr>
                  <w:r>
                    <w:rPr>
                      <w:rFonts w:hint="eastAsia"/>
                      <w:kern w:val="0"/>
                      <w:lang w:val="en-US" w:eastAsia="zh-CN"/>
                    </w:rPr>
                    <w:t>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612" w:type="dxa"/>
                  <w:tcBorders>
                    <w:tl2br w:val="nil"/>
                    <w:tr2bl w:val="nil"/>
                  </w:tcBorders>
                  <w:vAlign w:val="center"/>
                </w:tcPr>
                <w:p>
                  <w:pPr>
                    <w:widowControl/>
                    <w:adjustRightInd w:val="0"/>
                    <w:snapToGrid w:val="0"/>
                    <w:jc w:val="center"/>
                    <w:rPr>
                      <w:kern w:val="0"/>
                    </w:rPr>
                  </w:pPr>
                  <w:r>
                    <w:rPr>
                      <w:rFonts w:hint="eastAsia"/>
                      <w:kern w:val="0"/>
                    </w:rPr>
                    <w:t>3</w:t>
                  </w:r>
                </w:p>
              </w:tc>
              <w:tc>
                <w:tcPr>
                  <w:tcW w:w="830" w:type="dxa"/>
                  <w:tcBorders>
                    <w:tl2br w:val="nil"/>
                    <w:tr2bl w:val="nil"/>
                  </w:tcBorders>
                  <w:vAlign w:val="center"/>
                </w:tcPr>
                <w:p>
                  <w:pPr>
                    <w:widowControl/>
                    <w:adjustRightInd w:val="0"/>
                    <w:snapToGrid w:val="0"/>
                    <w:jc w:val="center"/>
                    <w:rPr>
                      <w:kern w:val="0"/>
                    </w:rPr>
                  </w:pPr>
                  <w:r>
                    <w:rPr>
                      <w:rFonts w:hint="eastAsia"/>
                      <w:kern w:val="0"/>
                    </w:rPr>
                    <w:t>噪声</w:t>
                  </w:r>
                </w:p>
              </w:tc>
              <w:tc>
                <w:tcPr>
                  <w:tcW w:w="1600" w:type="dxa"/>
                  <w:tcBorders>
                    <w:tl2br w:val="nil"/>
                    <w:tr2bl w:val="nil"/>
                  </w:tcBorders>
                  <w:vAlign w:val="center"/>
                </w:tcPr>
                <w:p>
                  <w:pPr>
                    <w:widowControl/>
                    <w:adjustRightInd w:val="0"/>
                    <w:snapToGrid w:val="0"/>
                    <w:jc w:val="center"/>
                    <w:rPr>
                      <w:kern w:val="0"/>
                    </w:rPr>
                  </w:pPr>
                  <w:r>
                    <w:rPr>
                      <w:rFonts w:hint="eastAsia"/>
                      <w:kern w:val="0"/>
                    </w:rPr>
                    <w:t>设备噪声</w:t>
                  </w:r>
                </w:p>
              </w:tc>
              <w:tc>
                <w:tcPr>
                  <w:tcW w:w="4470" w:type="dxa"/>
                  <w:tcBorders>
                    <w:tl2br w:val="nil"/>
                    <w:tr2bl w:val="nil"/>
                  </w:tcBorders>
                  <w:vAlign w:val="center"/>
                </w:tcPr>
                <w:p>
                  <w:pPr>
                    <w:widowControl/>
                    <w:adjustRightInd w:val="0"/>
                    <w:snapToGrid w:val="0"/>
                    <w:jc w:val="center"/>
                  </w:pPr>
                  <w:r>
                    <w:rPr>
                      <w:rFonts w:hint="eastAsia"/>
                    </w:rPr>
                    <w:t>基础减震、隔声</w:t>
                  </w:r>
                </w:p>
              </w:tc>
              <w:tc>
                <w:tcPr>
                  <w:tcW w:w="1524" w:type="dxa"/>
                  <w:tcBorders>
                    <w:tl2br w:val="nil"/>
                    <w:tr2bl w:val="nil"/>
                  </w:tcBorders>
                  <w:vAlign w:val="center"/>
                </w:tcPr>
                <w:p>
                  <w:pPr>
                    <w:widowControl/>
                    <w:adjustRightInd w:val="0"/>
                    <w:snapToGrid w:val="0"/>
                    <w:jc w:val="center"/>
                    <w:rPr>
                      <w:kern w:val="0"/>
                    </w:rPr>
                  </w:pPr>
                  <w:r>
                    <w:rPr>
                      <w:rFonts w:hint="eastAsia"/>
                      <w:kern w:val="0"/>
                    </w:rPr>
                    <w:t>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612" w:type="dxa"/>
                  <w:vMerge w:val="restart"/>
                  <w:tcBorders>
                    <w:tl2br w:val="nil"/>
                    <w:tr2bl w:val="nil"/>
                  </w:tcBorders>
                  <w:vAlign w:val="center"/>
                </w:tcPr>
                <w:p>
                  <w:pPr>
                    <w:adjustRightInd w:val="0"/>
                    <w:snapToGrid w:val="0"/>
                    <w:jc w:val="center"/>
                    <w:rPr>
                      <w:kern w:val="0"/>
                    </w:rPr>
                  </w:pPr>
                  <w:r>
                    <w:rPr>
                      <w:rFonts w:hint="eastAsia"/>
                      <w:kern w:val="0"/>
                    </w:rPr>
                    <w:t>4</w:t>
                  </w:r>
                </w:p>
              </w:tc>
              <w:tc>
                <w:tcPr>
                  <w:tcW w:w="830" w:type="dxa"/>
                  <w:vMerge w:val="restart"/>
                  <w:tcBorders>
                    <w:tl2br w:val="nil"/>
                    <w:tr2bl w:val="nil"/>
                  </w:tcBorders>
                  <w:vAlign w:val="center"/>
                </w:tcPr>
                <w:p>
                  <w:pPr>
                    <w:adjustRightInd w:val="0"/>
                    <w:snapToGrid w:val="0"/>
                    <w:jc w:val="center"/>
                    <w:rPr>
                      <w:kern w:val="0"/>
                    </w:rPr>
                  </w:pPr>
                  <w:r>
                    <w:rPr>
                      <w:rFonts w:hint="eastAsia"/>
                      <w:kern w:val="0"/>
                    </w:rPr>
                    <w:t>固废</w:t>
                  </w:r>
                </w:p>
              </w:tc>
              <w:tc>
                <w:tcPr>
                  <w:tcW w:w="1600" w:type="dxa"/>
                  <w:tcBorders>
                    <w:tl2br w:val="nil"/>
                    <w:tr2bl w:val="nil"/>
                  </w:tcBorders>
                  <w:vAlign w:val="center"/>
                </w:tcPr>
                <w:p>
                  <w:pPr>
                    <w:widowControl/>
                    <w:adjustRightInd w:val="0"/>
                    <w:snapToGrid w:val="0"/>
                    <w:jc w:val="center"/>
                    <w:rPr>
                      <w:kern w:val="0"/>
                    </w:rPr>
                  </w:pPr>
                  <w:r>
                    <w:rPr>
                      <w:rFonts w:hint="eastAsia"/>
                      <w:szCs w:val="21"/>
                      <w:lang w:val="zh-CN"/>
                    </w:rPr>
                    <w:t>生活垃圾</w:t>
                  </w:r>
                </w:p>
              </w:tc>
              <w:tc>
                <w:tcPr>
                  <w:tcW w:w="4470" w:type="dxa"/>
                  <w:tcBorders>
                    <w:tl2br w:val="nil"/>
                    <w:tr2bl w:val="nil"/>
                  </w:tcBorders>
                  <w:vAlign w:val="center"/>
                </w:tcPr>
                <w:p>
                  <w:pPr>
                    <w:widowControl/>
                    <w:adjustRightInd w:val="0"/>
                    <w:snapToGrid w:val="0"/>
                    <w:jc w:val="center"/>
                  </w:pPr>
                  <w:r>
                    <w:rPr>
                      <w:rFonts w:hint="eastAsia"/>
                    </w:rPr>
                    <w:t>垃圾桶若干</w:t>
                  </w:r>
                </w:p>
              </w:tc>
              <w:tc>
                <w:tcPr>
                  <w:tcW w:w="1524" w:type="dxa"/>
                  <w:vMerge w:val="restart"/>
                  <w:tcBorders>
                    <w:tl2br w:val="nil"/>
                    <w:tr2bl w:val="nil"/>
                  </w:tcBorders>
                  <w:vAlign w:val="center"/>
                </w:tcPr>
                <w:p>
                  <w:pPr>
                    <w:adjustRightInd w:val="0"/>
                    <w:snapToGrid w:val="0"/>
                    <w:jc w:val="center"/>
                    <w:rPr>
                      <w:kern w:val="0"/>
                    </w:rPr>
                  </w:pPr>
                  <w:r>
                    <w:rPr>
                      <w:rFonts w:hint="eastAsia"/>
                      <w:kern w:val="0"/>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612" w:type="dxa"/>
                  <w:vMerge w:val="continue"/>
                  <w:tcBorders>
                    <w:tl2br w:val="nil"/>
                    <w:tr2bl w:val="nil"/>
                  </w:tcBorders>
                  <w:vAlign w:val="center"/>
                </w:tcPr>
                <w:p>
                  <w:pPr>
                    <w:widowControl/>
                    <w:adjustRightInd w:val="0"/>
                    <w:snapToGrid w:val="0"/>
                    <w:jc w:val="center"/>
                    <w:rPr>
                      <w:kern w:val="0"/>
                    </w:rPr>
                  </w:pPr>
                </w:p>
              </w:tc>
              <w:tc>
                <w:tcPr>
                  <w:tcW w:w="830" w:type="dxa"/>
                  <w:vMerge w:val="continue"/>
                  <w:tcBorders>
                    <w:tl2br w:val="nil"/>
                    <w:tr2bl w:val="nil"/>
                  </w:tcBorders>
                  <w:vAlign w:val="center"/>
                </w:tcPr>
                <w:p>
                  <w:pPr>
                    <w:widowControl/>
                    <w:adjustRightInd w:val="0"/>
                    <w:snapToGrid w:val="0"/>
                    <w:jc w:val="center"/>
                    <w:rPr>
                      <w:kern w:val="0"/>
                    </w:rPr>
                  </w:pPr>
                </w:p>
              </w:tc>
              <w:tc>
                <w:tcPr>
                  <w:tcW w:w="1600" w:type="dxa"/>
                  <w:tcBorders>
                    <w:tl2br w:val="nil"/>
                    <w:tr2bl w:val="nil"/>
                  </w:tcBorders>
                  <w:vAlign w:val="center"/>
                </w:tcPr>
                <w:p>
                  <w:pPr>
                    <w:jc w:val="center"/>
                    <w:rPr>
                      <w:rFonts w:hint="eastAsia" w:ascii="Times New Roman" w:hAnsi="Times New Roman" w:eastAsia="宋体" w:cs="Times New Roman"/>
                      <w:szCs w:val="21"/>
                      <w:lang w:eastAsia="zh-CN"/>
                    </w:rPr>
                  </w:pPr>
                  <w:r>
                    <w:rPr>
                      <w:rFonts w:hint="eastAsia" w:cs="Times New Roman"/>
                      <w:szCs w:val="21"/>
                      <w:lang w:eastAsia="zh-CN"/>
                    </w:rPr>
                    <w:t>废边角料</w:t>
                  </w:r>
                </w:p>
              </w:tc>
              <w:tc>
                <w:tcPr>
                  <w:tcW w:w="4470" w:type="dxa"/>
                  <w:tcBorders>
                    <w:tl2br w:val="nil"/>
                    <w:tr2bl w:val="nil"/>
                  </w:tcBorders>
                  <w:vAlign w:val="center"/>
                </w:tcPr>
                <w:p>
                  <w:pPr>
                    <w:widowControl/>
                    <w:adjustRightInd w:val="0"/>
                    <w:snapToGrid w:val="0"/>
                    <w:jc w:val="center"/>
                  </w:pPr>
                  <w:r>
                    <w:rPr>
                      <w:rFonts w:hint="eastAsia"/>
                      <w:szCs w:val="21"/>
                    </w:rPr>
                    <w:t>设置</w:t>
                  </w:r>
                  <w:r>
                    <w:rPr>
                      <w:rFonts w:hint="eastAsia"/>
                      <w:kern w:val="0"/>
                    </w:rPr>
                    <w:t>10m</w:t>
                  </w:r>
                  <w:r>
                    <w:rPr>
                      <w:rFonts w:hint="eastAsia"/>
                      <w:kern w:val="0"/>
                      <w:vertAlign w:val="superscript"/>
                    </w:rPr>
                    <w:t>2</w:t>
                  </w:r>
                  <w:r>
                    <w:rPr>
                      <w:rFonts w:hint="eastAsia"/>
                      <w:szCs w:val="21"/>
                    </w:rPr>
                    <w:t>一般固废暂存间，收集容器若干</w:t>
                  </w:r>
                </w:p>
              </w:tc>
              <w:tc>
                <w:tcPr>
                  <w:tcW w:w="1524" w:type="dxa"/>
                  <w:vMerge w:val="continue"/>
                  <w:tcBorders>
                    <w:tl2br w:val="nil"/>
                    <w:tr2bl w:val="nil"/>
                  </w:tcBorders>
                  <w:vAlign w:val="center"/>
                </w:tcPr>
                <w:p>
                  <w:pPr>
                    <w:widowControl/>
                    <w:adjustRightInd w:val="0"/>
                    <w:snapToGrid w:val="0"/>
                    <w:jc w:val="center"/>
                    <w:rPr>
                      <w:kern w:val="0"/>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7512" w:type="dxa"/>
                  <w:gridSpan w:val="4"/>
                  <w:tcBorders>
                    <w:tl2br w:val="nil"/>
                    <w:tr2bl w:val="nil"/>
                  </w:tcBorders>
                  <w:vAlign w:val="center"/>
                </w:tcPr>
                <w:p>
                  <w:pPr>
                    <w:widowControl/>
                    <w:adjustRightInd w:val="0"/>
                    <w:snapToGrid w:val="0"/>
                    <w:jc w:val="center"/>
                  </w:pPr>
                  <w:r>
                    <w:rPr>
                      <w:rFonts w:hint="eastAsia"/>
                    </w:rPr>
                    <w:t>合计</w:t>
                  </w:r>
                </w:p>
              </w:tc>
              <w:tc>
                <w:tcPr>
                  <w:tcW w:w="1524" w:type="dxa"/>
                  <w:tcBorders>
                    <w:tl2br w:val="nil"/>
                    <w:tr2bl w:val="nil"/>
                  </w:tcBorders>
                  <w:vAlign w:val="center"/>
                </w:tcPr>
                <w:p>
                  <w:pPr>
                    <w:widowControl/>
                    <w:adjustRightInd w:val="0"/>
                    <w:snapToGrid w:val="0"/>
                    <w:jc w:val="center"/>
                    <w:rPr>
                      <w:rFonts w:hint="default" w:eastAsia="宋体"/>
                      <w:kern w:val="0"/>
                      <w:lang w:val="en-US" w:eastAsia="zh-CN"/>
                    </w:rPr>
                  </w:pPr>
                  <w:r>
                    <w:rPr>
                      <w:rFonts w:hint="eastAsia"/>
                      <w:kern w:val="0"/>
                      <w:lang w:val="en-US" w:eastAsia="zh-CN"/>
                    </w:rPr>
                    <w:t>13</w:t>
                  </w:r>
                </w:p>
              </w:tc>
            </w:tr>
          </w:tbl>
          <w:p>
            <w:pPr>
              <w:spacing w:line="240" w:lineRule="exact"/>
              <w:rPr>
                <w:rFonts w:hAnsiTheme="minorEastAsia" w:eastAsiaTheme="minorEastAsia"/>
                <w:b/>
                <w:bCs/>
                <w:sz w:val="24"/>
              </w:rPr>
            </w:pPr>
          </w:p>
          <w:p>
            <w:pPr>
              <w:spacing w:line="240" w:lineRule="auto"/>
              <w:jc w:val="center"/>
              <w:rPr>
                <w:rFonts w:hint="eastAsia" w:eastAsia="黑体"/>
                <w:color w:val="auto"/>
                <w:sz w:val="24"/>
              </w:rPr>
            </w:pPr>
            <w:r>
              <w:rPr>
                <w:rFonts w:hint="eastAsia" w:eastAsia="黑体"/>
                <w:color w:val="auto"/>
                <w:sz w:val="24"/>
              </w:rPr>
              <w:t>表</w:t>
            </w:r>
            <w:r>
              <w:rPr>
                <w:rFonts w:hint="eastAsia" w:eastAsia="黑体"/>
                <w:color w:val="auto"/>
                <w:sz w:val="24"/>
                <w:lang w:val="en-US" w:eastAsia="zh-CN"/>
              </w:rPr>
              <w:t>37</w:t>
            </w:r>
            <w:r>
              <w:rPr>
                <w:rFonts w:hint="eastAsia" w:eastAsia="黑体"/>
                <w:color w:val="auto"/>
                <w:sz w:val="24"/>
              </w:rPr>
              <w:t xml:space="preserve">  环保“三同时”验收内容一览表</w:t>
            </w:r>
          </w:p>
          <w:tbl>
            <w:tblPr>
              <w:tblStyle w:val="31"/>
              <w:tblW w:w="9041" w:type="dxa"/>
              <w:tblInd w:w="4"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74" w:type="dxa"/>
                <w:left w:w="108" w:type="dxa"/>
                <w:bottom w:w="74" w:type="dxa"/>
                <w:right w:w="108" w:type="dxa"/>
              </w:tblCellMar>
            </w:tblPr>
            <w:tblGrid>
              <w:gridCol w:w="702"/>
              <w:gridCol w:w="763"/>
              <w:gridCol w:w="1500"/>
              <w:gridCol w:w="2627"/>
              <w:gridCol w:w="344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74" w:type="dxa"/>
                  <w:left w:w="108" w:type="dxa"/>
                  <w:bottom w:w="74" w:type="dxa"/>
                  <w:right w:w="108" w:type="dxa"/>
                </w:tblCellMar>
              </w:tblPrEx>
              <w:trPr>
                <w:trHeight w:val="23" w:hRule="atLeast"/>
              </w:trPr>
              <w:tc>
                <w:tcPr>
                  <w:tcW w:w="702" w:type="dxa"/>
                  <w:tcBorders>
                    <w:tl2br w:val="nil"/>
                    <w:tr2bl w:val="nil"/>
                  </w:tcBorders>
                  <w:vAlign w:val="center"/>
                </w:tcPr>
                <w:p>
                  <w:pPr>
                    <w:autoSpaceDE w:val="0"/>
                    <w:autoSpaceDN w:val="0"/>
                    <w:adjustRightInd w:val="0"/>
                    <w:spacing w:line="240" w:lineRule="auto"/>
                    <w:jc w:val="center"/>
                    <w:rPr>
                      <w:szCs w:val="21"/>
                    </w:rPr>
                  </w:pPr>
                  <w:r>
                    <w:rPr>
                      <w:rFonts w:hAnsi="宋体"/>
                      <w:szCs w:val="21"/>
                      <w:lang w:val="zh-CN"/>
                    </w:rPr>
                    <w:t>序号</w:t>
                  </w:r>
                </w:p>
              </w:tc>
              <w:tc>
                <w:tcPr>
                  <w:tcW w:w="2263" w:type="dxa"/>
                  <w:gridSpan w:val="2"/>
                  <w:tcBorders>
                    <w:tl2br w:val="nil"/>
                    <w:tr2bl w:val="nil"/>
                  </w:tcBorders>
                  <w:vAlign w:val="center"/>
                </w:tcPr>
                <w:p>
                  <w:pPr>
                    <w:autoSpaceDE w:val="0"/>
                    <w:autoSpaceDN w:val="0"/>
                    <w:adjustRightInd w:val="0"/>
                    <w:spacing w:line="240" w:lineRule="auto"/>
                    <w:jc w:val="center"/>
                    <w:rPr>
                      <w:szCs w:val="21"/>
                    </w:rPr>
                  </w:pPr>
                  <w:r>
                    <w:rPr>
                      <w:rFonts w:hAnsi="宋体"/>
                      <w:szCs w:val="21"/>
                      <w:lang w:val="zh-CN"/>
                    </w:rPr>
                    <w:t>项</w:t>
                  </w:r>
                  <w:r>
                    <w:rPr>
                      <w:szCs w:val="21"/>
                    </w:rPr>
                    <w:t xml:space="preserve">   </w:t>
                  </w:r>
                  <w:r>
                    <w:rPr>
                      <w:rFonts w:hAnsi="宋体"/>
                      <w:szCs w:val="21"/>
                      <w:lang w:val="zh-CN"/>
                    </w:rPr>
                    <w:t>目</w:t>
                  </w:r>
                </w:p>
              </w:tc>
              <w:tc>
                <w:tcPr>
                  <w:tcW w:w="2627" w:type="dxa"/>
                  <w:tcBorders>
                    <w:tl2br w:val="nil"/>
                    <w:tr2bl w:val="nil"/>
                  </w:tcBorders>
                  <w:vAlign w:val="center"/>
                </w:tcPr>
                <w:p>
                  <w:pPr>
                    <w:autoSpaceDE w:val="0"/>
                    <w:autoSpaceDN w:val="0"/>
                    <w:adjustRightInd w:val="0"/>
                    <w:spacing w:line="240" w:lineRule="auto"/>
                    <w:jc w:val="center"/>
                    <w:rPr>
                      <w:szCs w:val="21"/>
                    </w:rPr>
                  </w:pPr>
                  <w:r>
                    <w:rPr>
                      <w:rFonts w:hint="eastAsia" w:hAnsi="宋体"/>
                      <w:szCs w:val="21"/>
                      <w:lang w:val="zh-CN"/>
                    </w:rPr>
                    <w:t>验收内容</w:t>
                  </w:r>
                </w:p>
              </w:tc>
              <w:tc>
                <w:tcPr>
                  <w:tcW w:w="3449" w:type="dxa"/>
                  <w:tcBorders>
                    <w:tl2br w:val="nil"/>
                    <w:tr2bl w:val="nil"/>
                  </w:tcBorders>
                  <w:vAlign w:val="center"/>
                </w:tcPr>
                <w:p>
                  <w:pPr>
                    <w:autoSpaceDE w:val="0"/>
                    <w:autoSpaceDN w:val="0"/>
                    <w:adjustRightInd w:val="0"/>
                    <w:spacing w:line="240" w:lineRule="auto"/>
                    <w:jc w:val="center"/>
                    <w:rPr>
                      <w:szCs w:val="21"/>
                    </w:rPr>
                  </w:pPr>
                  <w:r>
                    <w:rPr>
                      <w:rFonts w:hint="eastAsia" w:hAnsi="宋体"/>
                      <w:szCs w:val="21"/>
                      <w:lang w:val="zh-CN"/>
                    </w:rPr>
                    <w:t>执行标准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74" w:type="dxa"/>
                  <w:left w:w="108" w:type="dxa"/>
                  <w:bottom w:w="74" w:type="dxa"/>
                  <w:right w:w="108" w:type="dxa"/>
                </w:tblCellMar>
              </w:tblPrEx>
              <w:trPr>
                <w:trHeight w:val="23" w:hRule="atLeast"/>
              </w:trPr>
              <w:tc>
                <w:tcPr>
                  <w:tcW w:w="702" w:type="dxa"/>
                  <w:tcBorders>
                    <w:tl2br w:val="nil"/>
                    <w:tr2bl w:val="nil"/>
                  </w:tcBorders>
                  <w:vAlign w:val="center"/>
                </w:tcPr>
                <w:p>
                  <w:pPr>
                    <w:autoSpaceDE w:val="0"/>
                    <w:autoSpaceDN w:val="0"/>
                    <w:adjustRightInd w:val="0"/>
                    <w:spacing w:line="240" w:lineRule="auto"/>
                    <w:jc w:val="center"/>
                    <w:rPr>
                      <w:rFonts w:hint="eastAsia" w:hAnsi="宋体" w:eastAsia="宋体"/>
                      <w:szCs w:val="21"/>
                      <w:lang w:val="en-US" w:eastAsia="zh-CN"/>
                    </w:rPr>
                  </w:pPr>
                  <w:r>
                    <w:rPr>
                      <w:rFonts w:hint="eastAsia" w:hAnsi="宋体"/>
                      <w:szCs w:val="21"/>
                      <w:lang w:val="en-US" w:eastAsia="zh-CN"/>
                    </w:rPr>
                    <w:t>1</w:t>
                  </w:r>
                </w:p>
              </w:tc>
              <w:tc>
                <w:tcPr>
                  <w:tcW w:w="763" w:type="dxa"/>
                  <w:tcBorders>
                    <w:tl2br w:val="nil"/>
                    <w:tr2bl w:val="nil"/>
                  </w:tcBorders>
                  <w:vAlign w:val="center"/>
                </w:tcPr>
                <w:p>
                  <w:pPr>
                    <w:widowControl/>
                    <w:adjustRightInd w:val="0"/>
                    <w:snapToGrid w:val="0"/>
                    <w:spacing w:line="240" w:lineRule="auto"/>
                    <w:jc w:val="center"/>
                    <w:rPr>
                      <w:rFonts w:hint="eastAsia" w:eastAsia="宋体"/>
                      <w:kern w:val="0"/>
                      <w:szCs w:val="21"/>
                      <w:lang w:eastAsia="zh-CN"/>
                    </w:rPr>
                  </w:pPr>
                  <w:r>
                    <w:rPr>
                      <w:rFonts w:hint="eastAsia"/>
                      <w:kern w:val="0"/>
                      <w:szCs w:val="21"/>
                      <w:lang w:eastAsia="zh-CN"/>
                    </w:rPr>
                    <w:t>废气</w:t>
                  </w:r>
                </w:p>
              </w:tc>
              <w:tc>
                <w:tcPr>
                  <w:tcW w:w="1500" w:type="dxa"/>
                  <w:tcBorders>
                    <w:tl2br w:val="nil"/>
                    <w:tr2bl w:val="nil"/>
                  </w:tcBorders>
                  <w:vAlign w:val="center"/>
                </w:tcPr>
                <w:p>
                  <w:pPr>
                    <w:widowControl/>
                    <w:adjustRightInd w:val="0"/>
                    <w:snapToGrid w:val="0"/>
                    <w:jc w:val="center"/>
                    <w:rPr>
                      <w:rFonts w:hint="eastAsia" w:ascii="Times New Roman" w:hAnsi="Times New Roman" w:eastAsia="宋体" w:cs="Times New Roman"/>
                      <w:kern w:val="0"/>
                      <w:sz w:val="21"/>
                      <w:szCs w:val="21"/>
                      <w:lang w:val="en-US" w:eastAsia="zh-CN" w:bidi="ar-SA"/>
                    </w:rPr>
                  </w:pPr>
                  <w:r>
                    <w:rPr>
                      <w:rFonts w:hint="eastAsia" w:hAnsi="黑体"/>
                      <w:szCs w:val="21"/>
                      <w:lang w:eastAsia="zh-CN"/>
                    </w:rPr>
                    <w:t>焊接工序</w:t>
                  </w:r>
                </w:p>
              </w:tc>
              <w:tc>
                <w:tcPr>
                  <w:tcW w:w="2627" w:type="dxa"/>
                  <w:tcBorders>
                    <w:tl2br w:val="nil"/>
                    <w:tr2bl w:val="nil"/>
                  </w:tcBorders>
                  <w:vAlign w:val="center"/>
                </w:tcPr>
                <w:p>
                  <w:pPr>
                    <w:widowControl/>
                    <w:adjustRightInd w:val="0"/>
                    <w:snapToGrid w:val="0"/>
                    <w:jc w:val="center"/>
                    <w:rPr>
                      <w:rFonts w:ascii="Times New Roman" w:hAnsi="Times New Roman" w:eastAsia="宋体" w:cs="Times New Roman"/>
                      <w:kern w:val="0"/>
                      <w:sz w:val="21"/>
                      <w:szCs w:val="21"/>
                      <w:lang w:val="en-US" w:eastAsia="zh-CN" w:bidi="ar-SA"/>
                    </w:rPr>
                  </w:pPr>
                  <w:r>
                    <w:rPr>
                      <w:rFonts w:hint="eastAsia"/>
                      <w:bCs/>
                      <w:snapToGrid w:val="0"/>
                      <w:kern w:val="0"/>
                      <w:sz w:val="21"/>
                      <w:szCs w:val="21"/>
                      <w:lang w:val="en-US" w:eastAsia="zh-CN"/>
                    </w:rPr>
                    <w:t>6台焊烟净化器</w:t>
                  </w:r>
                </w:p>
              </w:tc>
              <w:tc>
                <w:tcPr>
                  <w:tcW w:w="3449" w:type="dxa"/>
                  <w:tcBorders>
                    <w:tl2br w:val="nil"/>
                    <w:tr2bl w:val="nil"/>
                  </w:tcBorders>
                  <w:vAlign w:val="center"/>
                </w:tcPr>
                <w:p>
                  <w:pPr>
                    <w:autoSpaceDE w:val="0"/>
                    <w:autoSpaceDN w:val="0"/>
                    <w:adjustRightInd w:val="0"/>
                    <w:spacing w:line="240" w:lineRule="auto"/>
                    <w:jc w:val="center"/>
                    <w:rPr>
                      <w:rFonts w:hint="eastAsia" w:hAnsi="宋体" w:eastAsia="宋体"/>
                      <w:szCs w:val="21"/>
                      <w:lang w:val="zh-CN" w:eastAsia="zh-CN"/>
                    </w:rPr>
                  </w:pPr>
                  <w:r>
                    <w:rPr>
                      <w:rFonts w:hint="eastAsia"/>
                      <w:color w:val="auto"/>
                      <w:sz w:val="21"/>
                      <w:szCs w:val="21"/>
                    </w:rPr>
                    <w:t>《</w:t>
                  </w:r>
                  <w:r>
                    <w:rPr>
                      <w:color w:val="auto"/>
                      <w:sz w:val="21"/>
                      <w:szCs w:val="21"/>
                    </w:rPr>
                    <w:t>大气污染物综合排放标准》（GB16297-1996）表2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74" w:type="dxa"/>
                  <w:left w:w="108" w:type="dxa"/>
                  <w:bottom w:w="74" w:type="dxa"/>
                  <w:right w:w="108" w:type="dxa"/>
                </w:tblCellMar>
              </w:tblPrEx>
              <w:trPr>
                <w:trHeight w:val="23" w:hRule="atLeast"/>
              </w:trPr>
              <w:tc>
                <w:tcPr>
                  <w:tcW w:w="702" w:type="dxa"/>
                  <w:vMerge w:val="restart"/>
                  <w:tcBorders>
                    <w:tl2br w:val="nil"/>
                    <w:tr2bl w:val="nil"/>
                  </w:tcBorders>
                  <w:vAlign w:val="center"/>
                </w:tcPr>
                <w:p>
                  <w:pPr>
                    <w:autoSpaceDE w:val="0"/>
                    <w:autoSpaceDN w:val="0"/>
                    <w:adjustRightInd w:val="0"/>
                    <w:spacing w:line="240" w:lineRule="auto"/>
                    <w:jc w:val="center"/>
                    <w:rPr>
                      <w:rFonts w:hAnsi="宋体"/>
                      <w:szCs w:val="21"/>
                      <w:lang w:val="zh-CN"/>
                    </w:rPr>
                  </w:pPr>
                  <w:r>
                    <w:rPr>
                      <w:rFonts w:hint="eastAsia"/>
                      <w:szCs w:val="21"/>
                    </w:rPr>
                    <w:t>2</w:t>
                  </w:r>
                </w:p>
              </w:tc>
              <w:tc>
                <w:tcPr>
                  <w:tcW w:w="763" w:type="dxa"/>
                  <w:vMerge w:val="restart"/>
                  <w:tcBorders>
                    <w:tl2br w:val="nil"/>
                    <w:tr2bl w:val="nil"/>
                  </w:tcBorders>
                  <w:vAlign w:val="center"/>
                </w:tcPr>
                <w:p>
                  <w:pPr>
                    <w:widowControl/>
                    <w:adjustRightInd w:val="0"/>
                    <w:snapToGrid w:val="0"/>
                    <w:spacing w:line="240" w:lineRule="auto"/>
                    <w:jc w:val="center"/>
                    <w:rPr>
                      <w:kern w:val="0"/>
                      <w:szCs w:val="21"/>
                    </w:rPr>
                  </w:pPr>
                  <w:r>
                    <w:rPr>
                      <w:rFonts w:hint="eastAsia"/>
                      <w:kern w:val="0"/>
                      <w:szCs w:val="21"/>
                    </w:rPr>
                    <w:t>废水</w:t>
                  </w:r>
                </w:p>
              </w:tc>
              <w:tc>
                <w:tcPr>
                  <w:tcW w:w="1500" w:type="dxa"/>
                  <w:tcBorders>
                    <w:tl2br w:val="nil"/>
                    <w:tr2bl w:val="nil"/>
                  </w:tcBorders>
                  <w:vAlign w:val="center"/>
                </w:tcPr>
                <w:p>
                  <w:pPr>
                    <w:widowControl/>
                    <w:adjustRightInd w:val="0"/>
                    <w:snapToGrid w:val="0"/>
                    <w:jc w:val="center"/>
                    <w:rPr>
                      <w:kern w:val="0"/>
                    </w:rPr>
                  </w:pPr>
                  <w:r>
                    <w:rPr>
                      <w:rFonts w:hint="eastAsia"/>
                      <w:kern w:val="0"/>
                    </w:rPr>
                    <w:t>生活污水</w:t>
                  </w:r>
                </w:p>
              </w:tc>
              <w:tc>
                <w:tcPr>
                  <w:tcW w:w="2627" w:type="dxa"/>
                  <w:tcBorders>
                    <w:tl2br w:val="nil"/>
                    <w:tr2bl w:val="nil"/>
                  </w:tcBorders>
                  <w:vAlign w:val="center"/>
                </w:tcPr>
                <w:p>
                  <w:pPr>
                    <w:widowControl/>
                    <w:adjustRightInd w:val="0"/>
                    <w:snapToGrid w:val="0"/>
                    <w:jc w:val="center"/>
                    <w:rPr>
                      <w:kern w:val="0"/>
                    </w:rPr>
                  </w:pPr>
                  <w:r>
                    <w:rPr>
                      <w:rFonts w:hint="eastAsia"/>
                      <w:kern w:val="0"/>
                    </w:rPr>
                    <w:t>1个</w:t>
                  </w:r>
                  <w:r>
                    <w:rPr>
                      <w:rFonts w:hint="eastAsia"/>
                      <w:kern w:val="0"/>
                      <w:lang w:val="en-US" w:eastAsia="zh-CN"/>
                    </w:rPr>
                    <w:t>10</w:t>
                  </w:r>
                  <w:r>
                    <w:rPr>
                      <w:rFonts w:hint="eastAsia"/>
                      <w:kern w:val="0"/>
                    </w:rPr>
                    <w:t>m</w:t>
                  </w:r>
                  <w:r>
                    <w:rPr>
                      <w:rFonts w:hint="eastAsia"/>
                      <w:kern w:val="0"/>
                      <w:vertAlign w:val="superscript"/>
                    </w:rPr>
                    <w:t>3</w:t>
                  </w:r>
                  <w:r>
                    <w:rPr>
                      <w:rFonts w:hint="eastAsia"/>
                      <w:kern w:val="0"/>
                    </w:rPr>
                    <w:t>化粪池（现有）</w:t>
                  </w:r>
                </w:p>
              </w:tc>
              <w:tc>
                <w:tcPr>
                  <w:tcW w:w="3449" w:type="dxa"/>
                  <w:vMerge w:val="restart"/>
                  <w:tcBorders>
                    <w:tl2br w:val="nil"/>
                    <w:tr2bl w:val="nil"/>
                  </w:tcBorders>
                  <w:vAlign w:val="center"/>
                </w:tcPr>
                <w:p>
                  <w:pPr>
                    <w:autoSpaceDE w:val="0"/>
                    <w:autoSpaceDN w:val="0"/>
                    <w:adjustRightInd w:val="0"/>
                    <w:spacing w:line="240" w:lineRule="auto"/>
                    <w:jc w:val="center"/>
                    <w:rPr>
                      <w:rFonts w:hAnsi="宋体"/>
                      <w:szCs w:val="21"/>
                      <w:lang w:val="zh-CN"/>
                    </w:rPr>
                  </w:pPr>
                  <w:r>
                    <w:rPr>
                      <w:rFonts w:hint="eastAsia" w:hAnsi="宋体"/>
                      <w:szCs w:val="21"/>
                      <w:lang w:val="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74" w:type="dxa"/>
                  <w:left w:w="108" w:type="dxa"/>
                  <w:bottom w:w="74" w:type="dxa"/>
                  <w:right w:w="108" w:type="dxa"/>
                </w:tblCellMar>
              </w:tblPrEx>
              <w:trPr>
                <w:trHeight w:val="23" w:hRule="atLeast"/>
              </w:trPr>
              <w:tc>
                <w:tcPr>
                  <w:tcW w:w="702" w:type="dxa"/>
                  <w:vMerge w:val="continue"/>
                  <w:tcBorders>
                    <w:tl2br w:val="nil"/>
                    <w:tr2bl w:val="nil"/>
                  </w:tcBorders>
                  <w:vAlign w:val="center"/>
                </w:tcPr>
                <w:p>
                  <w:pPr>
                    <w:autoSpaceDE w:val="0"/>
                    <w:autoSpaceDN w:val="0"/>
                    <w:adjustRightInd w:val="0"/>
                    <w:spacing w:line="240" w:lineRule="auto"/>
                    <w:jc w:val="center"/>
                    <w:rPr>
                      <w:rFonts w:hint="eastAsia"/>
                      <w:szCs w:val="21"/>
                    </w:rPr>
                  </w:pPr>
                </w:p>
              </w:tc>
              <w:tc>
                <w:tcPr>
                  <w:tcW w:w="763" w:type="dxa"/>
                  <w:vMerge w:val="continue"/>
                  <w:tcBorders>
                    <w:tl2br w:val="nil"/>
                    <w:tr2bl w:val="nil"/>
                  </w:tcBorders>
                  <w:vAlign w:val="center"/>
                </w:tcPr>
                <w:p>
                  <w:pPr>
                    <w:widowControl/>
                    <w:adjustRightInd w:val="0"/>
                    <w:snapToGrid w:val="0"/>
                    <w:spacing w:line="240" w:lineRule="auto"/>
                    <w:jc w:val="center"/>
                    <w:rPr>
                      <w:rFonts w:hint="eastAsia"/>
                      <w:kern w:val="0"/>
                      <w:szCs w:val="21"/>
                    </w:rPr>
                  </w:pPr>
                </w:p>
              </w:tc>
              <w:tc>
                <w:tcPr>
                  <w:tcW w:w="1500" w:type="dxa"/>
                  <w:tcBorders>
                    <w:tl2br w:val="nil"/>
                    <w:tr2bl w:val="nil"/>
                  </w:tcBorders>
                  <w:vAlign w:val="center"/>
                </w:tcPr>
                <w:p>
                  <w:pPr>
                    <w:widowControl/>
                    <w:adjustRightInd w:val="0"/>
                    <w:snapToGrid w:val="0"/>
                    <w:jc w:val="center"/>
                    <w:rPr>
                      <w:rFonts w:hint="eastAsia"/>
                      <w:kern w:val="0"/>
                    </w:rPr>
                  </w:pPr>
                  <w:r>
                    <w:rPr>
                      <w:rFonts w:hint="eastAsia"/>
                      <w:kern w:val="0"/>
                      <w:lang w:eastAsia="zh-CN"/>
                    </w:rPr>
                    <w:t>洗车废水</w:t>
                  </w:r>
                </w:p>
              </w:tc>
              <w:tc>
                <w:tcPr>
                  <w:tcW w:w="2627" w:type="dxa"/>
                  <w:tcBorders>
                    <w:tl2br w:val="nil"/>
                    <w:tr2bl w:val="nil"/>
                  </w:tcBorders>
                  <w:vAlign w:val="center"/>
                </w:tcPr>
                <w:p>
                  <w:pPr>
                    <w:widowControl/>
                    <w:adjustRightInd w:val="0"/>
                    <w:snapToGrid w:val="0"/>
                    <w:jc w:val="center"/>
                    <w:rPr>
                      <w:rFonts w:hint="eastAsia"/>
                      <w:kern w:val="0"/>
                    </w:rPr>
                  </w:pPr>
                  <w:r>
                    <w:rPr>
                      <w:rFonts w:hint="default" w:ascii="Times New Roman" w:hAnsi="Times New Roman" w:eastAsia="宋体" w:cs="Times New Roman"/>
                      <w:color w:val="000000"/>
                      <w:kern w:val="0"/>
                      <w:sz w:val="21"/>
                      <w:szCs w:val="21"/>
                      <w:lang w:val="en-US" w:eastAsia="zh-CN" w:bidi="ar"/>
                    </w:rPr>
                    <w:t>1个</w:t>
                  </w:r>
                  <w:r>
                    <w:rPr>
                      <w:rFonts w:hint="default" w:ascii="Times New Roman" w:hAnsi="Times New Roman" w:cs="Times New Roman"/>
                      <w:sz w:val="21"/>
                      <w:szCs w:val="21"/>
                    </w:rPr>
                    <w:t>5.0m×3.0m×</w:t>
                  </w:r>
                  <w:r>
                    <w:rPr>
                      <w:rFonts w:hint="default" w:ascii="Times New Roman" w:hAnsi="Times New Roman" w:cs="Times New Roman"/>
                      <w:sz w:val="21"/>
                      <w:szCs w:val="21"/>
                      <w:lang w:val="en-US" w:eastAsia="zh-CN"/>
                    </w:rPr>
                    <w:t>1.5</w:t>
                  </w:r>
                  <w:r>
                    <w:rPr>
                      <w:rFonts w:hint="default" w:ascii="Times New Roman" w:hAnsi="Times New Roman" w:cs="Times New Roman"/>
                      <w:sz w:val="21"/>
                      <w:szCs w:val="21"/>
                    </w:rPr>
                    <w:t>m</w:t>
                  </w:r>
                  <w:r>
                    <w:rPr>
                      <w:rFonts w:hint="default" w:ascii="Times New Roman" w:hAnsi="Times New Roman" w:cs="Times New Roman"/>
                      <w:sz w:val="21"/>
                      <w:szCs w:val="21"/>
                      <w:lang w:eastAsia="zh-CN"/>
                    </w:rPr>
                    <w:t>三级</w:t>
                  </w:r>
                  <w:r>
                    <w:rPr>
                      <w:rFonts w:hint="default" w:ascii="Times New Roman" w:hAnsi="Times New Roman" w:eastAsia="宋体" w:cs="Times New Roman"/>
                      <w:color w:val="000000"/>
                      <w:kern w:val="0"/>
                      <w:sz w:val="21"/>
                      <w:szCs w:val="21"/>
                      <w:lang w:val="en-US" w:eastAsia="zh-CN" w:bidi="ar"/>
                    </w:rPr>
                    <w:t>沉淀池</w:t>
                  </w:r>
                </w:p>
              </w:tc>
              <w:tc>
                <w:tcPr>
                  <w:tcW w:w="3449" w:type="dxa"/>
                  <w:vMerge w:val="continue"/>
                  <w:tcBorders>
                    <w:tl2br w:val="nil"/>
                    <w:tr2bl w:val="nil"/>
                  </w:tcBorders>
                  <w:vAlign w:val="center"/>
                </w:tcPr>
                <w:p>
                  <w:pPr>
                    <w:autoSpaceDE w:val="0"/>
                    <w:autoSpaceDN w:val="0"/>
                    <w:adjustRightInd w:val="0"/>
                    <w:spacing w:line="240" w:lineRule="auto"/>
                    <w:jc w:val="center"/>
                    <w:rPr>
                      <w:rFonts w:hint="eastAsia" w:hAnsi="宋体"/>
                      <w:szCs w:val="21"/>
                      <w:lang w:val="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74" w:type="dxa"/>
                  <w:left w:w="108" w:type="dxa"/>
                  <w:bottom w:w="74" w:type="dxa"/>
                  <w:right w:w="108" w:type="dxa"/>
                </w:tblCellMar>
              </w:tblPrEx>
              <w:trPr>
                <w:trHeight w:val="23" w:hRule="atLeast"/>
              </w:trPr>
              <w:tc>
                <w:tcPr>
                  <w:tcW w:w="702" w:type="dxa"/>
                  <w:tcBorders>
                    <w:tl2br w:val="nil"/>
                    <w:tr2bl w:val="nil"/>
                  </w:tcBorders>
                  <w:vAlign w:val="center"/>
                </w:tcPr>
                <w:p>
                  <w:pPr>
                    <w:autoSpaceDE w:val="0"/>
                    <w:autoSpaceDN w:val="0"/>
                    <w:adjustRightInd w:val="0"/>
                    <w:spacing w:line="240" w:lineRule="auto"/>
                    <w:jc w:val="center"/>
                    <w:rPr>
                      <w:szCs w:val="21"/>
                    </w:rPr>
                  </w:pPr>
                  <w:r>
                    <w:rPr>
                      <w:rFonts w:hint="eastAsia"/>
                      <w:szCs w:val="21"/>
                    </w:rPr>
                    <w:t>3</w:t>
                  </w:r>
                </w:p>
              </w:tc>
              <w:tc>
                <w:tcPr>
                  <w:tcW w:w="763" w:type="dxa"/>
                  <w:tcBorders>
                    <w:tl2br w:val="nil"/>
                    <w:tr2bl w:val="nil"/>
                  </w:tcBorders>
                  <w:vAlign w:val="center"/>
                </w:tcPr>
                <w:p>
                  <w:pPr>
                    <w:widowControl/>
                    <w:adjustRightInd w:val="0"/>
                    <w:snapToGrid w:val="0"/>
                    <w:spacing w:line="240" w:lineRule="auto"/>
                    <w:jc w:val="center"/>
                    <w:rPr>
                      <w:kern w:val="0"/>
                      <w:szCs w:val="21"/>
                    </w:rPr>
                  </w:pPr>
                  <w:r>
                    <w:rPr>
                      <w:rFonts w:hint="eastAsia"/>
                      <w:kern w:val="0"/>
                      <w:szCs w:val="21"/>
                    </w:rPr>
                    <w:t>噪声</w:t>
                  </w:r>
                </w:p>
              </w:tc>
              <w:tc>
                <w:tcPr>
                  <w:tcW w:w="1500" w:type="dxa"/>
                  <w:tcBorders>
                    <w:tl2br w:val="nil"/>
                    <w:tr2bl w:val="nil"/>
                  </w:tcBorders>
                  <w:vAlign w:val="center"/>
                </w:tcPr>
                <w:p>
                  <w:pPr>
                    <w:widowControl/>
                    <w:adjustRightInd w:val="0"/>
                    <w:snapToGrid w:val="0"/>
                    <w:spacing w:line="240" w:lineRule="auto"/>
                    <w:jc w:val="center"/>
                    <w:rPr>
                      <w:kern w:val="0"/>
                      <w:szCs w:val="21"/>
                    </w:rPr>
                  </w:pPr>
                  <w:r>
                    <w:rPr>
                      <w:rFonts w:hint="eastAsia"/>
                      <w:kern w:val="0"/>
                      <w:szCs w:val="21"/>
                    </w:rPr>
                    <w:t>设备噪声</w:t>
                  </w:r>
                </w:p>
              </w:tc>
              <w:tc>
                <w:tcPr>
                  <w:tcW w:w="2627" w:type="dxa"/>
                  <w:tcBorders>
                    <w:tl2br w:val="nil"/>
                    <w:tr2bl w:val="nil"/>
                  </w:tcBorders>
                  <w:vAlign w:val="center"/>
                </w:tcPr>
                <w:p>
                  <w:pPr>
                    <w:widowControl/>
                    <w:adjustRightInd w:val="0"/>
                    <w:snapToGrid w:val="0"/>
                    <w:spacing w:line="240" w:lineRule="auto"/>
                    <w:jc w:val="center"/>
                    <w:rPr>
                      <w:szCs w:val="21"/>
                    </w:rPr>
                  </w:pPr>
                  <w:r>
                    <w:rPr>
                      <w:rFonts w:hint="eastAsia"/>
                      <w:szCs w:val="21"/>
                    </w:rPr>
                    <w:t>基础减震、隔声</w:t>
                  </w:r>
                </w:p>
              </w:tc>
              <w:tc>
                <w:tcPr>
                  <w:tcW w:w="3449" w:type="dxa"/>
                  <w:tcBorders>
                    <w:tl2br w:val="nil"/>
                    <w:tr2bl w:val="nil"/>
                  </w:tcBorders>
                  <w:vAlign w:val="center"/>
                </w:tcPr>
                <w:p>
                  <w:pPr>
                    <w:pStyle w:val="8"/>
                    <w:spacing w:line="240" w:lineRule="auto"/>
                    <w:ind w:firstLine="0"/>
                    <w:jc w:val="center"/>
                    <w:rPr>
                      <w:sz w:val="21"/>
                      <w:szCs w:val="21"/>
                    </w:rPr>
                  </w:pPr>
                  <w:r>
                    <w:rPr>
                      <w:rFonts w:hint="eastAsia"/>
                      <w:sz w:val="21"/>
                      <w:szCs w:val="21"/>
                    </w:rPr>
                    <w:t>《工业企业厂界环境噪声排放标准》（GB12348-2008）2类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74" w:type="dxa"/>
                  <w:left w:w="108" w:type="dxa"/>
                  <w:bottom w:w="74" w:type="dxa"/>
                  <w:right w:w="108" w:type="dxa"/>
                </w:tblCellMar>
              </w:tblPrEx>
              <w:trPr>
                <w:trHeight w:val="319" w:hRule="atLeast"/>
              </w:trPr>
              <w:tc>
                <w:tcPr>
                  <w:tcW w:w="702" w:type="dxa"/>
                  <w:vMerge w:val="restart"/>
                  <w:tcBorders>
                    <w:tl2br w:val="nil"/>
                    <w:tr2bl w:val="nil"/>
                  </w:tcBorders>
                  <w:vAlign w:val="center"/>
                </w:tcPr>
                <w:p>
                  <w:pPr>
                    <w:autoSpaceDE w:val="0"/>
                    <w:autoSpaceDN w:val="0"/>
                    <w:adjustRightInd w:val="0"/>
                    <w:spacing w:line="240" w:lineRule="auto"/>
                    <w:jc w:val="center"/>
                    <w:rPr>
                      <w:szCs w:val="21"/>
                    </w:rPr>
                  </w:pPr>
                  <w:r>
                    <w:rPr>
                      <w:rFonts w:hint="eastAsia"/>
                      <w:szCs w:val="21"/>
                    </w:rPr>
                    <w:t>4</w:t>
                  </w:r>
                </w:p>
              </w:tc>
              <w:tc>
                <w:tcPr>
                  <w:tcW w:w="763" w:type="dxa"/>
                  <w:vMerge w:val="restart"/>
                  <w:tcBorders>
                    <w:tl2br w:val="nil"/>
                    <w:tr2bl w:val="nil"/>
                  </w:tcBorders>
                  <w:vAlign w:val="center"/>
                </w:tcPr>
                <w:p>
                  <w:pPr>
                    <w:adjustRightInd w:val="0"/>
                    <w:snapToGrid w:val="0"/>
                    <w:spacing w:line="240" w:lineRule="auto"/>
                    <w:jc w:val="center"/>
                    <w:rPr>
                      <w:kern w:val="0"/>
                      <w:szCs w:val="21"/>
                    </w:rPr>
                  </w:pPr>
                  <w:r>
                    <w:rPr>
                      <w:rFonts w:hint="eastAsia"/>
                      <w:kern w:val="0"/>
                      <w:szCs w:val="21"/>
                    </w:rPr>
                    <w:t>固废</w:t>
                  </w:r>
                </w:p>
              </w:tc>
              <w:tc>
                <w:tcPr>
                  <w:tcW w:w="1500" w:type="dxa"/>
                  <w:tcBorders>
                    <w:tl2br w:val="nil"/>
                    <w:tr2bl w:val="nil"/>
                  </w:tcBorders>
                  <w:vAlign w:val="center"/>
                </w:tcPr>
                <w:p>
                  <w:pPr>
                    <w:widowControl/>
                    <w:adjustRightInd w:val="0"/>
                    <w:snapToGrid w:val="0"/>
                    <w:spacing w:line="240" w:lineRule="auto"/>
                    <w:jc w:val="center"/>
                    <w:rPr>
                      <w:kern w:val="0"/>
                      <w:szCs w:val="21"/>
                    </w:rPr>
                  </w:pPr>
                  <w:r>
                    <w:rPr>
                      <w:rFonts w:hint="eastAsia"/>
                      <w:szCs w:val="21"/>
                      <w:lang w:val="zh-CN"/>
                    </w:rPr>
                    <w:t>生活垃圾</w:t>
                  </w:r>
                </w:p>
              </w:tc>
              <w:tc>
                <w:tcPr>
                  <w:tcW w:w="2627" w:type="dxa"/>
                  <w:tcBorders>
                    <w:tl2br w:val="nil"/>
                    <w:tr2bl w:val="nil"/>
                  </w:tcBorders>
                  <w:vAlign w:val="center"/>
                </w:tcPr>
                <w:p>
                  <w:pPr>
                    <w:widowControl/>
                    <w:adjustRightInd w:val="0"/>
                    <w:snapToGrid w:val="0"/>
                    <w:spacing w:line="240" w:lineRule="auto"/>
                    <w:jc w:val="center"/>
                    <w:rPr>
                      <w:szCs w:val="21"/>
                    </w:rPr>
                  </w:pPr>
                  <w:r>
                    <w:rPr>
                      <w:rFonts w:hint="eastAsia"/>
                      <w:szCs w:val="21"/>
                    </w:rPr>
                    <w:t>垃圾桶若干</w:t>
                  </w:r>
                </w:p>
              </w:tc>
              <w:tc>
                <w:tcPr>
                  <w:tcW w:w="3449" w:type="dxa"/>
                  <w:tcBorders>
                    <w:tl2br w:val="nil"/>
                    <w:tr2bl w:val="nil"/>
                  </w:tcBorders>
                  <w:vAlign w:val="center"/>
                </w:tcPr>
                <w:p>
                  <w:pPr>
                    <w:pStyle w:val="8"/>
                    <w:spacing w:line="240" w:lineRule="auto"/>
                    <w:ind w:firstLine="0"/>
                    <w:jc w:val="center"/>
                    <w:rPr>
                      <w:sz w:val="21"/>
                      <w:szCs w:val="21"/>
                    </w:rPr>
                  </w:pPr>
                  <w:r>
                    <w:rPr>
                      <w:rFonts w:hint="eastAsia"/>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74" w:type="dxa"/>
                  <w:left w:w="108" w:type="dxa"/>
                  <w:bottom w:w="74" w:type="dxa"/>
                  <w:right w:w="108" w:type="dxa"/>
                </w:tblCellMar>
              </w:tblPrEx>
              <w:trPr>
                <w:trHeight w:val="23" w:hRule="atLeast"/>
              </w:trPr>
              <w:tc>
                <w:tcPr>
                  <w:tcW w:w="702" w:type="dxa"/>
                  <w:vMerge w:val="continue"/>
                  <w:tcBorders>
                    <w:tl2br w:val="nil"/>
                    <w:tr2bl w:val="nil"/>
                  </w:tcBorders>
                  <w:vAlign w:val="center"/>
                </w:tcPr>
                <w:p>
                  <w:pPr>
                    <w:autoSpaceDE w:val="0"/>
                    <w:autoSpaceDN w:val="0"/>
                    <w:adjustRightInd w:val="0"/>
                    <w:spacing w:line="240" w:lineRule="auto"/>
                    <w:jc w:val="center"/>
                    <w:rPr>
                      <w:szCs w:val="21"/>
                    </w:rPr>
                  </w:pPr>
                </w:p>
              </w:tc>
              <w:tc>
                <w:tcPr>
                  <w:tcW w:w="763" w:type="dxa"/>
                  <w:vMerge w:val="continue"/>
                  <w:tcBorders>
                    <w:tl2br w:val="nil"/>
                    <w:tr2bl w:val="nil"/>
                  </w:tcBorders>
                  <w:vAlign w:val="center"/>
                </w:tcPr>
                <w:p>
                  <w:pPr>
                    <w:widowControl/>
                    <w:adjustRightInd w:val="0"/>
                    <w:snapToGrid w:val="0"/>
                    <w:spacing w:line="240" w:lineRule="auto"/>
                    <w:jc w:val="center"/>
                    <w:rPr>
                      <w:kern w:val="0"/>
                      <w:szCs w:val="21"/>
                    </w:rPr>
                  </w:pPr>
                </w:p>
              </w:tc>
              <w:tc>
                <w:tcPr>
                  <w:tcW w:w="1500" w:type="dxa"/>
                  <w:tcBorders>
                    <w:tl2br w:val="nil"/>
                    <w:tr2bl w:val="nil"/>
                  </w:tcBorders>
                  <w:vAlign w:val="center"/>
                </w:tcPr>
                <w:p>
                  <w:pPr>
                    <w:spacing w:line="240" w:lineRule="auto"/>
                    <w:jc w:val="center"/>
                    <w:rPr>
                      <w:rFonts w:hint="eastAsia" w:eastAsia="宋体"/>
                      <w:szCs w:val="21"/>
                      <w:lang w:eastAsia="zh-CN"/>
                    </w:rPr>
                  </w:pPr>
                  <w:r>
                    <w:rPr>
                      <w:rFonts w:hint="eastAsia" w:cs="Times New Roman"/>
                      <w:szCs w:val="21"/>
                      <w:lang w:eastAsia="zh-CN"/>
                    </w:rPr>
                    <w:t>废边角料</w:t>
                  </w:r>
                </w:p>
              </w:tc>
              <w:tc>
                <w:tcPr>
                  <w:tcW w:w="2627" w:type="dxa"/>
                  <w:tcBorders>
                    <w:tl2br w:val="nil"/>
                    <w:tr2bl w:val="nil"/>
                  </w:tcBorders>
                  <w:vAlign w:val="center"/>
                </w:tcPr>
                <w:p>
                  <w:pPr>
                    <w:widowControl/>
                    <w:adjustRightInd w:val="0"/>
                    <w:snapToGrid w:val="0"/>
                    <w:spacing w:line="240" w:lineRule="auto"/>
                    <w:jc w:val="center"/>
                    <w:rPr>
                      <w:szCs w:val="21"/>
                    </w:rPr>
                  </w:pPr>
                  <w:r>
                    <w:rPr>
                      <w:rFonts w:hint="eastAsia"/>
                      <w:szCs w:val="21"/>
                    </w:rPr>
                    <w:t>设置</w:t>
                  </w:r>
                  <w:r>
                    <w:rPr>
                      <w:rFonts w:hint="eastAsia"/>
                      <w:kern w:val="0"/>
                      <w:szCs w:val="21"/>
                    </w:rPr>
                    <w:t>10m</w:t>
                  </w:r>
                  <w:r>
                    <w:rPr>
                      <w:rFonts w:hint="eastAsia"/>
                      <w:kern w:val="0"/>
                      <w:szCs w:val="21"/>
                      <w:vertAlign w:val="superscript"/>
                    </w:rPr>
                    <w:t>2</w:t>
                  </w:r>
                  <w:r>
                    <w:rPr>
                      <w:rFonts w:hint="eastAsia"/>
                      <w:szCs w:val="21"/>
                    </w:rPr>
                    <w:t>一般固废暂存区，收集容器若干</w:t>
                  </w:r>
                </w:p>
              </w:tc>
              <w:tc>
                <w:tcPr>
                  <w:tcW w:w="3449" w:type="dxa"/>
                  <w:tcBorders>
                    <w:tl2br w:val="nil"/>
                    <w:tr2bl w:val="nil"/>
                  </w:tcBorders>
                  <w:vAlign w:val="center"/>
                </w:tcPr>
                <w:p>
                  <w:pPr>
                    <w:spacing w:line="240" w:lineRule="auto"/>
                    <w:jc w:val="center"/>
                    <w:rPr>
                      <w:rFonts w:hAnsi="宋体"/>
                      <w:szCs w:val="21"/>
                    </w:rPr>
                  </w:pPr>
                  <w:r>
                    <w:rPr>
                      <w:szCs w:val="21"/>
                    </w:rPr>
                    <w:t>《一般工业固体废物贮存、处置场污染控制标准》（GB18599-2001）及其2013年修改单</w:t>
                  </w:r>
                </w:p>
              </w:tc>
            </w:tr>
          </w:tbl>
          <w:p>
            <w:pPr>
              <w:autoSpaceDE w:val="0"/>
              <w:autoSpaceDN w:val="0"/>
              <w:spacing w:line="240" w:lineRule="exact"/>
              <w:rPr>
                <w:rFonts w:hint="eastAsia"/>
                <w:sz w:val="24"/>
                <w:lang w:val="en-US" w:eastAsia="zh-CN"/>
              </w:rPr>
            </w:pPr>
          </w:p>
          <w:p>
            <w:pPr>
              <w:autoSpaceDE w:val="0"/>
              <w:autoSpaceDN w:val="0"/>
              <w:spacing w:line="240" w:lineRule="exact"/>
              <w:rPr>
                <w:rFonts w:hint="eastAsia"/>
                <w:sz w:val="24"/>
                <w:lang w:val="en-US" w:eastAsia="zh-CN"/>
              </w:rPr>
            </w:pPr>
          </w:p>
          <w:p>
            <w:pPr>
              <w:pStyle w:val="38"/>
              <w:rPr>
                <w:rFonts w:hint="eastAsia"/>
                <w:sz w:val="24"/>
                <w:lang w:val="en-US" w:eastAsia="zh-CN"/>
              </w:rPr>
            </w:pPr>
          </w:p>
          <w:p>
            <w:pPr>
              <w:pStyle w:val="38"/>
              <w:rPr>
                <w:rFonts w:hint="eastAsia"/>
                <w:sz w:val="24"/>
                <w:lang w:val="en-US" w:eastAsia="zh-CN"/>
              </w:rPr>
            </w:pPr>
          </w:p>
          <w:p>
            <w:pPr>
              <w:pStyle w:val="38"/>
              <w:rPr>
                <w:rFonts w:hint="eastAsia"/>
                <w:sz w:val="24"/>
                <w:lang w:val="en-US" w:eastAsia="zh-CN"/>
              </w:rPr>
            </w:pPr>
          </w:p>
          <w:p>
            <w:pPr>
              <w:pStyle w:val="38"/>
              <w:rPr>
                <w:rFonts w:hint="eastAsia"/>
                <w:sz w:val="24"/>
                <w:lang w:val="en-US" w:eastAsia="zh-CN"/>
              </w:rPr>
            </w:pPr>
          </w:p>
          <w:p>
            <w:pPr>
              <w:pStyle w:val="38"/>
              <w:rPr>
                <w:rFonts w:hint="eastAsia"/>
                <w:sz w:val="24"/>
                <w:lang w:val="en-US" w:eastAsia="zh-CN"/>
              </w:rPr>
            </w:pPr>
          </w:p>
          <w:p>
            <w:pPr>
              <w:pStyle w:val="38"/>
              <w:rPr>
                <w:rFonts w:hint="eastAsia"/>
                <w:sz w:val="24"/>
                <w:lang w:val="en-US" w:eastAsia="zh-CN"/>
              </w:rPr>
            </w:pPr>
          </w:p>
          <w:p>
            <w:pPr>
              <w:pStyle w:val="38"/>
              <w:rPr>
                <w:rFonts w:hint="eastAsia"/>
                <w:sz w:val="24"/>
                <w:lang w:val="en-US" w:eastAsia="zh-CN"/>
              </w:rPr>
            </w:pPr>
          </w:p>
          <w:p>
            <w:pPr>
              <w:pStyle w:val="38"/>
              <w:rPr>
                <w:rFonts w:hint="eastAsia"/>
                <w:sz w:val="24"/>
                <w:lang w:val="en-US" w:eastAsia="zh-CN"/>
              </w:rPr>
            </w:pPr>
          </w:p>
          <w:p>
            <w:pPr>
              <w:pStyle w:val="38"/>
              <w:rPr>
                <w:rFonts w:hint="eastAsia"/>
                <w:sz w:val="24"/>
                <w:lang w:val="en-US" w:eastAsia="zh-CN"/>
              </w:rPr>
            </w:pPr>
          </w:p>
          <w:p>
            <w:pPr>
              <w:autoSpaceDE w:val="0"/>
              <w:autoSpaceDN w:val="0"/>
              <w:spacing w:line="240" w:lineRule="exact"/>
              <w:rPr>
                <w:rFonts w:hint="eastAsia"/>
                <w:sz w:val="24"/>
                <w:lang w:val="en-US" w:eastAsia="zh-CN"/>
              </w:rPr>
            </w:pPr>
          </w:p>
          <w:p>
            <w:pPr>
              <w:autoSpaceDE w:val="0"/>
              <w:autoSpaceDN w:val="0"/>
              <w:spacing w:line="240" w:lineRule="exact"/>
              <w:rPr>
                <w:rFonts w:hint="eastAsia"/>
                <w:sz w:val="24"/>
                <w:lang w:val="en-US" w:eastAsia="zh-CN"/>
              </w:rPr>
            </w:pPr>
          </w:p>
          <w:p>
            <w:pPr>
              <w:autoSpaceDE w:val="0"/>
              <w:autoSpaceDN w:val="0"/>
              <w:spacing w:line="240" w:lineRule="exact"/>
              <w:rPr>
                <w:rFonts w:hint="eastAsia"/>
                <w:sz w:val="24"/>
                <w:lang w:val="en-US" w:eastAsia="zh-CN"/>
              </w:rPr>
            </w:pPr>
          </w:p>
          <w:p>
            <w:pPr>
              <w:autoSpaceDE w:val="0"/>
              <w:autoSpaceDN w:val="0"/>
              <w:spacing w:line="240" w:lineRule="exact"/>
              <w:rPr>
                <w:rFonts w:hint="eastAsia"/>
                <w:sz w:val="24"/>
                <w:lang w:val="en-US" w:eastAsia="zh-CN"/>
              </w:rPr>
            </w:pPr>
          </w:p>
          <w:p>
            <w:pPr>
              <w:autoSpaceDE w:val="0"/>
              <w:autoSpaceDN w:val="0"/>
              <w:spacing w:line="240" w:lineRule="exact"/>
              <w:rPr>
                <w:rFonts w:hint="eastAsia" w:eastAsia="宋体"/>
                <w:sz w:val="24"/>
                <w:lang w:val="en-US" w:eastAsia="zh-CN"/>
              </w:rPr>
            </w:pPr>
            <w:r>
              <w:rPr>
                <w:rFonts w:hint="eastAsia"/>
                <w:sz w:val="24"/>
                <w:lang w:val="en-US" w:eastAsia="zh-CN"/>
              </w:rPr>
              <w:t xml:space="preserve"> </w:t>
            </w:r>
          </w:p>
        </w:tc>
      </w:tr>
    </w:tbl>
    <w:p>
      <w:pPr>
        <w:adjustRightInd w:val="0"/>
        <w:snapToGrid w:val="0"/>
        <w:rPr>
          <w:rFonts w:ascii="黑体" w:eastAsia="黑体"/>
          <w:sz w:val="32"/>
        </w:rPr>
      </w:pPr>
      <w:r>
        <w:rPr>
          <w:rFonts w:hint="eastAsia" w:ascii="黑体" w:hAnsi="宋体" w:eastAsia="黑体"/>
          <w:sz w:val="32"/>
        </w:rPr>
        <w:t>建设项目拟采取的防治措施及预期治理效果</w:t>
      </w:r>
      <w:r>
        <w:rPr>
          <w:rFonts w:hint="eastAsia" w:ascii="黑体" w:eastAsia="黑体"/>
          <w:sz w:val="32"/>
        </w:rPr>
        <w:t xml:space="preserve"> </w:t>
      </w:r>
    </w:p>
    <w:tbl>
      <w:tblPr>
        <w:tblStyle w:val="31"/>
        <w:tblW w:w="947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1417"/>
        <w:gridCol w:w="1276"/>
        <w:gridCol w:w="2552"/>
        <w:gridCol w:w="31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53" w:type="dxa"/>
            <w:tcBorders>
              <w:tl2br w:val="nil"/>
              <w:tr2bl w:val="nil"/>
            </w:tcBorders>
            <w:vAlign w:val="center"/>
          </w:tcPr>
          <w:p>
            <w:pPr>
              <w:jc w:val="right"/>
              <w:rPr>
                <w:b/>
                <w:sz w:val="24"/>
                <w:szCs w:val="24"/>
              </w:rPr>
            </w:pPr>
            <w:r>
              <w:rPr>
                <w:rFonts w:hAnsi="宋体"/>
                <w:b/>
                <w:sz w:val="24"/>
                <w:szCs w:val="24"/>
              </w:rPr>
              <w:t>内容</w:t>
            </w:r>
          </w:p>
          <w:p>
            <w:pPr>
              <w:rPr>
                <w:b/>
                <w:sz w:val="24"/>
                <w:szCs w:val="24"/>
              </w:rPr>
            </w:pPr>
            <w:r>
              <w:rPr>
                <w:rFonts w:hAnsi="宋体"/>
                <w:b/>
                <w:sz w:val="24"/>
                <w:szCs w:val="24"/>
              </w:rPr>
              <w:t>类型</w:t>
            </w:r>
          </w:p>
        </w:tc>
        <w:tc>
          <w:tcPr>
            <w:tcW w:w="1417" w:type="dxa"/>
            <w:tcBorders>
              <w:tl2br w:val="nil"/>
              <w:tr2bl w:val="nil"/>
            </w:tcBorders>
            <w:vAlign w:val="center"/>
          </w:tcPr>
          <w:p>
            <w:pPr>
              <w:jc w:val="center"/>
              <w:rPr>
                <w:b/>
                <w:sz w:val="24"/>
                <w:szCs w:val="24"/>
              </w:rPr>
            </w:pPr>
            <w:r>
              <w:rPr>
                <w:rFonts w:hAnsi="宋体"/>
                <w:b/>
                <w:sz w:val="24"/>
                <w:szCs w:val="24"/>
              </w:rPr>
              <w:t>排放源</w:t>
            </w:r>
          </w:p>
          <w:p>
            <w:pPr>
              <w:jc w:val="center"/>
              <w:rPr>
                <w:b/>
                <w:sz w:val="24"/>
                <w:szCs w:val="24"/>
              </w:rPr>
            </w:pPr>
            <w:r>
              <w:rPr>
                <w:rFonts w:hAnsi="宋体"/>
                <w:b/>
                <w:sz w:val="24"/>
                <w:szCs w:val="24"/>
              </w:rPr>
              <w:t>（编号）</w:t>
            </w:r>
          </w:p>
        </w:tc>
        <w:tc>
          <w:tcPr>
            <w:tcW w:w="1276" w:type="dxa"/>
            <w:tcBorders>
              <w:tl2br w:val="nil"/>
              <w:tr2bl w:val="nil"/>
            </w:tcBorders>
            <w:vAlign w:val="center"/>
          </w:tcPr>
          <w:p>
            <w:pPr>
              <w:jc w:val="center"/>
              <w:rPr>
                <w:b/>
                <w:sz w:val="24"/>
                <w:szCs w:val="24"/>
              </w:rPr>
            </w:pPr>
            <w:r>
              <w:rPr>
                <w:rFonts w:hAnsi="宋体"/>
                <w:b/>
                <w:sz w:val="24"/>
                <w:szCs w:val="24"/>
              </w:rPr>
              <w:t>污染物名称</w:t>
            </w:r>
          </w:p>
        </w:tc>
        <w:tc>
          <w:tcPr>
            <w:tcW w:w="2552" w:type="dxa"/>
            <w:tcBorders>
              <w:tl2br w:val="nil"/>
              <w:tr2bl w:val="nil"/>
            </w:tcBorders>
            <w:vAlign w:val="center"/>
          </w:tcPr>
          <w:p>
            <w:pPr>
              <w:jc w:val="center"/>
              <w:rPr>
                <w:b/>
                <w:sz w:val="24"/>
                <w:szCs w:val="24"/>
              </w:rPr>
            </w:pPr>
            <w:r>
              <w:rPr>
                <w:rFonts w:hAnsi="宋体"/>
                <w:b/>
                <w:sz w:val="24"/>
                <w:szCs w:val="24"/>
              </w:rPr>
              <w:t>防治措施</w:t>
            </w:r>
          </w:p>
        </w:tc>
        <w:tc>
          <w:tcPr>
            <w:tcW w:w="3176" w:type="dxa"/>
            <w:tcBorders>
              <w:tl2br w:val="nil"/>
              <w:tr2bl w:val="nil"/>
            </w:tcBorders>
            <w:vAlign w:val="center"/>
          </w:tcPr>
          <w:p>
            <w:pPr>
              <w:jc w:val="center"/>
              <w:rPr>
                <w:b/>
                <w:sz w:val="24"/>
                <w:szCs w:val="24"/>
              </w:rPr>
            </w:pPr>
            <w:r>
              <w:rPr>
                <w:rFonts w:hAnsi="宋体"/>
                <w:b/>
                <w:sz w:val="24"/>
                <w:szCs w:val="24"/>
              </w:rPr>
              <w:t>预期治理效果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471" w:hRule="atLeast"/>
          <w:jc w:val="center"/>
        </w:trPr>
        <w:tc>
          <w:tcPr>
            <w:tcW w:w="1053" w:type="dxa"/>
            <w:tcBorders>
              <w:tl2br w:val="nil"/>
              <w:tr2bl w:val="nil"/>
            </w:tcBorders>
            <w:textDirection w:val="tbRlV"/>
            <w:vAlign w:val="center"/>
          </w:tcPr>
          <w:p>
            <w:pPr>
              <w:ind w:left="113" w:right="113"/>
              <w:jc w:val="center"/>
              <w:rPr>
                <w:rFonts w:hAnsi="宋体"/>
                <w:b/>
                <w:sz w:val="24"/>
                <w:szCs w:val="24"/>
              </w:rPr>
            </w:pPr>
            <w:r>
              <w:rPr>
                <w:rFonts w:hint="eastAsia" w:hAnsi="宋体"/>
                <w:b/>
                <w:sz w:val="24"/>
                <w:szCs w:val="24"/>
              </w:rPr>
              <w:t>大气污染物</w:t>
            </w:r>
          </w:p>
        </w:tc>
        <w:tc>
          <w:tcPr>
            <w:tcW w:w="1417" w:type="dxa"/>
            <w:tcBorders>
              <w:tl2br w:val="nil"/>
              <w:tr2bl w:val="nil"/>
            </w:tcBorders>
            <w:vAlign w:val="center"/>
          </w:tcPr>
          <w:p>
            <w:pPr>
              <w:widowControl/>
              <w:adjustRightInd w:val="0"/>
              <w:snapToGrid w:val="0"/>
              <w:jc w:val="center"/>
              <w:rPr>
                <w:rFonts w:hint="eastAsia" w:ascii="Times New Roman" w:hAnsi="Times New Roman" w:eastAsia="宋体" w:cs="Times New Roman"/>
                <w:kern w:val="0"/>
                <w:sz w:val="24"/>
                <w:szCs w:val="24"/>
                <w:lang w:val="en-US" w:eastAsia="zh-CN" w:bidi="ar-SA"/>
              </w:rPr>
            </w:pPr>
            <w:r>
              <w:rPr>
                <w:rFonts w:hint="eastAsia" w:hAnsi="黑体"/>
                <w:sz w:val="24"/>
                <w:szCs w:val="24"/>
                <w:lang w:eastAsia="zh-CN"/>
              </w:rPr>
              <w:t>焊接工序</w:t>
            </w:r>
          </w:p>
        </w:tc>
        <w:tc>
          <w:tcPr>
            <w:tcW w:w="1276" w:type="dxa"/>
            <w:tcBorders>
              <w:tl2br w:val="nil"/>
              <w:tr2bl w:val="nil"/>
            </w:tcBorders>
            <w:shd w:val="clear" w:color="auto" w:fill="auto"/>
            <w:vAlign w:val="center"/>
          </w:tcPr>
          <w:p>
            <w:pPr>
              <w:spacing w:line="240" w:lineRule="auto"/>
              <w:jc w:val="center"/>
              <w:rPr>
                <w:rFonts w:hint="eastAsia" w:ascii="Times New Roman" w:hAnsi="Times New Roman" w:eastAsia="宋体" w:cs="Times New Roman"/>
                <w:kern w:val="0"/>
                <w:sz w:val="24"/>
                <w:szCs w:val="24"/>
                <w:lang w:val="en-US" w:eastAsia="zh-CN" w:bidi="ar-SA"/>
              </w:rPr>
            </w:pPr>
            <w:r>
              <w:rPr>
                <w:rFonts w:hint="eastAsia"/>
                <w:sz w:val="24"/>
                <w:szCs w:val="24"/>
                <w:lang w:eastAsia="zh-CN"/>
              </w:rPr>
              <w:t>焊烟</w:t>
            </w:r>
          </w:p>
        </w:tc>
        <w:tc>
          <w:tcPr>
            <w:tcW w:w="2552" w:type="dxa"/>
            <w:tcBorders>
              <w:tl2br w:val="nil"/>
              <w:tr2bl w:val="nil"/>
            </w:tcBorders>
            <w:shd w:val="clear" w:color="auto" w:fill="auto"/>
            <w:vAlign w:val="center"/>
          </w:tcPr>
          <w:p>
            <w:pPr>
              <w:widowControl/>
              <w:adjustRightInd w:val="0"/>
              <w:snapToGrid w:val="0"/>
              <w:jc w:val="center"/>
              <w:rPr>
                <w:rFonts w:hint="eastAsia" w:ascii="Times New Roman" w:hAnsi="Times New Roman" w:eastAsia="宋体" w:cs="Times New Roman"/>
                <w:kern w:val="0"/>
                <w:sz w:val="24"/>
                <w:szCs w:val="24"/>
                <w:lang w:val="en-US" w:eastAsia="zh-CN" w:bidi="ar-SA"/>
              </w:rPr>
            </w:pPr>
            <w:r>
              <w:rPr>
                <w:rFonts w:hint="eastAsia"/>
                <w:bCs/>
                <w:snapToGrid w:val="0"/>
                <w:kern w:val="0"/>
                <w:sz w:val="24"/>
                <w:szCs w:val="24"/>
                <w:lang w:val="en-US" w:eastAsia="zh-CN"/>
              </w:rPr>
              <w:t>6台焊烟净化器</w:t>
            </w:r>
          </w:p>
        </w:tc>
        <w:tc>
          <w:tcPr>
            <w:tcW w:w="3176" w:type="dxa"/>
            <w:tcBorders>
              <w:tl2br w:val="nil"/>
              <w:tr2bl w:val="nil"/>
            </w:tcBorders>
            <w:shd w:val="clear" w:color="auto" w:fill="auto"/>
            <w:vAlign w:val="center"/>
          </w:tcPr>
          <w:p>
            <w:pPr>
              <w:autoSpaceDE w:val="0"/>
              <w:autoSpaceDN w:val="0"/>
              <w:adjustRightInd w:val="0"/>
              <w:spacing w:line="240" w:lineRule="auto"/>
              <w:jc w:val="center"/>
              <w:rPr>
                <w:rFonts w:hint="eastAsia"/>
                <w:sz w:val="24"/>
                <w:szCs w:val="24"/>
              </w:rPr>
            </w:pPr>
            <w:r>
              <w:rPr>
                <w:rFonts w:hint="eastAsia"/>
                <w:color w:val="auto"/>
                <w:sz w:val="24"/>
                <w:szCs w:val="24"/>
              </w:rPr>
              <w:t>《</w:t>
            </w:r>
            <w:r>
              <w:rPr>
                <w:color w:val="auto"/>
                <w:sz w:val="24"/>
                <w:szCs w:val="24"/>
              </w:rPr>
              <w:t>大气污染物综合排放标准》（GB16297-1996）表2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195" w:hRule="atLeast"/>
          <w:jc w:val="center"/>
        </w:trPr>
        <w:tc>
          <w:tcPr>
            <w:tcW w:w="1053" w:type="dxa"/>
            <w:vMerge w:val="restart"/>
            <w:tcBorders>
              <w:tl2br w:val="nil"/>
              <w:tr2bl w:val="nil"/>
            </w:tcBorders>
            <w:textDirection w:val="tbRlV"/>
            <w:vAlign w:val="center"/>
          </w:tcPr>
          <w:p>
            <w:pPr>
              <w:ind w:left="113" w:right="113"/>
              <w:jc w:val="center"/>
              <w:rPr>
                <w:rFonts w:hAnsi="宋体"/>
                <w:b/>
                <w:sz w:val="24"/>
                <w:szCs w:val="24"/>
              </w:rPr>
            </w:pPr>
            <w:r>
              <w:rPr>
                <w:rFonts w:hAnsi="宋体"/>
                <w:b/>
                <w:sz w:val="24"/>
                <w:szCs w:val="24"/>
              </w:rPr>
              <w:t>水污染物</w:t>
            </w:r>
          </w:p>
        </w:tc>
        <w:tc>
          <w:tcPr>
            <w:tcW w:w="1417" w:type="dxa"/>
            <w:tcBorders>
              <w:tl2br w:val="nil"/>
              <w:tr2bl w:val="nil"/>
            </w:tcBorders>
            <w:vAlign w:val="center"/>
          </w:tcPr>
          <w:p>
            <w:pPr>
              <w:jc w:val="center"/>
              <w:rPr>
                <w:rFonts w:hAnsi="宋体"/>
                <w:sz w:val="24"/>
                <w:szCs w:val="24"/>
              </w:rPr>
            </w:pPr>
            <w:r>
              <w:rPr>
                <w:rFonts w:hint="eastAsia" w:hAnsi="宋体"/>
                <w:sz w:val="24"/>
                <w:szCs w:val="24"/>
              </w:rPr>
              <w:t>职工生活</w:t>
            </w:r>
          </w:p>
        </w:tc>
        <w:tc>
          <w:tcPr>
            <w:tcW w:w="1276" w:type="dxa"/>
            <w:tcBorders>
              <w:tl2br w:val="nil"/>
              <w:tr2bl w:val="nil"/>
            </w:tcBorders>
            <w:shd w:val="clear" w:color="auto" w:fill="auto"/>
            <w:vAlign w:val="center"/>
          </w:tcPr>
          <w:p>
            <w:pPr>
              <w:spacing w:line="360" w:lineRule="auto"/>
              <w:jc w:val="center"/>
              <w:rPr>
                <w:rFonts w:hAnsi="宋体"/>
                <w:bCs/>
                <w:sz w:val="24"/>
                <w:szCs w:val="24"/>
              </w:rPr>
            </w:pPr>
            <w:r>
              <w:rPr>
                <w:rFonts w:hint="eastAsia" w:hAnsi="宋体"/>
                <w:bCs/>
                <w:sz w:val="24"/>
                <w:szCs w:val="24"/>
              </w:rPr>
              <w:t>生活污水</w:t>
            </w:r>
          </w:p>
        </w:tc>
        <w:tc>
          <w:tcPr>
            <w:tcW w:w="2552" w:type="dxa"/>
            <w:tcBorders>
              <w:tl2br w:val="nil"/>
              <w:tr2bl w:val="nil"/>
            </w:tcBorders>
            <w:shd w:val="clear" w:color="auto" w:fill="auto"/>
            <w:vAlign w:val="center"/>
          </w:tcPr>
          <w:p>
            <w:pPr>
              <w:jc w:val="center"/>
              <w:rPr>
                <w:rFonts w:hint="eastAsia" w:hAnsi="宋体" w:eastAsia="宋体"/>
                <w:sz w:val="24"/>
                <w:szCs w:val="24"/>
                <w:lang w:eastAsia="zh-CN"/>
              </w:rPr>
            </w:pPr>
            <w:r>
              <w:rPr>
                <w:rFonts w:ascii="Times New Roman" w:cs="Times New Roman"/>
                <w:bCs/>
                <w:sz w:val="24"/>
                <w:szCs w:val="24"/>
              </w:rPr>
              <w:t>经</w:t>
            </w:r>
            <w:r>
              <w:rPr>
                <w:rFonts w:hint="eastAsia" w:ascii="Times New Roman" w:cs="Times New Roman"/>
                <w:bCs/>
                <w:sz w:val="24"/>
                <w:szCs w:val="24"/>
              </w:rPr>
              <w:t>厂区内</w:t>
            </w:r>
            <w:r>
              <w:rPr>
                <w:rFonts w:hint="eastAsia" w:ascii="Times New Roman" w:cs="Times New Roman"/>
                <w:bCs/>
                <w:sz w:val="24"/>
                <w:szCs w:val="24"/>
                <w:lang w:eastAsia="zh-CN"/>
              </w:rPr>
              <w:t>现</w:t>
            </w:r>
            <w:r>
              <w:rPr>
                <w:rFonts w:hint="eastAsia" w:ascii="Times New Roman" w:cs="Times New Roman"/>
                <w:bCs/>
                <w:sz w:val="24"/>
                <w:szCs w:val="24"/>
              </w:rPr>
              <w:t>有</w:t>
            </w:r>
            <w:r>
              <w:rPr>
                <w:rFonts w:hint="eastAsia" w:cs="Times New Roman"/>
                <w:bCs/>
                <w:sz w:val="24"/>
                <w:szCs w:val="24"/>
                <w:lang w:eastAsia="zh-CN"/>
              </w:rPr>
              <w:t>三格式</w:t>
            </w:r>
            <w:r>
              <w:rPr>
                <w:rFonts w:ascii="Times New Roman" w:cs="Times New Roman"/>
                <w:bCs/>
                <w:sz w:val="24"/>
                <w:szCs w:val="24"/>
              </w:rPr>
              <w:t>化粪池处理</w:t>
            </w:r>
            <w:r>
              <w:rPr>
                <w:rFonts w:hint="eastAsia" w:ascii="Times New Roman" w:cs="Times New Roman"/>
                <w:bCs/>
                <w:sz w:val="24"/>
                <w:szCs w:val="24"/>
              </w:rPr>
              <w:t>后，</w:t>
            </w:r>
            <w:r>
              <w:rPr>
                <w:rFonts w:hint="eastAsia"/>
                <w:bCs/>
                <w:sz w:val="24"/>
                <w:szCs w:val="24"/>
              </w:rPr>
              <w:t>由专业服务队伍采用专业抽粪车辆定期对粪水、粪渣进行收集、有效利用和无害化处理</w:t>
            </w:r>
          </w:p>
        </w:tc>
        <w:tc>
          <w:tcPr>
            <w:tcW w:w="3176" w:type="dxa"/>
            <w:tcBorders>
              <w:tl2br w:val="nil"/>
              <w:tr2bl w:val="nil"/>
            </w:tcBorders>
            <w:shd w:val="clear" w:color="auto" w:fill="auto"/>
            <w:vAlign w:val="center"/>
          </w:tcPr>
          <w:p>
            <w:pPr>
              <w:spacing w:line="360" w:lineRule="auto"/>
              <w:jc w:val="center"/>
              <w:rPr>
                <w:rFonts w:hAnsi="宋体"/>
                <w:sz w:val="24"/>
                <w:szCs w:val="24"/>
              </w:rPr>
            </w:pPr>
            <w:r>
              <w:rPr>
                <w:rFonts w:hint="eastAsia" w:hAnsi="宋体"/>
                <w:sz w:val="24"/>
                <w:szCs w:val="24"/>
              </w:rPr>
              <w:t>不外排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195" w:hRule="atLeast"/>
          <w:jc w:val="center"/>
        </w:trPr>
        <w:tc>
          <w:tcPr>
            <w:tcW w:w="1053" w:type="dxa"/>
            <w:vMerge w:val="continue"/>
            <w:tcBorders>
              <w:tl2br w:val="nil"/>
              <w:tr2bl w:val="nil"/>
            </w:tcBorders>
            <w:textDirection w:val="tbRlV"/>
            <w:vAlign w:val="center"/>
          </w:tcPr>
          <w:p>
            <w:pPr>
              <w:ind w:left="113" w:right="113"/>
              <w:jc w:val="center"/>
              <w:rPr>
                <w:rFonts w:hAnsi="宋体"/>
                <w:b/>
                <w:sz w:val="24"/>
                <w:szCs w:val="24"/>
              </w:rPr>
            </w:pPr>
          </w:p>
        </w:tc>
        <w:tc>
          <w:tcPr>
            <w:tcW w:w="1417" w:type="dxa"/>
            <w:tcBorders>
              <w:tl2br w:val="nil"/>
              <w:tr2bl w:val="nil"/>
            </w:tcBorders>
            <w:vAlign w:val="center"/>
          </w:tcPr>
          <w:p>
            <w:pPr>
              <w:jc w:val="center"/>
              <w:rPr>
                <w:rFonts w:hint="eastAsia" w:hAnsi="宋体" w:eastAsia="宋体"/>
                <w:sz w:val="24"/>
                <w:szCs w:val="24"/>
                <w:lang w:eastAsia="zh-CN"/>
              </w:rPr>
            </w:pPr>
            <w:r>
              <w:rPr>
                <w:rFonts w:hint="eastAsia" w:hAnsi="宋体"/>
                <w:sz w:val="24"/>
                <w:szCs w:val="24"/>
                <w:lang w:eastAsia="zh-CN"/>
              </w:rPr>
              <w:t>车辆清洗</w:t>
            </w:r>
          </w:p>
        </w:tc>
        <w:tc>
          <w:tcPr>
            <w:tcW w:w="1276" w:type="dxa"/>
            <w:tcBorders>
              <w:tl2br w:val="nil"/>
              <w:tr2bl w:val="nil"/>
            </w:tcBorders>
            <w:shd w:val="clear" w:color="auto" w:fill="auto"/>
            <w:vAlign w:val="center"/>
          </w:tcPr>
          <w:p>
            <w:pPr>
              <w:spacing w:line="360" w:lineRule="auto"/>
              <w:jc w:val="center"/>
              <w:rPr>
                <w:rFonts w:hint="eastAsia" w:hAnsi="宋体" w:eastAsia="宋体"/>
                <w:bCs/>
                <w:sz w:val="24"/>
                <w:szCs w:val="24"/>
                <w:lang w:eastAsia="zh-CN"/>
              </w:rPr>
            </w:pPr>
            <w:r>
              <w:rPr>
                <w:rFonts w:hint="eastAsia" w:hAnsi="宋体"/>
                <w:bCs/>
                <w:sz w:val="24"/>
                <w:szCs w:val="24"/>
                <w:lang w:eastAsia="zh-CN"/>
              </w:rPr>
              <w:t>洗车废水</w:t>
            </w:r>
          </w:p>
        </w:tc>
        <w:tc>
          <w:tcPr>
            <w:tcW w:w="2552" w:type="dxa"/>
            <w:tcBorders>
              <w:tl2br w:val="nil"/>
              <w:tr2bl w:val="nil"/>
            </w:tcBorders>
            <w:shd w:val="clear" w:color="auto" w:fill="auto"/>
            <w:vAlign w:val="center"/>
          </w:tcPr>
          <w:p>
            <w:pPr>
              <w:jc w:val="center"/>
              <w:rPr>
                <w:rFonts w:ascii="Times New Roman" w:cs="Times New Roman"/>
                <w:bCs/>
                <w:sz w:val="24"/>
                <w:szCs w:val="24"/>
              </w:rPr>
            </w:pPr>
            <w:r>
              <w:rPr>
                <w:rFonts w:hint="eastAsia" w:ascii="宋体" w:hAnsi="宋体" w:cs="宋体"/>
                <w:color w:val="000000"/>
                <w:kern w:val="0"/>
                <w:sz w:val="24"/>
                <w:szCs w:val="24"/>
                <w:lang w:val="en-US" w:eastAsia="zh-CN" w:bidi="ar"/>
              </w:rPr>
              <w:t>清洗废水经厂区三级</w:t>
            </w:r>
            <w:r>
              <w:rPr>
                <w:rFonts w:hint="eastAsia" w:ascii="宋体" w:hAnsi="宋体" w:eastAsia="宋体" w:cs="宋体"/>
                <w:color w:val="000000"/>
                <w:kern w:val="0"/>
                <w:sz w:val="24"/>
                <w:szCs w:val="24"/>
                <w:lang w:val="en-US" w:eastAsia="zh-CN" w:bidi="ar"/>
              </w:rPr>
              <w:t>沉淀池沉淀后用作</w:t>
            </w:r>
            <w:r>
              <w:rPr>
                <w:rFonts w:hint="eastAsia" w:ascii="宋体" w:hAnsi="宋体" w:cs="宋体"/>
                <w:color w:val="000000"/>
                <w:kern w:val="0"/>
                <w:sz w:val="24"/>
                <w:szCs w:val="24"/>
                <w:lang w:val="en-US" w:eastAsia="zh-CN" w:bidi="ar"/>
              </w:rPr>
              <w:t>道路洒水抑尘</w:t>
            </w:r>
          </w:p>
        </w:tc>
        <w:tc>
          <w:tcPr>
            <w:tcW w:w="3176" w:type="dxa"/>
            <w:tcBorders>
              <w:tl2br w:val="nil"/>
              <w:tr2bl w:val="nil"/>
            </w:tcBorders>
            <w:shd w:val="clear" w:color="auto" w:fill="auto"/>
            <w:vAlign w:val="center"/>
          </w:tcPr>
          <w:p>
            <w:pPr>
              <w:spacing w:line="360" w:lineRule="auto"/>
              <w:jc w:val="center"/>
              <w:rPr>
                <w:rFonts w:hint="eastAsia" w:hAnsi="宋体"/>
                <w:sz w:val="24"/>
                <w:szCs w:val="24"/>
              </w:rPr>
            </w:pPr>
            <w:r>
              <w:rPr>
                <w:rFonts w:hint="eastAsia" w:hAnsi="宋体"/>
                <w:sz w:val="24"/>
                <w:szCs w:val="24"/>
              </w:rPr>
              <w:t>不外排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58" w:hRule="atLeast"/>
          <w:jc w:val="center"/>
        </w:trPr>
        <w:tc>
          <w:tcPr>
            <w:tcW w:w="1053" w:type="dxa"/>
            <w:vMerge w:val="restart"/>
            <w:tcBorders>
              <w:tl2br w:val="nil"/>
              <w:tr2bl w:val="nil"/>
            </w:tcBorders>
            <w:textDirection w:val="tbRlV"/>
            <w:vAlign w:val="center"/>
          </w:tcPr>
          <w:p>
            <w:pPr>
              <w:ind w:left="113" w:right="113"/>
              <w:jc w:val="center"/>
              <w:rPr>
                <w:rFonts w:hAnsi="宋体"/>
                <w:b/>
                <w:sz w:val="24"/>
                <w:szCs w:val="24"/>
              </w:rPr>
            </w:pPr>
            <w:r>
              <w:rPr>
                <w:rFonts w:hAnsi="宋体"/>
                <w:b/>
                <w:sz w:val="24"/>
                <w:szCs w:val="24"/>
              </w:rPr>
              <w:t>固体废物</w:t>
            </w:r>
          </w:p>
        </w:tc>
        <w:tc>
          <w:tcPr>
            <w:tcW w:w="1417" w:type="dxa"/>
            <w:tcBorders>
              <w:tl2br w:val="nil"/>
              <w:tr2bl w:val="nil"/>
            </w:tcBorders>
            <w:vAlign w:val="center"/>
          </w:tcPr>
          <w:p>
            <w:pPr>
              <w:spacing w:line="240" w:lineRule="auto"/>
              <w:jc w:val="center"/>
              <w:rPr>
                <w:kern w:val="0"/>
                <w:sz w:val="24"/>
                <w:szCs w:val="24"/>
              </w:rPr>
            </w:pPr>
            <w:r>
              <w:rPr>
                <w:rFonts w:hint="eastAsia"/>
                <w:sz w:val="24"/>
                <w:szCs w:val="24"/>
              </w:rPr>
              <w:t>职工生活</w:t>
            </w:r>
          </w:p>
        </w:tc>
        <w:tc>
          <w:tcPr>
            <w:tcW w:w="1276" w:type="dxa"/>
            <w:tcBorders>
              <w:tl2br w:val="nil"/>
              <w:tr2bl w:val="nil"/>
            </w:tcBorders>
            <w:shd w:val="clear" w:color="auto" w:fill="auto"/>
            <w:vAlign w:val="center"/>
          </w:tcPr>
          <w:p>
            <w:pPr>
              <w:widowControl/>
              <w:adjustRightInd w:val="0"/>
              <w:snapToGrid w:val="0"/>
              <w:spacing w:line="240" w:lineRule="auto"/>
              <w:jc w:val="center"/>
              <w:rPr>
                <w:kern w:val="0"/>
                <w:sz w:val="24"/>
                <w:szCs w:val="24"/>
              </w:rPr>
            </w:pPr>
            <w:r>
              <w:rPr>
                <w:rFonts w:hint="eastAsia"/>
                <w:sz w:val="24"/>
                <w:szCs w:val="24"/>
                <w:lang w:val="zh-CN"/>
              </w:rPr>
              <w:t>生活垃圾</w:t>
            </w:r>
          </w:p>
        </w:tc>
        <w:tc>
          <w:tcPr>
            <w:tcW w:w="2552" w:type="dxa"/>
            <w:tcBorders>
              <w:tl2br w:val="nil"/>
              <w:tr2bl w:val="nil"/>
            </w:tcBorders>
            <w:shd w:val="clear" w:color="auto" w:fill="auto"/>
            <w:vAlign w:val="center"/>
          </w:tcPr>
          <w:p>
            <w:pPr>
              <w:jc w:val="center"/>
              <w:rPr>
                <w:rFonts w:hAnsi="宋体"/>
                <w:sz w:val="24"/>
                <w:szCs w:val="24"/>
              </w:rPr>
            </w:pPr>
            <w:r>
              <w:rPr>
                <w:rFonts w:hint="eastAsia"/>
                <w:kern w:val="0"/>
                <w:sz w:val="24"/>
                <w:szCs w:val="24"/>
              </w:rPr>
              <w:t>交由环卫部门统一清运</w:t>
            </w:r>
          </w:p>
        </w:tc>
        <w:tc>
          <w:tcPr>
            <w:tcW w:w="3176" w:type="dxa"/>
            <w:vMerge w:val="restart"/>
            <w:tcBorders>
              <w:tl2br w:val="nil"/>
              <w:tr2bl w:val="nil"/>
            </w:tcBorders>
            <w:shd w:val="clear" w:color="auto" w:fill="auto"/>
            <w:vAlign w:val="center"/>
          </w:tcPr>
          <w:p>
            <w:pPr>
              <w:jc w:val="center"/>
              <w:rPr>
                <w:rFonts w:hAnsi="宋体"/>
                <w:sz w:val="24"/>
                <w:szCs w:val="24"/>
              </w:rPr>
            </w:pPr>
            <w:r>
              <w:rPr>
                <w:rFonts w:hint="eastAsia" w:hAnsi="宋体"/>
                <w:sz w:val="24"/>
                <w:szCs w:val="24"/>
              </w:rPr>
              <w:t>不外排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39" w:hRule="atLeast"/>
          <w:jc w:val="center"/>
        </w:trPr>
        <w:tc>
          <w:tcPr>
            <w:tcW w:w="1053" w:type="dxa"/>
            <w:vMerge w:val="continue"/>
            <w:tcBorders>
              <w:tl2br w:val="nil"/>
              <w:tr2bl w:val="nil"/>
            </w:tcBorders>
            <w:textDirection w:val="tbRlV"/>
            <w:vAlign w:val="center"/>
          </w:tcPr>
          <w:p>
            <w:pPr>
              <w:ind w:left="113" w:right="113"/>
              <w:jc w:val="center"/>
              <w:rPr>
                <w:rFonts w:hAnsi="宋体"/>
                <w:b/>
                <w:sz w:val="24"/>
                <w:szCs w:val="24"/>
              </w:rPr>
            </w:pPr>
          </w:p>
        </w:tc>
        <w:tc>
          <w:tcPr>
            <w:tcW w:w="1417" w:type="dxa"/>
            <w:tcBorders>
              <w:tl2br w:val="nil"/>
              <w:tr2bl w:val="nil"/>
            </w:tcBorders>
            <w:vAlign w:val="center"/>
          </w:tcPr>
          <w:p>
            <w:pPr>
              <w:spacing w:line="240" w:lineRule="auto"/>
              <w:jc w:val="center"/>
              <w:rPr>
                <w:kern w:val="0"/>
                <w:sz w:val="24"/>
                <w:szCs w:val="24"/>
              </w:rPr>
            </w:pPr>
            <w:r>
              <w:rPr>
                <w:rFonts w:hint="eastAsia"/>
                <w:sz w:val="24"/>
                <w:szCs w:val="24"/>
                <w:lang w:eastAsia="zh-CN"/>
              </w:rPr>
              <w:t>生产过程</w:t>
            </w:r>
          </w:p>
        </w:tc>
        <w:tc>
          <w:tcPr>
            <w:tcW w:w="1276" w:type="dxa"/>
            <w:tcBorders>
              <w:tl2br w:val="nil"/>
              <w:tr2bl w:val="nil"/>
            </w:tcBorders>
            <w:shd w:val="clear" w:color="auto" w:fill="auto"/>
            <w:vAlign w:val="center"/>
          </w:tcPr>
          <w:p>
            <w:pPr>
              <w:spacing w:line="240" w:lineRule="auto"/>
              <w:jc w:val="center"/>
              <w:rPr>
                <w:rFonts w:hint="eastAsia" w:eastAsia="宋体"/>
                <w:sz w:val="24"/>
                <w:szCs w:val="24"/>
                <w:lang w:eastAsia="zh-CN"/>
              </w:rPr>
            </w:pPr>
            <w:r>
              <w:rPr>
                <w:rFonts w:hint="eastAsia" w:cs="Times New Roman"/>
                <w:sz w:val="24"/>
                <w:szCs w:val="24"/>
                <w:lang w:eastAsia="zh-CN"/>
              </w:rPr>
              <w:t>废边角料</w:t>
            </w:r>
          </w:p>
        </w:tc>
        <w:tc>
          <w:tcPr>
            <w:tcW w:w="2552" w:type="dxa"/>
            <w:tcBorders>
              <w:tl2br w:val="nil"/>
              <w:tr2bl w:val="nil"/>
            </w:tcBorders>
            <w:shd w:val="clear" w:color="auto" w:fill="auto"/>
            <w:vAlign w:val="center"/>
          </w:tcPr>
          <w:p>
            <w:pPr>
              <w:jc w:val="center"/>
              <w:rPr>
                <w:rFonts w:hint="eastAsia" w:ascii="Times New Roman" w:hAnsi="Times New Roman" w:eastAsia="宋体" w:cs="Times New Roman"/>
                <w:snapToGrid w:val="0"/>
                <w:kern w:val="2"/>
                <w:sz w:val="24"/>
                <w:szCs w:val="24"/>
                <w:lang w:val="en-US" w:eastAsia="zh-CN" w:bidi="ar-SA"/>
              </w:rPr>
            </w:pPr>
            <w:r>
              <w:rPr>
                <w:rFonts w:hint="eastAsia"/>
                <w:sz w:val="24"/>
                <w:szCs w:val="24"/>
              </w:rPr>
              <w:t>出售给专门的回收公司进行综合利用</w:t>
            </w:r>
          </w:p>
        </w:tc>
        <w:tc>
          <w:tcPr>
            <w:tcW w:w="3176" w:type="dxa"/>
            <w:vMerge w:val="continue"/>
            <w:tcBorders>
              <w:tl2br w:val="nil"/>
              <w:tr2bl w:val="nil"/>
            </w:tcBorders>
            <w:shd w:val="clear" w:color="auto" w:fill="auto"/>
            <w:vAlign w:val="center"/>
          </w:tcPr>
          <w:p>
            <w:pPr>
              <w:jc w:val="center"/>
              <w:rPr>
                <w:rFonts w:hAnsi="宋体"/>
                <w:color w:val="FF0000"/>
                <w:sz w:val="24"/>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997" w:hRule="atLeast"/>
          <w:jc w:val="center"/>
        </w:trPr>
        <w:tc>
          <w:tcPr>
            <w:tcW w:w="1053" w:type="dxa"/>
            <w:tcBorders>
              <w:tl2br w:val="nil"/>
              <w:tr2bl w:val="nil"/>
            </w:tcBorders>
            <w:textDirection w:val="tbRlV"/>
            <w:vAlign w:val="center"/>
          </w:tcPr>
          <w:p>
            <w:pPr>
              <w:ind w:left="113" w:right="113"/>
              <w:jc w:val="center"/>
              <w:rPr>
                <w:b/>
                <w:color w:val="auto"/>
                <w:sz w:val="24"/>
                <w:szCs w:val="24"/>
              </w:rPr>
            </w:pPr>
            <w:r>
              <w:rPr>
                <w:rFonts w:hAnsi="宋体"/>
                <w:b/>
                <w:color w:val="auto"/>
                <w:sz w:val="24"/>
                <w:szCs w:val="24"/>
              </w:rPr>
              <w:t>噪</w:t>
            </w:r>
            <w:r>
              <w:rPr>
                <w:b/>
                <w:color w:val="auto"/>
                <w:sz w:val="24"/>
                <w:szCs w:val="24"/>
              </w:rPr>
              <w:t xml:space="preserve">  </w:t>
            </w:r>
            <w:r>
              <w:rPr>
                <w:rFonts w:hAnsi="宋体"/>
                <w:b/>
                <w:color w:val="auto"/>
                <w:sz w:val="24"/>
                <w:szCs w:val="24"/>
              </w:rPr>
              <w:t>声</w:t>
            </w:r>
          </w:p>
        </w:tc>
        <w:tc>
          <w:tcPr>
            <w:tcW w:w="8421" w:type="dxa"/>
            <w:gridSpan w:val="4"/>
            <w:tcBorders>
              <w:tl2br w:val="nil"/>
              <w:tr2bl w:val="nil"/>
            </w:tcBorders>
            <w:vAlign w:val="center"/>
          </w:tcPr>
          <w:p>
            <w:pPr>
              <w:spacing w:after="156" w:line="360" w:lineRule="auto"/>
              <w:ind w:firstLine="480" w:firstLineChars="200"/>
              <w:rPr>
                <w:color w:val="auto"/>
                <w:sz w:val="24"/>
                <w:szCs w:val="24"/>
              </w:rPr>
            </w:pPr>
            <w:r>
              <w:rPr>
                <w:rFonts w:hint="eastAsia"/>
                <w:color w:val="auto"/>
                <w:sz w:val="24"/>
                <w:szCs w:val="24"/>
              </w:rPr>
              <w:t>本项目的噪声源主要为</w:t>
            </w:r>
            <w:r>
              <w:rPr>
                <w:rFonts w:hint="eastAsia"/>
                <w:color w:val="auto"/>
                <w:sz w:val="24"/>
                <w:szCs w:val="24"/>
                <w:lang w:eastAsia="zh-CN"/>
              </w:rPr>
              <w:t>调直机、龙门吊、电焊机、空气压缩机</w:t>
            </w:r>
            <w:r>
              <w:rPr>
                <w:rFonts w:hint="eastAsia"/>
                <w:color w:val="auto"/>
                <w:sz w:val="24"/>
                <w:szCs w:val="24"/>
              </w:rPr>
              <w:t>等，噪声源强在</w:t>
            </w:r>
            <w:r>
              <w:rPr>
                <w:rFonts w:hint="eastAsia"/>
                <w:color w:val="auto"/>
                <w:sz w:val="24"/>
                <w:szCs w:val="24"/>
                <w:lang w:val="en-US" w:eastAsia="zh-CN"/>
              </w:rPr>
              <w:t>65</w:t>
            </w:r>
            <w:r>
              <w:rPr>
                <w:rFonts w:hint="eastAsia"/>
                <w:color w:val="auto"/>
                <w:sz w:val="24"/>
                <w:szCs w:val="24"/>
              </w:rPr>
              <w:t>~</w:t>
            </w:r>
            <w:r>
              <w:rPr>
                <w:rFonts w:hint="eastAsia"/>
                <w:color w:val="auto"/>
                <w:sz w:val="24"/>
                <w:szCs w:val="24"/>
                <w:lang w:val="en-US" w:eastAsia="zh-CN"/>
              </w:rPr>
              <w:t>95</w:t>
            </w:r>
            <w:r>
              <w:rPr>
                <w:rFonts w:hint="eastAsia"/>
                <w:color w:val="auto"/>
                <w:sz w:val="24"/>
                <w:szCs w:val="24"/>
              </w:rPr>
              <w:t>dB（A）</w:t>
            </w:r>
            <w:r>
              <w:rPr>
                <w:rFonts w:hint="eastAsia"/>
                <w:color w:val="auto"/>
                <w:sz w:val="24"/>
                <w:szCs w:val="24"/>
                <w:lang w:eastAsia="zh-CN"/>
              </w:rPr>
              <w:t>，</w:t>
            </w:r>
            <w:r>
              <w:rPr>
                <w:color w:val="auto"/>
                <w:sz w:val="24"/>
                <w:szCs w:val="24"/>
              </w:rPr>
              <w:t>经减振、隔声后，</w:t>
            </w:r>
            <w:r>
              <w:rPr>
                <w:rFonts w:hint="eastAsia"/>
                <w:color w:val="auto"/>
                <w:sz w:val="24"/>
                <w:szCs w:val="24"/>
                <w:lang w:eastAsia="zh-CN"/>
              </w:rPr>
              <w:t>各</w:t>
            </w:r>
            <w:r>
              <w:rPr>
                <w:color w:val="auto"/>
                <w:sz w:val="24"/>
                <w:szCs w:val="24"/>
              </w:rPr>
              <w:t>厂界噪声</w:t>
            </w:r>
            <w:r>
              <w:rPr>
                <w:rFonts w:hint="eastAsia"/>
                <w:color w:val="auto"/>
                <w:sz w:val="24"/>
                <w:szCs w:val="24"/>
                <w:lang w:eastAsia="zh-CN"/>
              </w:rPr>
              <w:t>贡献</w:t>
            </w:r>
            <w:r>
              <w:rPr>
                <w:rFonts w:hint="eastAsia"/>
                <w:color w:val="auto"/>
                <w:sz w:val="24"/>
                <w:szCs w:val="24"/>
              </w:rPr>
              <w:t>值均能</w:t>
            </w:r>
            <w:r>
              <w:rPr>
                <w:color w:val="auto"/>
                <w:sz w:val="24"/>
                <w:szCs w:val="24"/>
              </w:rPr>
              <w:t>满足《工业企业厂界环境噪声排放标准》（GB12348-2008）</w:t>
            </w:r>
            <w:r>
              <w:rPr>
                <w:rFonts w:hint="eastAsia"/>
                <w:color w:val="auto"/>
                <w:sz w:val="24"/>
                <w:szCs w:val="24"/>
              </w:rPr>
              <w:t>2</w:t>
            </w:r>
            <w:r>
              <w:rPr>
                <w:color w:val="auto"/>
                <w:sz w:val="24"/>
                <w:szCs w:val="24"/>
              </w:rPr>
              <w:t>类标准</w:t>
            </w:r>
            <w:r>
              <w:rPr>
                <w:rFonts w:hint="eastAsia" w:asciiTheme="minorEastAsia" w:hAnsiTheme="minorEastAsia" w:eastAsiaTheme="minorEastAsia"/>
                <w:color w:val="auto"/>
                <w:sz w:val="24"/>
                <w:szCs w:val="24"/>
                <w:lang w:eastAsia="zh-CN"/>
              </w:rPr>
              <w:t>，坡头村噪声预测值满足</w:t>
            </w:r>
            <w:r>
              <w:rPr>
                <w:rFonts w:hint="default" w:ascii="Times New Roman" w:hAnsi="Times New Roman" w:cs="Times New Roman"/>
                <w:sz w:val="24"/>
                <w:szCs w:val="24"/>
              </w:rPr>
              <w:t>《声环境质量标准》（GB3096-2008）</w:t>
            </w:r>
            <w:r>
              <w:rPr>
                <w:rFonts w:hint="eastAsia"/>
                <w:color w:val="auto"/>
                <w:sz w:val="24"/>
                <w:szCs w:val="24"/>
              </w:rPr>
              <w:t>2</w:t>
            </w:r>
            <w:r>
              <w:rPr>
                <w:color w:val="auto"/>
                <w:sz w:val="24"/>
                <w:szCs w:val="24"/>
              </w:rPr>
              <w:t>类标准</w:t>
            </w:r>
            <w:r>
              <w:rPr>
                <w:rFonts w:hint="eastAsia"/>
                <w:color w:val="auto"/>
                <w:sz w:val="24"/>
                <w:szCs w:val="24"/>
              </w:rPr>
              <w:t>。</w:t>
            </w:r>
            <w:r>
              <w:rPr>
                <w:color w:val="auto"/>
                <w:sz w:val="24"/>
                <w:szCs w:val="24"/>
              </w:rPr>
              <w:t>因此，本项目运营期设备运行产生的噪声不会对周围环境产生明显影响。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1053" w:type="dxa"/>
            <w:tcBorders>
              <w:tl2br w:val="nil"/>
              <w:tr2bl w:val="nil"/>
            </w:tcBorders>
            <w:vAlign w:val="center"/>
          </w:tcPr>
          <w:p>
            <w:pPr>
              <w:jc w:val="center"/>
              <w:rPr>
                <w:b/>
                <w:sz w:val="24"/>
                <w:szCs w:val="24"/>
              </w:rPr>
            </w:pPr>
            <w:r>
              <w:rPr>
                <w:rFonts w:hAnsi="宋体"/>
                <w:b/>
                <w:sz w:val="24"/>
                <w:szCs w:val="24"/>
              </w:rPr>
              <w:t>其他</w:t>
            </w:r>
          </w:p>
        </w:tc>
        <w:tc>
          <w:tcPr>
            <w:tcW w:w="8421" w:type="dxa"/>
            <w:gridSpan w:val="4"/>
            <w:tcBorders>
              <w:tl2br w:val="nil"/>
              <w:tr2bl w:val="nil"/>
            </w:tcBorders>
          </w:tcPr>
          <w:p>
            <w:pPr>
              <w:ind w:right="188" w:firstLine="240" w:firstLineChars="100"/>
              <w:rPr>
                <w:sz w:val="24"/>
                <w:szCs w:val="24"/>
              </w:rPr>
            </w:pPr>
            <w:r>
              <w:rPr>
                <w:rFonts w:hint="eastAsia"/>
                <w:sz w:val="24"/>
                <w:szCs w:val="24"/>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057" w:hRule="atLeast"/>
          <w:jc w:val="center"/>
        </w:trPr>
        <w:tc>
          <w:tcPr>
            <w:tcW w:w="9474" w:type="dxa"/>
            <w:gridSpan w:val="5"/>
            <w:tcBorders>
              <w:tl2br w:val="nil"/>
              <w:tr2bl w:val="nil"/>
            </w:tcBorders>
            <w:vAlign w:val="center"/>
          </w:tcPr>
          <w:p>
            <w:pPr>
              <w:ind w:right="188"/>
              <w:rPr>
                <w:rFonts w:hAnsi="宋体"/>
                <w:b/>
                <w:sz w:val="24"/>
                <w:szCs w:val="24"/>
              </w:rPr>
            </w:pPr>
            <w:r>
              <w:rPr>
                <w:rFonts w:hAnsi="宋体"/>
                <w:b/>
                <w:sz w:val="24"/>
                <w:szCs w:val="24"/>
              </w:rPr>
              <w:t>生态保护措施及预期效果</w:t>
            </w:r>
            <w:r>
              <w:rPr>
                <w:rFonts w:hint="eastAsia" w:hAnsi="宋体"/>
                <w:b/>
                <w:sz w:val="24"/>
                <w:szCs w:val="24"/>
              </w:rPr>
              <w:t>：</w:t>
            </w:r>
          </w:p>
          <w:p>
            <w:pPr>
              <w:ind w:firstLine="480" w:firstLineChars="200"/>
              <w:rPr>
                <w:bCs/>
                <w:sz w:val="24"/>
                <w:szCs w:val="24"/>
              </w:rPr>
            </w:pPr>
            <w:r>
              <w:rPr>
                <w:rFonts w:hint="eastAsia"/>
                <w:bCs/>
                <w:sz w:val="24"/>
                <w:szCs w:val="24"/>
              </w:rPr>
              <w:t>该项目周围主要为农田</w:t>
            </w:r>
            <w:r>
              <w:rPr>
                <w:rFonts w:hint="eastAsia"/>
                <w:bCs/>
                <w:sz w:val="24"/>
                <w:szCs w:val="24"/>
                <w:lang w:eastAsia="zh-CN"/>
              </w:rPr>
              <w:t>和企业厂房</w:t>
            </w:r>
            <w:r>
              <w:rPr>
                <w:rFonts w:hint="eastAsia"/>
                <w:bCs/>
                <w:sz w:val="24"/>
                <w:szCs w:val="24"/>
              </w:rPr>
              <w:t>，无珍稀保护动植物。项目的运营对生态环境不会产生明显影响。</w:t>
            </w:r>
          </w:p>
          <w:p>
            <w:pPr>
              <w:ind w:firstLine="480" w:firstLineChars="200"/>
              <w:rPr>
                <w:bCs/>
                <w:sz w:val="24"/>
                <w:szCs w:val="24"/>
              </w:rPr>
            </w:pPr>
          </w:p>
          <w:p>
            <w:pPr>
              <w:ind w:firstLine="480" w:firstLineChars="200"/>
              <w:rPr>
                <w:bCs/>
                <w:sz w:val="24"/>
                <w:szCs w:val="24"/>
              </w:rPr>
            </w:pPr>
          </w:p>
          <w:p>
            <w:pPr>
              <w:pStyle w:val="38"/>
              <w:rPr>
                <w:bCs/>
                <w:sz w:val="24"/>
                <w:szCs w:val="24"/>
              </w:rPr>
            </w:pPr>
          </w:p>
          <w:p>
            <w:pPr>
              <w:pStyle w:val="38"/>
              <w:rPr>
                <w:bCs/>
                <w:sz w:val="24"/>
                <w:szCs w:val="24"/>
              </w:rPr>
            </w:pPr>
          </w:p>
          <w:p>
            <w:pPr>
              <w:pStyle w:val="38"/>
              <w:rPr>
                <w:bCs/>
                <w:sz w:val="24"/>
                <w:szCs w:val="24"/>
              </w:rPr>
            </w:pPr>
          </w:p>
          <w:p>
            <w:pPr>
              <w:pStyle w:val="38"/>
              <w:rPr>
                <w:bCs/>
                <w:sz w:val="24"/>
                <w:szCs w:val="24"/>
              </w:rPr>
            </w:pPr>
          </w:p>
          <w:p>
            <w:pPr>
              <w:pStyle w:val="38"/>
              <w:rPr>
                <w:bCs/>
                <w:sz w:val="24"/>
                <w:szCs w:val="24"/>
              </w:rPr>
            </w:pPr>
          </w:p>
          <w:p>
            <w:pPr>
              <w:pStyle w:val="38"/>
              <w:rPr>
                <w:bCs/>
                <w:sz w:val="24"/>
                <w:szCs w:val="24"/>
              </w:rPr>
            </w:pPr>
          </w:p>
          <w:p>
            <w:pPr>
              <w:ind w:firstLine="480" w:firstLineChars="200"/>
              <w:rPr>
                <w:bCs/>
                <w:sz w:val="24"/>
                <w:szCs w:val="24"/>
              </w:rPr>
            </w:pPr>
          </w:p>
          <w:p>
            <w:pPr>
              <w:ind w:firstLine="480" w:firstLineChars="200"/>
              <w:rPr>
                <w:bCs/>
                <w:sz w:val="24"/>
                <w:szCs w:val="24"/>
              </w:rPr>
            </w:pPr>
          </w:p>
        </w:tc>
      </w:tr>
    </w:tbl>
    <w:p>
      <w:pPr>
        <w:adjustRightInd w:val="0"/>
        <w:snapToGrid w:val="0"/>
        <w:rPr>
          <w:rFonts w:ascii="黑体" w:eastAsia="黑体"/>
          <w:sz w:val="32"/>
          <w:highlight w:val="none"/>
        </w:rPr>
      </w:pPr>
      <w:r>
        <w:rPr>
          <w:rFonts w:hint="eastAsia" w:ascii="黑体" w:hAnsi="宋体" w:eastAsia="黑体"/>
          <w:sz w:val="32"/>
          <w:highlight w:val="none"/>
        </w:rPr>
        <w:t>结论与建议</w:t>
      </w:r>
    </w:p>
    <w:tbl>
      <w:tblPr>
        <w:tblStyle w:val="31"/>
        <w:tblW w:w="9460"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fixed"/>
        <w:tblCellMar>
          <w:top w:w="0" w:type="dxa"/>
          <w:left w:w="108" w:type="dxa"/>
          <w:bottom w:w="0" w:type="dxa"/>
          <w:right w:w="108" w:type="dxa"/>
        </w:tblCellMar>
      </w:tblPr>
      <w:tblGrid>
        <w:gridCol w:w="9365"/>
        <w:gridCol w:w="95"/>
      </w:tblGrid>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gridAfter w:val="1"/>
          <w:wAfter w:w="95" w:type="dxa"/>
          <w:trHeight w:val="11696" w:hRule="atLeast"/>
          <w:jc w:val="center"/>
        </w:trPr>
        <w:tc>
          <w:tcPr>
            <w:tcW w:w="9365" w:type="dxa"/>
            <w:tcBorders>
              <w:tl2br w:val="nil"/>
              <w:tr2bl w:val="nil"/>
            </w:tcBorders>
          </w:tcPr>
          <w:p>
            <w:pPr>
              <w:rPr>
                <w:b/>
                <w:bCs/>
                <w:sz w:val="28"/>
                <w:szCs w:val="28"/>
              </w:rPr>
            </w:pPr>
            <w:r>
              <w:rPr>
                <w:b/>
                <w:bCs/>
                <w:sz w:val="28"/>
                <w:szCs w:val="28"/>
              </w:rPr>
              <w:t>一、环境影响评价结论：</w:t>
            </w:r>
          </w:p>
          <w:p>
            <w:pPr>
              <w:adjustRightInd w:val="0"/>
              <w:snapToGrid w:val="0"/>
              <w:spacing w:line="348" w:lineRule="auto"/>
              <w:ind w:firstLine="482" w:firstLineChars="200"/>
              <w:rPr>
                <w:rFonts w:hint="eastAsia"/>
                <w:sz w:val="24"/>
              </w:rPr>
            </w:pPr>
            <w:r>
              <w:rPr>
                <w:rFonts w:hint="eastAsia"/>
                <w:b/>
                <w:sz w:val="24"/>
              </w:rPr>
              <w:t>1</w:t>
            </w:r>
            <w:r>
              <w:rPr>
                <w:rFonts w:hint="eastAsia"/>
                <w:b/>
                <w:sz w:val="24"/>
                <w:lang w:val="en-US" w:eastAsia="zh-CN"/>
              </w:rPr>
              <w:t>.</w:t>
            </w:r>
            <w:r>
              <w:rPr>
                <w:rFonts w:hint="eastAsia"/>
                <w:b/>
                <w:sz w:val="24"/>
              </w:rPr>
              <w:t>项目基本情况</w:t>
            </w:r>
          </w:p>
          <w:p>
            <w:pPr>
              <w:spacing w:line="336" w:lineRule="auto"/>
              <w:ind w:firstLine="480" w:firstLineChars="200"/>
              <w:jc w:val="left"/>
              <w:rPr>
                <w:rFonts w:hint="eastAsia"/>
                <w:sz w:val="24"/>
              </w:rPr>
            </w:pPr>
            <w:r>
              <w:rPr>
                <w:rFonts w:hint="eastAsia"/>
                <w:bCs/>
                <w:sz w:val="24"/>
                <w:lang w:eastAsia="zh-CN"/>
              </w:rPr>
              <w:t>河南华东路桥建设有限公司</w:t>
            </w:r>
            <w:r>
              <w:rPr>
                <w:rFonts w:hint="eastAsia"/>
                <w:bCs/>
                <w:sz w:val="24"/>
              </w:rPr>
              <w:t>拟投资</w:t>
            </w:r>
            <w:r>
              <w:rPr>
                <w:rFonts w:hint="eastAsia"/>
                <w:bCs/>
                <w:sz w:val="24"/>
                <w:lang w:val="en-US" w:eastAsia="zh-CN"/>
              </w:rPr>
              <w:t>15</w:t>
            </w:r>
            <w:r>
              <w:rPr>
                <w:rFonts w:hint="eastAsia"/>
                <w:bCs/>
                <w:sz w:val="24"/>
              </w:rPr>
              <w:t>0万元在</w:t>
            </w:r>
            <w:r>
              <w:rPr>
                <w:rFonts w:hint="eastAsia"/>
                <w:bCs/>
                <w:sz w:val="24"/>
                <w:lang w:eastAsia="zh-CN"/>
              </w:rPr>
              <w:t>济源市坡头镇高新路东侧中段</w:t>
            </w:r>
            <w:r>
              <w:rPr>
                <w:rFonts w:hint="eastAsia"/>
                <w:bCs/>
                <w:sz w:val="24"/>
              </w:rPr>
              <w:t>新建</w:t>
            </w:r>
            <w:r>
              <w:rPr>
                <w:rFonts w:hint="eastAsia"/>
                <w:bCs/>
                <w:sz w:val="24"/>
                <w:lang w:eastAsia="zh-CN"/>
              </w:rPr>
              <w:t>9000平方米梁板预制场</w:t>
            </w:r>
            <w:r>
              <w:rPr>
                <w:rFonts w:hint="eastAsia"/>
                <w:bCs/>
                <w:sz w:val="24"/>
              </w:rPr>
              <w:t>。</w:t>
            </w:r>
            <w:r>
              <w:rPr>
                <w:rFonts w:hint="eastAsia"/>
                <w:sz w:val="24"/>
                <w:lang w:eastAsia="zh-CN"/>
              </w:rPr>
              <w:t>主要</w:t>
            </w:r>
            <w:r>
              <w:rPr>
                <w:rFonts w:hint="eastAsia"/>
                <w:sz w:val="24"/>
                <w:lang w:val="en-US" w:eastAsia="zh-CN"/>
              </w:rPr>
              <w:t>为</w:t>
            </w:r>
            <w:r>
              <w:rPr>
                <w:rFonts w:hint="eastAsia"/>
                <w:sz w:val="24"/>
                <w:lang w:eastAsia="zh-CN"/>
              </w:rPr>
              <w:t>济源市小浪底北岸新区的</w:t>
            </w:r>
            <w:r>
              <w:rPr>
                <w:rFonts w:hint="eastAsia"/>
                <w:sz w:val="24"/>
                <w:lang w:val="en-US" w:eastAsia="zh-CN"/>
              </w:rPr>
              <w:t>滨湖景观大道预制空心板和箱梁</w:t>
            </w:r>
            <w:r>
              <w:rPr>
                <w:rFonts w:hint="eastAsia"/>
                <w:bCs/>
                <w:sz w:val="24"/>
              </w:rPr>
              <w:t>。</w:t>
            </w:r>
          </w:p>
          <w:p>
            <w:pPr>
              <w:spacing w:line="336" w:lineRule="auto"/>
              <w:ind w:firstLine="480" w:firstLineChars="200"/>
              <w:jc w:val="left"/>
              <w:rPr>
                <w:rFonts w:hint="eastAsia"/>
                <w:color w:val="auto"/>
                <w:sz w:val="24"/>
              </w:rPr>
            </w:pPr>
            <w:r>
              <w:rPr>
                <w:rFonts w:hint="eastAsia"/>
                <w:color w:val="auto"/>
                <w:sz w:val="24"/>
              </w:rPr>
              <w:t>项目环保投资估算1</w:t>
            </w:r>
            <w:r>
              <w:rPr>
                <w:rFonts w:hint="eastAsia"/>
                <w:color w:val="auto"/>
                <w:sz w:val="24"/>
                <w:lang w:val="en-US" w:eastAsia="zh-CN"/>
              </w:rPr>
              <w:t>3</w:t>
            </w:r>
            <w:r>
              <w:rPr>
                <w:rFonts w:hint="eastAsia"/>
                <w:color w:val="auto"/>
                <w:sz w:val="24"/>
              </w:rPr>
              <w:t>万元，占项目总投资的</w:t>
            </w:r>
            <w:r>
              <w:rPr>
                <w:rFonts w:hint="eastAsia"/>
                <w:color w:val="auto"/>
                <w:sz w:val="24"/>
                <w:lang w:val="en-US" w:eastAsia="zh-CN"/>
              </w:rPr>
              <w:t>8.67</w:t>
            </w:r>
            <w:r>
              <w:rPr>
                <w:rFonts w:hint="eastAsia"/>
                <w:color w:val="auto"/>
                <w:sz w:val="24"/>
              </w:rPr>
              <w:t>%，环保费用合理。</w:t>
            </w:r>
          </w:p>
          <w:p>
            <w:pPr>
              <w:keepNext/>
              <w:keepLines/>
              <w:pageBreakBefore w:val="0"/>
              <w:widowControl w:val="0"/>
              <w:kinsoku/>
              <w:wordWrap/>
              <w:overflowPunct/>
              <w:topLinePunct w:val="0"/>
              <w:autoSpaceDE/>
              <w:autoSpaceDN/>
              <w:bidi w:val="0"/>
              <w:adjustRightInd/>
              <w:snapToGrid/>
              <w:spacing w:before="80" w:after="80" w:line="360" w:lineRule="auto"/>
              <w:ind w:firstLine="482" w:firstLineChars="200"/>
              <w:textAlignment w:val="auto"/>
              <w:outlineLvl w:val="2"/>
              <w:rPr>
                <w:b/>
                <w:bCs/>
                <w:sz w:val="24"/>
              </w:rPr>
            </w:pPr>
            <w:r>
              <w:rPr>
                <w:rFonts w:hint="eastAsia"/>
                <w:b/>
                <w:bCs/>
                <w:sz w:val="24"/>
                <w:lang w:val="en-US" w:eastAsia="zh-CN"/>
              </w:rPr>
              <w:t>2.</w:t>
            </w:r>
            <w:r>
              <w:rPr>
                <w:b/>
                <w:bCs/>
                <w:sz w:val="24"/>
              </w:rPr>
              <w:t>产业政策符合性结论</w:t>
            </w:r>
          </w:p>
          <w:p>
            <w:pPr>
              <w:spacing w:line="360" w:lineRule="auto"/>
              <w:ind w:firstLine="480"/>
              <w:textAlignment w:val="baseline"/>
              <w:rPr>
                <w:sz w:val="24"/>
              </w:rPr>
            </w:pPr>
            <w:r>
              <w:rPr>
                <w:rFonts w:hint="eastAsia"/>
                <w:sz w:val="24"/>
              </w:rPr>
              <w:t>本项目已在</w:t>
            </w:r>
            <w:r>
              <w:rPr>
                <w:rFonts w:hint="eastAsia"/>
                <w:sz w:val="24"/>
                <w:lang w:eastAsia="zh-CN"/>
              </w:rPr>
              <w:t>济源市</w:t>
            </w:r>
            <w:r>
              <w:rPr>
                <w:rFonts w:hint="eastAsia"/>
                <w:sz w:val="24"/>
              </w:rPr>
              <w:t>发展和改革委员会备案，项目代码为：</w:t>
            </w:r>
            <w:r>
              <w:rPr>
                <w:rFonts w:hint="eastAsia"/>
                <w:sz w:val="24"/>
                <w:lang w:eastAsia="zh-CN"/>
              </w:rPr>
              <w:t>2018-419001-48-03-040687</w:t>
            </w:r>
            <w:r>
              <w:rPr>
                <w:rFonts w:hint="eastAsia"/>
                <w:sz w:val="24"/>
              </w:rPr>
              <w:t>。</w:t>
            </w:r>
            <w:r>
              <w:rPr>
                <w:rFonts w:hint="eastAsia"/>
                <w:bCs/>
                <w:sz w:val="24"/>
              </w:rPr>
              <w:t>根据</w:t>
            </w:r>
            <w:r>
              <w:rPr>
                <w:bCs/>
                <w:sz w:val="24"/>
              </w:rPr>
              <w:t>《产业结构调整指导目录（201</w:t>
            </w:r>
            <w:r>
              <w:rPr>
                <w:rFonts w:hint="eastAsia"/>
                <w:bCs/>
                <w:sz w:val="24"/>
                <w:lang w:val="en-US" w:eastAsia="zh-CN"/>
              </w:rPr>
              <w:t>9</w:t>
            </w:r>
            <w:r>
              <w:rPr>
                <w:bCs/>
                <w:sz w:val="24"/>
              </w:rPr>
              <w:t>年本）》</w:t>
            </w:r>
            <w:r>
              <w:rPr>
                <w:rFonts w:hint="eastAsia"/>
                <w:bCs/>
                <w:sz w:val="24"/>
              </w:rPr>
              <w:t>，本项目不属于限制</w:t>
            </w:r>
            <w:r>
              <w:rPr>
                <w:bCs/>
                <w:sz w:val="24"/>
              </w:rPr>
              <w:t>类</w:t>
            </w:r>
            <w:r>
              <w:rPr>
                <w:rFonts w:hint="eastAsia"/>
                <w:bCs/>
                <w:sz w:val="24"/>
              </w:rPr>
              <w:t>和淘汰类，为允许类项目。</w:t>
            </w:r>
            <w:r>
              <w:rPr>
                <w:bCs/>
                <w:sz w:val="24"/>
              </w:rPr>
              <w:t>根据《高耗能</w:t>
            </w:r>
            <w:r>
              <w:rPr>
                <w:rFonts w:hint="eastAsia"/>
                <w:bCs/>
                <w:sz w:val="24"/>
              </w:rPr>
              <w:t>落后</w:t>
            </w:r>
            <w:r>
              <w:rPr>
                <w:bCs/>
                <w:sz w:val="24"/>
              </w:rPr>
              <w:t>机电设备淘汰目录（全四批）》</w:t>
            </w:r>
            <w:r>
              <w:rPr>
                <w:rFonts w:hint="eastAsia"/>
                <w:bCs/>
                <w:sz w:val="24"/>
              </w:rPr>
              <w:t>和</w:t>
            </w:r>
            <w:r>
              <w:rPr>
                <w:rFonts w:hint="eastAsia" w:hAnsi="宋体"/>
                <w:sz w:val="24"/>
              </w:rPr>
              <w:t>《产业结构调整指导目录（201</w:t>
            </w:r>
            <w:r>
              <w:rPr>
                <w:rFonts w:hint="eastAsia" w:hAnsi="宋体"/>
                <w:sz w:val="24"/>
                <w:lang w:val="en-US" w:eastAsia="zh-CN"/>
              </w:rPr>
              <w:t>9</w:t>
            </w:r>
            <w:r>
              <w:rPr>
                <w:rFonts w:hint="eastAsia" w:hAnsi="宋体"/>
                <w:sz w:val="24"/>
              </w:rPr>
              <w:t>年本）》</w:t>
            </w:r>
            <w:r>
              <w:rPr>
                <w:bCs/>
                <w:sz w:val="24"/>
              </w:rPr>
              <w:t>，本项目所选用的设备均不在淘汰落后设备之列。</w:t>
            </w:r>
            <w:r>
              <w:rPr>
                <w:rFonts w:hint="eastAsia"/>
                <w:bCs/>
                <w:sz w:val="24"/>
              </w:rPr>
              <w:t>因</w:t>
            </w:r>
            <w:r>
              <w:rPr>
                <w:rFonts w:hint="eastAsia"/>
                <w:sz w:val="24"/>
              </w:rPr>
              <w:t>此，本项目的建设符合国家产业政策。</w:t>
            </w:r>
          </w:p>
          <w:p>
            <w:pPr>
              <w:keepNext/>
              <w:keepLines/>
              <w:pageBreakBefore w:val="0"/>
              <w:widowControl w:val="0"/>
              <w:kinsoku/>
              <w:wordWrap/>
              <w:overflowPunct/>
              <w:topLinePunct w:val="0"/>
              <w:autoSpaceDE/>
              <w:autoSpaceDN/>
              <w:bidi w:val="0"/>
              <w:adjustRightInd/>
              <w:snapToGrid/>
              <w:spacing w:before="80" w:after="80" w:line="360" w:lineRule="auto"/>
              <w:ind w:firstLine="482" w:firstLineChars="200"/>
              <w:textAlignment w:val="auto"/>
              <w:outlineLvl w:val="2"/>
              <w:rPr>
                <w:rFonts w:hint="eastAsia" w:ascii="Times New Roman" w:hAnsi="Times New Roman" w:cs="Times New Roman"/>
                <w:b/>
                <w:bCs/>
                <w:sz w:val="24"/>
                <w:lang w:val="en-US" w:eastAsia="zh-CN"/>
              </w:rPr>
            </w:pPr>
            <w:r>
              <w:rPr>
                <w:rFonts w:hint="eastAsia" w:ascii="Times New Roman" w:hAnsi="Times New Roman" w:cs="Times New Roman"/>
                <w:b/>
                <w:bCs/>
                <w:sz w:val="24"/>
                <w:lang w:val="en-US" w:eastAsia="zh-CN"/>
              </w:rPr>
              <w:t>3</w:t>
            </w:r>
            <w:r>
              <w:rPr>
                <w:rFonts w:hint="eastAsia" w:cs="Times New Roman"/>
                <w:b/>
                <w:bCs/>
                <w:sz w:val="24"/>
                <w:lang w:val="en-US" w:eastAsia="zh-CN"/>
              </w:rPr>
              <w:t>.</w:t>
            </w:r>
            <w:r>
              <w:rPr>
                <w:rFonts w:hint="eastAsia" w:ascii="Times New Roman" w:hAnsi="Times New Roman" w:cs="Times New Roman"/>
                <w:b/>
                <w:bCs/>
                <w:sz w:val="24"/>
                <w:lang w:val="en-US" w:eastAsia="zh-CN"/>
              </w:rPr>
              <w:t>项目选址合理性分析</w:t>
            </w:r>
          </w:p>
          <w:p>
            <w:pPr>
              <w:adjustRightInd w:val="0"/>
              <w:snapToGrid w:val="0"/>
              <w:spacing w:line="348" w:lineRule="auto"/>
              <w:ind w:firstLine="480" w:firstLineChars="200"/>
              <w:rPr>
                <w:sz w:val="24"/>
                <w:szCs w:val="27"/>
              </w:rPr>
            </w:pPr>
            <w:r>
              <w:rPr>
                <w:rFonts w:hint="eastAsia"/>
                <w:bCs/>
                <w:sz w:val="24"/>
                <w:lang w:eastAsia="zh-CN"/>
              </w:rPr>
              <w:t>河南华东路桥建设有限公司</w:t>
            </w:r>
            <w:r>
              <w:rPr>
                <w:rFonts w:hint="eastAsia"/>
                <w:sz w:val="24"/>
                <w:szCs w:val="24"/>
              </w:rPr>
              <w:t>位于</w:t>
            </w:r>
            <w:r>
              <w:rPr>
                <w:rFonts w:hint="eastAsia"/>
                <w:sz w:val="24"/>
                <w:szCs w:val="24"/>
                <w:lang w:eastAsia="zh-CN"/>
              </w:rPr>
              <w:t>济源市坡头镇高新路东侧中段</w:t>
            </w:r>
            <w:r>
              <w:rPr>
                <w:rFonts w:hint="eastAsia"/>
                <w:sz w:val="24"/>
                <w:szCs w:val="24"/>
              </w:rPr>
              <w:t>村，</w:t>
            </w:r>
            <w:r>
              <w:rPr>
                <w:rFonts w:hint="eastAsia"/>
                <w:sz w:val="24"/>
                <w:szCs w:val="24"/>
                <w:lang w:eastAsia="zh-CN"/>
              </w:rPr>
              <w:t>租赁场地进行建设</w:t>
            </w:r>
            <w:r>
              <w:rPr>
                <w:rFonts w:hint="eastAsia"/>
                <w:sz w:val="24"/>
                <w:szCs w:val="24"/>
              </w:rPr>
              <w:t>，不涉及土建工程。土地性质为建设用地，供水、供电均依托厂区现有，</w:t>
            </w:r>
            <w:r>
              <w:rPr>
                <w:rFonts w:hint="eastAsia"/>
                <w:kern w:val="0"/>
                <w:sz w:val="24"/>
                <w:szCs w:val="24"/>
              </w:rPr>
              <w:t>因此，项目选址是可行的。</w:t>
            </w:r>
          </w:p>
          <w:p>
            <w:pPr>
              <w:keepNext/>
              <w:keepLines/>
              <w:pageBreakBefore w:val="0"/>
              <w:widowControl w:val="0"/>
              <w:kinsoku/>
              <w:wordWrap/>
              <w:overflowPunct/>
              <w:topLinePunct w:val="0"/>
              <w:autoSpaceDE/>
              <w:autoSpaceDN/>
              <w:bidi w:val="0"/>
              <w:adjustRightInd/>
              <w:snapToGrid/>
              <w:spacing w:before="80" w:after="80" w:line="360" w:lineRule="auto"/>
              <w:ind w:firstLine="482" w:firstLineChars="200"/>
              <w:textAlignment w:val="auto"/>
              <w:outlineLvl w:val="2"/>
              <w:rPr>
                <w:rFonts w:hint="eastAsia" w:ascii="Times New Roman" w:hAnsi="Times New Roman" w:cs="Times New Roman"/>
                <w:b/>
                <w:bCs/>
                <w:sz w:val="24"/>
                <w:lang w:val="en-US" w:eastAsia="zh-CN"/>
              </w:rPr>
            </w:pPr>
            <w:r>
              <w:rPr>
                <w:rFonts w:hint="eastAsia" w:ascii="Times New Roman" w:hAnsi="Times New Roman" w:cs="Times New Roman"/>
                <w:b/>
                <w:bCs/>
                <w:sz w:val="24"/>
                <w:lang w:val="en-US" w:eastAsia="zh-CN"/>
              </w:rPr>
              <w:t>4</w:t>
            </w:r>
            <w:r>
              <w:rPr>
                <w:rFonts w:hint="eastAsia" w:cs="Times New Roman"/>
                <w:b/>
                <w:bCs/>
                <w:sz w:val="24"/>
                <w:lang w:val="en-US" w:eastAsia="zh-CN"/>
              </w:rPr>
              <w:t>.</w:t>
            </w:r>
            <w:r>
              <w:rPr>
                <w:rFonts w:hint="eastAsia" w:ascii="Times New Roman" w:hAnsi="Times New Roman" w:cs="Times New Roman"/>
                <w:b/>
                <w:bCs/>
                <w:sz w:val="24"/>
                <w:lang w:val="en-US" w:eastAsia="zh-CN"/>
              </w:rPr>
              <w:t>建设项目周围环境现状评价结论</w:t>
            </w:r>
          </w:p>
          <w:p>
            <w:pPr>
              <w:spacing w:line="360" w:lineRule="auto"/>
              <w:ind w:firstLine="470" w:firstLineChars="196"/>
              <w:jc w:val="left"/>
              <w:rPr>
                <w:rFonts w:hint="default" w:ascii="Times New Roman" w:hAnsi="Times New Roman" w:eastAsia="宋体" w:cs="Times New Roman"/>
                <w:b/>
                <w:bCs/>
                <w:sz w:val="24"/>
                <w:lang w:eastAsia="zh-CN"/>
              </w:rPr>
            </w:pPr>
            <w:r>
              <w:rPr>
                <w:rFonts w:hint="default" w:ascii="Times New Roman" w:hAnsi="Times New Roman" w:cs="Times New Roman"/>
                <w:sz w:val="24"/>
                <w:lang w:val="en-GB"/>
              </w:rPr>
              <w:t>（1）环境空气：</w:t>
            </w:r>
            <w:r>
              <w:rPr>
                <w:rFonts w:hint="default" w:ascii="Times New Roman" w:hAnsi="Times New Roman" w:cs="Times New Roman"/>
                <w:sz w:val="24"/>
                <w:szCs w:val="24"/>
              </w:rPr>
              <w:t>根据《2018年河南省生态环境状况公报》，本项目所在区域环境质量为不达标区。</w:t>
            </w:r>
          </w:p>
          <w:p>
            <w:pPr>
              <w:pStyle w:val="29"/>
              <w:tabs>
                <w:tab w:val="left" w:pos="3377"/>
              </w:tabs>
              <w:autoSpaceDE w:val="0"/>
              <w:autoSpaceDN w:val="0"/>
              <w:spacing w:before="0" w:beforeAutospacing="0" w:after="0" w:afterAutospacing="0" w:line="360" w:lineRule="auto"/>
              <w:ind w:firstLine="480" w:firstLineChars="200"/>
              <w:jc w:val="both"/>
              <w:rPr>
                <w:color w:val="auto"/>
                <w:sz w:val="24"/>
                <w:lang w:val="en-GB"/>
              </w:rPr>
            </w:pPr>
            <w:r>
              <w:rPr>
                <w:rFonts w:hint="default" w:ascii="Times New Roman" w:hAnsi="Times New Roman" w:cs="Times New Roman"/>
                <w:color w:val="auto"/>
                <w:sz w:val="24"/>
                <w:lang w:val="en-GB"/>
              </w:rPr>
              <w:t>（2）声环境：</w:t>
            </w:r>
            <w:r>
              <w:rPr>
                <w:rFonts w:hint="default" w:ascii="Times New Roman" w:hAnsi="Times New Roman" w:cs="Times New Roman"/>
                <w:sz w:val="24"/>
                <w:szCs w:val="21"/>
              </w:rPr>
              <w:t>根据监测结果，项目</w:t>
            </w:r>
            <w:r>
              <w:rPr>
                <w:rFonts w:hint="default" w:ascii="Times New Roman" w:hAnsi="Times New Roman" w:cs="Times New Roman"/>
                <w:sz w:val="24"/>
              </w:rPr>
              <w:t>四周</w:t>
            </w:r>
            <w:r>
              <w:rPr>
                <w:rFonts w:hint="default" w:ascii="Times New Roman" w:hAnsi="Times New Roman" w:cs="Times New Roman"/>
                <w:sz w:val="24"/>
                <w:szCs w:val="21"/>
              </w:rPr>
              <w:t>厂界</w:t>
            </w:r>
            <w:r>
              <w:rPr>
                <w:rFonts w:hint="default" w:ascii="Times New Roman" w:hAnsi="Times New Roman" w:cs="Times New Roman"/>
                <w:sz w:val="24"/>
                <w:szCs w:val="21"/>
                <w:lang w:eastAsia="zh-CN"/>
              </w:rPr>
              <w:t>环境</w:t>
            </w:r>
            <w:r>
              <w:rPr>
                <w:rFonts w:hint="default" w:ascii="Times New Roman" w:hAnsi="Times New Roman" w:cs="Times New Roman"/>
                <w:sz w:val="24"/>
              </w:rPr>
              <w:t>噪声均满足《声环境质量标准》（GB3096-2008）2类要求，项目所在区域声环境质</w:t>
            </w:r>
            <w:r>
              <w:rPr>
                <w:rFonts w:hint="eastAsia"/>
                <w:sz w:val="24"/>
              </w:rPr>
              <w:t>量良好。</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eastAsia="宋体"/>
                <w:bCs/>
                <w:kern w:val="0"/>
                <w:sz w:val="24"/>
                <w:szCs w:val="24"/>
                <w:lang w:eastAsia="zh-CN"/>
              </w:rPr>
            </w:pPr>
            <w:r>
              <w:rPr>
                <w:kern w:val="0"/>
                <w:sz w:val="24"/>
                <w:lang w:val="en-GB"/>
              </w:rPr>
              <w:t>（3）地表水环境：</w:t>
            </w:r>
            <w:r>
              <w:rPr>
                <w:rFonts w:hint="default" w:ascii="Times New Roman" w:hAnsi="Times New Roman" w:eastAsia="宋体" w:cs="Times New Roman"/>
                <w:color w:val="000000"/>
                <w:kern w:val="0"/>
                <w:sz w:val="24"/>
                <w:szCs w:val="24"/>
                <w:lang w:val="en-US" w:eastAsia="zh-CN" w:bidi="ar"/>
              </w:rPr>
              <w:t>本项目距离最近的地表水为</w:t>
            </w:r>
            <w:r>
              <w:rPr>
                <w:rFonts w:hint="eastAsia" w:cs="Times New Roman"/>
                <w:color w:val="000000"/>
                <w:kern w:val="0"/>
                <w:sz w:val="24"/>
                <w:szCs w:val="24"/>
                <w:lang w:val="en-US" w:eastAsia="zh-CN" w:bidi="ar"/>
              </w:rPr>
              <w:t>西南550</w:t>
            </w:r>
            <w:r>
              <w:rPr>
                <w:rFonts w:hint="default" w:ascii="Times New Roman" w:hAnsi="Times New Roman" w:eastAsia="宋体" w:cs="Times New Roman"/>
                <w:color w:val="000000"/>
                <w:kern w:val="0"/>
                <w:sz w:val="24"/>
                <w:szCs w:val="24"/>
                <w:lang w:val="en-US" w:eastAsia="zh-CN" w:bidi="ar"/>
              </w:rPr>
              <w:t>m的</w:t>
            </w:r>
            <w:r>
              <w:rPr>
                <w:rFonts w:hint="eastAsia" w:cs="Times New Roman"/>
                <w:color w:val="000000"/>
                <w:kern w:val="0"/>
                <w:sz w:val="24"/>
                <w:szCs w:val="24"/>
                <w:lang w:val="en-US" w:eastAsia="zh-CN" w:bidi="ar"/>
              </w:rPr>
              <w:t>黄</w:t>
            </w:r>
            <w:r>
              <w:rPr>
                <w:rFonts w:hint="default" w:ascii="Times New Roman" w:hAnsi="Times New Roman" w:eastAsia="宋体" w:cs="Times New Roman"/>
                <w:color w:val="000000"/>
                <w:kern w:val="0"/>
                <w:sz w:val="24"/>
                <w:szCs w:val="24"/>
                <w:lang w:val="en-US" w:eastAsia="zh-CN" w:bidi="ar"/>
              </w:rPr>
              <w:t>河。</w:t>
            </w:r>
            <w:r>
              <w:rPr>
                <w:bCs/>
                <w:kern w:val="0"/>
                <w:sz w:val="24"/>
                <w:szCs w:val="24"/>
              </w:rPr>
              <w:t>根据本项目建设地点及其周边环境情况，确定本次地表水环境评价对象为项目附近黄河水域。本次评价引用济源市环境监测站公布的济源市报中黄河小浪底断面监测结果</w:t>
            </w:r>
            <w:r>
              <w:rPr>
                <w:rFonts w:hint="eastAsia"/>
                <w:bCs/>
                <w:kern w:val="0"/>
                <w:sz w:val="24"/>
                <w:szCs w:val="24"/>
                <w:lang w:eastAsia="zh-CN"/>
              </w:rPr>
              <w:t>，</w:t>
            </w:r>
            <w:r>
              <w:rPr>
                <w:color w:val="000000"/>
                <w:kern w:val="0"/>
                <w:sz w:val="24"/>
                <w:szCs w:val="24"/>
                <w:lang w:bidi="ar"/>
              </w:rPr>
              <w:t>通过对照《</w:t>
            </w:r>
            <w:r>
              <w:rPr>
                <w:rFonts w:hint="default" w:ascii="Times New Roman" w:hAnsi="Times New Roman" w:cs="Times New Roman"/>
                <w:color w:val="000000"/>
                <w:kern w:val="0"/>
                <w:sz w:val="24"/>
                <w:szCs w:val="24"/>
                <w:lang w:bidi="ar"/>
              </w:rPr>
              <w:t>地表水环境质量标准》（GB3838—2002）</w:t>
            </w:r>
            <w:r>
              <w:rPr>
                <w:rFonts w:hint="eastAsia" w:ascii="Times New Roman" w:hAnsi="Times New Roman" w:cs="Times New Roman"/>
                <w:color w:val="000000"/>
                <w:kern w:val="0"/>
                <w:sz w:val="24"/>
                <w:szCs w:val="24"/>
                <w:lang w:val="en-US" w:eastAsia="zh-CN" w:bidi="ar"/>
              </w:rPr>
              <w:fldChar w:fldCharType="begin"/>
            </w:r>
            <w:r>
              <w:rPr>
                <w:rFonts w:hint="eastAsia" w:ascii="Times New Roman" w:hAnsi="Times New Roman" w:cs="Times New Roman"/>
                <w:color w:val="000000"/>
                <w:kern w:val="0"/>
                <w:sz w:val="24"/>
                <w:szCs w:val="24"/>
                <w:lang w:val="en-US" w:eastAsia="zh-CN" w:bidi="ar"/>
              </w:rPr>
              <w:instrText xml:space="preserve"> = 2 \* ROMAN \* MERGEFORMAT </w:instrText>
            </w:r>
            <w:r>
              <w:rPr>
                <w:rFonts w:hint="eastAsia" w:ascii="Times New Roman" w:hAnsi="Times New Roman" w:cs="Times New Roman"/>
                <w:color w:val="000000"/>
                <w:kern w:val="0"/>
                <w:sz w:val="24"/>
                <w:szCs w:val="24"/>
                <w:lang w:val="en-US" w:eastAsia="zh-CN" w:bidi="ar"/>
              </w:rPr>
              <w:fldChar w:fldCharType="separate"/>
            </w:r>
            <w:r>
              <w:rPr>
                <w:sz w:val="24"/>
                <w:szCs w:val="24"/>
              </w:rPr>
              <w:t>II</w:t>
            </w:r>
            <w:r>
              <w:rPr>
                <w:rFonts w:hint="eastAsia" w:ascii="Times New Roman" w:hAnsi="Times New Roman" w:cs="Times New Roman"/>
                <w:color w:val="000000"/>
                <w:kern w:val="0"/>
                <w:sz w:val="24"/>
                <w:szCs w:val="24"/>
                <w:lang w:val="en-US" w:eastAsia="zh-CN" w:bidi="ar"/>
              </w:rPr>
              <w:fldChar w:fldCharType="end"/>
            </w:r>
            <w:r>
              <w:rPr>
                <w:rFonts w:hint="default" w:ascii="Times New Roman" w:hAnsi="Times New Roman" w:cs="Times New Roman"/>
                <w:color w:val="000000"/>
                <w:kern w:val="0"/>
                <w:sz w:val="24"/>
                <w:szCs w:val="24"/>
                <w:lang w:bidi="ar"/>
              </w:rPr>
              <w:t>类标准，监测断面中COD、氨氮、总磷浓度均达</w:t>
            </w:r>
            <w:r>
              <w:rPr>
                <w:color w:val="000000"/>
                <w:kern w:val="0"/>
                <w:sz w:val="24"/>
                <w:szCs w:val="24"/>
                <w:lang w:bidi="ar"/>
              </w:rPr>
              <w:t>标，断面地表水环境质量为优</w:t>
            </w:r>
            <w:r>
              <w:rPr>
                <w:rFonts w:hint="eastAsia"/>
                <w:color w:val="000000"/>
                <w:kern w:val="0"/>
                <w:sz w:val="24"/>
                <w:szCs w:val="24"/>
                <w:lang w:eastAsia="zh-CN" w:bidi="ar"/>
              </w:rPr>
              <w:t>。</w:t>
            </w:r>
          </w:p>
          <w:p>
            <w:pPr>
              <w:pStyle w:val="29"/>
              <w:tabs>
                <w:tab w:val="left" w:pos="3377"/>
              </w:tabs>
              <w:autoSpaceDE w:val="0"/>
              <w:autoSpaceDN w:val="0"/>
              <w:spacing w:before="0" w:beforeAutospacing="0" w:after="0" w:afterAutospacing="0" w:line="360" w:lineRule="auto"/>
              <w:ind w:firstLine="480" w:firstLineChars="200"/>
              <w:jc w:val="both"/>
              <w:rPr>
                <w:rFonts w:hint="eastAsia"/>
                <w:sz w:val="24"/>
                <w:szCs w:val="24"/>
                <w:lang w:eastAsia="zh-CN"/>
              </w:rPr>
            </w:pPr>
            <w:r>
              <w:rPr>
                <w:rFonts w:hint="eastAsia"/>
                <w:sz w:val="24"/>
                <w:highlight w:val="none"/>
                <w:lang w:eastAsia="zh-CN"/>
              </w:rPr>
              <w:t>（</w:t>
            </w:r>
            <w:r>
              <w:rPr>
                <w:rFonts w:hint="eastAsia"/>
                <w:sz w:val="24"/>
                <w:highlight w:val="none"/>
                <w:lang w:val="en-US" w:eastAsia="zh-CN"/>
              </w:rPr>
              <w:t>4</w:t>
            </w:r>
            <w:r>
              <w:rPr>
                <w:rFonts w:hint="eastAsia"/>
                <w:sz w:val="24"/>
                <w:highlight w:val="none"/>
                <w:lang w:eastAsia="zh-CN"/>
              </w:rPr>
              <w:t>）土壤环境：</w:t>
            </w:r>
            <w:r>
              <w:rPr>
                <w:rFonts w:hint="eastAsia"/>
                <w:b w:val="0"/>
                <w:bCs/>
                <w:sz w:val="24"/>
                <w:lang w:val="en-US" w:eastAsia="zh-CN"/>
              </w:rPr>
              <w:t>为了解项目周边土壤环</w:t>
            </w:r>
            <w:r>
              <w:rPr>
                <w:rFonts w:hint="default" w:ascii="Times New Roman" w:hAnsi="Times New Roman" w:cs="Times New Roman"/>
                <w:b w:val="0"/>
                <w:bCs/>
                <w:sz w:val="24"/>
                <w:lang w:val="en-US" w:eastAsia="zh-CN"/>
              </w:rPr>
              <w:t>境状况，企业委托</w:t>
            </w:r>
            <w:r>
              <w:rPr>
                <w:rFonts w:hint="default" w:ascii="Times New Roman" w:hAnsi="Times New Roman" w:cs="Times New Roman"/>
                <w:color w:val="auto"/>
                <w:sz w:val="24"/>
                <w:szCs w:val="24"/>
              </w:rPr>
              <w:t>河南松筠检测技术有限公司</w:t>
            </w:r>
            <w:r>
              <w:rPr>
                <w:rFonts w:hint="default" w:ascii="Times New Roman" w:hAnsi="Times New Roman" w:cs="Times New Roman"/>
                <w:b w:val="0"/>
                <w:bCs/>
                <w:sz w:val="24"/>
                <w:lang w:val="en-US" w:eastAsia="zh-CN"/>
              </w:rPr>
              <w:t>于20</w:t>
            </w:r>
            <w:r>
              <w:rPr>
                <w:rFonts w:hint="eastAsia" w:ascii="Times New Roman" w:hAnsi="Times New Roman" w:cs="Times New Roman"/>
                <w:b w:val="0"/>
                <w:bCs/>
                <w:sz w:val="24"/>
                <w:lang w:val="en-US" w:eastAsia="zh-CN"/>
              </w:rPr>
              <w:t>20</w:t>
            </w:r>
            <w:r>
              <w:rPr>
                <w:rFonts w:hint="default" w:ascii="Times New Roman" w:hAnsi="Times New Roman" w:cs="Times New Roman"/>
                <w:b w:val="0"/>
                <w:bCs/>
                <w:sz w:val="24"/>
                <w:lang w:val="en-US" w:eastAsia="zh-CN"/>
              </w:rPr>
              <w:t>年</w:t>
            </w:r>
            <w:r>
              <w:rPr>
                <w:rFonts w:hint="eastAsia" w:ascii="Times New Roman" w:hAnsi="Times New Roman" w:cs="Times New Roman"/>
                <w:b w:val="0"/>
                <w:bCs/>
                <w:sz w:val="24"/>
                <w:lang w:val="en-US" w:eastAsia="zh-CN"/>
              </w:rPr>
              <w:t>5</w:t>
            </w:r>
            <w:r>
              <w:rPr>
                <w:rFonts w:hint="default" w:ascii="Times New Roman" w:hAnsi="Times New Roman" w:cs="Times New Roman"/>
                <w:b w:val="0"/>
                <w:bCs/>
                <w:sz w:val="24"/>
                <w:lang w:val="en-US" w:eastAsia="zh-CN"/>
              </w:rPr>
              <w:t>月</w:t>
            </w:r>
            <w:r>
              <w:rPr>
                <w:rFonts w:hint="eastAsia" w:ascii="Times New Roman" w:hAnsi="Times New Roman" w:cs="Times New Roman"/>
                <w:b w:val="0"/>
                <w:bCs/>
                <w:sz w:val="24"/>
                <w:lang w:val="en-US" w:eastAsia="zh-CN"/>
              </w:rPr>
              <w:t>27</w:t>
            </w:r>
            <w:r>
              <w:rPr>
                <w:rFonts w:hint="default" w:ascii="Times New Roman" w:hAnsi="Times New Roman" w:cs="Times New Roman"/>
                <w:b w:val="0"/>
                <w:bCs/>
                <w:sz w:val="24"/>
                <w:lang w:val="en-US" w:eastAsia="zh-CN"/>
              </w:rPr>
              <w:t>日对厂</w:t>
            </w:r>
            <w:r>
              <w:rPr>
                <w:rFonts w:hint="eastAsia"/>
                <w:b w:val="0"/>
                <w:bCs/>
                <w:sz w:val="24"/>
                <w:lang w:val="en-US" w:eastAsia="zh-CN"/>
              </w:rPr>
              <w:t>区土壤进行了取样检测，根据检测结果可知，</w:t>
            </w:r>
            <w:r>
              <w:rPr>
                <w:rFonts w:hint="eastAsia"/>
                <w:sz w:val="24"/>
                <w:szCs w:val="24"/>
                <w:lang w:val="en-US" w:eastAsia="zh-CN"/>
              </w:rPr>
              <w:t>各</w:t>
            </w:r>
            <w:r>
              <w:rPr>
                <w:rFonts w:hint="eastAsia"/>
                <w:sz w:val="24"/>
                <w:szCs w:val="24"/>
                <w:lang w:eastAsia="zh-CN"/>
              </w:rPr>
              <w:t>监</w:t>
            </w:r>
            <w:r>
              <w:rPr>
                <w:rFonts w:hint="eastAsia"/>
                <w:sz w:val="24"/>
                <w:szCs w:val="24"/>
              </w:rPr>
              <w:t>测点土壤中各监测因子均满足</w:t>
            </w:r>
            <w:r>
              <w:rPr>
                <w:rFonts w:hint="eastAsia"/>
                <w:bCs/>
                <w:sz w:val="24"/>
                <w:szCs w:val="24"/>
              </w:rPr>
              <w:t>《土壤环境质量 建设项目土壤污染风险管控标准（试行）》（GB36600-2018）</w:t>
            </w:r>
            <w:r>
              <w:rPr>
                <w:rFonts w:hint="eastAsia"/>
                <w:sz w:val="24"/>
                <w:szCs w:val="24"/>
              </w:rPr>
              <w:t>第二类用地筛选风险值标准</w:t>
            </w:r>
            <w:r>
              <w:rPr>
                <w:rFonts w:hint="eastAsia"/>
                <w:sz w:val="24"/>
                <w:szCs w:val="24"/>
                <w:lang w:eastAsia="zh-CN"/>
              </w:rPr>
              <w:t>。</w:t>
            </w:r>
          </w:p>
          <w:p>
            <w:pPr>
              <w:keepNext/>
              <w:keepLines/>
              <w:pageBreakBefore w:val="0"/>
              <w:widowControl w:val="0"/>
              <w:kinsoku/>
              <w:wordWrap/>
              <w:overflowPunct/>
              <w:topLinePunct w:val="0"/>
              <w:autoSpaceDE/>
              <w:autoSpaceDN/>
              <w:bidi w:val="0"/>
              <w:adjustRightInd/>
              <w:snapToGrid/>
              <w:spacing w:before="80" w:after="80" w:line="360" w:lineRule="auto"/>
              <w:ind w:firstLine="482" w:firstLineChars="200"/>
              <w:textAlignment w:val="auto"/>
              <w:outlineLvl w:val="2"/>
              <w:rPr>
                <w:rFonts w:hint="eastAsia" w:ascii="Times New Roman" w:hAnsi="Times New Roman" w:cs="Times New Roman"/>
                <w:b/>
                <w:bCs/>
                <w:sz w:val="24"/>
                <w:lang w:val="en-US" w:eastAsia="zh-CN"/>
              </w:rPr>
            </w:pPr>
            <w:r>
              <w:rPr>
                <w:rFonts w:hint="eastAsia" w:ascii="Times New Roman" w:hAnsi="Times New Roman" w:cs="Times New Roman"/>
                <w:b/>
                <w:bCs/>
                <w:sz w:val="24"/>
                <w:lang w:val="en-US" w:eastAsia="zh-CN"/>
              </w:rPr>
              <w:t>5</w:t>
            </w:r>
            <w:r>
              <w:rPr>
                <w:rFonts w:hint="eastAsia" w:cs="Times New Roman"/>
                <w:b/>
                <w:bCs/>
                <w:sz w:val="24"/>
                <w:lang w:val="en-US" w:eastAsia="zh-CN"/>
              </w:rPr>
              <w:t>.</w:t>
            </w:r>
            <w:r>
              <w:rPr>
                <w:rFonts w:hint="eastAsia" w:ascii="Times New Roman" w:hAnsi="Times New Roman" w:cs="Times New Roman"/>
                <w:b/>
                <w:bCs/>
                <w:sz w:val="24"/>
                <w:lang w:val="en-US" w:eastAsia="zh-CN"/>
              </w:rPr>
              <w:t>营运期环境影响评价结论</w:t>
            </w:r>
          </w:p>
          <w:p>
            <w:pPr>
              <w:spacing w:line="360" w:lineRule="auto"/>
              <w:ind w:firstLine="480" w:firstLineChars="200"/>
              <w:rPr>
                <w:sz w:val="24"/>
              </w:rPr>
            </w:pPr>
            <w:r>
              <w:rPr>
                <w:rFonts w:hint="eastAsia"/>
                <w:sz w:val="24"/>
              </w:rPr>
              <w:t>（1）废气</w:t>
            </w:r>
          </w:p>
          <w:p>
            <w:pPr>
              <w:spacing w:line="360" w:lineRule="auto"/>
              <w:ind w:firstLine="456"/>
              <w:rPr>
                <w:rFonts w:hint="eastAsia"/>
                <w:sz w:val="24"/>
              </w:rPr>
            </w:pPr>
            <w:r>
              <w:rPr>
                <w:rFonts w:hint="eastAsia"/>
                <w:sz w:val="24"/>
              </w:rPr>
              <w:t>项目废气主要为</w:t>
            </w:r>
            <w:r>
              <w:rPr>
                <w:rFonts w:hint="eastAsia"/>
                <w:sz w:val="24"/>
                <w:lang w:eastAsia="zh-CN"/>
              </w:rPr>
              <w:t>焊接烟尘</w:t>
            </w:r>
            <w:r>
              <w:rPr>
                <w:rFonts w:hint="eastAsia"/>
                <w:sz w:val="24"/>
              </w:rPr>
              <w:t>。建设单位</w:t>
            </w:r>
            <w:r>
              <w:rPr>
                <w:rFonts w:hint="eastAsia"/>
                <w:sz w:val="24"/>
                <w:lang w:eastAsia="zh-CN"/>
              </w:rPr>
              <w:t>每台焊机配套安装</w:t>
            </w:r>
            <w:r>
              <w:rPr>
                <w:rFonts w:hint="eastAsia"/>
                <w:sz w:val="24"/>
                <w:lang w:val="en-US" w:eastAsia="zh-CN"/>
              </w:rPr>
              <w:t>1台焊烟净化器，</w:t>
            </w:r>
            <w:r>
              <w:rPr>
                <w:rFonts w:hint="eastAsia"/>
                <w:sz w:val="24"/>
                <w:lang w:eastAsia="zh-CN"/>
              </w:rPr>
              <w:t>净化后的废气直接排放</w:t>
            </w:r>
            <w:r>
              <w:rPr>
                <w:rFonts w:hint="eastAsia"/>
                <w:sz w:val="24"/>
                <w:lang w:val="en-US" w:eastAsia="zh-CN"/>
              </w:rPr>
              <w:t>。</w:t>
            </w:r>
          </w:p>
          <w:p>
            <w:pPr>
              <w:spacing w:line="360" w:lineRule="auto"/>
              <w:ind w:firstLine="480" w:firstLineChars="200"/>
              <w:rPr>
                <w:rFonts w:hAnsi="宋体"/>
                <w:sz w:val="24"/>
              </w:rPr>
            </w:pPr>
            <w:r>
              <w:rPr>
                <w:rFonts w:hint="eastAsia"/>
                <w:sz w:val="24"/>
              </w:rPr>
              <w:t>（2）</w:t>
            </w:r>
            <w:r>
              <w:rPr>
                <w:rFonts w:hAnsi="宋体"/>
                <w:sz w:val="24"/>
              </w:rPr>
              <w:t>废水</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rPr>
            </w:pPr>
            <w:r>
              <w:rPr>
                <w:rFonts w:hint="eastAsia"/>
                <w:sz w:val="24"/>
                <w:szCs w:val="24"/>
                <w:lang w:eastAsia="zh-CN"/>
              </w:rPr>
              <w:t>本</w:t>
            </w:r>
            <w:r>
              <w:rPr>
                <w:rFonts w:hint="eastAsia"/>
                <w:sz w:val="24"/>
                <w:szCs w:val="24"/>
              </w:rPr>
              <w:t>项目废</w:t>
            </w:r>
            <w:r>
              <w:rPr>
                <w:rFonts w:hint="eastAsia"/>
                <w:sz w:val="24"/>
                <w:lang w:val="en-US" w:eastAsia="zh-CN"/>
              </w:rPr>
              <w:t>水为员工生活污水和洗车废水</w:t>
            </w:r>
            <w:r>
              <w:rPr>
                <w:rFonts w:hint="eastAsia"/>
                <w:sz w:val="24"/>
                <w:szCs w:val="24"/>
                <w:lang w:eastAsia="zh-CN"/>
              </w:rPr>
              <w:t>，</w:t>
            </w:r>
            <w:r>
              <w:rPr>
                <w:rFonts w:hint="eastAsia"/>
                <w:bCs/>
                <w:sz w:val="24"/>
                <w:szCs w:val="24"/>
              </w:rPr>
              <w:t>经厂区内</w:t>
            </w:r>
            <w:r>
              <w:rPr>
                <w:rFonts w:hint="eastAsia"/>
                <w:bCs/>
                <w:sz w:val="24"/>
                <w:szCs w:val="24"/>
                <w:lang w:eastAsia="zh-CN"/>
              </w:rPr>
              <w:t>现</w:t>
            </w:r>
            <w:r>
              <w:rPr>
                <w:rFonts w:hint="eastAsia"/>
                <w:bCs/>
                <w:sz w:val="24"/>
                <w:szCs w:val="24"/>
              </w:rPr>
              <w:t>有</w:t>
            </w:r>
            <w:r>
              <w:rPr>
                <w:rFonts w:hint="eastAsia"/>
                <w:bCs/>
                <w:sz w:val="24"/>
                <w:szCs w:val="24"/>
                <w:lang w:eastAsia="zh-CN"/>
              </w:rPr>
              <w:t>三格式</w:t>
            </w:r>
            <w:r>
              <w:rPr>
                <w:rFonts w:hint="eastAsia"/>
                <w:bCs/>
                <w:sz w:val="24"/>
                <w:szCs w:val="24"/>
              </w:rPr>
              <w:t>化粪池处理后</w:t>
            </w:r>
            <w:r>
              <w:rPr>
                <w:rFonts w:hint="eastAsia"/>
                <w:bCs/>
                <w:sz w:val="24"/>
                <w:szCs w:val="24"/>
                <w:lang w:eastAsia="zh-CN"/>
              </w:rPr>
              <w:t>，</w:t>
            </w:r>
            <w:r>
              <w:rPr>
                <w:rFonts w:hint="eastAsia"/>
                <w:bCs/>
                <w:sz w:val="24"/>
                <w:szCs w:val="24"/>
              </w:rPr>
              <w:t>由专业服务队伍采用专业抽粪车辆定期对粪水、粪渣进行收集、有效利用和无害化处理</w:t>
            </w:r>
            <w:r>
              <w:rPr>
                <w:rFonts w:hint="eastAsia"/>
                <w:bCs/>
                <w:sz w:val="24"/>
                <w:szCs w:val="24"/>
                <w:lang w:eastAsia="zh-CN"/>
              </w:rPr>
              <w:t>。</w:t>
            </w:r>
            <w:r>
              <w:rPr>
                <w:rFonts w:hint="eastAsia" w:ascii="宋体" w:hAnsi="宋体" w:cs="宋体"/>
                <w:color w:val="000000"/>
                <w:kern w:val="0"/>
                <w:sz w:val="24"/>
                <w:szCs w:val="24"/>
                <w:lang w:val="en-US" w:eastAsia="zh-CN" w:bidi="ar"/>
              </w:rPr>
              <w:t>车辆清洗废水</w:t>
            </w:r>
            <w:r>
              <w:rPr>
                <w:rFonts w:hint="eastAsia" w:ascii="宋体" w:hAnsi="宋体" w:eastAsia="宋体" w:cs="宋体"/>
                <w:color w:val="000000"/>
                <w:kern w:val="0"/>
                <w:sz w:val="24"/>
                <w:szCs w:val="24"/>
                <w:lang w:val="en-US" w:eastAsia="zh-CN" w:bidi="ar"/>
              </w:rPr>
              <w:t>经</w:t>
            </w:r>
            <w:r>
              <w:rPr>
                <w:rFonts w:hint="eastAsia" w:ascii="宋体" w:hAnsi="宋体" w:cs="宋体"/>
                <w:color w:val="000000"/>
                <w:kern w:val="0"/>
                <w:sz w:val="24"/>
                <w:szCs w:val="24"/>
                <w:lang w:val="en-US" w:eastAsia="zh-CN" w:bidi="ar"/>
              </w:rPr>
              <w:t>三级</w:t>
            </w:r>
            <w:r>
              <w:rPr>
                <w:rFonts w:hint="eastAsia" w:ascii="宋体" w:hAnsi="宋体" w:eastAsia="宋体" w:cs="宋体"/>
                <w:color w:val="000000"/>
                <w:kern w:val="0"/>
                <w:sz w:val="24"/>
                <w:szCs w:val="24"/>
                <w:lang w:val="en-US" w:eastAsia="zh-CN" w:bidi="ar"/>
              </w:rPr>
              <w:t>沉淀池沉淀后用作</w:t>
            </w:r>
            <w:r>
              <w:rPr>
                <w:rFonts w:hint="eastAsia" w:ascii="宋体" w:hAnsi="宋体" w:cs="宋体"/>
                <w:color w:val="000000"/>
                <w:kern w:val="0"/>
                <w:sz w:val="24"/>
                <w:szCs w:val="24"/>
                <w:lang w:val="en-US" w:eastAsia="zh-CN" w:bidi="ar"/>
              </w:rPr>
              <w:t>道路洒水抑尘</w:t>
            </w:r>
            <w:r>
              <w:rPr>
                <w:rFonts w:hint="eastAsia" w:ascii="宋体" w:hAnsi="宋体" w:eastAsia="宋体" w:cs="宋体"/>
                <w:color w:val="000000"/>
                <w:kern w:val="0"/>
                <w:sz w:val="24"/>
                <w:szCs w:val="24"/>
                <w:lang w:val="en-US" w:eastAsia="zh-CN" w:bidi="ar"/>
              </w:rPr>
              <w:t>。</w:t>
            </w:r>
            <w:r>
              <w:rPr>
                <w:rFonts w:hint="eastAsia" w:ascii="宋体" w:hAnsi="宋体" w:cs="宋体"/>
                <w:color w:val="000000"/>
                <w:kern w:val="0"/>
                <w:sz w:val="24"/>
                <w:szCs w:val="24"/>
                <w:lang w:val="en-US" w:eastAsia="zh-CN" w:bidi="ar"/>
              </w:rPr>
              <w:t>本项目废水均</w:t>
            </w:r>
            <w:r>
              <w:rPr>
                <w:rFonts w:hint="eastAsia"/>
                <w:bCs/>
                <w:sz w:val="24"/>
                <w:szCs w:val="24"/>
                <w:lang w:eastAsia="zh-CN"/>
              </w:rPr>
              <w:t>不外排，不会对周边地表水环境产生影响</w:t>
            </w:r>
            <w:r>
              <w:rPr>
                <w:rFonts w:hint="eastAsia"/>
                <w:bCs/>
                <w:sz w:val="24"/>
                <w:szCs w:val="24"/>
              </w:rPr>
              <w:t>。</w:t>
            </w:r>
          </w:p>
          <w:p>
            <w:pPr>
              <w:spacing w:line="360" w:lineRule="auto"/>
              <w:ind w:firstLine="480" w:firstLineChars="200"/>
              <w:rPr>
                <w:bCs/>
                <w:color w:val="auto"/>
                <w:sz w:val="24"/>
              </w:rPr>
            </w:pPr>
            <w:r>
              <w:rPr>
                <w:rFonts w:hint="eastAsia"/>
                <w:bCs/>
                <w:color w:val="auto"/>
                <w:sz w:val="24"/>
              </w:rPr>
              <w:t>（3）</w:t>
            </w:r>
            <w:r>
              <w:rPr>
                <w:bCs/>
                <w:color w:val="auto"/>
                <w:sz w:val="24"/>
              </w:rPr>
              <w:t>噪声</w:t>
            </w:r>
          </w:p>
          <w:p>
            <w:pPr>
              <w:spacing w:line="360" w:lineRule="auto"/>
              <w:ind w:firstLine="480" w:firstLineChars="200"/>
              <w:rPr>
                <w:color w:val="auto"/>
                <w:sz w:val="24"/>
              </w:rPr>
            </w:pPr>
            <w:r>
              <w:rPr>
                <w:rFonts w:hint="eastAsia"/>
                <w:color w:val="auto"/>
                <w:sz w:val="24"/>
                <w:szCs w:val="24"/>
              </w:rPr>
              <w:t>本项目的噪声源主要为</w:t>
            </w:r>
            <w:r>
              <w:rPr>
                <w:rFonts w:hint="eastAsia"/>
                <w:color w:val="auto"/>
                <w:sz w:val="24"/>
                <w:szCs w:val="24"/>
                <w:lang w:eastAsia="zh-CN"/>
              </w:rPr>
              <w:t>调直机、龙门吊、电焊机、空气压缩机</w:t>
            </w:r>
            <w:r>
              <w:rPr>
                <w:rFonts w:hint="eastAsia"/>
                <w:color w:val="auto"/>
                <w:sz w:val="24"/>
                <w:szCs w:val="24"/>
              </w:rPr>
              <w:t>等，噪声源强在</w:t>
            </w:r>
            <w:r>
              <w:rPr>
                <w:rFonts w:hint="eastAsia"/>
                <w:color w:val="auto"/>
                <w:sz w:val="24"/>
                <w:szCs w:val="24"/>
                <w:lang w:val="en-US" w:eastAsia="zh-CN"/>
              </w:rPr>
              <w:t>65</w:t>
            </w:r>
            <w:r>
              <w:rPr>
                <w:rFonts w:hint="eastAsia"/>
                <w:color w:val="auto"/>
                <w:sz w:val="24"/>
                <w:szCs w:val="24"/>
              </w:rPr>
              <w:t>~</w:t>
            </w:r>
            <w:r>
              <w:rPr>
                <w:rFonts w:hint="eastAsia"/>
                <w:color w:val="auto"/>
                <w:sz w:val="24"/>
                <w:szCs w:val="24"/>
                <w:lang w:val="en-US" w:eastAsia="zh-CN"/>
              </w:rPr>
              <w:t>95</w:t>
            </w:r>
            <w:r>
              <w:rPr>
                <w:rFonts w:hint="eastAsia"/>
                <w:color w:val="auto"/>
                <w:sz w:val="24"/>
                <w:szCs w:val="24"/>
              </w:rPr>
              <w:t>dB（A）</w:t>
            </w:r>
            <w:r>
              <w:rPr>
                <w:rFonts w:hint="eastAsia"/>
                <w:color w:val="auto"/>
                <w:sz w:val="24"/>
                <w:szCs w:val="24"/>
                <w:lang w:eastAsia="zh-CN"/>
              </w:rPr>
              <w:t>，</w:t>
            </w:r>
            <w:r>
              <w:rPr>
                <w:color w:val="auto"/>
                <w:sz w:val="24"/>
                <w:szCs w:val="24"/>
              </w:rPr>
              <w:t>经减振、隔声后，</w:t>
            </w:r>
            <w:r>
              <w:rPr>
                <w:rFonts w:hint="eastAsia"/>
                <w:color w:val="auto"/>
                <w:sz w:val="24"/>
                <w:szCs w:val="24"/>
                <w:lang w:eastAsia="zh-CN"/>
              </w:rPr>
              <w:t>各</w:t>
            </w:r>
            <w:r>
              <w:rPr>
                <w:color w:val="auto"/>
                <w:sz w:val="24"/>
                <w:szCs w:val="24"/>
              </w:rPr>
              <w:t>厂界噪声</w:t>
            </w:r>
            <w:r>
              <w:rPr>
                <w:rFonts w:hint="eastAsia"/>
                <w:color w:val="auto"/>
                <w:sz w:val="24"/>
                <w:szCs w:val="24"/>
                <w:lang w:eastAsia="zh-CN"/>
              </w:rPr>
              <w:t>贡献</w:t>
            </w:r>
            <w:r>
              <w:rPr>
                <w:rFonts w:hint="eastAsia"/>
                <w:color w:val="auto"/>
                <w:sz w:val="24"/>
                <w:szCs w:val="24"/>
              </w:rPr>
              <w:t>值均能</w:t>
            </w:r>
            <w:r>
              <w:rPr>
                <w:color w:val="auto"/>
                <w:sz w:val="24"/>
                <w:szCs w:val="24"/>
              </w:rPr>
              <w:t>满足《工业企业厂界环境噪声排放标准》（GB12348-2008）</w:t>
            </w:r>
            <w:r>
              <w:rPr>
                <w:rFonts w:hint="eastAsia"/>
                <w:color w:val="auto"/>
                <w:sz w:val="24"/>
                <w:szCs w:val="24"/>
              </w:rPr>
              <w:t>2</w:t>
            </w:r>
            <w:r>
              <w:rPr>
                <w:color w:val="auto"/>
                <w:sz w:val="24"/>
                <w:szCs w:val="24"/>
              </w:rPr>
              <w:t>类标准</w:t>
            </w:r>
            <w:r>
              <w:rPr>
                <w:rFonts w:hint="eastAsia" w:asciiTheme="minorEastAsia" w:hAnsiTheme="minorEastAsia" w:eastAsiaTheme="minorEastAsia"/>
                <w:color w:val="auto"/>
                <w:sz w:val="24"/>
                <w:szCs w:val="24"/>
                <w:lang w:eastAsia="zh-CN"/>
              </w:rPr>
              <w:t>，坡头村噪声预测值满足</w:t>
            </w:r>
            <w:r>
              <w:rPr>
                <w:rFonts w:hint="default" w:ascii="Times New Roman" w:hAnsi="Times New Roman" w:cs="Times New Roman"/>
                <w:sz w:val="24"/>
                <w:szCs w:val="24"/>
              </w:rPr>
              <w:t>《声环境质量标准》（GB3096-2008）</w:t>
            </w:r>
            <w:r>
              <w:rPr>
                <w:rFonts w:hint="eastAsia"/>
                <w:color w:val="auto"/>
                <w:sz w:val="24"/>
                <w:szCs w:val="24"/>
              </w:rPr>
              <w:t>2</w:t>
            </w:r>
            <w:r>
              <w:rPr>
                <w:color w:val="auto"/>
                <w:sz w:val="24"/>
                <w:szCs w:val="24"/>
              </w:rPr>
              <w:t>类标准</w:t>
            </w:r>
            <w:r>
              <w:rPr>
                <w:rFonts w:hint="eastAsia"/>
                <w:color w:val="auto"/>
                <w:sz w:val="24"/>
                <w:szCs w:val="24"/>
              </w:rPr>
              <w:t>。</w:t>
            </w:r>
            <w:r>
              <w:rPr>
                <w:color w:val="auto"/>
                <w:sz w:val="24"/>
                <w:szCs w:val="24"/>
              </w:rPr>
              <w:t>因此，本项目运营期设备运行产生的噪声不会对周围环境产生明显影响。</w:t>
            </w:r>
          </w:p>
          <w:p>
            <w:pPr>
              <w:spacing w:line="360" w:lineRule="auto"/>
              <w:ind w:firstLine="480" w:firstLineChars="200"/>
              <w:rPr>
                <w:bCs/>
                <w:sz w:val="24"/>
              </w:rPr>
            </w:pPr>
            <w:r>
              <w:rPr>
                <w:rFonts w:hint="eastAsia"/>
                <w:bCs/>
                <w:sz w:val="24"/>
              </w:rPr>
              <w:t>（4）</w:t>
            </w:r>
            <w:r>
              <w:rPr>
                <w:bCs/>
                <w:sz w:val="24"/>
              </w:rPr>
              <w:t>固体废物</w:t>
            </w:r>
          </w:p>
          <w:p>
            <w:pPr>
              <w:spacing w:line="360" w:lineRule="auto"/>
              <w:ind w:firstLine="480" w:firstLineChars="200"/>
              <w:rPr>
                <w:rFonts w:hint="eastAsia"/>
                <w:color w:val="FF0000"/>
                <w:sz w:val="24"/>
              </w:rPr>
            </w:pPr>
            <w:r>
              <w:rPr>
                <w:rFonts w:hint="eastAsia"/>
                <w:sz w:val="24"/>
                <w:szCs w:val="24"/>
              </w:rPr>
              <w:t>项目固体废物有生活垃圾、</w:t>
            </w:r>
            <w:r>
              <w:rPr>
                <w:rFonts w:hint="eastAsia"/>
                <w:sz w:val="24"/>
                <w:szCs w:val="24"/>
                <w:lang w:eastAsia="zh-CN"/>
              </w:rPr>
              <w:t>废边角料</w:t>
            </w:r>
            <w:r>
              <w:rPr>
                <w:rFonts w:hint="eastAsia"/>
                <w:sz w:val="24"/>
                <w:szCs w:val="24"/>
              </w:rPr>
              <w:t>。</w:t>
            </w:r>
            <w:r>
              <w:rPr>
                <w:snapToGrid w:val="0"/>
                <w:sz w:val="24"/>
              </w:rPr>
              <w:t>生活垃圾在厂区内统一收集后</w:t>
            </w:r>
            <w:r>
              <w:rPr>
                <w:rFonts w:hint="eastAsia"/>
                <w:snapToGrid w:val="0"/>
                <w:sz w:val="24"/>
              </w:rPr>
              <w:t>，由环卫部门定期清运</w:t>
            </w:r>
            <w:r>
              <w:rPr>
                <w:rFonts w:hint="eastAsia"/>
                <w:sz w:val="24"/>
                <w:szCs w:val="24"/>
                <w:lang w:eastAsia="zh-CN"/>
              </w:rPr>
              <w:t>；</w:t>
            </w:r>
            <w:r>
              <w:rPr>
                <w:rFonts w:hint="eastAsia"/>
                <w:sz w:val="24"/>
                <w:szCs w:val="24"/>
              </w:rPr>
              <w:t>废</w:t>
            </w:r>
            <w:r>
              <w:rPr>
                <w:rFonts w:hint="eastAsia"/>
                <w:sz w:val="24"/>
                <w:szCs w:val="24"/>
                <w:lang w:eastAsia="zh-CN"/>
              </w:rPr>
              <w:t>边角料</w:t>
            </w:r>
            <w:r>
              <w:rPr>
                <w:sz w:val="24"/>
              </w:rPr>
              <w:t>集中收集后暂存于一般固废暂存间，</w:t>
            </w:r>
            <w:r>
              <w:rPr>
                <w:rFonts w:hint="eastAsia"/>
                <w:sz w:val="24"/>
              </w:rPr>
              <w:t>出售给专门的回收公司进行综合利用</w:t>
            </w:r>
            <w:r>
              <w:rPr>
                <w:rFonts w:hint="eastAsia"/>
                <w:bCs/>
                <w:sz w:val="24"/>
              </w:rPr>
              <w:t>。</w:t>
            </w:r>
            <w:r>
              <w:rPr>
                <w:rFonts w:hint="eastAsia"/>
                <w:sz w:val="24"/>
              </w:rPr>
              <w:t>本项目固体废弃物处理措施合理，对周围环境没有影响</w:t>
            </w:r>
            <w:r>
              <w:rPr>
                <w:rFonts w:hint="eastAsia"/>
                <w:color w:val="auto"/>
                <w:sz w:val="24"/>
              </w:rPr>
              <w:t>。</w:t>
            </w:r>
          </w:p>
          <w:p>
            <w:pPr>
              <w:spacing w:line="360" w:lineRule="auto"/>
              <w:ind w:firstLine="480" w:firstLineChars="200"/>
              <w:rPr>
                <w:rFonts w:hint="eastAsia" w:eastAsia="宋体"/>
                <w:bCs/>
                <w:sz w:val="24"/>
                <w:highlight w:val="none"/>
                <w:lang w:eastAsia="zh-CN"/>
              </w:rPr>
            </w:pPr>
            <w:r>
              <w:rPr>
                <w:rFonts w:hint="eastAsia"/>
                <w:bCs/>
                <w:sz w:val="24"/>
                <w:highlight w:val="none"/>
              </w:rPr>
              <w:t>（</w:t>
            </w:r>
            <w:r>
              <w:rPr>
                <w:rFonts w:hint="eastAsia"/>
                <w:bCs/>
                <w:sz w:val="24"/>
                <w:highlight w:val="none"/>
                <w:lang w:val="en-US" w:eastAsia="zh-CN"/>
              </w:rPr>
              <w:t>5</w:t>
            </w:r>
            <w:r>
              <w:rPr>
                <w:rFonts w:hint="eastAsia"/>
                <w:bCs/>
                <w:sz w:val="24"/>
                <w:highlight w:val="none"/>
              </w:rPr>
              <w:t>）</w:t>
            </w:r>
            <w:r>
              <w:rPr>
                <w:rFonts w:hint="eastAsia"/>
                <w:bCs/>
                <w:sz w:val="24"/>
                <w:highlight w:val="none"/>
                <w:lang w:eastAsia="zh-CN"/>
              </w:rPr>
              <w:t>土壤</w:t>
            </w:r>
          </w:p>
          <w:p>
            <w:pPr>
              <w:keepNext w:val="0"/>
              <w:keepLines w:val="0"/>
              <w:pageBreakBefore w:val="0"/>
              <w:widowControl w:val="0"/>
              <w:kinsoku/>
              <w:wordWrap/>
              <w:overflowPunct/>
              <w:topLinePunct w:val="0"/>
              <w:bidi w:val="0"/>
              <w:snapToGrid/>
              <w:spacing w:line="360" w:lineRule="auto"/>
              <w:ind w:firstLine="480" w:firstLineChars="200"/>
              <w:textAlignment w:val="auto"/>
              <w:rPr>
                <w:bCs/>
                <w:color w:val="auto"/>
                <w:sz w:val="24"/>
                <w:szCs w:val="24"/>
              </w:rPr>
            </w:pPr>
            <w:r>
              <w:rPr>
                <w:rStyle w:val="113"/>
                <w:rFonts w:hint="default"/>
                <w:color w:val="auto"/>
                <w:sz w:val="24"/>
                <w:szCs w:val="24"/>
              </w:rPr>
              <w:t>拟建工程的生产过程中产生的废物，有可能进入环境造成土壤污染的途径</w:t>
            </w:r>
            <w:r>
              <w:rPr>
                <w:rStyle w:val="113"/>
                <w:rFonts w:hint="eastAsia"/>
                <w:color w:val="auto"/>
                <w:sz w:val="24"/>
                <w:szCs w:val="24"/>
                <w:lang w:eastAsia="zh-CN"/>
              </w:rPr>
              <w:t>为生产过程</w:t>
            </w:r>
            <w:r>
              <w:rPr>
                <w:color w:val="auto"/>
                <w:sz w:val="24"/>
                <w:szCs w:val="24"/>
              </w:rPr>
              <w:t>产生废气</w:t>
            </w:r>
            <w:r>
              <w:rPr>
                <w:rFonts w:hint="eastAsia"/>
                <w:color w:val="auto"/>
                <w:sz w:val="24"/>
                <w:szCs w:val="24"/>
                <w:lang w:eastAsia="zh-CN"/>
              </w:rPr>
              <w:t>通过大气沉降进入土壤以及</w:t>
            </w:r>
            <w:r>
              <w:rPr>
                <w:rStyle w:val="113"/>
                <w:rFonts w:hint="eastAsia"/>
                <w:color w:val="auto"/>
                <w:sz w:val="24"/>
                <w:szCs w:val="24"/>
                <w:lang w:eastAsia="zh-CN"/>
              </w:rPr>
              <w:t>化粪池废水、车辆清洗废水通过垂直入渗污染土壤。</w:t>
            </w:r>
            <w:r>
              <w:rPr>
                <w:rFonts w:hint="eastAsia"/>
                <w:color w:val="auto"/>
                <w:sz w:val="24"/>
                <w:szCs w:val="24"/>
              </w:rPr>
              <w:t>防治土壤污染遵循“</w:t>
            </w:r>
            <w:r>
              <w:rPr>
                <w:color w:val="auto"/>
                <w:sz w:val="24"/>
                <w:szCs w:val="24"/>
              </w:rPr>
              <w:t>源头控制、分区防治、</w:t>
            </w:r>
            <w:r>
              <w:rPr>
                <w:color w:val="auto"/>
                <w:kern w:val="0"/>
                <w:sz w:val="24"/>
                <w:szCs w:val="24"/>
              </w:rPr>
              <w:t>跟踪监测</w:t>
            </w:r>
            <w:r>
              <w:rPr>
                <w:rFonts w:hint="eastAsia"/>
                <w:color w:val="auto"/>
                <w:sz w:val="24"/>
                <w:szCs w:val="24"/>
              </w:rPr>
              <w:t>”原则，落实污染防治措施，并建立应急响应机制。</w:t>
            </w:r>
            <w:r>
              <w:rPr>
                <w:color w:val="auto"/>
                <w:sz w:val="24"/>
                <w:szCs w:val="24"/>
              </w:rPr>
              <w:t>企业要加强防治结合、预防为主的环境保护措施，严格遵守环境影响评价制度和</w:t>
            </w:r>
            <w:r>
              <w:rPr>
                <w:rFonts w:hint="eastAsia"/>
                <w:color w:val="auto"/>
                <w:sz w:val="24"/>
                <w:szCs w:val="24"/>
              </w:rPr>
              <w:t>“</w:t>
            </w:r>
            <w:r>
              <w:rPr>
                <w:color w:val="auto"/>
                <w:sz w:val="24"/>
                <w:szCs w:val="24"/>
              </w:rPr>
              <w:t>三同时</w:t>
            </w:r>
            <w:r>
              <w:rPr>
                <w:rFonts w:hint="eastAsia"/>
                <w:color w:val="auto"/>
                <w:sz w:val="24"/>
                <w:szCs w:val="24"/>
              </w:rPr>
              <w:t>”</w:t>
            </w:r>
            <w:r>
              <w:rPr>
                <w:color w:val="auto"/>
                <w:sz w:val="24"/>
                <w:szCs w:val="24"/>
              </w:rPr>
              <w:t>制度，建立和完善环境管理体系，全面实施清洁生产，杜绝土壤污染事件发生。</w:t>
            </w:r>
            <w:r>
              <w:rPr>
                <w:bCs/>
                <w:color w:val="auto"/>
                <w:sz w:val="24"/>
                <w:szCs w:val="24"/>
              </w:rPr>
              <w:t>经采取严格的措施后，评价认为正常状态项目的建设对土壤环境影响较小。</w:t>
            </w:r>
          </w:p>
          <w:p>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bCs/>
                <w:sz w:val="24"/>
                <w:lang w:eastAsia="zh-CN"/>
              </w:rPr>
            </w:pPr>
            <w:r>
              <w:rPr>
                <w:rFonts w:hint="eastAsia"/>
                <w:bCs/>
                <w:sz w:val="24"/>
              </w:rPr>
              <w:t>（</w:t>
            </w:r>
            <w:r>
              <w:rPr>
                <w:rFonts w:hint="eastAsia"/>
                <w:bCs/>
                <w:sz w:val="24"/>
                <w:lang w:val="en-US" w:eastAsia="zh-CN"/>
              </w:rPr>
              <w:t>6</w:t>
            </w:r>
            <w:r>
              <w:rPr>
                <w:rFonts w:hint="eastAsia"/>
                <w:bCs/>
                <w:sz w:val="24"/>
              </w:rPr>
              <w:t>）</w:t>
            </w:r>
            <w:r>
              <w:rPr>
                <w:rFonts w:hint="eastAsia"/>
                <w:bCs/>
                <w:sz w:val="24"/>
                <w:lang w:eastAsia="zh-CN"/>
              </w:rPr>
              <w:t>环境风险</w:t>
            </w:r>
          </w:p>
          <w:p>
            <w:pPr>
              <w:pStyle w:val="38"/>
              <w:keepNext w:val="0"/>
              <w:keepLines w:val="0"/>
              <w:pageBreakBefore w:val="0"/>
              <w:widowControl w:val="0"/>
              <w:kinsoku/>
              <w:wordWrap/>
              <w:overflowPunct/>
              <w:topLinePunct w:val="0"/>
              <w:bidi w:val="0"/>
              <w:snapToGrid/>
              <w:spacing w:line="360" w:lineRule="auto"/>
              <w:ind w:firstLine="480" w:firstLineChars="200"/>
              <w:textAlignment w:val="auto"/>
              <w:rPr>
                <w:rFonts w:hint="eastAsia"/>
                <w:color w:val="FF0000"/>
                <w:sz w:val="24"/>
              </w:rPr>
            </w:pPr>
            <w:r>
              <w:rPr>
                <w:color w:val="auto"/>
                <w:sz w:val="24"/>
                <w:szCs w:val="24"/>
              </w:rPr>
              <w:t>项目运营期主要风险为</w:t>
            </w:r>
            <w:r>
              <w:rPr>
                <w:rFonts w:hint="eastAsia"/>
                <w:color w:val="auto"/>
                <w:sz w:val="24"/>
                <w:szCs w:val="24"/>
                <w:lang w:eastAsia="zh-CN"/>
              </w:rPr>
              <w:t>废气处理</w:t>
            </w:r>
            <w:r>
              <w:rPr>
                <w:color w:val="auto"/>
                <w:sz w:val="24"/>
                <w:szCs w:val="24"/>
              </w:rPr>
              <w:t>设备不能正常运行时未经处理的</w:t>
            </w:r>
            <w:r>
              <w:rPr>
                <w:rFonts w:hint="eastAsia"/>
                <w:color w:val="auto"/>
                <w:sz w:val="24"/>
                <w:szCs w:val="24"/>
                <w:lang w:eastAsia="zh-CN"/>
              </w:rPr>
              <w:t>废气</w:t>
            </w:r>
            <w:r>
              <w:rPr>
                <w:color w:val="auto"/>
                <w:sz w:val="24"/>
                <w:szCs w:val="24"/>
              </w:rPr>
              <w:t>对周边环境的影响</w:t>
            </w:r>
            <w:r>
              <w:rPr>
                <w:rFonts w:hint="eastAsia"/>
                <w:bCs/>
                <w:color w:val="auto"/>
                <w:sz w:val="24"/>
                <w:szCs w:val="24"/>
                <w:lang w:eastAsia="zh-CN"/>
              </w:rPr>
              <w:t>。企业生产过程中</w:t>
            </w:r>
            <w:r>
              <w:rPr>
                <w:rFonts w:hint="eastAsia"/>
                <w:color w:val="auto"/>
                <w:sz w:val="24"/>
                <w:szCs w:val="24"/>
                <w:lang w:eastAsia="zh-CN"/>
              </w:rPr>
              <w:t>加强对废气处理设备的管理，如出现故障，及时停车进行检修。</w:t>
            </w:r>
            <w:r>
              <w:rPr>
                <w:bCs/>
                <w:color w:val="auto"/>
                <w:sz w:val="24"/>
                <w:szCs w:val="24"/>
              </w:rPr>
              <w:t>结合企业在运营期间不断完善的风险防范措施，企业在严格做好各项风险防范措施</w:t>
            </w:r>
            <w:r>
              <w:rPr>
                <w:rFonts w:hint="eastAsia"/>
                <w:bCs/>
                <w:color w:val="auto"/>
                <w:sz w:val="24"/>
                <w:szCs w:val="24"/>
                <w:lang w:eastAsia="zh-CN"/>
              </w:rPr>
              <w:t>后，</w:t>
            </w:r>
            <w:r>
              <w:rPr>
                <w:bCs/>
                <w:color w:val="auto"/>
                <w:sz w:val="24"/>
                <w:szCs w:val="24"/>
              </w:rPr>
              <w:t>从环境风险水平上来看是</w:t>
            </w:r>
            <w:r>
              <w:rPr>
                <w:rFonts w:hint="eastAsia"/>
                <w:bCs/>
                <w:color w:val="auto"/>
                <w:sz w:val="24"/>
                <w:szCs w:val="24"/>
              </w:rPr>
              <w:t>可控</w:t>
            </w:r>
            <w:r>
              <w:rPr>
                <w:bCs/>
                <w:color w:val="auto"/>
                <w:sz w:val="24"/>
                <w:szCs w:val="24"/>
              </w:rPr>
              <w:t>的。</w:t>
            </w:r>
          </w:p>
          <w:p>
            <w:pPr>
              <w:keepNext/>
              <w:keepLines/>
              <w:pageBreakBefore w:val="0"/>
              <w:widowControl w:val="0"/>
              <w:kinsoku/>
              <w:wordWrap/>
              <w:overflowPunct/>
              <w:topLinePunct w:val="0"/>
              <w:autoSpaceDE/>
              <w:autoSpaceDN/>
              <w:bidi w:val="0"/>
              <w:adjustRightInd/>
              <w:snapToGrid/>
              <w:spacing w:before="80" w:after="80" w:line="360" w:lineRule="auto"/>
              <w:ind w:firstLine="482" w:firstLineChars="200"/>
              <w:textAlignment w:val="auto"/>
              <w:outlineLvl w:val="2"/>
              <w:rPr>
                <w:rFonts w:hint="eastAsia" w:ascii="Times New Roman" w:hAnsi="Times New Roman" w:cs="Times New Roman"/>
                <w:b/>
                <w:bCs/>
                <w:sz w:val="24"/>
                <w:lang w:val="en-US" w:eastAsia="zh-CN"/>
              </w:rPr>
            </w:pPr>
            <w:r>
              <w:rPr>
                <w:rFonts w:hint="eastAsia" w:ascii="Times New Roman" w:hAnsi="Times New Roman" w:cs="Times New Roman"/>
                <w:b/>
                <w:bCs/>
                <w:sz w:val="24"/>
                <w:lang w:val="en-US" w:eastAsia="zh-CN"/>
              </w:rPr>
              <w:t>6</w:t>
            </w:r>
            <w:r>
              <w:rPr>
                <w:rFonts w:hint="eastAsia" w:cs="Times New Roman"/>
                <w:b/>
                <w:bCs/>
                <w:sz w:val="24"/>
                <w:lang w:val="en-US" w:eastAsia="zh-CN"/>
              </w:rPr>
              <w:t>.</w:t>
            </w:r>
            <w:r>
              <w:rPr>
                <w:rFonts w:hint="eastAsia" w:ascii="Times New Roman" w:hAnsi="Times New Roman" w:cs="Times New Roman"/>
                <w:b/>
                <w:bCs/>
                <w:sz w:val="24"/>
                <w:lang w:val="en-US" w:eastAsia="zh-CN"/>
              </w:rPr>
              <w:t>总量控制指标</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bCs/>
                <w:color w:val="auto"/>
                <w:sz w:val="24"/>
                <w:highlight w:val="none"/>
              </w:rPr>
            </w:pPr>
            <w:r>
              <w:rPr>
                <w:rFonts w:hint="default" w:ascii="Times New Roman" w:hAnsi="Times New Roman" w:cs="Times New Roman"/>
                <w:bCs/>
                <w:color w:val="auto"/>
                <w:sz w:val="24"/>
              </w:rPr>
              <w:t>本项目废水不外排，产生的废气</w:t>
            </w:r>
            <w:r>
              <w:rPr>
                <w:rFonts w:hint="default" w:ascii="Times New Roman" w:hAnsi="Times New Roman" w:cs="Times New Roman"/>
                <w:bCs/>
                <w:color w:val="auto"/>
                <w:sz w:val="24"/>
                <w:lang w:eastAsia="zh-CN"/>
              </w:rPr>
              <w:t>为颗粒物</w:t>
            </w:r>
            <w:r>
              <w:rPr>
                <w:rFonts w:hint="default" w:ascii="Times New Roman" w:hAnsi="Times New Roman" w:cs="Times New Roman"/>
                <w:bCs/>
                <w:color w:val="auto"/>
                <w:sz w:val="24"/>
                <w:lang w:val="en-US" w:eastAsia="zh-CN"/>
              </w:rPr>
              <w:t>，</w:t>
            </w:r>
            <w:r>
              <w:rPr>
                <w:rFonts w:hint="default" w:ascii="Times New Roman" w:hAnsi="Times New Roman" w:cs="Times New Roman"/>
                <w:bCs/>
                <w:color w:val="auto"/>
                <w:sz w:val="24"/>
              </w:rPr>
              <w:t>不含SO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、NOx</w:t>
            </w:r>
            <w:r>
              <w:rPr>
                <w:rFonts w:hint="eastAsia" w:cs="Times New Roman"/>
                <w:bCs/>
                <w:color w:val="auto"/>
                <w:sz w:val="24"/>
                <w:lang w:eastAsia="zh-CN"/>
              </w:rPr>
              <w:t>。</w:t>
            </w:r>
            <w:r>
              <w:rPr>
                <w:rFonts w:hint="default" w:ascii="Times New Roman" w:hAnsi="Times New Roman" w:cs="Times New Roman"/>
                <w:bCs/>
                <w:color w:val="auto"/>
                <w:sz w:val="24"/>
              </w:rPr>
              <w:t>本项目</w:t>
            </w:r>
            <w:r>
              <w:rPr>
                <w:rFonts w:hint="eastAsia" w:cs="Times New Roman"/>
                <w:bCs/>
                <w:color w:val="auto"/>
                <w:sz w:val="24"/>
                <w:lang w:eastAsia="zh-CN"/>
              </w:rPr>
              <w:t>建成后，</w:t>
            </w:r>
            <w:r>
              <w:rPr>
                <w:rFonts w:hint="eastAsia" w:ascii="Times New Roman" w:hAnsi="Times New Roman" w:cs="Times New Roman"/>
                <w:bCs/>
                <w:color w:val="auto"/>
                <w:sz w:val="24"/>
                <w:lang w:eastAsia="zh-CN"/>
              </w:rPr>
              <w:t>污染物排放总量为</w:t>
            </w:r>
            <w:r>
              <w:rPr>
                <w:rFonts w:hint="default" w:ascii="Times New Roman" w:hAnsi="Times New Roman" w:cs="Times New Roman"/>
                <w:bCs/>
                <w:color w:val="auto"/>
                <w:sz w:val="24"/>
              </w:rPr>
              <w:t>：</w:t>
            </w:r>
            <w:r>
              <w:rPr>
                <w:bCs/>
                <w:color w:val="auto"/>
                <w:sz w:val="24"/>
                <w:highlight w:val="none"/>
              </w:rPr>
              <w:t>COD0t/a、NH</w:t>
            </w:r>
            <w:r>
              <w:rPr>
                <w:bCs/>
                <w:color w:val="auto"/>
                <w:sz w:val="24"/>
                <w:highlight w:val="none"/>
                <w:vertAlign w:val="subscript"/>
              </w:rPr>
              <w:t>3</w:t>
            </w:r>
            <w:r>
              <w:rPr>
                <w:bCs/>
                <w:color w:val="auto"/>
                <w:sz w:val="24"/>
                <w:highlight w:val="none"/>
              </w:rPr>
              <w:t>-N0t/a、SO</w:t>
            </w:r>
            <w:r>
              <w:rPr>
                <w:bCs/>
                <w:color w:val="auto"/>
                <w:sz w:val="24"/>
                <w:highlight w:val="none"/>
                <w:vertAlign w:val="subscript"/>
              </w:rPr>
              <w:t>2</w:t>
            </w:r>
            <w:r>
              <w:rPr>
                <w:bCs/>
                <w:color w:val="auto"/>
                <w:sz w:val="24"/>
                <w:highlight w:val="none"/>
              </w:rPr>
              <w:t>0t/a、NOx0t/a</w:t>
            </w:r>
            <w:r>
              <w:rPr>
                <w:rFonts w:hint="eastAsia"/>
                <w:bCs/>
                <w:color w:val="auto"/>
                <w:sz w:val="24"/>
                <w:highlight w:val="none"/>
              </w:rPr>
              <w:t>、</w:t>
            </w:r>
            <w:r>
              <w:rPr>
                <w:rFonts w:hint="eastAsia"/>
                <w:bCs/>
                <w:color w:val="auto"/>
                <w:sz w:val="24"/>
                <w:highlight w:val="none"/>
                <w:lang w:eastAsia="zh-CN"/>
              </w:rPr>
              <w:t>颗粒物</w:t>
            </w:r>
            <w:r>
              <w:rPr>
                <w:rFonts w:hint="eastAsia"/>
                <w:bCs/>
                <w:color w:val="auto"/>
                <w:sz w:val="24"/>
                <w:highlight w:val="none"/>
                <w:lang w:val="en-US" w:eastAsia="zh-CN"/>
              </w:rPr>
              <w:t>0.0242t/a</w:t>
            </w:r>
            <w:r>
              <w:rPr>
                <w:bCs/>
                <w:color w:val="auto"/>
                <w:sz w:val="24"/>
                <w:highlight w:val="none"/>
              </w:rPr>
              <w:t>。</w:t>
            </w:r>
          </w:p>
          <w:p>
            <w:pPr>
              <w:spacing w:line="360" w:lineRule="auto"/>
              <w:rPr>
                <w:b/>
                <w:bCs/>
                <w:sz w:val="28"/>
                <w:szCs w:val="28"/>
              </w:rPr>
            </w:pPr>
            <w:r>
              <w:rPr>
                <w:b/>
                <w:bCs/>
                <w:sz w:val="28"/>
                <w:szCs w:val="28"/>
              </w:rPr>
              <w:t>二、环评建议</w:t>
            </w:r>
          </w:p>
          <w:p>
            <w:pPr>
              <w:spacing w:line="360" w:lineRule="auto"/>
              <w:ind w:firstLine="480" w:firstLineChars="200"/>
              <w:rPr>
                <w:bCs/>
                <w:sz w:val="24"/>
              </w:rPr>
            </w:pPr>
            <w:r>
              <w:rPr>
                <w:rFonts w:hint="eastAsia"/>
                <w:bCs/>
                <w:sz w:val="24"/>
              </w:rPr>
              <w:t>（1）严格执行建设项目环保“三同时”制度，项目建成后经验收合格后方可正式投产。</w:t>
            </w:r>
          </w:p>
          <w:p>
            <w:pPr>
              <w:spacing w:line="360" w:lineRule="auto"/>
              <w:ind w:firstLine="480" w:firstLineChars="200"/>
              <w:rPr>
                <w:rFonts w:hint="eastAsia" w:hAnsi="宋体"/>
                <w:sz w:val="24"/>
              </w:rPr>
            </w:pPr>
            <w:r>
              <w:rPr>
                <w:rFonts w:hint="eastAsia"/>
                <w:bCs/>
                <w:sz w:val="24"/>
              </w:rPr>
              <w:t>（2）</w:t>
            </w:r>
            <w:r>
              <w:rPr>
                <w:sz w:val="24"/>
              </w:rPr>
              <w:t>严格落实环评</w:t>
            </w:r>
            <w:r>
              <w:rPr>
                <w:rFonts w:hint="eastAsia"/>
                <w:sz w:val="24"/>
              </w:rPr>
              <w:t>要求</w:t>
            </w:r>
            <w:r>
              <w:rPr>
                <w:sz w:val="24"/>
              </w:rPr>
              <w:t>的各项</w:t>
            </w:r>
            <w:r>
              <w:rPr>
                <w:rFonts w:hint="eastAsia"/>
                <w:sz w:val="24"/>
              </w:rPr>
              <w:t>污染防治</w:t>
            </w:r>
            <w:r>
              <w:rPr>
                <w:sz w:val="24"/>
              </w:rPr>
              <w:t>措施</w:t>
            </w:r>
            <w:r>
              <w:rPr>
                <w:rFonts w:hint="eastAsia"/>
                <w:sz w:val="24"/>
              </w:rPr>
              <w:t>，</w:t>
            </w:r>
            <w:r>
              <w:rPr>
                <w:rFonts w:hint="eastAsia" w:hAnsi="宋体"/>
                <w:sz w:val="24"/>
              </w:rPr>
              <w:t>加强营运期管理，实施清洁文明工厂，合理规划厂区，避免东西杂乱无章，影响视觉美观和固体废物污染。</w:t>
            </w:r>
          </w:p>
          <w:p>
            <w:pPr>
              <w:spacing w:line="360" w:lineRule="auto"/>
              <w:rPr>
                <w:b/>
                <w:bCs/>
                <w:sz w:val="28"/>
                <w:szCs w:val="28"/>
              </w:rPr>
            </w:pPr>
            <w:r>
              <w:rPr>
                <w:b/>
                <w:bCs/>
                <w:sz w:val="28"/>
                <w:szCs w:val="28"/>
              </w:rPr>
              <w:t>三、总评价结论</w:t>
            </w:r>
          </w:p>
          <w:p>
            <w:pPr>
              <w:spacing w:line="360" w:lineRule="auto"/>
              <w:ind w:firstLine="482" w:firstLineChars="200"/>
              <w:rPr>
                <w:b/>
                <w:bCs/>
                <w:sz w:val="24"/>
              </w:rPr>
            </w:pPr>
            <w:r>
              <w:rPr>
                <w:rFonts w:hint="eastAsia"/>
                <w:b/>
                <w:bCs/>
                <w:sz w:val="24"/>
                <w:lang w:eastAsia="zh-CN"/>
              </w:rPr>
              <w:t>河南华东路桥建设有限公司9000平方米梁板预制场</w:t>
            </w:r>
            <w:r>
              <w:rPr>
                <w:rFonts w:hint="eastAsia"/>
                <w:b/>
                <w:bCs/>
                <w:sz w:val="24"/>
              </w:rPr>
              <w:t>符合国家产业政策，符合规划要求，符合国家土地供地政策，运营期间产生的废气、废水、噪声、固废等在采取相应的治理措施后，均能达到相应的国家标准要求，对外环境影响较小。因此，该项目在认真贯彻执行国家的环保法律、法规，认真落实污染防治措施的基础上，从环保角度分析，该项目的实施是可行的。</w:t>
            </w:r>
          </w:p>
          <w:p>
            <w:pPr>
              <w:spacing w:line="360" w:lineRule="auto"/>
              <w:ind w:firstLine="482" w:firstLineChars="200"/>
              <w:jc w:val="right"/>
              <w:rPr>
                <w:rFonts w:hint="eastAsia"/>
                <w:b/>
                <w:bCs/>
                <w:color w:val="auto"/>
                <w:sz w:val="24"/>
              </w:rPr>
            </w:pPr>
          </w:p>
          <w:p>
            <w:pPr>
              <w:pStyle w:val="38"/>
              <w:wordWrap/>
              <w:rPr>
                <w:rFonts w:hint="eastAsia"/>
                <w:b/>
                <w:bCs/>
                <w:color w:val="auto"/>
                <w:sz w:val="24"/>
              </w:rPr>
            </w:pPr>
          </w:p>
          <w:p>
            <w:pPr>
              <w:pStyle w:val="38"/>
              <w:wordWrap/>
              <w:rPr>
                <w:rFonts w:hint="eastAsia"/>
                <w:b/>
                <w:bCs/>
                <w:color w:val="auto"/>
                <w:sz w:val="24"/>
              </w:rPr>
            </w:pPr>
          </w:p>
          <w:p>
            <w:pPr>
              <w:wordWrap w:val="0"/>
              <w:spacing w:line="360" w:lineRule="auto"/>
              <w:ind w:firstLine="482" w:firstLineChars="200"/>
              <w:jc w:val="right"/>
              <w:rPr>
                <w:rFonts w:hint="eastAsia"/>
                <w:b/>
                <w:bCs/>
                <w:color w:val="auto"/>
                <w:sz w:val="24"/>
              </w:rPr>
            </w:pPr>
          </w:p>
          <w:p>
            <w:pPr>
              <w:pStyle w:val="2"/>
              <w:wordWrap/>
              <w:rPr>
                <w:rFonts w:hint="eastAsia"/>
                <w:b/>
                <w:bCs/>
                <w:color w:val="auto"/>
                <w:sz w:val="24"/>
              </w:rPr>
            </w:pPr>
          </w:p>
          <w:p>
            <w:pPr>
              <w:rPr>
                <w:rFonts w:hint="eastAsia"/>
                <w:b/>
                <w:bCs/>
                <w:color w:val="auto"/>
                <w:sz w:val="24"/>
              </w:rPr>
            </w:pPr>
          </w:p>
          <w:p>
            <w:pPr>
              <w:pStyle w:val="2"/>
              <w:rPr>
                <w:rFonts w:hint="eastAsia"/>
                <w:b/>
                <w:bCs/>
                <w:color w:val="auto"/>
                <w:sz w:val="24"/>
              </w:rPr>
            </w:pPr>
          </w:p>
          <w:p>
            <w:pPr>
              <w:rPr>
                <w:rFonts w:hint="eastAsia"/>
              </w:rPr>
            </w:pPr>
          </w:p>
          <w:p>
            <w:pPr>
              <w:wordWrap w:val="0"/>
              <w:spacing w:line="360" w:lineRule="auto"/>
              <w:ind w:firstLine="482" w:firstLineChars="200"/>
              <w:jc w:val="right"/>
              <w:rPr>
                <w:rFonts w:hint="eastAsia"/>
                <w:b/>
                <w:bCs/>
                <w:color w:val="auto"/>
                <w:sz w:val="24"/>
              </w:rPr>
            </w:pPr>
          </w:p>
          <w:p>
            <w:pPr>
              <w:wordWrap w:val="0"/>
              <w:spacing w:line="360" w:lineRule="auto"/>
              <w:ind w:firstLine="482" w:firstLineChars="200"/>
              <w:jc w:val="right"/>
              <w:rPr>
                <w:rFonts w:hint="eastAsia"/>
                <w:b/>
                <w:bCs/>
                <w:color w:val="auto"/>
                <w:sz w:val="24"/>
              </w:rPr>
            </w:pPr>
          </w:p>
          <w:p>
            <w:pPr>
              <w:wordWrap w:val="0"/>
              <w:spacing w:line="360" w:lineRule="auto"/>
              <w:ind w:firstLine="482" w:firstLineChars="200"/>
              <w:jc w:val="right"/>
              <w:rPr>
                <w:rFonts w:hint="eastAsia" w:eastAsia="宋体"/>
                <w:b/>
                <w:bCs/>
                <w:color w:val="FF0000"/>
                <w:sz w:val="24"/>
                <w:lang w:val="en-US" w:eastAsia="zh-CN"/>
              </w:rPr>
            </w:pPr>
            <w:r>
              <w:rPr>
                <w:rFonts w:hint="eastAsia"/>
                <w:b/>
                <w:bCs/>
                <w:color w:val="auto"/>
                <w:sz w:val="24"/>
                <w:lang w:val="en-US"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gridAfter w:val="1"/>
          <w:wAfter w:w="95" w:type="dxa"/>
          <w:trHeight w:val="5796" w:hRule="atLeast"/>
          <w:jc w:val="center"/>
        </w:trPr>
        <w:tc>
          <w:tcPr>
            <w:tcW w:w="9365" w:type="dxa"/>
            <w:tcBorders>
              <w:tl2br w:val="nil"/>
              <w:tr2bl w:val="nil"/>
            </w:tcBorders>
          </w:tcPr>
          <w:p>
            <w:pPr>
              <w:rPr>
                <w:sz w:val="28"/>
              </w:rPr>
            </w:pPr>
            <w:r>
              <w:rPr>
                <w:rFonts w:hAnsi="宋体"/>
                <w:sz w:val="28"/>
              </w:rPr>
              <w:t>预审意见：</w:t>
            </w:r>
          </w:p>
          <w:p>
            <w:pPr>
              <w:rPr>
                <w:sz w:val="28"/>
              </w:rPr>
            </w:pPr>
          </w:p>
          <w:p>
            <w:pPr>
              <w:rPr>
                <w:sz w:val="28"/>
              </w:rPr>
            </w:pPr>
          </w:p>
          <w:p>
            <w:pPr>
              <w:rPr>
                <w:sz w:val="28"/>
              </w:rPr>
            </w:pPr>
          </w:p>
          <w:p>
            <w:pPr>
              <w:rPr>
                <w:sz w:val="28"/>
              </w:rPr>
            </w:pPr>
          </w:p>
          <w:p>
            <w:pPr>
              <w:rPr>
                <w:sz w:val="28"/>
              </w:rPr>
            </w:pPr>
          </w:p>
          <w:p>
            <w:pPr>
              <w:rPr>
                <w:sz w:val="28"/>
              </w:rPr>
            </w:pPr>
          </w:p>
          <w:p>
            <w:pPr>
              <w:ind w:right="291"/>
              <w:jc w:val="right"/>
              <w:rPr>
                <w:rFonts w:hAnsi="宋体"/>
                <w:sz w:val="28"/>
              </w:rPr>
            </w:pPr>
            <w:r>
              <w:rPr>
                <w:rFonts w:hAnsi="宋体"/>
                <w:sz w:val="28"/>
              </w:rPr>
              <w:t>公</w:t>
            </w:r>
            <w:r>
              <w:rPr>
                <w:sz w:val="28"/>
              </w:rPr>
              <w:t xml:space="preserve"> </w:t>
            </w:r>
            <w:r>
              <w:rPr>
                <w:rFonts w:hAnsi="宋体"/>
                <w:sz w:val="28"/>
              </w:rPr>
              <w:t>章</w:t>
            </w:r>
          </w:p>
          <w:p>
            <w:pPr>
              <w:ind w:right="291"/>
              <w:jc w:val="right"/>
              <w:rPr>
                <w:sz w:val="28"/>
              </w:rPr>
            </w:pPr>
            <w:r>
              <w:rPr>
                <w:sz w:val="28"/>
              </w:rPr>
              <w:t xml:space="preserve">     </w:t>
            </w:r>
          </w:p>
          <w:p>
            <w:pPr>
              <w:rPr>
                <w:sz w:val="28"/>
              </w:rPr>
            </w:pPr>
            <w:r>
              <w:rPr>
                <w:rFonts w:hAnsi="宋体"/>
                <w:sz w:val="28"/>
              </w:rPr>
              <w:t>经办人：</w:t>
            </w:r>
            <w:r>
              <w:rPr>
                <w:sz w:val="28"/>
              </w:rPr>
              <w:t xml:space="preserve">                                </w:t>
            </w:r>
            <w:r>
              <w:rPr>
                <w:rFonts w:hAnsi="宋体"/>
                <w:sz w:val="28"/>
              </w:rPr>
              <w:t>年</w:t>
            </w:r>
            <w:r>
              <w:rPr>
                <w:sz w:val="28"/>
              </w:rPr>
              <w:t xml:space="preserve">    </w:t>
            </w:r>
            <w:r>
              <w:rPr>
                <w:rFonts w:hAnsi="宋体"/>
                <w:sz w:val="28"/>
              </w:rPr>
              <w:t>月</w:t>
            </w:r>
            <w:r>
              <w:rPr>
                <w:sz w:val="28"/>
              </w:rPr>
              <w:t xml:space="preserve">    </w:t>
            </w:r>
            <w:r>
              <w:rPr>
                <w:rFonts w:hAnsi="宋体"/>
                <w:sz w:val="28"/>
              </w:rPr>
              <w:t>日</w:t>
            </w:r>
          </w:p>
          <w:p>
            <w:pPr>
              <w:rPr>
                <w:sz w:val="28"/>
              </w:rPr>
            </w:pPr>
          </w:p>
        </w:tc>
      </w:tr>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gridAfter w:val="1"/>
          <w:wAfter w:w="95" w:type="dxa"/>
          <w:trHeight w:val="5810" w:hRule="atLeast"/>
          <w:jc w:val="center"/>
        </w:trPr>
        <w:tc>
          <w:tcPr>
            <w:tcW w:w="9365" w:type="dxa"/>
            <w:tcBorders>
              <w:tl2br w:val="nil"/>
              <w:tr2bl w:val="nil"/>
            </w:tcBorders>
          </w:tcPr>
          <w:p>
            <w:pPr>
              <w:rPr>
                <w:sz w:val="28"/>
              </w:rPr>
            </w:pPr>
            <w:r>
              <w:rPr>
                <w:rFonts w:hAnsi="宋体"/>
                <w:sz w:val="28"/>
              </w:rPr>
              <w:t>下一级环境保护行政主管部门审查意见：</w:t>
            </w:r>
          </w:p>
          <w:p>
            <w:pPr>
              <w:rPr>
                <w:sz w:val="28"/>
              </w:rPr>
            </w:pPr>
          </w:p>
          <w:p>
            <w:pPr>
              <w:rPr>
                <w:sz w:val="28"/>
              </w:rPr>
            </w:pPr>
          </w:p>
          <w:p>
            <w:pPr>
              <w:rPr>
                <w:sz w:val="28"/>
              </w:rPr>
            </w:pPr>
          </w:p>
          <w:p>
            <w:pPr>
              <w:rPr>
                <w:sz w:val="28"/>
              </w:rPr>
            </w:pPr>
          </w:p>
          <w:p>
            <w:pPr>
              <w:rPr>
                <w:sz w:val="28"/>
              </w:rPr>
            </w:pPr>
          </w:p>
          <w:p>
            <w:pPr>
              <w:rPr>
                <w:sz w:val="28"/>
              </w:rPr>
            </w:pPr>
          </w:p>
          <w:p>
            <w:pPr>
              <w:ind w:right="291"/>
              <w:jc w:val="right"/>
              <w:rPr>
                <w:sz w:val="28"/>
              </w:rPr>
            </w:pPr>
            <w:r>
              <w:rPr>
                <w:rFonts w:hAnsi="宋体"/>
                <w:sz w:val="28"/>
              </w:rPr>
              <w:t>公</w:t>
            </w:r>
            <w:r>
              <w:rPr>
                <w:sz w:val="28"/>
              </w:rPr>
              <w:t xml:space="preserve"> </w:t>
            </w:r>
            <w:r>
              <w:rPr>
                <w:rFonts w:hAnsi="宋体"/>
                <w:sz w:val="28"/>
              </w:rPr>
              <w:t>章</w:t>
            </w:r>
            <w:r>
              <w:rPr>
                <w:sz w:val="28"/>
              </w:rPr>
              <w:t xml:space="preserve">     </w:t>
            </w:r>
          </w:p>
          <w:p>
            <w:pPr>
              <w:ind w:right="291"/>
              <w:jc w:val="right"/>
              <w:rPr>
                <w:sz w:val="28"/>
              </w:rPr>
            </w:pPr>
          </w:p>
          <w:p>
            <w:pPr>
              <w:rPr>
                <w:sz w:val="28"/>
              </w:rPr>
            </w:pPr>
            <w:r>
              <w:rPr>
                <w:rFonts w:hAnsi="宋体"/>
                <w:sz w:val="28"/>
              </w:rPr>
              <w:t>经办人：</w:t>
            </w:r>
            <w:r>
              <w:rPr>
                <w:sz w:val="28"/>
              </w:rPr>
              <w:t xml:space="preserve">                                </w:t>
            </w:r>
            <w:r>
              <w:rPr>
                <w:rFonts w:hAnsi="宋体"/>
                <w:sz w:val="28"/>
              </w:rPr>
              <w:t>年</w:t>
            </w:r>
            <w:r>
              <w:rPr>
                <w:sz w:val="28"/>
              </w:rPr>
              <w:t xml:space="preserve">    </w:t>
            </w:r>
            <w:r>
              <w:rPr>
                <w:rFonts w:hAnsi="宋体"/>
                <w:sz w:val="28"/>
              </w:rPr>
              <w:t>月</w:t>
            </w:r>
            <w:r>
              <w:rPr>
                <w:sz w:val="28"/>
              </w:rPr>
              <w:t xml:space="preserve">    </w:t>
            </w:r>
            <w:r>
              <w:rPr>
                <w:rFonts w:hAnsi="宋体"/>
                <w:sz w:val="28"/>
              </w:rPr>
              <w:t>日</w:t>
            </w:r>
          </w:p>
          <w:p>
            <w:pPr>
              <w:rPr>
                <w:sz w:val="28"/>
              </w:rPr>
            </w:pPr>
          </w:p>
        </w:tc>
      </w:tr>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13323" w:hRule="atLeast"/>
          <w:jc w:val="center"/>
        </w:trPr>
        <w:tc>
          <w:tcPr>
            <w:tcW w:w="9460" w:type="dxa"/>
            <w:gridSpan w:val="2"/>
            <w:tcBorders>
              <w:tl2br w:val="nil"/>
              <w:tr2bl w:val="nil"/>
            </w:tcBorders>
          </w:tcPr>
          <w:p>
            <w:pPr>
              <w:rPr>
                <w:sz w:val="28"/>
              </w:rPr>
            </w:pPr>
            <w:r>
              <w:rPr>
                <w:rFonts w:hAnsi="宋体"/>
                <w:sz w:val="28"/>
              </w:rPr>
              <w:t>审批意见：</w:t>
            </w: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rPr>
                <w:sz w:val="28"/>
              </w:rPr>
            </w:pPr>
          </w:p>
          <w:p>
            <w:pPr>
              <w:ind w:right="291"/>
              <w:jc w:val="right"/>
              <w:rPr>
                <w:sz w:val="28"/>
              </w:rPr>
            </w:pPr>
            <w:r>
              <w:rPr>
                <w:rFonts w:hAnsi="宋体"/>
                <w:sz w:val="28"/>
              </w:rPr>
              <w:t>公</w:t>
            </w:r>
            <w:r>
              <w:rPr>
                <w:sz w:val="28"/>
              </w:rPr>
              <w:t xml:space="preserve"> </w:t>
            </w:r>
            <w:r>
              <w:rPr>
                <w:rFonts w:hAnsi="宋体"/>
                <w:sz w:val="28"/>
              </w:rPr>
              <w:t>章</w:t>
            </w:r>
            <w:r>
              <w:rPr>
                <w:sz w:val="28"/>
              </w:rPr>
              <w:t xml:space="preserve">     </w:t>
            </w:r>
          </w:p>
          <w:p>
            <w:pPr>
              <w:ind w:right="291"/>
              <w:jc w:val="right"/>
              <w:rPr>
                <w:sz w:val="28"/>
              </w:rPr>
            </w:pPr>
          </w:p>
          <w:p>
            <w:pPr>
              <w:rPr>
                <w:sz w:val="28"/>
              </w:rPr>
            </w:pPr>
            <w:r>
              <w:rPr>
                <w:rFonts w:hAnsi="宋体"/>
                <w:sz w:val="28"/>
              </w:rPr>
              <w:t>经办人：</w:t>
            </w:r>
            <w:r>
              <w:rPr>
                <w:sz w:val="28"/>
              </w:rPr>
              <w:t xml:space="preserve">                                </w:t>
            </w:r>
            <w:r>
              <w:rPr>
                <w:rFonts w:hAnsi="宋体"/>
                <w:sz w:val="28"/>
              </w:rPr>
              <w:t>年</w:t>
            </w:r>
            <w:r>
              <w:rPr>
                <w:sz w:val="28"/>
              </w:rPr>
              <w:t xml:space="preserve">    </w:t>
            </w:r>
            <w:r>
              <w:rPr>
                <w:rFonts w:hAnsi="宋体"/>
                <w:sz w:val="28"/>
              </w:rPr>
              <w:t>月</w:t>
            </w:r>
            <w:r>
              <w:rPr>
                <w:sz w:val="28"/>
              </w:rPr>
              <w:t xml:space="preserve">    </w:t>
            </w:r>
            <w:r>
              <w:rPr>
                <w:rFonts w:hAnsi="宋体"/>
                <w:sz w:val="28"/>
              </w:rPr>
              <w:t>日</w:t>
            </w:r>
          </w:p>
          <w:p>
            <w:pPr>
              <w:rPr>
                <w:sz w:val="28"/>
              </w:rPr>
            </w:pPr>
          </w:p>
          <w:p>
            <w:pPr>
              <w:rPr>
                <w:sz w:val="28"/>
              </w:rPr>
            </w:pPr>
          </w:p>
        </w:tc>
      </w:tr>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13323" w:hRule="atLeast"/>
          <w:jc w:val="center"/>
        </w:trPr>
        <w:tc>
          <w:tcPr>
            <w:tcW w:w="9460" w:type="dxa"/>
            <w:gridSpan w:val="2"/>
            <w:tcBorders>
              <w:tl2br w:val="nil"/>
              <w:tr2bl w:val="nil"/>
            </w:tcBorders>
          </w:tcPr>
          <w:p>
            <w:pPr>
              <w:adjustRightInd w:val="0"/>
              <w:snapToGrid w:val="0"/>
              <w:spacing w:before="156" w:beforeLines="50" w:line="400" w:lineRule="exact"/>
              <w:jc w:val="center"/>
              <w:rPr>
                <w:rFonts w:hint="eastAsia"/>
                <w:b/>
                <w:sz w:val="36"/>
                <w:szCs w:val="36"/>
              </w:rPr>
            </w:pPr>
            <w:r>
              <w:rPr>
                <w:b/>
                <w:sz w:val="36"/>
                <w:szCs w:val="36"/>
              </w:rPr>
              <w:t>注    释</w:t>
            </w:r>
          </w:p>
          <w:p>
            <w:pPr>
              <w:adjustRightInd w:val="0"/>
              <w:snapToGrid w:val="0"/>
              <w:spacing w:before="156" w:beforeLines="50" w:line="400" w:lineRule="exact"/>
              <w:jc w:val="center"/>
              <w:rPr>
                <w:b/>
                <w:sz w:val="36"/>
                <w:szCs w:val="36"/>
              </w:rPr>
            </w:pPr>
          </w:p>
          <w:p>
            <w:pPr>
              <w:numPr>
                <w:ilvl w:val="0"/>
                <w:numId w:val="2"/>
              </w:numPr>
              <w:adjustRightInd w:val="0"/>
              <w:snapToGrid w:val="0"/>
              <w:spacing w:line="360" w:lineRule="auto"/>
              <w:ind w:left="0" w:firstLine="0"/>
              <w:rPr>
                <w:sz w:val="24"/>
                <w:szCs w:val="24"/>
              </w:rPr>
            </w:pPr>
            <w:r>
              <w:rPr>
                <w:sz w:val="24"/>
                <w:szCs w:val="24"/>
              </w:rPr>
              <w:t>本报告表应附以下附图</w:t>
            </w:r>
            <w:r>
              <w:rPr>
                <w:rFonts w:hint="eastAsia"/>
                <w:sz w:val="24"/>
                <w:szCs w:val="24"/>
              </w:rPr>
              <w:t>、</w:t>
            </w:r>
            <w:r>
              <w:rPr>
                <w:sz w:val="24"/>
                <w:szCs w:val="24"/>
              </w:rPr>
              <w:t>附件：</w:t>
            </w:r>
          </w:p>
          <w:p>
            <w:pPr>
              <w:adjustRightInd w:val="0"/>
              <w:snapToGrid w:val="0"/>
              <w:spacing w:line="360" w:lineRule="auto"/>
              <w:ind w:firstLine="480" w:firstLineChars="200"/>
              <w:rPr>
                <w:rFonts w:hint="eastAsia"/>
                <w:sz w:val="24"/>
                <w:szCs w:val="24"/>
              </w:rPr>
            </w:pPr>
            <w:r>
              <w:rPr>
                <w:sz w:val="24"/>
                <w:szCs w:val="24"/>
              </w:rPr>
              <w:t xml:space="preserve">附图1  </w:t>
            </w:r>
            <w:r>
              <w:rPr>
                <w:rFonts w:hint="eastAsia"/>
                <w:sz w:val="24"/>
                <w:szCs w:val="24"/>
                <w:lang w:eastAsia="zh-CN"/>
              </w:rPr>
              <w:t>本</w:t>
            </w:r>
            <w:r>
              <w:rPr>
                <w:sz w:val="24"/>
                <w:szCs w:val="24"/>
              </w:rPr>
              <w:t>项目地理位置图</w:t>
            </w:r>
          </w:p>
          <w:p>
            <w:pPr>
              <w:tabs>
                <w:tab w:val="center" w:pos="4775"/>
              </w:tabs>
              <w:adjustRightInd w:val="0"/>
              <w:snapToGrid w:val="0"/>
              <w:spacing w:line="360" w:lineRule="auto"/>
              <w:ind w:firstLine="480" w:firstLineChars="200"/>
              <w:rPr>
                <w:rFonts w:hint="eastAsia"/>
                <w:sz w:val="24"/>
                <w:szCs w:val="24"/>
              </w:rPr>
            </w:pPr>
            <w:r>
              <w:rPr>
                <w:rFonts w:hint="eastAsia"/>
                <w:sz w:val="24"/>
                <w:szCs w:val="24"/>
              </w:rPr>
              <w:t xml:space="preserve">附图2  </w:t>
            </w:r>
            <w:r>
              <w:rPr>
                <w:rFonts w:hint="eastAsia"/>
                <w:sz w:val="24"/>
                <w:szCs w:val="24"/>
                <w:lang w:eastAsia="zh-CN"/>
              </w:rPr>
              <w:t>本</w:t>
            </w:r>
            <w:r>
              <w:rPr>
                <w:rFonts w:hint="eastAsia"/>
                <w:sz w:val="24"/>
                <w:szCs w:val="24"/>
              </w:rPr>
              <w:t>项目周围环境敏感点示意图</w:t>
            </w:r>
          </w:p>
          <w:p>
            <w:pPr>
              <w:adjustRightInd w:val="0"/>
              <w:snapToGrid w:val="0"/>
              <w:spacing w:line="360" w:lineRule="auto"/>
              <w:ind w:firstLine="480" w:firstLineChars="200"/>
              <w:rPr>
                <w:rFonts w:hint="eastAsia"/>
                <w:sz w:val="24"/>
                <w:szCs w:val="24"/>
                <w:lang w:val="en-US" w:eastAsia="zh-CN"/>
              </w:rPr>
            </w:pPr>
            <w:r>
              <w:rPr>
                <w:rFonts w:hint="eastAsia"/>
                <w:sz w:val="24"/>
                <w:szCs w:val="24"/>
              </w:rPr>
              <w:t xml:space="preserve">附图3  </w:t>
            </w:r>
            <w:r>
              <w:rPr>
                <w:rFonts w:hint="eastAsia"/>
                <w:sz w:val="24"/>
                <w:szCs w:val="24"/>
                <w:lang w:val="en-US" w:eastAsia="zh-CN"/>
              </w:rPr>
              <w:t>本项目平面布置图</w:t>
            </w:r>
          </w:p>
          <w:p>
            <w:pPr>
              <w:adjustRightInd w:val="0"/>
              <w:snapToGrid w:val="0"/>
              <w:spacing w:line="360" w:lineRule="auto"/>
              <w:ind w:firstLine="480" w:firstLineChars="200"/>
              <w:rPr>
                <w:rFonts w:hint="eastAsia"/>
                <w:sz w:val="24"/>
                <w:szCs w:val="24"/>
              </w:rPr>
            </w:pPr>
            <w:r>
              <w:rPr>
                <w:rFonts w:hint="eastAsia"/>
                <w:sz w:val="24"/>
                <w:szCs w:val="24"/>
              </w:rPr>
              <w:t>附图</w:t>
            </w:r>
            <w:r>
              <w:rPr>
                <w:rFonts w:hint="eastAsia"/>
                <w:sz w:val="24"/>
                <w:szCs w:val="24"/>
                <w:lang w:val="en-US" w:eastAsia="zh-CN"/>
              </w:rPr>
              <w:t>4</w:t>
            </w:r>
            <w:r>
              <w:rPr>
                <w:rFonts w:hint="eastAsia"/>
                <w:sz w:val="24"/>
                <w:szCs w:val="24"/>
              </w:rPr>
              <w:t xml:space="preserve">  </w:t>
            </w:r>
            <w:r>
              <w:rPr>
                <w:rFonts w:hint="eastAsia"/>
                <w:sz w:val="24"/>
                <w:szCs w:val="24"/>
                <w:lang w:val="en-US" w:eastAsia="zh-CN"/>
              </w:rPr>
              <w:t>本项目生产车间现状照片</w:t>
            </w:r>
          </w:p>
          <w:p>
            <w:pPr>
              <w:adjustRightInd w:val="0"/>
              <w:snapToGrid w:val="0"/>
              <w:spacing w:line="360" w:lineRule="auto"/>
              <w:ind w:firstLine="480" w:firstLineChars="200"/>
              <w:rPr>
                <w:rFonts w:hint="eastAsia"/>
                <w:sz w:val="24"/>
                <w:szCs w:val="24"/>
              </w:rPr>
            </w:pPr>
          </w:p>
          <w:p>
            <w:pPr>
              <w:adjustRightInd w:val="0"/>
              <w:snapToGrid w:val="0"/>
              <w:spacing w:line="360" w:lineRule="auto"/>
              <w:ind w:firstLine="480" w:firstLineChars="200"/>
              <w:rPr>
                <w:rFonts w:hint="eastAsia"/>
                <w:sz w:val="24"/>
                <w:szCs w:val="24"/>
              </w:rPr>
            </w:pPr>
            <w:r>
              <w:rPr>
                <w:sz w:val="24"/>
                <w:szCs w:val="24"/>
              </w:rPr>
              <w:t xml:space="preserve">附件1  </w:t>
            </w:r>
            <w:r>
              <w:rPr>
                <w:rFonts w:hint="eastAsia"/>
                <w:sz w:val="24"/>
                <w:szCs w:val="24"/>
              </w:rPr>
              <w:t>委托书</w:t>
            </w:r>
          </w:p>
          <w:p>
            <w:pPr>
              <w:adjustRightInd w:val="0"/>
              <w:snapToGrid w:val="0"/>
              <w:spacing w:line="360" w:lineRule="auto"/>
              <w:ind w:firstLine="480" w:firstLineChars="200"/>
              <w:rPr>
                <w:rFonts w:hint="eastAsia"/>
                <w:sz w:val="24"/>
                <w:szCs w:val="24"/>
              </w:rPr>
            </w:pPr>
            <w:r>
              <w:rPr>
                <w:sz w:val="24"/>
                <w:szCs w:val="24"/>
              </w:rPr>
              <w:t xml:space="preserve">附件2 </w:t>
            </w:r>
            <w:r>
              <w:rPr>
                <w:rFonts w:hint="eastAsia"/>
                <w:sz w:val="24"/>
                <w:szCs w:val="24"/>
              </w:rPr>
              <w:t xml:space="preserve"> 发改委批复</w:t>
            </w:r>
          </w:p>
          <w:p>
            <w:pPr>
              <w:adjustRightInd w:val="0"/>
              <w:snapToGrid w:val="0"/>
              <w:spacing w:line="360" w:lineRule="auto"/>
              <w:ind w:firstLine="480" w:firstLineChars="200"/>
              <w:rPr>
                <w:rFonts w:hint="eastAsia"/>
                <w:sz w:val="24"/>
                <w:szCs w:val="24"/>
              </w:rPr>
            </w:pPr>
            <w:r>
              <w:rPr>
                <w:rFonts w:hint="eastAsia"/>
                <w:sz w:val="24"/>
                <w:szCs w:val="24"/>
              </w:rPr>
              <w:t>附件3  用地意见</w:t>
            </w:r>
          </w:p>
          <w:p>
            <w:pPr>
              <w:adjustRightInd w:val="0"/>
              <w:snapToGrid w:val="0"/>
              <w:spacing w:line="360" w:lineRule="auto"/>
              <w:ind w:firstLine="480" w:firstLineChars="200"/>
              <w:rPr>
                <w:rFonts w:hint="eastAsia" w:eastAsia="宋体"/>
                <w:sz w:val="24"/>
                <w:szCs w:val="24"/>
                <w:lang w:eastAsia="zh-CN"/>
              </w:rPr>
            </w:pPr>
            <w:r>
              <w:rPr>
                <w:rFonts w:hint="eastAsia"/>
                <w:sz w:val="24"/>
                <w:szCs w:val="24"/>
              </w:rPr>
              <w:t xml:space="preserve">附件4  </w:t>
            </w:r>
            <w:r>
              <w:rPr>
                <w:rFonts w:hint="eastAsia"/>
                <w:sz w:val="24"/>
                <w:szCs w:val="24"/>
                <w:lang w:eastAsia="zh-CN"/>
              </w:rPr>
              <w:t>租赁协议</w:t>
            </w:r>
          </w:p>
          <w:p>
            <w:pPr>
              <w:adjustRightInd w:val="0"/>
              <w:snapToGrid w:val="0"/>
              <w:spacing w:line="360" w:lineRule="auto"/>
              <w:ind w:firstLine="480" w:firstLineChars="200"/>
              <w:rPr>
                <w:rFonts w:hint="eastAsia"/>
                <w:sz w:val="24"/>
                <w:szCs w:val="24"/>
              </w:rPr>
            </w:pPr>
            <w:r>
              <w:rPr>
                <w:rFonts w:hint="eastAsia"/>
                <w:sz w:val="24"/>
                <w:szCs w:val="24"/>
              </w:rPr>
              <w:t>附件5  土壤、噪声监测报告</w:t>
            </w:r>
          </w:p>
          <w:p>
            <w:pPr>
              <w:numPr>
                <w:ilvl w:val="0"/>
                <w:numId w:val="2"/>
              </w:numPr>
              <w:adjustRightInd w:val="0"/>
              <w:snapToGrid w:val="0"/>
              <w:spacing w:line="360" w:lineRule="auto"/>
              <w:ind w:left="0" w:firstLine="0"/>
              <w:rPr>
                <w:sz w:val="24"/>
                <w:szCs w:val="24"/>
              </w:rPr>
            </w:pPr>
            <w:r>
              <w:rPr>
                <w:sz w:val="24"/>
                <w:szCs w:val="24"/>
              </w:rPr>
              <w:t>如果本报告表不能说明项目产生的污染及对环境造成的影响，应进行专项评价。根据建设项目的特点和当地环境特征，应选下列1-2项进行专项评价。</w:t>
            </w:r>
          </w:p>
          <w:p>
            <w:pPr>
              <w:numPr>
                <w:ilvl w:val="0"/>
                <w:numId w:val="3"/>
              </w:numPr>
              <w:tabs>
                <w:tab w:val="left" w:pos="900"/>
              </w:tabs>
              <w:adjustRightInd w:val="0"/>
              <w:snapToGrid w:val="0"/>
              <w:spacing w:line="360" w:lineRule="auto"/>
              <w:ind w:left="0" w:firstLine="480" w:firstLineChars="200"/>
              <w:rPr>
                <w:sz w:val="24"/>
                <w:szCs w:val="24"/>
              </w:rPr>
            </w:pPr>
            <w:r>
              <w:rPr>
                <w:sz w:val="24"/>
                <w:szCs w:val="24"/>
              </w:rPr>
              <w:t>大气环境影响专项评价</w:t>
            </w:r>
          </w:p>
          <w:p>
            <w:pPr>
              <w:numPr>
                <w:ilvl w:val="0"/>
                <w:numId w:val="3"/>
              </w:numPr>
              <w:tabs>
                <w:tab w:val="left" w:pos="900"/>
              </w:tabs>
              <w:adjustRightInd w:val="0"/>
              <w:snapToGrid w:val="0"/>
              <w:spacing w:line="360" w:lineRule="auto"/>
              <w:ind w:left="0" w:firstLine="480" w:firstLineChars="200"/>
              <w:rPr>
                <w:sz w:val="24"/>
                <w:szCs w:val="24"/>
              </w:rPr>
            </w:pPr>
            <w:r>
              <w:rPr>
                <w:sz w:val="24"/>
                <w:szCs w:val="24"/>
              </w:rPr>
              <w:t>水环境影响专项评价</w:t>
            </w:r>
          </w:p>
          <w:p>
            <w:pPr>
              <w:numPr>
                <w:ilvl w:val="0"/>
                <w:numId w:val="3"/>
              </w:numPr>
              <w:tabs>
                <w:tab w:val="left" w:pos="900"/>
              </w:tabs>
              <w:adjustRightInd w:val="0"/>
              <w:snapToGrid w:val="0"/>
              <w:spacing w:line="360" w:lineRule="auto"/>
              <w:ind w:left="0" w:firstLine="480" w:firstLineChars="200"/>
              <w:rPr>
                <w:sz w:val="24"/>
                <w:szCs w:val="24"/>
              </w:rPr>
            </w:pPr>
            <w:r>
              <w:rPr>
                <w:sz w:val="24"/>
                <w:szCs w:val="24"/>
              </w:rPr>
              <w:t>生态影响专项评价</w:t>
            </w:r>
          </w:p>
          <w:p>
            <w:pPr>
              <w:numPr>
                <w:ilvl w:val="0"/>
                <w:numId w:val="3"/>
              </w:numPr>
              <w:tabs>
                <w:tab w:val="left" w:pos="900"/>
              </w:tabs>
              <w:adjustRightInd w:val="0"/>
              <w:snapToGrid w:val="0"/>
              <w:spacing w:line="360" w:lineRule="auto"/>
              <w:ind w:left="0" w:firstLine="480" w:firstLineChars="200"/>
              <w:rPr>
                <w:sz w:val="24"/>
                <w:szCs w:val="24"/>
              </w:rPr>
            </w:pPr>
            <w:r>
              <w:rPr>
                <w:sz w:val="24"/>
                <w:szCs w:val="24"/>
              </w:rPr>
              <w:t>声影响专项评价</w:t>
            </w:r>
          </w:p>
          <w:p>
            <w:pPr>
              <w:numPr>
                <w:ilvl w:val="0"/>
                <w:numId w:val="3"/>
              </w:numPr>
              <w:tabs>
                <w:tab w:val="left" w:pos="900"/>
              </w:tabs>
              <w:adjustRightInd w:val="0"/>
              <w:snapToGrid w:val="0"/>
              <w:spacing w:line="360" w:lineRule="auto"/>
              <w:ind w:left="0" w:firstLine="480" w:firstLineChars="200"/>
              <w:rPr>
                <w:sz w:val="24"/>
                <w:szCs w:val="24"/>
              </w:rPr>
            </w:pPr>
            <w:r>
              <w:rPr>
                <w:sz w:val="24"/>
                <w:szCs w:val="24"/>
              </w:rPr>
              <w:t>土壤影响专项评价</w:t>
            </w:r>
          </w:p>
          <w:p>
            <w:pPr>
              <w:numPr>
                <w:ilvl w:val="0"/>
                <w:numId w:val="3"/>
              </w:numPr>
              <w:tabs>
                <w:tab w:val="left" w:pos="900"/>
              </w:tabs>
              <w:adjustRightInd w:val="0"/>
              <w:snapToGrid w:val="0"/>
              <w:spacing w:line="360" w:lineRule="auto"/>
              <w:ind w:left="0" w:firstLine="480" w:firstLineChars="200"/>
              <w:rPr>
                <w:sz w:val="24"/>
                <w:szCs w:val="24"/>
              </w:rPr>
            </w:pPr>
            <w:r>
              <w:rPr>
                <w:sz w:val="24"/>
                <w:szCs w:val="24"/>
              </w:rPr>
              <w:t>固体废弃物影响专项评价</w:t>
            </w:r>
          </w:p>
          <w:p>
            <w:pPr>
              <w:rPr>
                <w:sz w:val="28"/>
              </w:rPr>
            </w:pPr>
            <w:r>
              <w:rPr>
                <w:sz w:val="24"/>
                <w:szCs w:val="24"/>
              </w:rPr>
              <w:t>以上专项评价未包括的可另列专项，专项评价按照《环境影响评价技术导则》中的要求进行。</w:t>
            </w:r>
          </w:p>
        </w:tc>
      </w:tr>
    </w:tbl>
    <w:p>
      <w:pPr>
        <w:pStyle w:val="69"/>
        <w:ind w:firstLine="0" w:firstLineChars="0"/>
        <w:rPr>
          <w:sz w:val="10"/>
          <w:szCs w:val="10"/>
        </w:rPr>
      </w:pPr>
    </w:p>
    <w:sectPr>
      <w:headerReference r:id="rId3" w:type="default"/>
      <w:footerReference r:id="rId4" w:type="default"/>
      <w:pgSz w:w="11907" w:h="16840"/>
      <w:pgMar w:top="1418" w:right="1418" w:bottom="1418" w:left="1418" w:header="851" w:footer="567"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ISOCTEUR">
    <w:panose1 w:val="020B0609020202020204"/>
    <w:charset w:val="00"/>
    <w:family w:val="modern"/>
    <w:pitch w:val="default"/>
    <w:sig w:usb0="00000287" w:usb1="00000000" w:usb2="00000000" w:usb3="00000000" w:csb0="4000009F" w:csb1="DFD70000"/>
  </w:font>
  <w:font w:name="TimesNewRomanPSMT">
    <w:altName w:val="Times New Roman"/>
    <w:panose1 w:val="00000000000000000000"/>
    <w:charset w:val="00"/>
    <w:family w:val="auto"/>
    <w:pitch w:val="default"/>
    <w:sig w:usb0="00000000" w:usb1="00000000" w:usb2="00000000" w:usb3="00000000" w:csb0="00000000"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Noto Sans Mono CJK SC">
    <w:altName w:val="AMGDT"/>
    <w:panose1 w:val="00000000000000000000"/>
    <w:charset w:val="00"/>
    <w:family w:val="auto"/>
    <w:pitch w:val="default"/>
    <w:sig w:usb0="00000000" w:usb1="00000000" w:usb2="00000000" w:usb3="00000000" w:csb0="00000000" w:csb1="00000000"/>
  </w:font>
  <w:font w:name="AMGDT">
    <w:panose1 w:val="02000400000000000000"/>
    <w:charset w:val="00"/>
    <w:family w:val="auto"/>
    <w:pitch w:val="default"/>
    <w:sig w:usb0="80000003" w:usb1="1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48317"/>
      <w:docPartObj>
        <w:docPartGallery w:val="autotext"/>
      </w:docPartObj>
    </w:sdtPr>
    <w:sdtContent>
      <w:p>
        <w:pPr>
          <w:pStyle w:val="20"/>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BC18A1"/>
    <w:multiLevelType w:val="multilevel"/>
    <w:tmpl w:val="36BC18A1"/>
    <w:lvl w:ilvl="0" w:tentative="0">
      <w:start w:val="1"/>
      <w:numFmt w:val="decimal"/>
      <w:pStyle w:val="64"/>
      <w:lvlText w:val="第 %1 条"/>
      <w:lvlJc w:val="left"/>
      <w:pPr>
        <w:tabs>
          <w:tab w:val="left" w:pos="6336"/>
        </w:tabs>
        <w:ind w:left="4536" w:firstLine="0"/>
      </w:pPr>
      <w:rPr>
        <w:rFonts w:hint="eastAsia" w:ascii="楷体_GB2312" w:hAnsi="楷体" w:eastAsia="楷体_GB2312"/>
        <w:b/>
        <w:sz w:val="30"/>
        <w:szCs w:val="32"/>
        <w:lang w:val="en-US"/>
      </w:rPr>
    </w:lvl>
    <w:lvl w:ilvl="1" w:tentative="0">
      <w:start w:val="1"/>
      <w:numFmt w:val="decimalZero"/>
      <w:isLgl/>
      <w:lvlText w:val="节 %1.%2"/>
      <w:lvlJc w:val="left"/>
      <w:pPr>
        <w:tabs>
          <w:tab w:val="left" w:pos="1500"/>
        </w:tabs>
        <w:ind w:left="420" w:firstLine="0"/>
      </w:pPr>
      <w:rPr>
        <w:rFonts w:hint="eastAsia"/>
      </w:rPr>
    </w:lvl>
    <w:lvl w:ilvl="2" w:tentative="0">
      <w:start w:val="1"/>
      <w:numFmt w:val="lowerLetter"/>
      <w:lvlText w:val="(%3)"/>
      <w:lvlJc w:val="left"/>
      <w:pPr>
        <w:tabs>
          <w:tab w:val="left" w:pos="1428"/>
        </w:tabs>
        <w:ind w:left="1140" w:hanging="432"/>
      </w:pPr>
      <w:rPr>
        <w:rFonts w:hint="eastAsia"/>
      </w:rPr>
    </w:lvl>
    <w:lvl w:ilvl="3" w:tentative="0">
      <w:start w:val="1"/>
      <w:numFmt w:val="lowerRoman"/>
      <w:lvlText w:val="(%4)"/>
      <w:lvlJc w:val="right"/>
      <w:pPr>
        <w:tabs>
          <w:tab w:val="left" w:pos="1284"/>
        </w:tabs>
        <w:ind w:left="1284" w:hanging="144"/>
      </w:pPr>
      <w:rPr>
        <w:rFonts w:hint="eastAsia"/>
      </w:rPr>
    </w:lvl>
    <w:lvl w:ilvl="4" w:tentative="0">
      <w:start w:val="1"/>
      <w:numFmt w:val="decimal"/>
      <w:lvlText w:val="%5)"/>
      <w:lvlJc w:val="left"/>
      <w:pPr>
        <w:tabs>
          <w:tab w:val="left" w:pos="1428"/>
        </w:tabs>
        <w:ind w:left="1428" w:hanging="432"/>
      </w:pPr>
      <w:rPr>
        <w:rFonts w:hint="eastAsia"/>
      </w:rPr>
    </w:lvl>
    <w:lvl w:ilvl="5" w:tentative="0">
      <w:start w:val="1"/>
      <w:numFmt w:val="lowerLetter"/>
      <w:lvlText w:val="%6)"/>
      <w:lvlJc w:val="left"/>
      <w:pPr>
        <w:tabs>
          <w:tab w:val="left" w:pos="1572"/>
        </w:tabs>
        <w:ind w:left="1572" w:hanging="432"/>
      </w:pPr>
      <w:rPr>
        <w:rFonts w:hint="eastAsia"/>
      </w:rPr>
    </w:lvl>
    <w:lvl w:ilvl="6" w:tentative="0">
      <w:start w:val="1"/>
      <w:numFmt w:val="lowerRoman"/>
      <w:lvlText w:val="%7)"/>
      <w:lvlJc w:val="right"/>
      <w:pPr>
        <w:tabs>
          <w:tab w:val="left" w:pos="1716"/>
        </w:tabs>
        <w:ind w:left="1716" w:hanging="288"/>
      </w:pPr>
      <w:rPr>
        <w:rFonts w:hint="eastAsia"/>
      </w:rPr>
    </w:lvl>
    <w:lvl w:ilvl="7" w:tentative="0">
      <w:start w:val="1"/>
      <w:numFmt w:val="lowerLetter"/>
      <w:lvlText w:val="%8."/>
      <w:lvlJc w:val="left"/>
      <w:pPr>
        <w:tabs>
          <w:tab w:val="left" w:pos="1860"/>
        </w:tabs>
        <w:ind w:left="1860" w:hanging="432"/>
      </w:pPr>
      <w:rPr>
        <w:rFonts w:hint="eastAsia"/>
      </w:rPr>
    </w:lvl>
    <w:lvl w:ilvl="8" w:tentative="0">
      <w:start w:val="1"/>
      <w:numFmt w:val="lowerRoman"/>
      <w:lvlText w:val="%9."/>
      <w:lvlJc w:val="right"/>
      <w:pPr>
        <w:tabs>
          <w:tab w:val="left" w:pos="2004"/>
        </w:tabs>
        <w:ind w:left="2004" w:hanging="144"/>
      </w:pPr>
      <w:rPr>
        <w:rFonts w:hint="eastAsia"/>
      </w:rPr>
    </w:lvl>
  </w:abstractNum>
  <w:abstractNum w:abstractNumId="1">
    <w:nsid w:val="3EEC3733"/>
    <w:multiLevelType w:val="singleLevel"/>
    <w:tmpl w:val="3EEC3733"/>
    <w:lvl w:ilvl="0" w:tentative="0">
      <w:start w:val="1"/>
      <w:numFmt w:val="decimal"/>
      <w:lvlText w:val="%1、"/>
      <w:lvlJc w:val="left"/>
      <w:pPr>
        <w:tabs>
          <w:tab w:val="left" w:pos="600"/>
        </w:tabs>
        <w:ind w:left="600" w:hanging="360"/>
      </w:pPr>
      <w:rPr>
        <w:rFonts w:hint="eastAsia"/>
      </w:rPr>
    </w:lvl>
  </w:abstractNum>
  <w:abstractNum w:abstractNumId="2">
    <w:nsid w:val="5F38317D"/>
    <w:multiLevelType w:val="singleLevel"/>
    <w:tmpl w:val="5F38317D"/>
    <w:lvl w:ilvl="0" w:tentative="0">
      <w:start w:val="1"/>
      <w:numFmt w:val="japaneseCounting"/>
      <w:lvlText w:val="%1、"/>
      <w:lvlJc w:val="left"/>
      <w:pPr>
        <w:tabs>
          <w:tab w:val="left" w:pos="720"/>
        </w:tabs>
        <w:ind w:left="720" w:hanging="480"/>
      </w:pPr>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displayBackgroundShape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521"/>
    <w:rsid w:val="000007B6"/>
    <w:rsid w:val="000007D7"/>
    <w:rsid w:val="00000823"/>
    <w:rsid w:val="00000954"/>
    <w:rsid w:val="00000D8A"/>
    <w:rsid w:val="00000F52"/>
    <w:rsid w:val="00001187"/>
    <w:rsid w:val="00001361"/>
    <w:rsid w:val="00001507"/>
    <w:rsid w:val="000017E4"/>
    <w:rsid w:val="00001934"/>
    <w:rsid w:val="000019A9"/>
    <w:rsid w:val="00001B50"/>
    <w:rsid w:val="00001D4E"/>
    <w:rsid w:val="00001F43"/>
    <w:rsid w:val="00001F71"/>
    <w:rsid w:val="00001F81"/>
    <w:rsid w:val="00002049"/>
    <w:rsid w:val="00002092"/>
    <w:rsid w:val="00002100"/>
    <w:rsid w:val="00002165"/>
    <w:rsid w:val="00002253"/>
    <w:rsid w:val="000022FE"/>
    <w:rsid w:val="0000254A"/>
    <w:rsid w:val="000027D9"/>
    <w:rsid w:val="000029D1"/>
    <w:rsid w:val="00002EC6"/>
    <w:rsid w:val="00003376"/>
    <w:rsid w:val="0000346A"/>
    <w:rsid w:val="00003587"/>
    <w:rsid w:val="000035F7"/>
    <w:rsid w:val="00003D46"/>
    <w:rsid w:val="00003D9E"/>
    <w:rsid w:val="00003EFA"/>
    <w:rsid w:val="00003F4C"/>
    <w:rsid w:val="000043C2"/>
    <w:rsid w:val="00004472"/>
    <w:rsid w:val="000047D4"/>
    <w:rsid w:val="0000495A"/>
    <w:rsid w:val="00004C4C"/>
    <w:rsid w:val="00004C51"/>
    <w:rsid w:val="00004F33"/>
    <w:rsid w:val="000051A9"/>
    <w:rsid w:val="00005504"/>
    <w:rsid w:val="000059A2"/>
    <w:rsid w:val="00005FEB"/>
    <w:rsid w:val="000066A8"/>
    <w:rsid w:val="00006717"/>
    <w:rsid w:val="00006CA3"/>
    <w:rsid w:val="00006CD0"/>
    <w:rsid w:val="00006F82"/>
    <w:rsid w:val="0000705F"/>
    <w:rsid w:val="000072F9"/>
    <w:rsid w:val="0000737E"/>
    <w:rsid w:val="000077BD"/>
    <w:rsid w:val="0000793C"/>
    <w:rsid w:val="000079AA"/>
    <w:rsid w:val="00007A99"/>
    <w:rsid w:val="00010183"/>
    <w:rsid w:val="0001035B"/>
    <w:rsid w:val="000104AC"/>
    <w:rsid w:val="000104F3"/>
    <w:rsid w:val="00010ABD"/>
    <w:rsid w:val="00010B25"/>
    <w:rsid w:val="0001156C"/>
    <w:rsid w:val="000115D9"/>
    <w:rsid w:val="000116F1"/>
    <w:rsid w:val="00011737"/>
    <w:rsid w:val="00011BCB"/>
    <w:rsid w:val="00011BD9"/>
    <w:rsid w:val="00011D37"/>
    <w:rsid w:val="00011E91"/>
    <w:rsid w:val="00012049"/>
    <w:rsid w:val="00012114"/>
    <w:rsid w:val="00012279"/>
    <w:rsid w:val="0001229B"/>
    <w:rsid w:val="0001243E"/>
    <w:rsid w:val="00012647"/>
    <w:rsid w:val="000128EC"/>
    <w:rsid w:val="00012941"/>
    <w:rsid w:val="00012A07"/>
    <w:rsid w:val="000131C1"/>
    <w:rsid w:val="000133E8"/>
    <w:rsid w:val="000135DB"/>
    <w:rsid w:val="00013696"/>
    <w:rsid w:val="000136E4"/>
    <w:rsid w:val="00013842"/>
    <w:rsid w:val="00013A34"/>
    <w:rsid w:val="00013C35"/>
    <w:rsid w:val="00013CB1"/>
    <w:rsid w:val="00013EEA"/>
    <w:rsid w:val="0001412E"/>
    <w:rsid w:val="000141D3"/>
    <w:rsid w:val="0001436A"/>
    <w:rsid w:val="0001450B"/>
    <w:rsid w:val="0001451A"/>
    <w:rsid w:val="0001461D"/>
    <w:rsid w:val="00014905"/>
    <w:rsid w:val="00014AB2"/>
    <w:rsid w:val="00014E14"/>
    <w:rsid w:val="00014E76"/>
    <w:rsid w:val="00014F18"/>
    <w:rsid w:val="000154F9"/>
    <w:rsid w:val="000155E4"/>
    <w:rsid w:val="00015B74"/>
    <w:rsid w:val="00015D6D"/>
    <w:rsid w:val="00016092"/>
    <w:rsid w:val="00016652"/>
    <w:rsid w:val="0001696D"/>
    <w:rsid w:val="000169D2"/>
    <w:rsid w:val="00016D25"/>
    <w:rsid w:val="00017100"/>
    <w:rsid w:val="00017222"/>
    <w:rsid w:val="000173FD"/>
    <w:rsid w:val="0001771E"/>
    <w:rsid w:val="00017825"/>
    <w:rsid w:val="0001791F"/>
    <w:rsid w:val="00017E77"/>
    <w:rsid w:val="000201C4"/>
    <w:rsid w:val="00020739"/>
    <w:rsid w:val="00020851"/>
    <w:rsid w:val="00020D7A"/>
    <w:rsid w:val="00020E97"/>
    <w:rsid w:val="00020F26"/>
    <w:rsid w:val="00021045"/>
    <w:rsid w:val="00021081"/>
    <w:rsid w:val="000214F4"/>
    <w:rsid w:val="000214F9"/>
    <w:rsid w:val="00021561"/>
    <w:rsid w:val="00021699"/>
    <w:rsid w:val="000216D2"/>
    <w:rsid w:val="00021943"/>
    <w:rsid w:val="00021979"/>
    <w:rsid w:val="0002198C"/>
    <w:rsid w:val="000219A6"/>
    <w:rsid w:val="00022597"/>
    <w:rsid w:val="00022660"/>
    <w:rsid w:val="00022934"/>
    <w:rsid w:val="00022E3F"/>
    <w:rsid w:val="0002300B"/>
    <w:rsid w:val="0002356F"/>
    <w:rsid w:val="0002378C"/>
    <w:rsid w:val="000238F2"/>
    <w:rsid w:val="00023A4F"/>
    <w:rsid w:val="00023EB8"/>
    <w:rsid w:val="0002445D"/>
    <w:rsid w:val="000245B9"/>
    <w:rsid w:val="00024A80"/>
    <w:rsid w:val="00024C39"/>
    <w:rsid w:val="0002502F"/>
    <w:rsid w:val="000251BA"/>
    <w:rsid w:val="00025263"/>
    <w:rsid w:val="0002526A"/>
    <w:rsid w:val="000252A6"/>
    <w:rsid w:val="00025672"/>
    <w:rsid w:val="00025ADF"/>
    <w:rsid w:val="00025BB7"/>
    <w:rsid w:val="00025C9A"/>
    <w:rsid w:val="0002604F"/>
    <w:rsid w:val="000261AF"/>
    <w:rsid w:val="00026456"/>
    <w:rsid w:val="00026F82"/>
    <w:rsid w:val="00027595"/>
    <w:rsid w:val="000275C8"/>
    <w:rsid w:val="000276EA"/>
    <w:rsid w:val="00027854"/>
    <w:rsid w:val="000278AC"/>
    <w:rsid w:val="00027A10"/>
    <w:rsid w:val="00027A92"/>
    <w:rsid w:val="00027ACD"/>
    <w:rsid w:val="00027BE4"/>
    <w:rsid w:val="00027F28"/>
    <w:rsid w:val="00030008"/>
    <w:rsid w:val="00030028"/>
    <w:rsid w:val="00030422"/>
    <w:rsid w:val="0003084F"/>
    <w:rsid w:val="000308C0"/>
    <w:rsid w:val="00030CD0"/>
    <w:rsid w:val="000310B6"/>
    <w:rsid w:val="00031178"/>
    <w:rsid w:val="00031205"/>
    <w:rsid w:val="0003120B"/>
    <w:rsid w:val="00031311"/>
    <w:rsid w:val="00031349"/>
    <w:rsid w:val="000313CD"/>
    <w:rsid w:val="00031655"/>
    <w:rsid w:val="0003169F"/>
    <w:rsid w:val="00031A69"/>
    <w:rsid w:val="00031C07"/>
    <w:rsid w:val="00031C10"/>
    <w:rsid w:val="00031CBB"/>
    <w:rsid w:val="00031FFA"/>
    <w:rsid w:val="00032625"/>
    <w:rsid w:val="00032646"/>
    <w:rsid w:val="00032F08"/>
    <w:rsid w:val="00032F88"/>
    <w:rsid w:val="00033073"/>
    <w:rsid w:val="000331C2"/>
    <w:rsid w:val="000331EB"/>
    <w:rsid w:val="0003321F"/>
    <w:rsid w:val="0003326F"/>
    <w:rsid w:val="000332E2"/>
    <w:rsid w:val="00033319"/>
    <w:rsid w:val="00033328"/>
    <w:rsid w:val="000336BD"/>
    <w:rsid w:val="00033FB2"/>
    <w:rsid w:val="00034761"/>
    <w:rsid w:val="000348E7"/>
    <w:rsid w:val="00034C57"/>
    <w:rsid w:val="000351B6"/>
    <w:rsid w:val="000351BA"/>
    <w:rsid w:val="000353C8"/>
    <w:rsid w:val="000354D0"/>
    <w:rsid w:val="00035BE1"/>
    <w:rsid w:val="00035E05"/>
    <w:rsid w:val="00035FF4"/>
    <w:rsid w:val="000360D5"/>
    <w:rsid w:val="00036334"/>
    <w:rsid w:val="00036603"/>
    <w:rsid w:val="00036EC0"/>
    <w:rsid w:val="0003779C"/>
    <w:rsid w:val="0003794A"/>
    <w:rsid w:val="00037B1A"/>
    <w:rsid w:val="00037D7D"/>
    <w:rsid w:val="00037EB3"/>
    <w:rsid w:val="00040032"/>
    <w:rsid w:val="0004042D"/>
    <w:rsid w:val="000409B0"/>
    <w:rsid w:val="00040D53"/>
    <w:rsid w:val="00040E5E"/>
    <w:rsid w:val="00040EE0"/>
    <w:rsid w:val="00041081"/>
    <w:rsid w:val="000411A8"/>
    <w:rsid w:val="0004125B"/>
    <w:rsid w:val="00041759"/>
    <w:rsid w:val="00041B94"/>
    <w:rsid w:val="00041CF2"/>
    <w:rsid w:val="00041D57"/>
    <w:rsid w:val="00041E25"/>
    <w:rsid w:val="000420B4"/>
    <w:rsid w:val="0004258A"/>
    <w:rsid w:val="0004265E"/>
    <w:rsid w:val="000427FB"/>
    <w:rsid w:val="000429DF"/>
    <w:rsid w:val="00042A68"/>
    <w:rsid w:val="00042C4B"/>
    <w:rsid w:val="00043136"/>
    <w:rsid w:val="00043588"/>
    <w:rsid w:val="00043661"/>
    <w:rsid w:val="00043712"/>
    <w:rsid w:val="000438A3"/>
    <w:rsid w:val="00043D08"/>
    <w:rsid w:val="00043E59"/>
    <w:rsid w:val="00043FD5"/>
    <w:rsid w:val="00044321"/>
    <w:rsid w:val="00044626"/>
    <w:rsid w:val="0004476E"/>
    <w:rsid w:val="00044C85"/>
    <w:rsid w:val="00044E1C"/>
    <w:rsid w:val="00044E58"/>
    <w:rsid w:val="0004511E"/>
    <w:rsid w:val="0004515C"/>
    <w:rsid w:val="0004544A"/>
    <w:rsid w:val="00045971"/>
    <w:rsid w:val="000459FF"/>
    <w:rsid w:val="00045AE4"/>
    <w:rsid w:val="00045C8A"/>
    <w:rsid w:val="00045CAA"/>
    <w:rsid w:val="00045E1A"/>
    <w:rsid w:val="00046089"/>
    <w:rsid w:val="0004624A"/>
    <w:rsid w:val="0004632C"/>
    <w:rsid w:val="000463FE"/>
    <w:rsid w:val="0004666D"/>
    <w:rsid w:val="000469E3"/>
    <w:rsid w:val="00046A35"/>
    <w:rsid w:val="00046B22"/>
    <w:rsid w:val="00046DC3"/>
    <w:rsid w:val="0004702E"/>
    <w:rsid w:val="000473DD"/>
    <w:rsid w:val="00047420"/>
    <w:rsid w:val="00047A8E"/>
    <w:rsid w:val="00047F8A"/>
    <w:rsid w:val="00050A1A"/>
    <w:rsid w:val="00050A36"/>
    <w:rsid w:val="00050C59"/>
    <w:rsid w:val="00050D15"/>
    <w:rsid w:val="00050DF6"/>
    <w:rsid w:val="00050ED6"/>
    <w:rsid w:val="000511A8"/>
    <w:rsid w:val="000513C4"/>
    <w:rsid w:val="0005149A"/>
    <w:rsid w:val="000514E2"/>
    <w:rsid w:val="000517E4"/>
    <w:rsid w:val="00051EA3"/>
    <w:rsid w:val="00051EF4"/>
    <w:rsid w:val="00052097"/>
    <w:rsid w:val="00052204"/>
    <w:rsid w:val="0005239B"/>
    <w:rsid w:val="000524DB"/>
    <w:rsid w:val="00052588"/>
    <w:rsid w:val="000528AB"/>
    <w:rsid w:val="000529B1"/>
    <w:rsid w:val="00052AAF"/>
    <w:rsid w:val="00052B1C"/>
    <w:rsid w:val="00052B7D"/>
    <w:rsid w:val="00052CF0"/>
    <w:rsid w:val="00053058"/>
    <w:rsid w:val="00053100"/>
    <w:rsid w:val="0005312A"/>
    <w:rsid w:val="0005334B"/>
    <w:rsid w:val="0005383A"/>
    <w:rsid w:val="00053A43"/>
    <w:rsid w:val="00053A9A"/>
    <w:rsid w:val="00053C12"/>
    <w:rsid w:val="00053CCA"/>
    <w:rsid w:val="00053CFA"/>
    <w:rsid w:val="000543AF"/>
    <w:rsid w:val="0005449D"/>
    <w:rsid w:val="00054579"/>
    <w:rsid w:val="0005471E"/>
    <w:rsid w:val="00054C2D"/>
    <w:rsid w:val="00055298"/>
    <w:rsid w:val="000553FC"/>
    <w:rsid w:val="00055489"/>
    <w:rsid w:val="00055563"/>
    <w:rsid w:val="00055572"/>
    <w:rsid w:val="00055681"/>
    <w:rsid w:val="00055803"/>
    <w:rsid w:val="00056052"/>
    <w:rsid w:val="000569C9"/>
    <w:rsid w:val="00056C0E"/>
    <w:rsid w:val="0005715E"/>
    <w:rsid w:val="000571DC"/>
    <w:rsid w:val="000578BA"/>
    <w:rsid w:val="00057BC8"/>
    <w:rsid w:val="00057C02"/>
    <w:rsid w:val="00057FFD"/>
    <w:rsid w:val="0006002F"/>
    <w:rsid w:val="00060038"/>
    <w:rsid w:val="00060067"/>
    <w:rsid w:val="00060149"/>
    <w:rsid w:val="00060303"/>
    <w:rsid w:val="00060571"/>
    <w:rsid w:val="000606E3"/>
    <w:rsid w:val="00060768"/>
    <w:rsid w:val="000608B4"/>
    <w:rsid w:val="000609B4"/>
    <w:rsid w:val="00060A60"/>
    <w:rsid w:val="00060F71"/>
    <w:rsid w:val="0006114F"/>
    <w:rsid w:val="00061A64"/>
    <w:rsid w:val="00061B4A"/>
    <w:rsid w:val="00061C2B"/>
    <w:rsid w:val="00061C8A"/>
    <w:rsid w:val="000621E5"/>
    <w:rsid w:val="0006271B"/>
    <w:rsid w:val="00062CC0"/>
    <w:rsid w:val="00062CEE"/>
    <w:rsid w:val="00062D64"/>
    <w:rsid w:val="00062D7E"/>
    <w:rsid w:val="00062DDC"/>
    <w:rsid w:val="000634C9"/>
    <w:rsid w:val="00063BC0"/>
    <w:rsid w:val="00063DD1"/>
    <w:rsid w:val="00063F02"/>
    <w:rsid w:val="000643FB"/>
    <w:rsid w:val="000644F2"/>
    <w:rsid w:val="00064B77"/>
    <w:rsid w:val="00064CC6"/>
    <w:rsid w:val="00064E80"/>
    <w:rsid w:val="00064FA9"/>
    <w:rsid w:val="000650A7"/>
    <w:rsid w:val="0006510C"/>
    <w:rsid w:val="000658AA"/>
    <w:rsid w:val="00065B02"/>
    <w:rsid w:val="00065E52"/>
    <w:rsid w:val="00065EAD"/>
    <w:rsid w:val="00065EFA"/>
    <w:rsid w:val="0006602E"/>
    <w:rsid w:val="00066103"/>
    <w:rsid w:val="00066248"/>
    <w:rsid w:val="00066C61"/>
    <w:rsid w:val="00066FCA"/>
    <w:rsid w:val="000672BB"/>
    <w:rsid w:val="0006732C"/>
    <w:rsid w:val="00067351"/>
    <w:rsid w:val="0006771D"/>
    <w:rsid w:val="00067B34"/>
    <w:rsid w:val="00067B48"/>
    <w:rsid w:val="00067F4C"/>
    <w:rsid w:val="00070203"/>
    <w:rsid w:val="00070219"/>
    <w:rsid w:val="000704C9"/>
    <w:rsid w:val="00070516"/>
    <w:rsid w:val="00070664"/>
    <w:rsid w:val="0007074C"/>
    <w:rsid w:val="00070A2E"/>
    <w:rsid w:val="00070A54"/>
    <w:rsid w:val="00070C73"/>
    <w:rsid w:val="00070E50"/>
    <w:rsid w:val="00070FAD"/>
    <w:rsid w:val="00071216"/>
    <w:rsid w:val="00071340"/>
    <w:rsid w:val="0007146A"/>
    <w:rsid w:val="000714E7"/>
    <w:rsid w:val="0007178D"/>
    <w:rsid w:val="00071805"/>
    <w:rsid w:val="00071925"/>
    <w:rsid w:val="00071A4D"/>
    <w:rsid w:val="00071CFC"/>
    <w:rsid w:val="00071DE2"/>
    <w:rsid w:val="000725C3"/>
    <w:rsid w:val="0007296F"/>
    <w:rsid w:val="00072B8E"/>
    <w:rsid w:val="00072EA3"/>
    <w:rsid w:val="00072F76"/>
    <w:rsid w:val="00073038"/>
    <w:rsid w:val="000731AA"/>
    <w:rsid w:val="00073297"/>
    <w:rsid w:val="000732F0"/>
    <w:rsid w:val="000739A8"/>
    <w:rsid w:val="00073E28"/>
    <w:rsid w:val="00074574"/>
    <w:rsid w:val="00074956"/>
    <w:rsid w:val="00074B2A"/>
    <w:rsid w:val="00074CBB"/>
    <w:rsid w:val="00074D0E"/>
    <w:rsid w:val="00075148"/>
    <w:rsid w:val="0007524F"/>
    <w:rsid w:val="00075416"/>
    <w:rsid w:val="000754FF"/>
    <w:rsid w:val="000755E2"/>
    <w:rsid w:val="00075701"/>
    <w:rsid w:val="00075704"/>
    <w:rsid w:val="000759E2"/>
    <w:rsid w:val="00075C0F"/>
    <w:rsid w:val="00075DBB"/>
    <w:rsid w:val="00075FDF"/>
    <w:rsid w:val="000762EF"/>
    <w:rsid w:val="00076499"/>
    <w:rsid w:val="000765AA"/>
    <w:rsid w:val="0007686F"/>
    <w:rsid w:val="00076EF1"/>
    <w:rsid w:val="00076F45"/>
    <w:rsid w:val="00077073"/>
    <w:rsid w:val="00077231"/>
    <w:rsid w:val="000772CC"/>
    <w:rsid w:val="0007730C"/>
    <w:rsid w:val="00077620"/>
    <w:rsid w:val="000776E8"/>
    <w:rsid w:val="00077D25"/>
    <w:rsid w:val="00080130"/>
    <w:rsid w:val="00080541"/>
    <w:rsid w:val="00080A02"/>
    <w:rsid w:val="00081488"/>
    <w:rsid w:val="000814A7"/>
    <w:rsid w:val="000817C2"/>
    <w:rsid w:val="000817ED"/>
    <w:rsid w:val="00081B41"/>
    <w:rsid w:val="00081D2F"/>
    <w:rsid w:val="00081F23"/>
    <w:rsid w:val="00082033"/>
    <w:rsid w:val="00082125"/>
    <w:rsid w:val="000821F6"/>
    <w:rsid w:val="00082320"/>
    <w:rsid w:val="00082373"/>
    <w:rsid w:val="000823C7"/>
    <w:rsid w:val="00082485"/>
    <w:rsid w:val="000825F9"/>
    <w:rsid w:val="00082ADE"/>
    <w:rsid w:val="00082B03"/>
    <w:rsid w:val="00082EBC"/>
    <w:rsid w:val="00082FF1"/>
    <w:rsid w:val="00083129"/>
    <w:rsid w:val="000831B5"/>
    <w:rsid w:val="000833BB"/>
    <w:rsid w:val="00083548"/>
    <w:rsid w:val="00083987"/>
    <w:rsid w:val="00083EB4"/>
    <w:rsid w:val="00083F55"/>
    <w:rsid w:val="00084193"/>
    <w:rsid w:val="000843A7"/>
    <w:rsid w:val="000843A8"/>
    <w:rsid w:val="000844CB"/>
    <w:rsid w:val="000847B4"/>
    <w:rsid w:val="000847F1"/>
    <w:rsid w:val="00084819"/>
    <w:rsid w:val="00085008"/>
    <w:rsid w:val="0008507F"/>
    <w:rsid w:val="0008518B"/>
    <w:rsid w:val="00085203"/>
    <w:rsid w:val="000852BA"/>
    <w:rsid w:val="00085EB0"/>
    <w:rsid w:val="00086046"/>
    <w:rsid w:val="0008622E"/>
    <w:rsid w:val="000862B6"/>
    <w:rsid w:val="0008643B"/>
    <w:rsid w:val="000864E3"/>
    <w:rsid w:val="000869E9"/>
    <w:rsid w:val="00086AF0"/>
    <w:rsid w:val="00086C9E"/>
    <w:rsid w:val="00086D85"/>
    <w:rsid w:val="00086E23"/>
    <w:rsid w:val="0008790E"/>
    <w:rsid w:val="00087949"/>
    <w:rsid w:val="00087CDB"/>
    <w:rsid w:val="00087E80"/>
    <w:rsid w:val="0009042B"/>
    <w:rsid w:val="000907FA"/>
    <w:rsid w:val="00090EB2"/>
    <w:rsid w:val="00090F38"/>
    <w:rsid w:val="0009108A"/>
    <w:rsid w:val="000911A1"/>
    <w:rsid w:val="000911B7"/>
    <w:rsid w:val="000914DE"/>
    <w:rsid w:val="00091CE8"/>
    <w:rsid w:val="00091E21"/>
    <w:rsid w:val="00091E41"/>
    <w:rsid w:val="00091EE1"/>
    <w:rsid w:val="0009208C"/>
    <w:rsid w:val="00092228"/>
    <w:rsid w:val="00092743"/>
    <w:rsid w:val="00092814"/>
    <w:rsid w:val="0009294C"/>
    <w:rsid w:val="00092A09"/>
    <w:rsid w:val="00092BF2"/>
    <w:rsid w:val="00092D3B"/>
    <w:rsid w:val="00092E46"/>
    <w:rsid w:val="00093282"/>
    <w:rsid w:val="000935E0"/>
    <w:rsid w:val="000936D7"/>
    <w:rsid w:val="00093934"/>
    <w:rsid w:val="00093A10"/>
    <w:rsid w:val="00093ACD"/>
    <w:rsid w:val="00093C44"/>
    <w:rsid w:val="00093CA6"/>
    <w:rsid w:val="00093E3F"/>
    <w:rsid w:val="00093E58"/>
    <w:rsid w:val="00093E68"/>
    <w:rsid w:val="00094065"/>
    <w:rsid w:val="00094393"/>
    <w:rsid w:val="000945FF"/>
    <w:rsid w:val="0009466F"/>
    <w:rsid w:val="00094707"/>
    <w:rsid w:val="0009472C"/>
    <w:rsid w:val="00094A45"/>
    <w:rsid w:val="00094B02"/>
    <w:rsid w:val="00094B4D"/>
    <w:rsid w:val="00094BED"/>
    <w:rsid w:val="00094E0A"/>
    <w:rsid w:val="00095101"/>
    <w:rsid w:val="00095379"/>
    <w:rsid w:val="00095572"/>
    <w:rsid w:val="00095A33"/>
    <w:rsid w:val="00095C78"/>
    <w:rsid w:val="00095EFF"/>
    <w:rsid w:val="0009611A"/>
    <w:rsid w:val="000962D8"/>
    <w:rsid w:val="000963FE"/>
    <w:rsid w:val="0009651A"/>
    <w:rsid w:val="000965ED"/>
    <w:rsid w:val="0009666A"/>
    <w:rsid w:val="00096FB2"/>
    <w:rsid w:val="00096FE0"/>
    <w:rsid w:val="00097180"/>
    <w:rsid w:val="00097456"/>
    <w:rsid w:val="0009762B"/>
    <w:rsid w:val="000978A9"/>
    <w:rsid w:val="000978DB"/>
    <w:rsid w:val="00097A6A"/>
    <w:rsid w:val="00097B08"/>
    <w:rsid w:val="00097B0B"/>
    <w:rsid w:val="00097D35"/>
    <w:rsid w:val="00097FC2"/>
    <w:rsid w:val="000A0169"/>
    <w:rsid w:val="000A0173"/>
    <w:rsid w:val="000A022E"/>
    <w:rsid w:val="000A037D"/>
    <w:rsid w:val="000A03DC"/>
    <w:rsid w:val="000A055B"/>
    <w:rsid w:val="000A05E8"/>
    <w:rsid w:val="000A0829"/>
    <w:rsid w:val="000A0965"/>
    <w:rsid w:val="000A0B5D"/>
    <w:rsid w:val="000A0F80"/>
    <w:rsid w:val="000A0FAF"/>
    <w:rsid w:val="000A11E5"/>
    <w:rsid w:val="000A12F3"/>
    <w:rsid w:val="000A12FF"/>
    <w:rsid w:val="000A141E"/>
    <w:rsid w:val="000A1865"/>
    <w:rsid w:val="000A187A"/>
    <w:rsid w:val="000A1959"/>
    <w:rsid w:val="000A19D9"/>
    <w:rsid w:val="000A19EA"/>
    <w:rsid w:val="000A1A23"/>
    <w:rsid w:val="000A1C15"/>
    <w:rsid w:val="000A20D9"/>
    <w:rsid w:val="000A2138"/>
    <w:rsid w:val="000A22BB"/>
    <w:rsid w:val="000A2366"/>
    <w:rsid w:val="000A29CA"/>
    <w:rsid w:val="000A2E17"/>
    <w:rsid w:val="000A2F45"/>
    <w:rsid w:val="000A30DD"/>
    <w:rsid w:val="000A326F"/>
    <w:rsid w:val="000A3359"/>
    <w:rsid w:val="000A33D2"/>
    <w:rsid w:val="000A340F"/>
    <w:rsid w:val="000A3462"/>
    <w:rsid w:val="000A34A8"/>
    <w:rsid w:val="000A3651"/>
    <w:rsid w:val="000A382E"/>
    <w:rsid w:val="000A3DA4"/>
    <w:rsid w:val="000A3F54"/>
    <w:rsid w:val="000A41B2"/>
    <w:rsid w:val="000A4485"/>
    <w:rsid w:val="000A44A8"/>
    <w:rsid w:val="000A48A8"/>
    <w:rsid w:val="000A4952"/>
    <w:rsid w:val="000A4957"/>
    <w:rsid w:val="000A4B13"/>
    <w:rsid w:val="000A4C20"/>
    <w:rsid w:val="000A540D"/>
    <w:rsid w:val="000A588C"/>
    <w:rsid w:val="000A5B37"/>
    <w:rsid w:val="000A5C58"/>
    <w:rsid w:val="000A5E00"/>
    <w:rsid w:val="000A5F16"/>
    <w:rsid w:val="000A63F9"/>
    <w:rsid w:val="000A64B8"/>
    <w:rsid w:val="000A69DA"/>
    <w:rsid w:val="000A69FF"/>
    <w:rsid w:val="000A6AD3"/>
    <w:rsid w:val="000A6E2E"/>
    <w:rsid w:val="000A7220"/>
    <w:rsid w:val="000A74D3"/>
    <w:rsid w:val="000A75FB"/>
    <w:rsid w:val="000A7900"/>
    <w:rsid w:val="000A7AD5"/>
    <w:rsid w:val="000A7CB8"/>
    <w:rsid w:val="000B01B7"/>
    <w:rsid w:val="000B02C4"/>
    <w:rsid w:val="000B06CD"/>
    <w:rsid w:val="000B06EC"/>
    <w:rsid w:val="000B098F"/>
    <w:rsid w:val="000B09B6"/>
    <w:rsid w:val="000B0B3E"/>
    <w:rsid w:val="000B0BE0"/>
    <w:rsid w:val="000B0CB6"/>
    <w:rsid w:val="000B0D81"/>
    <w:rsid w:val="000B0EF0"/>
    <w:rsid w:val="000B0FCB"/>
    <w:rsid w:val="000B1065"/>
    <w:rsid w:val="000B10F5"/>
    <w:rsid w:val="000B12C8"/>
    <w:rsid w:val="000B14CA"/>
    <w:rsid w:val="000B1529"/>
    <w:rsid w:val="000B15A5"/>
    <w:rsid w:val="000B1612"/>
    <w:rsid w:val="000B1CFB"/>
    <w:rsid w:val="000B1F56"/>
    <w:rsid w:val="000B237F"/>
    <w:rsid w:val="000B243C"/>
    <w:rsid w:val="000B2527"/>
    <w:rsid w:val="000B26C0"/>
    <w:rsid w:val="000B2839"/>
    <w:rsid w:val="000B2921"/>
    <w:rsid w:val="000B2962"/>
    <w:rsid w:val="000B2A97"/>
    <w:rsid w:val="000B2AD5"/>
    <w:rsid w:val="000B3423"/>
    <w:rsid w:val="000B35E3"/>
    <w:rsid w:val="000B360D"/>
    <w:rsid w:val="000B37DC"/>
    <w:rsid w:val="000B38A0"/>
    <w:rsid w:val="000B3C8E"/>
    <w:rsid w:val="000B41E9"/>
    <w:rsid w:val="000B47CA"/>
    <w:rsid w:val="000B4A85"/>
    <w:rsid w:val="000B4ABF"/>
    <w:rsid w:val="000B4B11"/>
    <w:rsid w:val="000B4BD6"/>
    <w:rsid w:val="000B503E"/>
    <w:rsid w:val="000B51CA"/>
    <w:rsid w:val="000B522B"/>
    <w:rsid w:val="000B5402"/>
    <w:rsid w:val="000B546C"/>
    <w:rsid w:val="000B54BE"/>
    <w:rsid w:val="000B55CE"/>
    <w:rsid w:val="000B57B6"/>
    <w:rsid w:val="000B58CB"/>
    <w:rsid w:val="000B59B6"/>
    <w:rsid w:val="000B59BC"/>
    <w:rsid w:val="000B5B23"/>
    <w:rsid w:val="000B5C8F"/>
    <w:rsid w:val="000B5CD5"/>
    <w:rsid w:val="000B5CE8"/>
    <w:rsid w:val="000B5F74"/>
    <w:rsid w:val="000B6051"/>
    <w:rsid w:val="000B62C6"/>
    <w:rsid w:val="000B641F"/>
    <w:rsid w:val="000B68B5"/>
    <w:rsid w:val="000B6E70"/>
    <w:rsid w:val="000B6E9F"/>
    <w:rsid w:val="000B713D"/>
    <w:rsid w:val="000B71E7"/>
    <w:rsid w:val="000B7251"/>
    <w:rsid w:val="000B7851"/>
    <w:rsid w:val="000B7889"/>
    <w:rsid w:val="000B79F5"/>
    <w:rsid w:val="000C01BD"/>
    <w:rsid w:val="000C0567"/>
    <w:rsid w:val="000C08CC"/>
    <w:rsid w:val="000C0B47"/>
    <w:rsid w:val="000C0BC9"/>
    <w:rsid w:val="000C0BDF"/>
    <w:rsid w:val="000C0E5F"/>
    <w:rsid w:val="000C15E2"/>
    <w:rsid w:val="000C1A36"/>
    <w:rsid w:val="000C1EFB"/>
    <w:rsid w:val="000C20E1"/>
    <w:rsid w:val="000C20EA"/>
    <w:rsid w:val="000C22B8"/>
    <w:rsid w:val="000C244C"/>
    <w:rsid w:val="000C248F"/>
    <w:rsid w:val="000C2536"/>
    <w:rsid w:val="000C25F5"/>
    <w:rsid w:val="000C25FC"/>
    <w:rsid w:val="000C2B36"/>
    <w:rsid w:val="000C2C5C"/>
    <w:rsid w:val="000C2F5B"/>
    <w:rsid w:val="000C3271"/>
    <w:rsid w:val="000C33FA"/>
    <w:rsid w:val="000C3959"/>
    <w:rsid w:val="000C3A75"/>
    <w:rsid w:val="000C3F1C"/>
    <w:rsid w:val="000C43C8"/>
    <w:rsid w:val="000C469B"/>
    <w:rsid w:val="000C4A23"/>
    <w:rsid w:val="000C4EFC"/>
    <w:rsid w:val="000C506D"/>
    <w:rsid w:val="000C5380"/>
    <w:rsid w:val="000C557F"/>
    <w:rsid w:val="000C5ABA"/>
    <w:rsid w:val="000C5EC3"/>
    <w:rsid w:val="000C6367"/>
    <w:rsid w:val="000C646E"/>
    <w:rsid w:val="000C66AD"/>
    <w:rsid w:val="000C67B3"/>
    <w:rsid w:val="000C6B15"/>
    <w:rsid w:val="000C6C3B"/>
    <w:rsid w:val="000C6CB6"/>
    <w:rsid w:val="000C6D42"/>
    <w:rsid w:val="000C6F5A"/>
    <w:rsid w:val="000C6F84"/>
    <w:rsid w:val="000C6F9C"/>
    <w:rsid w:val="000C7032"/>
    <w:rsid w:val="000C720B"/>
    <w:rsid w:val="000C7474"/>
    <w:rsid w:val="000C7489"/>
    <w:rsid w:val="000C7564"/>
    <w:rsid w:val="000C7620"/>
    <w:rsid w:val="000C763A"/>
    <w:rsid w:val="000C779E"/>
    <w:rsid w:val="000C781E"/>
    <w:rsid w:val="000C7B70"/>
    <w:rsid w:val="000C7E1A"/>
    <w:rsid w:val="000D022E"/>
    <w:rsid w:val="000D046F"/>
    <w:rsid w:val="000D08FE"/>
    <w:rsid w:val="000D0D7B"/>
    <w:rsid w:val="000D0F4B"/>
    <w:rsid w:val="000D11FC"/>
    <w:rsid w:val="000D1225"/>
    <w:rsid w:val="000D129A"/>
    <w:rsid w:val="000D1326"/>
    <w:rsid w:val="000D13B2"/>
    <w:rsid w:val="000D15B5"/>
    <w:rsid w:val="000D1704"/>
    <w:rsid w:val="000D190C"/>
    <w:rsid w:val="000D19B0"/>
    <w:rsid w:val="000D1AE4"/>
    <w:rsid w:val="000D1B04"/>
    <w:rsid w:val="000D1CA6"/>
    <w:rsid w:val="000D1CCB"/>
    <w:rsid w:val="000D1D9F"/>
    <w:rsid w:val="000D21EC"/>
    <w:rsid w:val="000D23B2"/>
    <w:rsid w:val="000D2496"/>
    <w:rsid w:val="000D252F"/>
    <w:rsid w:val="000D25CA"/>
    <w:rsid w:val="000D2694"/>
    <w:rsid w:val="000D2881"/>
    <w:rsid w:val="000D28EA"/>
    <w:rsid w:val="000D2909"/>
    <w:rsid w:val="000D2A90"/>
    <w:rsid w:val="000D2C92"/>
    <w:rsid w:val="000D2CC7"/>
    <w:rsid w:val="000D2D46"/>
    <w:rsid w:val="000D3222"/>
    <w:rsid w:val="000D324E"/>
    <w:rsid w:val="000D37C8"/>
    <w:rsid w:val="000D390F"/>
    <w:rsid w:val="000D39FC"/>
    <w:rsid w:val="000D3ABA"/>
    <w:rsid w:val="000D3F00"/>
    <w:rsid w:val="000D418C"/>
    <w:rsid w:val="000D4402"/>
    <w:rsid w:val="000D45D0"/>
    <w:rsid w:val="000D4888"/>
    <w:rsid w:val="000D4E1A"/>
    <w:rsid w:val="000D4E2C"/>
    <w:rsid w:val="000D4F67"/>
    <w:rsid w:val="000D504A"/>
    <w:rsid w:val="000D524D"/>
    <w:rsid w:val="000D530C"/>
    <w:rsid w:val="000D545A"/>
    <w:rsid w:val="000D55EE"/>
    <w:rsid w:val="000D562A"/>
    <w:rsid w:val="000D564D"/>
    <w:rsid w:val="000D59E9"/>
    <w:rsid w:val="000D5A36"/>
    <w:rsid w:val="000D5DD1"/>
    <w:rsid w:val="000D61D9"/>
    <w:rsid w:val="000D6330"/>
    <w:rsid w:val="000D64BB"/>
    <w:rsid w:val="000D6513"/>
    <w:rsid w:val="000D6555"/>
    <w:rsid w:val="000D6584"/>
    <w:rsid w:val="000D6967"/>
    <w:rsid w:val="000D7269"/>
    <w:rsid w:val="000D7462"/>
    <w:rsid w:val="000D7479"/>
    <w:rsid w:val="000D77C8"/>
    <w:rsid w:val="000D7971"/>
    <w:rsid w:val="000D7A0E"/>
    <w:rsid w:val="000D7E27"/>
    <w:rsid w:val="000D7FE9"/>
    <w:rsid w:val="000E004B"/>
    <w:rsid w:val="000E00D1"/>
    <w:rsid w:val="000E0570"/>
    <w:rsid w:val="000E0943"/>
    <w:rsid w:val="000E0AEC"/>
    <w:rsid w:val="000E0D3E"/>
    <w:rsid w:val="000E0F09"/>
    <w:rsid w:val="000E1687"/>
    <w:rsid w:val="000E17F5"/>
    <w:rsid w:val="000E1848"/>
    <w:rsid w:val="000E18E6"/>
    <w:rsid w:val="000E1AF2"/>
    <w:rsid w:val="000E1B16"/>
    <w:rsid w:val="000E1E08"/>
    <w:rsid w:val="000E1ED5"/>
    <w:rsid w:val="000E1F1D"/>
    <w:rsid w:val="000E2211"/>
    <w:rsid w:val="000E24A4"/>
    <w:rsid w:val="000E2690"/>
    <w:rsid w:val="000E2C38"/>
    <w:rsid w:val="000E2CF2"/>
    <w:rsid w:val="000E2ECB"/>
    <w:rsid w:val="000E2F84"/>
    <w:rsid w:val="000E2FF2"/>
    <w:rsid w:val="000E33CE"/>
    <w:rsid w:val="000E35DE"/>
    <w:rsid w:val="000E36A8"/>
    <w:rsid w:val="000E3834"/>
    <w:rsid w:val="000E3D6D"/>
    <w:rsid w:val="000E3EE9"/>
    <w:rsid w:val="000E3FD2"/>
    <w:rsid w:val="000E433E"/>
    <w:rsid w:val="000E43A1"/>
    <w:rsid w:val="000E4CDD"/>
    <w:rsid w:val="000E4E45"/>
    <w:rsid w:val="000E4F66"/>
    <w:rsid w:val="000E5075"/>
    <w:rsid w:val="000E51A8"/>
    <w:rsid w:val="000E5305"/>
    <w:rsid w:val="000E63A6"/>
    <w:rsid w:val="000E6481"/>
    <w:rsid w:val="000E6869"/>
    <w:rsid w:val="000E6946"/>
    <w:rsid w:val="000E6A3A"/>
    <w:rsid w:val="000E6B53"/>
    <w:rsid w:val="000E6BD0"/>
    <w:rsid w:val="000E701F"/>
    <w:rsid w:val="000E7539"/>
    <w:rsid w:val="000E7540"/>
    <w:rsid w:val="000E79EA"/>
    <w:rsid w:val="000F0352"/>
    <w:rsid w:val="000F07DD"/>
    <w:rsid w:val="000F07E6"/>
    <w:rsid w:val="000F09B5"/>
    <w:rsid w:val="000F0D66"/>
    <w:rsid w:val="000F0DC0"/>
    <w:rsid w:val="000F0FF1"/>
    <w:rsid w:val="000F1080"/>
    <w:rsid w:val="000F170C"/>
    <w:rsid w:val="000F1774"/>
    <w:rsid w:val="000F18C2"/>
    <w:rsid w:val="000F19ED"/>
    <w:rsid w:val="000F1B42"/>
    <w:rsid w:val="000F1CD6"/>
    <w:rsid w:val="000F22D7"/>
    <w:rsid w:val="000F25F7"/>
    <w:rsid w:val="000F27D9"/>
    <w:rsid w:val="000F2A07"/>
    <w:rsid w:val="000F2AC9"/>
    <w:rsid w:val="000F2D10"/>
    <w:rsid w:val="000F2D86"/>
    <w:rsid w:val="000F2E4C"/>
    <w:rsid w:val="000F3211"/>
    <w:rsid w:val="000F32CA"/>
    <w:rsid w:val="000F3497"/>
    <w:rsid w:val="000F34D7"/>
    <w:rsid w:val="000F351A"/>
    <w:rsid w:val="000F3878"/>
    <w:rsid w:val="000F3EA8"/>
    <w:rsid w:val="000F3FD5"/>
    <w:rsid w:val="000F4043"/>
    <w:rsid w:val="000F40AD"/>
    <w:rsid w:val="000F42A2"/>
    <w:rsid w:val="000F433D"/>
    <w:rsid w:val="000F443F"/>
    <w:rsid w:val="000F4509"/>
    <w:rsid w:val="000F4A66"/>
    <w:rsid w:val="000F4D48"/>
    <w:rsid w:val="000F4F87"/>
    <w:rsid w:val="000F4FF2"/>
    <w:rsid w:val="000F51C5"/>
    <w:rsid w:val="000F52F8"/>
    <w:rsid w:val="000F55A0"/>
    <w:rsid w:val="000F5A55"/>
    <w:rsid w:val="000F5C04"/>
    <w:rsid w:val="000F5C31"/>
    <w:rsid w:val="000F5E10"/>
    <w:rsid w:val="000F5EF6"/>
    <w:rsid w:val="000F6149"/>
    <w:rsid w:val="000F62E9"/>
    <w:rsid w:val="000F660F"/>
    <w:rsid w:val="000F6988"/>
    <w:rsid w:val="000F6A30"/>
    <w:rsid w:val="000F6BAF"/>
    <w:rsid w:val="000F6DD6"/>
    <w:rsid w:val="000F7205"/>
    <w:rsid w:val="000F7241"/>
    <w:rsid w:val="000F7715"/>
    <w:rsid w:val="000F7A27"/>
    <w:rsid w:val="000F7A94"/>
    <w:rsid w:val="000F7CF6"/>
    <w:rsid w:val="0010033E"/>
    <w:rsid w:val="00100462"/>
    <w:rsid w:val="001005A1"/>
    <w:rsid w:val="001006E7"/>
    <w:rsid w:val="00100767"/>
    <w:rsid w:val="001007A4"/>
    <w:rsid w:val="001007CA"/>
    <w:rsid w:val="0010083F"/>
    <w:rsid w:val="00100C68"/>
    <w:rsid w:val="00101124"/>
    <w:rsid w:val="0010143C"/>
    <w:rsid w:val="00101526"/>
    <w:rsid w:val="00101801"/>
    <w:rsid w:val="0010186F"/>
    <w:rsid w:val="00101A0F"/>
    <w:rsid w:val="00101A28"/>
    <w:rsid w:val="00101B89"/>
    <w:rsid w:val="00101CA6"/>
    <w:rsid w:val="00101CF2"/>
    <w:rsid w:val="00102752"/>
    <w:rsid w:val="001028B3"/>
    <w:rsid w:val="00102C46"/>
    <w:rsid w:val="00102F2A"/>
    <w:rsid w:val="00102F96"/>
    <w:rsid w:val="00103031"/>
    <w:rsid w:val="001034B5"/>
    <w:rsid w:val="0010388D"/>
    <w:rsid w:val="001038EE"/>
    <w:rsid w:val="00103961"/>
    <w:rsid w:val="00103A27"/>
    <w:rsid w:val="00103A3C"/>
    <w:rsid w:val="00103DA0"/>
    <w:rsid w:val="00103E71"/>
    <w:rsid w:val="001042BA"/>
    <w:rsid w:val="001042C5"/>
    <w:rsid w:val="001042D7"/>
    <w:rsid w:val="001043EB"/>
    <w:rsid w:val="00104563"/>
    <w:rsid w:val="00104792"/>
    <w:rsid w:val="00104AFF"/>
    <w:rsid w:val="00104FDF"/>
    <w:rsid w:val="001054A5"/>
    <w:rsid w:val="00105540"/>
    <w:rsid w:val="00105654"/>
    <w:rsid w:val="0010574C"/>
    <w:rsid w:val="001057C1"/>
    <w:rsid w:val="001058FB"/>
    <w:rsid w:val="00105933"/>
    <w:rsid w:val="00105AC5"/>
    <w:rsid w:val="00105AF6"/>
    <w:rsid w:val="00105DFD"/>
    <w:rsid w:val="00106005"/>
    <w:rsid w:val="00106250"/>
    <w:rsid w:val="001063D0"/>
    <w:rsid w:val="001065DF"/>
    <w:rsid w:val="001065F9"/>
    <w:rsid w:val="00106724"/>
    <w:rsid w:val="00106743"/>
    <w:rsid w:val="00106D55"/>
    <w:rsid w:val="00107011"/>
    <w:rsid w:val="00107218"/>
    <w:rsid w:val="00107957"/>
    <w:rsid w:val="00107A51"/>
    <w:rsid w:val="00107D10"/>
    <w:rsid w:val="00107F2E"/>
    <w:rsid w:val="0011014D"/>
    <w:rsid w:val="001102F4"/>
    <w:rsid w:val="00110397"/>
    <w:rsid w:val="00110600"/>
    <w:rsid w:val="0011062A"/>
    <w:rsid w:val="001107B5"/>
    <w:rsid w:val="00110C74"/>
    <w:rsid w:val="00110CCE"/>
    <w:rsid w:val="001113C1"/>
    <w:rsid w:val="001113C8"/>
    <w:rsid w:val="0011184A"/>
    <w:rsid w:val="00111A21"/>
    <w:rsid w:val="00111F35"/>
    <w:rsid w:val="00112003"/>
    <w:rsid w:val="0011214F"/>
    <w:rsid w:val="00112584"/>
    <w:rsid w:val="00112723"/>
    <w:rsid w:val="00112AA2"/>
    <w:rsid w:val="00112D69"/>
    <w:rsid w:val="00112DD4"/>
    <w:rsid w:val="00112E78"/>
    <w:rsid w:val="001130CA"/>
    <w:rsid w:val="0011344E"/>
    <w:rsid w:val="0011347B"/>
    <w:rsid w:val="001137DF"/>
    <w:rsid w:val="00113B6D"/>
    <w:rsid w:val="00113B9B"/>
    <w:rsid w:val="00114356"/>
    <w:rsid w:val="00114405"/>
    <w:rsid w:val="001144A4"/>
    <w:rsid w:val="0011467E"/>
    <w:rsid w:val="001148AF"/>
    <w:rsid w:val="001149BB"/>
    <w:rsid w:val="00114C4C"/>
    <w:rsid w:val="00114DBB"/>
    <w:rsid w:val="00114DDA"/>
    <w:rsid w:val="00114F95"/>
    <w:rsid w:val="0011517B"/>
    <w:rsid w:val="001156C4"/>
    <w:rsid w:val="00115890"/>
    <w:rsid w:val="00115A0E"/>
    <w:rsid w:val="00115BC8"/>
    <w:rsid w:val="00115EF4"/>
    <w:rsid w:val="001162E0"/>
    <w:rsid w:val="001165CD"/>
    <w:rsid w:val="0011668F"/>
    <w:rsid w:val="00116757"/>
    <w:rsid w:val="00116D5D"/>
    <w:rsid w:val="001173BE"/>
    <w:rsid w:val="00117536"/>
    <w:rsid w:val="00117645"/>
    <w:rsid w:val="0011774D"/>
    <w:rsid w:val="0011795F"/>
    <w:rsid w:val="00117A6D"/>
    <w:rsid w:val="00117C2A"/>
    <w:rsid w:val="00117E2D"/>
    <w:rsid w:val="0012048E"/>
    <w:rsid w:val="0012065F"/>
    <w:rsid w:val="001206C1"/>
    <w:rsid w:val="0012074C"/>
    <w:rsid w:val="00120759"/>
    <w:rsid w:val="00120776"/>
    <w:rsid w:val="00120AB4"/>
    <w:rsid w:val="00120B16"/>
    <w:rsid w:val="00120C07"/>
    <w:rsid w:val="00120CDF"/>
    <w:rsid w:val="00120E7F"/>
    <w:rsid w:val="0012115D"/>
    <w:rsid w:val="0012124A"/>
    <w:rsid w:val="00121856"/>
    <w:rsid w:val="001219C0"/>
    <w:rsid w:val="00121A02"/>
    <w:rsid w:val="00121AB7"/>
    <w:rsid w:val="00121BFC"/>
    <w:rsid w:val="00121E30"/>
    <w:rsid w:val="00121EF8"/>
    <w:rsid w:val="00122073"/>
    <w:rsid w:val="00122560"/>
    <w:rsid w:val="001227CF"/>
    <w:rsid w:val="00122A1D"/>
    <w:rsid w:val="00122C2D"/>
    <w:rsid w:val="00122C5E"/>
    <w:rsid w:val="00122D2A"/>
    <w:rsid w:val="00122FAE"/>
    <w:rsid w:val="00123038"/>
    <w:rsid w:val="00123114"/>
    <w:rsid w:val="0012327B"/>
    <w:rsid w:val="00123A19"/>
    <w:rsid w:val="00123B4B"/>
    <w:rsid w:val="00123DFD"/>
    <w:rsid w:val="00123E09"/>
    <w:rsid w:val="00123F63"/>
    <w:rsid w:val="001240B9"/>
    <w:rsid w:val="00124154"/>
    <w:rsid w:val="001246F9"/>
    <w:rsid w:val="00124A30"/>
    <w:rsid w:val="00124BED"/>
    <w:rsid w:val="00124C2F"/>
    <w:rsid w:val="00124F84"/>
    <w:rsid w:val="00125061"/>
    <w:rsid w:val="001250A5"/>
    <w:rsid w:val="001258E5"/>
    <w:rsid w:val="001262D5"/>
    <w:rsid w:val="0012642F"/>
    <w:rsid w:val="001265E5"/>
    <w:rsid w:val="001266E6"/>
    <w:rsid w:val="00127089"/>
    <w:rsid w:val="00127152"/>
    <w:rsid w:val="001274EE"/>
    <w:rsid w:val="0012766E"/>
    <w:rsid w:val="001277B5"/>
    <w:rsid w:val="001277DA"/>
    <w:rsid w:val="001277FD"/>
    <w:rsid w:val="00127917"/>
    <w:rsid w:val="00127F13"/>
    <w:rsid w:val="0013014E"/>
    <w:rsid w:val="0013063A"/>
    <w:rsid w:val="001307CB"/>
    <w:rsid w:val="00131010"/>
    <w:rsid w:val="0013103C"/>
    <w:rsid w:val="001311F7"/>
    <w:rsid w:val="001316D0"/>
    <w:rsid w:val="001317F8"/>
    <w:rsid w:val="00131CC5"/>
    <w:rsid w:val="00131CF5"/>
    <w:rsid w:val="00131E53"/>
    <w:rsid w:val="00132438"/>
    <w:rsid w:val="00132445"/>
    <w:rsid w:val="00132490"/>
    <w:rsid w:val="001324EB"/>
    <w:rsid w:val="00132512"/>
    <w:rsid w:val="00132533"/>
    <w:rsid w:val="001325F5"/>
    <w:rsid w:val="00132717"/>
    <w:rsid w:val="0013280C"/>
    <w:rsid w:val="001328F0"/>
    <w:rsid w:val="00132C7B"/>
    <w:rsid w:val="00132D8D"/>
    <w:rsid w:val="00132DB5"/>
    <w:rsid w:val="001334DB"/>
    <w:rsid w:val="0013390C"/>
    <w:rsid w:val="00133966"/>
    <w:rsid w:val="00133F87"/>
    <w:rsid w:val="00134131"/>
    <w:rsid w:val="00134175"/>
    <w:rsid w:val="00134391"/>
    <w:rsid w:val="001344DC"/>
    <w:rsid w:val="001345F6"/>
    <w:rsid w:val="00134898"/>
    <w:rsid w:val="001349CA"/>
    <w:rsid w:val="00134A02"/>
    <w:rsid w:val="00134A52"/>
    <w:rsid w:val="00134A7B"/>
    <w:rsid w:val="00134B17"/>
    <w:rsid w:val="00134B9C"/>
    <w:rsid w:val="00134DF1"/>
    <w:rsid w:val="00134F6E"/>
    <w:rsid w:val="00134F84"/>
    <w:rsid w:val="00135061"/>
    <w:rsid w:val="00135089"/>
    <w:rsid w:val="0013509E"/>
    <w:rsid w:val="00135173"/>
    <w:rsid w:val="0013526E"/>
    <w:rsid w:val="001358B0"/>
    <w:rsid w:val="001358BF"/>
    <w:rsid w:val="00135B26"/>
    <w:rsid w:val="00135BD0"/>
    <w:rsid w:val="00135DBF"/>
    <w:rsid w:val="0013633F"/>
    <w:rsid w:val="0013636E"/>
    <w:rsid w:val="0013649F"/>
    <w:rsid w:val="001364AF"/>
    <w:rsid w:val="0013657C"/>
    <w:rsid w:val="001367F8"/>
    <w:rsid w:val="00136908"/>
    <w:rsid w:val="00136BD5"/>
    <w:rsid w:val="00137005"/>
    <w:rsid w:val="00137156"/>
    <w:rsid w:val="00137192"/>
    <w:rsid w:val="0013721C"/>
    <w:rsid w:val="001376AE"/>
    <w:rsid w:val="0013770F"/>
    <w:rsid w:val="00137F7F"/>
    <w:rsid w:val="00140051"/>
    <w:rsid w:val="001401F3"/>
    <w:rsid w:val="00140284"/>
    <w:rsid w:val="0014036E"/>
    <w:rsid w:val="001404D8"/>
    <w:rsid w:val="0014060B"/>
    <w:rsid w:val="00140A20"/>
    <w:rsid w:val="00140BE4"/>
    <w:rsid w:val="001412B0"/>
    <w:rsid w:val="00141389"/>
    <w:rsid w:val="00141769"/>
    <w:rsid w:val="0014180E"/>
    <w:rsid w:val="001418F0"/>
    <w:rsid w:val="00141A61"/>
    <w:rsid w:val="00141EA2"/>
    <w:rsid w:val="00141EA6"/>
    <w:rsid w:val="00141EDA"/>
    <w:rsid w:val="001421AA"/>
    <w:rsid w:val="001427A3"/>
    <w:rsid w:val="001429FE"/>
    <w:rsid w:val="00143334"/>
    <w:rsid w:val="00143C86"/>
    <w:rsid w:val="00143D17"/>
    <w:rsid w:val="00143D29"/>
    <w:rsid w:val="00143F8F"/>
    <w:rsid w:val="001442FF"/>
    <w:rsid w:val="0014477F"/>
    <w:rsid w:val="001447FD"/>
    <w:rsid w:val="00144BDF"/>
    <w:rsid w:val="00144D07"/>
    <w:rsid w:val="00144D26"/>
    <w:rsid w:val="00144EE6"/>
    <w:rsid w:val="001451CE"/>
    <w:rsid w:val="001452B3"/>
    <w:rsid w:val="00145356"/>
    <w:rsid w:val="00145551"/>
    <w:rsid w:val="00145693"/>
    <w:rsid w:val="00145732"/>
    <w:rsid w:val="00145BF4"/>
    <w:rsid w:val="00145F74"/>
    <w:rsid w:val="00146072"/>
    <w:rsid w:val="00146084"/>
    <w:rsid w:val="0014619A"/>
    <w:rsid w:val="00146237"/>
    <w:rsid w:val="00146574"/>
    <w:rsid w:val="00146AD1"/>
    <w:rsid w:val="00146BC9"/>
    <w:rsid w:val="00146EBA"/>
    <w:rsid w:val="001470B1"/>
    <w:rsid w:val="0014733B"/>
    <w:rsid w:val="001475F6"/>
    <w:rsid w:val="001477A8"/>
    <w:rsid w:val="00147E37"/>
    <w:rsid w:val="00147E95"/>
    <w:rsid w:val="00150199"/>
    <w:rsid w:val="001505A2"/>
    <w:rsid w:val="00150663"/>
    <w:rsid w:val="0015087C"/>
    <w:rsid w:val="001509F3"/>
    <w:rsid w:val="00150A7F"/>
    <w:rsid w:val="00150D1D"/>
    <w:rsid w:val="00150FEC"/>
    <w:rsid w:val="0015116A"/>
    <w:rsid w:val="001512A2"/>
    <w:rsid w:val="001512CB"/>
    <w:rsid w:val="00151380"/>
    <w:rsid w:val="0015181C"/>
    <w:rsid w:val="001518E8"/>
    <w:rsid w:val="00151966"/>
    <w:rsid w:val="00151AAC"/>
    <w:rsid w:val="00151DE1"/>
    <w:rsid w:val="0015214B"/>
    <w:rsid w:val="001523D7"/>
    <w:rsid w:val="00152563"/>
    <w:rsid w:val="001529B7"/>
    <w:rsid w:val="00152A40"/>
    <w:rsid w:val="00152BC9"/>
    <w:rsid w:val="00152D89"/>
    <w:rsid w:val="00152E4C"/>
    <w:rsid w:val="00152F60"/>
    <w:rsid w:val="0015336E"/>
    <w:rsid w:val="0015339D"/>
    <w:rsid w:val="001536C4"/>
    <w:rsid w:val="0015390A"/>
    <w:rsid w:val="001539E5"/>
    <w:rsid w:val="00153AA8"/>
    <w:rsid w:val="00153ADC"/>
    <w:rsid w:val="00153E44"/>
    <w:rsid w:val="0015408F"/>
    <w:rsid w:val="001545D5"/>
    <w:rsid w:val="0015464E"/>
    <w:rsid w:val="00154786"/>
    <w:rsid w:val="00154A44"/>
    <w:rsid w:val="00154BC8"/>
    <w:rsid w:val="00154DDF"/>
    <w:rsid w:val="00154DF1"/>
    <w:rsid w:val="00154E1B"/>
    <w:rsid w:val="00154F1B"/>
    <w:rsid w:val="00155038"/>
    <w:rsid w:val="00155090"/>
    <w:rsid w:val="001551A2"/>
    <w:rsid w:val="00155496"/>
    <w:rsid w:val="001556A9"/>
    <w:rsid w:val="0015576E"/>
    <w:rsid w:val="001557E6"/>
    <w:rsid w:val="00155829"/>
    <w:rsid w:val="00155BA9"/>
    <w:rsid w:val="00155F6A"/>
    <w:rsid w:val="00155FBA"/>
    <w:rsid w:val="00155FD8"/>
    <w:rsid w:val="00156093"/>
    <w:rsid w:val="0015612A"/>
    <w:rsid w:val="001562A8"/>
    <w:rsid w:val="001563A7"/>
    <w:rsid w:val="001563E6"/>
    <w:rsid w:val="00156523"/>
    <w:rsid w:val="001565D2"/>
    <w:rsid w:val="001566BE"/>
    <w:rsid w:val="00156919"/>
    <w:rsid w:val="00156A93"/>
    <w:rsid w:val="00156AA0"/>
    <w:rsid w:val="00156D86"/>
    <w:rsid w:val="00156DF9"/>
    <w:rsid w:val="00157144"/>
    <w:rsid w:val="001571D4"/>
    <w:rsid w:val="001573FB"/>
    <w:rsid w:val="001579FB"/>
    <w:rsid w:val="00157B6C"/>
    <w:rsid w:val="00157C0C"/>
    <w:rsid w:val="00157C63"/>
    <w:rsid w:val="0016021F"/>
    <w:rsid w:val="0016036B"/>
    <w:rsid w:val="00160728"/>
    <w:rsid w:val="00160AE4"/>
    <w:rsid w:val="00160B1D"/>
    <w:rsid w:val="0016121B"/>
    <w:rsid w:val="00161286"/>
    <w:rsid w:val="0016148D"/>
    <w:rsid w:val="001619C1"/>
    <w:rsid w:val="00161A50"/>
    <w:rsid w:val="00162010"/>
    <w:rsid w:val="00162072"/>
    <w:rsid w:val="00163394"/>
    <w:rsid w:val="0016365C"/>
    <w:rsid w:val="0016372F"/>
    <w:rsid w:val="001639A3"/>
    <w:rsid w:val="001639BB"/>
    <w:rsid w:val="00163ADC"/>
    <w:rsid w:val="00163B08"/>
    <w:rsid w:val="00163BBA"/>
    <w:rsid w:val="00163D8B"/>
    <w:rsid w:val="00163D99"/>
    <w:rsid w:val="00163DBC"/>
    <w:rsid w:val="00163EF2"/>
    <w:rsid w:val="001641E4"/>
    <w:rsid w:val="0016426F"/>
    <w:rsid w:val="001642E3"/>
    <w:rsid w:val="00164D41"/>
    <w:rsid w:val="00164E22"/>
    <w:rsid w:val="00164E91"/>
    <w:rsid w:val="001654AD"/>
    <w:rsid w:val="00165728"/>
    <w:rsid w:val="00165732"/>
    <w:rsid w:val="001658C1"/>
    <w:rsid w:val="00165A5D"/>
    <w:rsid w:val="00165A9B"/>
    <w:rsid w:val="00165C4C"/>
    <w:rsid w:val="00165EB0"/>
    <w:rsid w:val="00165EC8"/>
    <w:rsid w:val="00165F4C"/>
    <w:rsid w:val="00165FB4"/>
    <w:rsid w:val="00166107"/>
    <w:rsid w:val="00166209"/>
    <w:rsid w:val="001668F0"/>
    <w:rsid w:val="0016695C"/>
    <w:rsid w:val="001669CD"/>
    <w:rsid w:val="00166A36"/>
    <w:rsid w:val="00167199"/>
    <w:rsid w:val="00167366"/>
    <w:rsid w:val="00167491"/>
    <w:rsid w:val="001677A6"/>
    <w:rsid w:val="0016780A"/>
    <w:rsid w:val="00167F1A"/>
    <w:rsid w:val="001700EC"/>
    <w:rsid w:val="00170610"/>
    <w:rsid w:val="001706DC"/>
    <w:rsid w:val="00170771"/>
    <w:rsid w:val="0017088A"/>
    <w:rsid w:val="00170B95"/>
    <w:rsid w:val="00170C59"/>
    <w:rsid w:val="00170D02"/>
    <w:rsid w:val="00170D2A"/>
    <w:rsid w:val="0017103A"/>
    <w:rsid w:val="0017145B"/>
    <w:rsid w:val="001714B9"/>
    <w:rsid w:val="00171501"/>
    <w:rsid w:val="00171570"/>
    <w:rsid w:val="001716CC"/>
    <w:rsid w:val="001717E3"/>
    <w:rsid w:val="001717EA"/>
    <w:rsid w:val="00171910"/>
    <w:rsid w:val="001719A2"/>
    <w:rsid w:val="00172060"/>
    <w:rsid w:val="00172526"/>
    <w:rsid w:val="0017252B"/>
    <w:rsid w:val="0017256B"/>
    <w:rsid w:val="00172A27"/>
    <w:rsid w:val="00172AB6"/>
    <w:rsid w:val="00172CC0"/>
    <w:rsid w:val="00172E3C"/>
    <w:rsid w:val="00172EE2"/>
    <w:rsid w:val="00173450"/>
    <w:rsid w:val="00173591"/>
    <w:rsid w:val="00173596"/>
    <w:rsid w:val="0017387D"/>
    <w:rsid w:val="00173BEA"/>
    <w:rsid w:val="00173F38"/>
    <w:rsid w:val="00174090"/>
    <w:rsid w:val="00174B5F"/>
    <w:rsid w:val="00174C33"/>
    <w:rsid w:val="00174E90"/>
    <w:rsid w:val="00175498"/>
    <w:rsid w:val="001755F7"/>
    <w:rsid w:val="001759A2"/>
    <w:rsid w:val="00175F93"/>
    <w:rsid w:val="00175FDC"/>
    <w:rsid w:val="00176232"/>
    <w:rsid w:val="0017626E"/>
    <w:rsid w:val="001762C6"/>
    <w:rsid w:val="001768A0"/>
    <w:rsid w:val="001768F5"/>
    <w:rsid w:val="00176D57"/>
    <w:rsid w:val="00176ED0"/>
    <w:rsid w:val="00176F4B"/>
    <w:rsid w:val="001771B8"/>
    <w:rsid w:val="00177471"/>
    <w:rsid w:val="00177567"/>
    <w:rsid w:val="00177699"/>
    <w:rsid w:val="00177AFE"/>
    <w:rsid w:val="00177C38"/>
    <w:rsid w:val="00177DC4"/>
    <w:rsid w:val="00177F0F"/>
    <w:rsid w:val="00180050"/>
    <w:rsid w:val="00180102"/>
    <w:rsid w:val="0018033B"/>
    <w:rsid w:val="00180394"/>
    <w:rsid w:val="00180498"/>
    <w:rsid w:val="001804A4"/>
    <w:rsid w:val="00180985"/>
    <w:rsid w:val="00180AE0"/>
    <w:rsid w:val="00180D33"/>
    <w:rsid w:val="00180E10"/>
    <w:rsid w:val="00180E86"/>
    <w:rsid w:val="00181430"/>
    <w:rsid w:val="001814A5"/>
    <w:rsid w:val="00181621"/>
    <w:rsid w:val="00181724"/>
    <w:rsid w:val="0018181C"/>
    <w:rsid w:val="00181A8F"/>
    <w:rsid w:val="0018257D"/>
    <w:rsid w:val="0018291F"/>
    <w:rsid w:val="00182A4E"/>
    <w:rsid w:val="00182FAB"/>
    <w:rsid w:val="00183469"/>
    <w:rsid w:val="00183545"/>
    <w:rsid w:val="001836A0"/>
    <w:rsid w:val="001838B1"/>
    <w:rsid w:val="00183902"/>
    <w:rsid w:val="00183AA0"/>
    <w:rsid w:val="00183AA6"/>
    <w:rsid w:val="00183CFE"/>
    <w:rsid w:val="00183D60"/>
    <w:rsid w:val="00183F62"/>
    <w:rsid w:val="00184395"/>
    <w:rsid w:val="00184475"/>
    <w:rsid w:val="00184658"/>
    <w:rsid w:val="001846FD"/>
    <w:rsid w:val="00184935"/>
    <w:rsid w:val="00184D49"/>
    <w:rsid w:val="00185B44"/>
    <w:rsid w:val="00185B99"/>
    <w:rsid w:val="00185BEF"/>
    <w:rsid w:val="00185BF2"/>
    <w:rsid w:val="0018625C"/>
    <w:rsid w:val="0018627A"/>
    <w:rsid w:val="001862DB"/>
    <w:rsid w:val="0018631F"/>
    <w:rsid w:val="001863A3"/>
    <w:rsid w:val="001865B4"/>
    <w:rsid w:val="001865E1"/>
    <w:rsid w:val="00186784"/>
    <w:rsid w:val="001868BD"/>
    <w:rsid w:val="00186962"/>
    <w:rsid w:val="001869B8"/>
    <w:rsid w:val="00186C93"/>
    <w:rsid w:val="00186CA6"/>
    <w:rsid w:val="00186F8A"/>
    <w:rsid w:val="00187032"/>
    <w:rsid w:val="00187669"/>
    <w:rsid w:val="001876A4"/>
    <w:rsid w:val="001878E0"/>
    <w:rsid w:val="00187952"/>
    <w:rsid w:val="00187A46"/>
    <w:rsid w:val="00187A96"/>
    <w:rsid w:val="00187F57"/>
    <w:rsid w:val="001905CD"/>
    <w:rsid w:val="001905F2"/>
    <w:rsid w:val="00190841"/>
    <w:rsid w:val="00190892"/>
    <w:rsid w:val="00190999"/>
    <w:rsid w:val="001909DA"/>
    <w:rsid w:val="00190B51"/>
    <w:rsid w:val="00191359"/>
    <w:rsid w:val="001913F6"/>
    <w:rsid w:val="00191864"/>
    <w:rsid w:val="00191BF9"/>
    <w:rsid w:val="00191DCF"/>
    <w:rsid w:val="00191EEC"/>
    <w:rsid w:val="00192024"/>
    <w:rsid w:val="00192030"/>
    <w:rsid w:val="001920A7"/>
    <w:rsid w:val="001923F3"/>
    <w:rsid w:val="00192469"/>
    <w:rsid w:val="001925FD"/>
    <w:rsid w:val="00192639"/>
    <w:rsid w:val="00192A99"/>
    <w:rsid w:val="00192AC4"/>
    <w:rsid w:val="00192C35"/>
    <w:rsid w:val="00192F20"/>
    <w:rsid w:val="001930B2"/>
    <w:rsid w:val="001931CE"/>
    <w:rsid w:val="0019349E"/>
    <w:rsid w:val="001935C3"/>
    <w:rsid w:val="00193708"/>
    <w:rsid w:val="001937F5"/>
    <w:rsid w:val="00193A95"/>
    <w:rsid w:val="00193B41"/>
    <w:rsid w:val="00193C66"/>
    <w:rsid w:val="00193DC9"/>
    <w:rsid w:val="00193DE8"/>
    <w:rsid w:val="00193F35"/>
    <w:rsid w:val="001940F5"/>
    <w:rsid w:val="0019429C"/>
    <w:rsid w:val="00194360"/>
    <w:rsid w:val="00194D2F"/>
    <w:rsid w:val="00194D9F"/>
    <w:rsid w:val="00195047"/>
    <w:rsid w:val="00195262"/>
    <w:rsid w:val="00195271"/>
    <w:rsid w:val="00195642"/>
    <w:rsid w:val="00195650"/>
    <w:rsid w:val="001958F8"/>
    <w:rsid w:val="00195FA3"/>
    <w:rsid w:val="00195FE3"/>
    <w:rsid w:val="00196065"/>
    <w:rsid w:val="0019637E"/>
    <w:rsid w:val="00196586"/>
    <w:rsid w:val="00196683"/>
    <w:rsid w:val="00196879"/>
    <w:rsid w:val="00196A3F"/>
    <w:rsid w:val="00196DCD"/>
    <w:rsid w:val="00196EAC"/>
    <w:rsid w:val="00196FDD"/>
    <w:rsid w:val="00197022"/>
    <w:rsid w:val="00197216"/>
    <w:rsid w:val="0019723F"/>
    <w:rsid w:val="00197385"/>
    <w:rsid w:val="001973E1"/>
    <w:rsid w:val="00197676"/>
    <w:rsid w:val="001977B7"/>
    <w:rsid w:val="00197873"/>
    <w:rsid w:val="00197A84"/>
    <w:rsid w:val="00197C22"/>
    <w:rsid w:val="00197FB0"/>
    <w:rsid w:val="001A0285"/>
    <w:rsid w:val="001A0411"/>
    <w:rsid w:val="001A0529"/>
    <w:rsid w:val="001A059F"/>
    <w:rsid w:val="001A06B3"/>
    <w:rsid w:val="001A089D"/>
    <w:rsid w:val="001A0D40"/>
    <w:rsid w:val="001A1071"/>
    <w:rsid w:val="001A1350"/>
    <w:rsid w:val="001A1394"/>
    <w:rsid w:val="001A1519"/>
    <w:rsid w:val="001A15C5"/>
    <w:rsid w:val="001A1630"/>
    <w:rsid w:val="001A1695"/>
    <w:rsid w:val="001A1817"/>
    <w:rsid w:val="001A18B0"/>
    <w:rsid w:val="001A199A"/>
    <w:rsid w:val="001A1B68"/>
    <w:rsid w:val="001A1B69"/>
    <w:rsid w:val="001A1F6C"/>
    <w:rsid w:val="001A2070"/>
    <w:rsid w:val="001A20BA"/>
    <w:rsid w:val="001A237A"/>
    <w:rsid w:val="001A24FA"/>
    <w:rsid w:val="001A265F"/>
    <w:rsid w:val="001A292D"/>
    <w:rsid w:val="001A2E18"/>
    <w:rsid w:val="001A2EF9"/>
    <w:rsid w:val="001A30CB"/>
    <w:rsid w:val="001A318C"/>
    <w:rsid w:val="001A353B"/>
    <w:rsid w:val="001A3BFA"/>
    <w:rsid w:val="001A3C7B"/>
    <w:rsid w:val="001A3D29"/>
    <w:rsid w:val="001A3F4A"/>
    <w:rsid w:val="001A4745"/>
    <w:rsid w:val="001A474E"/>
    <w:rsid w:val="001A47A6"/>
    <w:rsid w:val="001A48EA"/>
    <w:rsid w:val="001A4D36"/>
    <w:rsid w:val="001A5200"/>
    <w:rsid w:val="001A5218"/>
    <w:rsid w:val="001A55D7"/>
    <w:rsid w:val="001A57F0"/>
    <w:rsid w:val="001A5B3D"/>
    <w:rsid w:val="001A5EC6"/>
    <w:rsid w:val="001A635D"/>
    <w:rsid w:val="001A662A"/>
    <w:rsid w:val="001A6765"/>
    <w:rsid w:val="001A689F"/>
    <w:rsid w:val="001A6ADD"/>
    <w:rsid w:val="001A6CFB"/>
    <w:rsid w:val="001A6D1A"/>
    <w:rsid w:val="001A6D5D"/>
    <w:rsid w:val="001A6DA9"/>
    <w:rsid w:val="001A6FA8"/>
    <w:rsid w:val="001A74AC"/>
    <w:rsid w:val="001A7652"/>
    <w:rsid w:val="001A7960"/>
    <w:rsid w:val="001A7C91"/>
    <w:rsid w:val="001A7DB2"/>
    <w:rsid w:val="001A7F02"/>
    <w:rsid w:val="001A7F48"/>
    <w:rsid w:val="001B018B"/>
    <w:rsid w:val="001B019B"/>
    <w:rsid w:val="001B01D1"/>
    <w:rsid w:val="001B0212"/>
    <w:rsid w:val="001B03F4"/>
    <w:rsid w:val="001B058D"/>
    <w:rsid w:val="001B07C4"/>
    <w:rsid w:val="001B0912"/>
    <w:rsid w:val="001B0F89"/>
    <w:rsid w:val="001B0FD9"/>
    <w:rsid w:val="001B11F6"/>
    <w:rsid w:val="001B13BC"/>
    <w:rsid w:val="001B14A9"/>
    <w:rsid w:val="001B15D1"/>
    <w:rsid w:val="001B1999"/>
    <w:rsid w:val="001B1A92"/>
    <w:rsid w:val="001B1A96"/>
    <w:rsid w:val="001B1ACC"/>
    <w:rsid w:val="001B1FAF"/>
    <w:rsid w:val="001B2428"/>
    <w:rsid w:val="001B24BE"/>
    <w:rsid w:val="001B24DB"/>
    <w:rsid w:val="001B252E"/>
    <w:rsid w:val="001B254B"/>
    <w:rsid w:val="001B256D"/>
    <w:rsid w:val="001B2770"/>
    <w:rsid w:val="001B27A6"/>
    <w:rsid w:val="001B2B73"/>
    <w:rsid w:val="001B33FF"/>
    <w:rsid w:val="001B352E"/>
    <w:rsid w:val="001B363A"/>
    <w:rsid w:val="001B3A01"/>
    <w:rsid w:val="001B3AD1"/>
    <w:rsid w:val="001B3AE4"/>
    <w:rsid w:val="001B3F46"/>
    <w:rsid w:val="001B407D"/>
    <w:rsid w:val="001B4129"/>
    <w:rsid w:val="001B44A2"/>
    <w:rsid w:val="001B47A3"/>
    <w:rsid w:val="001B4ADD"/>
    <w:rsid w:val="001B5073"/>
    <w:rsid w:val="001B50B7"/>
    <w:rsid w:val="001B52FB"/>
    <w:rsid w:val="001B539C"/>
    <w:rsid w:val="001B5414"/>
    <w:rsid w:val="001B54CA"/>
    <w:rsid w:val="001B595F"/>
    <w:rsid w:val="001B5A48"/>
    <w:rsid w:val="001B5A58"/>
    <w:rsid w:val="001B5C23"/>
    <w:rsid w:val="001B5E98"/>
    <w:rsid w:val="001B600F"/>
    <w:rsid w:val="001B604F"/>
    <w:rsid w:val="001B60F7"/>
    <w:rsid w:val="001B6255"/>
    <w:rsid w:val="001B62F1"/>
    <w:rsid w:val="001B62FA"/>
    <w:rsid w:val="001B6319"/>
    <w:rsid w:val="001B642D"/>
    <w:rsid w:val="001B64D3"/>
    <w:rsid w:val="001B65F0"/>
    <w:rsid w:val="001B66CA"/>
    <w:rsid w:val="001B6884"/>
    <w:rsid w:val="001B6A21"/>
    <w:rsid w:val="001B6AF5"/>
    <w:rsid w:val="001B6C7F"/>
    <w:rsid w:val="001B75D1"/>
    <w:rsid w:val="001B76B4"/>
    <w:rsid w:val="001B77BB"/>
    <w:rsid w:val="001B7BCC"/>
    <w:rsid w:val="001B7DCA"/>
    <w:rsid w:val="001B7E84"/>
    <w:rsid w:val="001C001B"/>
    <w:rsid w:val="001C0083"/>
    <w:rsid w:val="001C030B"/>
    <w:rsid w:val="001C0686"/>
    <w:rsid w:val="001C12D0"/>
    <w:rsid w:val="001C13AA"/>
    <w:rsid w:val="001C14D4"/>
    <w:rsid w:val="001C165F"/>
    <w:rsid w:val="001C1687"/>
    <w:rsid w:val="001C195C"/>
    <w:rsid w:val="001C1AAA"/>
    <w:rsid w:val="001C1CBA"/>
    <w:rsid w:val="001C1FE9"/>
    <w:rsid w:val="001C2056"/>
    <w:rsid w:val="001C22B8"/>
    <w:rsid w:val="001C2469"/>
    <w:rsid w:val="001C28CD"/>
    <w:rsid w:val="001C2900"/>
    <w:rsid w:val="001C2E43"/>
    <w:rsid w:val="001C306F"/>
    <w:rsid w:val="001C3075"/>
    <w:rsid w:val="001C3187"/>
    <w:rsid w:val="001C31E5"/>
    <w:rsid w:val="001C35A5"/>
    <w:rsid w:val="001C370E"/>
    <w:rsid w:val="001C3F15"/>
    <w:rsid w:val="001C401C"/>
    <w:rsid w:val="001C41F5"/>
    <w:rsid w:val="001C479C"/>
    <w:rsid w:val="001C48FF"/>
    <w:rsid w:val="001C49D0"/>
    <w:rsid w:val="001C49DC"/>
    <w:rsid w:val="001C4B24"/>
    <w:rsid w:val="001C4CEB"/>
    <w:rsid w:val="001C4D72"/>
    <w:rsid w:val="001C4E46"/>
    <w:rsid w:val="001C4F54"/>
    <w:rsid w:val="001C511A"/>
    <w:rsid w:val="001C51C3"/>
    <w:rsid w:val="001C5305"/>
    <w:rsid w:val="001C5472"/>
    <w:rsid w:val="001C5501"/>
    <w:rsid w:val="001C59CD"/>
    <w:rsid w:val="001C5A34"/>
    <w:rsid w:val="001C6173"/>
    <w:rsid w:val="001C61F4"/>
    <w:rsid w:val="001C644F"/>
    <w:rsid w:val="001C64BA"/>
    <w:rsid w:val="001C6645"/>
    <w:rsid w:val="001C6B41"/>
    <w:rsid w:val="001C6D9A"/>
    <w:rsid w:val="001C6ED6"/>
    <w:rsid w:val="001C713A"/>
    <w:rsid w:val="001C71FF"/>
    <w:rsid w:val="001C76BB"/>
    <w:rsid w:val="001C78C5"/>
    <w:rsid w:val="001C7BDB"/>
    <w:rsid w:val="001C7D00"/>
    <w:rsid w:val="001C7E7E"/>
    <w:rsid w:val="001C7ED8"/>
    <w:rsid w:val="001C7EE9"/>
    <w:rsid w:val="001C7FB1"/>
    <w:rsid w:val="001D0368"/>
    <w:rsid w:val="001D0400"/>
    <w:rsid w:val="001D0B9F"/>
    <w:rsid w:val="001D0FCB"/>
    <w:rsid w:val="001D1081"/>
    <w:rsid w:val="001D1143"/>
    <w:rsid w:val="001D167D"/>
    <w:rsid w:val="001D1696"/>
    <w:rsid w:val="001D1964"/>
    <w:rsid w:val="001D19F8"/>
    <w:rsid w:val="001D1A08"/>
    <w:rsid w:val="001D1A52"/>
    <w:rsid w:val="001D1A54"/>
    <w:rsid w:val="001D1C66"/>
    <w:rsid w:val="001D1C8F"/>
    <w:rsid w:val="001D1E08"/>
    <w:rsid w:val="001D1ED3"/>
    <w:rsid w:val="001D2562"/>
    <w:rsid w:val="001D2661"/>
    <w:rsid w:val="001D26C8"/>
    <w:rsid w:val="001D28EC"/>
    <w:rsid w:val="001D3216"/>
    <w:rsid w:val="001D3448"/>
    <w:rsid w:val="001D35CF"/>
    <w:rsid w:val="001D3B96"/>
    <w:rsid w:val="001D3BDD"/>
    <w:rsid w:val="001D4276"/>
    <w:rsid w:val="001D4BA6"/>
    <w:rsid w:val="001D4CBF"/>
    <w:rsid w:val="001D4D5C"/>
    <w:rsid w:val="001D4E13"/>
    <w:rsid w:val="001D516B"/>
    <w:rsid w:val="001D52F9"/>
    <w:rsid w:val="001D545F"/>
    <w:rsid w:val="001D54B8"/>
    <w:rsid w:val="001D55F5"/>
    <w:rsid w:val="001D55FD"/>
    <w:rsid w:val="001D5A14"/>
    <w:rsid w:val="001D5A39"/>
    <w:rsid w:val="001D5C3A"/>
    <w:rsid w:val="001D5D61"/>
    <w:rsid w:val="001D5D79"/>
    <w:rsid w:val="001D5EED"/>
    <w:rsid w:val="001D6215"/>
    <w:rsid w:val="001D6393"/>
    <w:rsid w:val="001D6530"/>
    <w:rsid w:val="001D6572"/>
    <w:rsid w:val="001D65FD"/>
    <w:rsid w:val="001D6629"/>
    <w:rsid w:val="001D67E1"/>
    <w:rsid w:val="001D6ABA"/>
    <w:rsid w:val="001D6B26"/>
    <w:rsid w:val="001D6F19"/>
    <w:rsid w:val="001D739B"/>
    <w:rsid w:val="001D753B"/>
    <w:rsid w:val="001D766D"/>
    <w:rsid w:val="001D7868"/>
    <w:rsid w:val="001D7A9F"/>
    <w:rsid w:val="001D7B9D"/>
    <w:rsid w:val="001D7D1E"/>
    <w:rsid w:val="001D7D33"/>
    <w:rsid w:val="001D7D3C"/>
    <w:rsid w:val="001D7E5F"/>
    <w:rsid w:val="001E0110"/>
    <w:rsid w:val="001E0558"/>
    <w:rsid w:val="001E09AE"/>
    <w:rsid w:val="001E0B09"/>
    <w:rsid w:val="001E0C02"/>
    <w:rsid w:val="001E0D90"/>
    <w:rsid w:val="001E0DFB"/>
    <w:rsid w:val="001E0E5E"/>
    <w:rsid w:val="001E0EF3"/>
    <w:rsid w:val="001E0FB5"/>
    <w:rsid w:val="001E100B"/>
    <w:rsid w:val="001E1326"/>
    <w:rsid w:val="001E14D0"/>
    <w:rsid w:val="001E19FB"/>
    <w:rsid w:val="001E1B94"/>
    <w:rsid w:val="001E1CA2"/>
    <w:rsid w:val="001E1CAB"/>
    <w:rsid w:val="001E1CE1"/>
    <w:rsid w:val="001E1D0B"/>
    <w:rsid w:val="001E1DC1"/>
    <w:rsid w:val="001E1EF1"/>
    <w:rsid w:val="001E20B2"/>
    <w:rsid w:val="001E20BE"/>
    <w:rsid w:val="001E21DB"/>
    <w:rsid w:val="001E22D2"/>
    <w:rsid w:val="001E2A04"/>
    <w:rsid w:val="001E2A0B"/>
    <w:rsid w:val="001E2D9F"/>
    <w:rsid w:val="001E2EE8"/>
    <w:rsid w:val="001E31AA"/>
    <w:rsid w:val="001E3637"/>
    <w:rsid w:val="001E36F0"/>
    <w:rsid w:val="001E377E"/>
    <w:rsid w:val="001E383D"/>
    <w:rsid w:val="001E392B"/>
    <w:rsid w:val="001E3A84"/>
    <w:rsid w:val="001E3B09"/>
    <w:rsid w:val="001E3B62"/>
    <w:rsid w:val="001E3D1E"/>
    <w:rsid w:val="001E3F7D"/>
    <w:rsid w:val="001E3FBB"/>
    <w:rsid w:val="001E4180"/>
    <w:rsid w:val="001E4874"/>
    <w:rsid w:val="001E497A"/>
    <w:rsid w:val="001E4A0D"/>
    <w:rsid w:val="001E4B04"/>
    <w:rsid w:val="001E4BCB"/>
    <w:rsid w:val="001E5020"/>
    <w:rsid w:val="001E503A"/>
    <w:rsid w:val="001E506A"/>
    <w:rsid w:val="001E5220"/>
    <w:rsid w:val="001E588B"/>
    <w:rsid w:val="001E5C15"/>
    <w:rsid w:val="001E5C9B"/>
    <w:rsid w:val="001E5D84"/>
    <w:rsid w:val="001E5EF8"/>
    <w:rsid w:val="001E6257"/>
    <w:rsid w:val="001E6C5D"/>
    <w:rsid w:val="001E6E5F"/>
    <w:rsid w:val="001E7039"/>
    <w:rsid w:val="001E70AF"/>
    <w:rsid w:val="001E7276"/>
    <w:rsid w:val="001E729F"/>
    <w:rsid w:val="001E7350"/>
    <w:rsid w:val="001E784E"/>
    <w:rsid w:val="001E79A4"/>
    <w:rsid w:val="001E79EC"/>
    <w:rsid w:val="001E7ACC"/>
    <w:rsid w:val="001E7B3D"/>
    <w:rsid w:val="001E7B5A"/>
    <w:rsid w:val="001E7F0E"/>
    <w:rsid w:val="001F01F3"/>
    <w:rsid w:val="001F03E4"/>
    <w:rsid w:val="001F0A63"/>
    <w:rsid w:val="001F0C3F"/>
    <w:rsid w:val="001F1032"/>
    <w:rsid w:val="001F1218"/>
    <w:rsid w:val="001F16B8"/>
    <w:rsid w:val="001F1D7E"/>
    <w:rsid w:val="001F2A1A"/>
    <w:rsid w:val="001F2A34"/>
    <w:rsid w:val="001F2A3C"/>
    <w:rsid w:val="001F2AB2"/>
    <w:rsid w:val="001F2B99"/>
    <w:rsid w:val="001F2D20"/>
    <w:rsid w:val="001F34C8"/>
    <w:rsid w:val="001F37E4"/>
    <w:rsid w:val="001F387A"/>
    <w:rsid w:val="001F39D2"/>
    <w:rsid w:val="001F3AC5"/>
    <w:rsid w:val="001F3AD9"/>
    <w:rsid w:val="001F3D80"/>
    <w:rsid w:val="001F3E1E"/>
    <w:rsid w:val="001F408F"/>
    <w:rsid w:val="001F427B"/>
    <w:rsid w:val="001F4733"/>
    <w:rsid w:val="001F4F8B"/>
    <w:rsid w:val="001F514D"/>
    <w:rsid w:val="001F549B"/>
    <w:rsid w:val="001F55A6"/>
    <w:rsid w:val="001F5A2B"/>
    <w:rsid w:val="001F5C03"/>
    <w:rsid w:val="001F6508"/>
    <w:rsid w:val="001F6548"/>
    <w:rsid w:val="001F655F"/>
    <w:rsid w:val="001F67FE"/>
    <w:rsid w:val="001F697F"/>
    <w:rsid w:val="001F6A7E"/>
    <w:rsid w:val="001F6D34"/>
    <w:rsid w:val="001F6E87"/>
    <w:rsid w:val="001F6E90"/>
    <w:rsid w:val="001F6ED3"/>
    <w:rsid w:val="001F6F06"/>
    <w:rsid w:val="001F75FD"/>
    <w:rsid w:val="001F7879"/>
    <w:rsid w:val="001F7A75"/>
    <w:rsid w:val="001F7ADC"/>
    <w:rsid w:val="001F7E03"/>
    <w:rsid w:val="0020005B"/>
    <w:rsid w:val="0020031A"/>
    <w:rsid w:val="00200387"/>
    <w:rsid w:val="002003E0"/>
    <w:rsid w:val="00200495"/>
    <w:rsid w:val="00200765"/>
    <w:rsid w:val="0020079D"/>
    <w:rsid w:val="0020085F"/>
    <w:rsid w:val="002008D0"/>
    <w:rsid w:val="002008FC"/>
    <w:rsid w:val="002009C2"/>
    <w:rsid w:val="00200AE5"/>
    <w:rsid w:val="00200CF2"/>
    <w:rsid w:val="00201631"/>
    <w:rsid w:val="00201829"/>
    <w:rsid w:val="00201A0D"/>
    <w:rsid w:val="00201A67"/>
    <w:rsid w:val="00201D9A"/>
    <w:rsid w:val="00201DE6"/>
    <w:rsid w:val="00201EEC"/>
    <w:rsid w:val="002022FF"/>
    <w:rsid w:val="00202847"/>
    <w:rsid w:val="002028BF"/>
    <w:rsid w:val="00202943"/>
    <w:rsid w:val="00202AD0"/>
    <w:rsid w:val="00202F78"/>
    <w:rsid w:val="00202F9C"/>
    <w:rsid w:val="0020317A"/>
    <w:rsid w:val="0020348C"/>
    <w:rsid w:val="002036C1"/>
    <w:rsid w:val="002037C2"/>
    <w:rsid w:val="0020387A"/>
    <w:rsid w:val="0020397D"/>
    <w:rsid w:val="00203A29"/>
    <w:rsid w:val="00203A5E"/>
    <w:rsid w:val="00203A92"/>
    <w:rsid w:val="00203B09"/>
    <w:rsid w:val="00203F25"/>
    <w:rsid w:val="00203FB2"/>
    <w:rsid w:val="00204210"/>
    <w:rsid w:val="002044F3"/>
    <w:rsid w:val="0020460F"/>
    <w:rsid w:val="00204A1E"/>
    <w:rsid w:val="00204A48"/>
    <w:rsid w:val="00204AA2"/>
    <w:rsid w:val="00204F7C"/>
    <w:rsid w:val="00204FAC"/>
    <w:rsid w:val="0020514B"/>
    <w:rsid w:val="00205530"/>
    <w:rsid w:val="00205628"/>
    <w:rsid w:val="00205681"/>
    <w:rsid w:val="002057E5"/>
    <w:rsid w:val="00205CF9"/>
    <w:rsid w:val="00205FA8"/>
    <w:rsid w:val="00206329"/>
    <w:rsid w:val="0020645D"/>
    <w:rsid w:val="00206486"/>
    <w:rsid w:val="0020655A"/>
    <w:rsid w:val="00206959"/>
    <w:rsid w:val="00206B70"/>
    <w:rsid w:val="00206E21"/>
    <w:rsid w:val="00206E8A"/>
    <w:rsid w:val="00206F51"/>
    <w:rsid w:val="002071C0"/>
    <w:rsid w:val="00207267"/>
    <w:rsid w:val="00207372"/>
    <w:rsid w:val="002073AF"/>
    <w:rsid w:val="00207450"/>
    <w:rsid w:val="0020746A"/>
    <w:rsid w:val="002075B3"/>
    <w:rsid w:val="002075B6"/>
    <w:rsid w:val="0020762D"/>
    <w:rsid w:val="00207AB3"/>
    <w:rsid w:val="00207B18"/>
    <w:rsid w:val="00207C75"/>
    <w:rsid w:val="00207CB0"/>
    <w:rsid w:val="00207D91"/>
    <w:rsid w:val="00210012"/>
    <w:rsid w:val="0021060D"/>
    <w:rsid w:val="002107C4"/>
    <w:rsid w:val="002108A9"/>
    <w:rsid w:val="002108AF"/>
    <w:rsid w:val="00210B29"/>
    <w:rsid w:val="00210B98"/>
    <w:rsid w:val="00210C34"/>
    <w:rsid w:val="00210D75"/>
    <w:rsid w:val="00210D81"/>
    <w:rsid w:val="00210DC4"/>
    <w:rsid w:val="00210F25"/>
    <w:rsid w:val="00210FF3"/>
    <w:rsid w:val="00211003"/>
    <w:rsid w:val="00211273"/>
    <w:rsid w:val="002112B2"/>
    <w:rsid w:val="002112DC"/>
    <w:rsid w:val="0021144E"/>
    <w:rsid w:val="002114D8"/>
    <w:rsid w:val="00211C56"/>
    <w:rsid w:val="00211F05"/>
    <w:rsid w:val="00211FFC"/>
    <w:rsid w:val="00212238"/>
    <w:rsid w:val="00212816"/>
    <w:rsid w:val="0021289A"/>
    <w:rsid w:val="00212991"/>
    <w:rsid w:val="0021336F"/>
    <w:rsid w:val="00213A54"/>
    <w:rsid w:val="00213F41"/>
    <w:rsid w:val="00213F66"/>
    <w:rsid w:val="00214166"/>
    <w:rsid w:val="0021426A"/>
    <w:rsid w:val="00214BCA"/>
    <w:rsid w:val="00215034"/>
    <w:rsid w:val="002150F0"/>
    <w:rsid w:val="002152F4"/>
    <w:rsid w:val="002155AD"/>
    <w:rsid w:val="0021572A"/>
    <w:rsid w:val="002157B2"/>
    <w:rsid w:val="002157D7"/>
    <w:rsid w:val="0021583B"/>
    <w:rsid w:val="00215B55"/>
    <w:rsid w:val="00215E66"/>
    <w:rsid w:val="00215EA4"/>
    <w:rsid w:val="00216040"/>
    <w:rsid w:val="00216176"/>
    <w:rsid w:val="002162B9"/>
    <w:rsid w:val="00216AF6"/>
    <w:rsid w:val="00216C84"/>
    <w:rsid w:val="00216D91"/>
    <w:rsid w:val="00216DCE"/>
    <w:rsid w:val="00216DD5"/>
    <w:rsid w:val="00216FA0"/>
    <w:rsid w:val="00217499"/>
    <w:rsid w:val="002175AB"/>
    <w:rsid w:val="0021783E"/>
    <w:rsid w:val="00217BD5"/>
    <w:rsid w:val="00217DBE"/>
    <w:rsid w:val="00217E27"/>
    <w:rsid w:val="00217FE8"/>
    <w:rsid w:val="0022052B"/>
    <w:rsid w:val="002208BA"/>
    <w:rsid w:val="00220B25"/>
    <w:rsid w:val="00220C47"/>
    <w:rsid w:val="00220CBC"/>
    <w:rsid w:val="00220F04"/>
    <w:rsid w:val="00220F6B"/>
    <w:rsid w:val="00220F9B"/>
    <w:rsid w:val="002210FA"/>
    <w:rsid w:val="002212F8"/>
    <w:rsid w:val="0022143C"/>
    <w:rsid w:val="00221870"/>
    <w:rsid w:val="00221A2A"/>
    <w:rsid w:val="00221BA6"/>
    <w:rsid w:val="00222149"/>
    <w:rsid w:val="00222403"/>
    <w:rsid w:val="0022268D"/>
    <w:rsid w:val="002226CA"/>
    <w:rsid w:val="00222790"/>
    <w:rsid w:val="002232CA"/>
    <w:rsid w:val="002232CD"/>
    <w:rsid w:val="002233A6"/>
    <w:rsid w:val="0022381B"/>
    <w:rsid w:val="00223A40"/>
    <w:rsid w:val="00223CC4"/>
    <w:rsid w:val="00223CDD"/>
    <w:rsid w:val="00223E39"/>
    <w:rsid w:val="002248CB"/>
    <w:rsid w:val="00224A81"/>
    <w:rsid w:val="0022529D"/>
    <w:rsid w:val="002252BD"/>
    <w:rsid w:val="00225627"/>
    <w:rsid w:val="0022578C"/>
    <w:rsid w:val="002258EC"/>
    <w:rsid w:val="002259BD"/>
    <w:rsid w:val="00225CC1"/>
    <w:rsid w:val="00225CD7"/>
    <w:rsid w:val="0022632A"/>
    <w:rsid w:val="0022648F"/>
    <w:rsid w:val="002264D8"/>
    <w:rsid w:val="002265E3"/>
    <w:rsid w:val="00226738"/>
    <w:rsid w:val="0022674C"/>
    <w:rsid w:val="0022686E"/>
    <w:rsid w:val="00226AA9"/>
    <w:rsid w:val="00226DA5"/>
    <w:rsid w:val="00226F49"/>
    <w:rsid w:val="00226F95"/>
    <w:rsid w:val="00227091"/>
    <w:rsid w:val="00227292"/>
    <w:rsid w:val="00227602"/>
    <w:rsid w:val="00227623"/>
    <w:rsid w:val="00227682"/>
    <w:rsid w:val="00227D76"/>
    <w:rsid w:val="00227E07"/>
    <w:rsid w:val="00230812"/>
    <w:rsid w:val="00230AA5"/>
    <w:rsid w:val="00230AED"/>
    <w:rsid w:val="00230D1C"/>
    <w:rsid w:val="0023101E"/>
    <w:rsid w:val="0023125B"/>
    <w:rsid w:val="002314B9"/>
    <w:rsid w:val="002315EB"/>
    <w:rsid w:val="00231A3C"/>
    <w:rsid w:val="00231AB3"/>
    <w:rsid w:val="00231B29"/>
    <w:rsid w:val="00231E59"/>
    <w:rsid w:val="00231EC8"/>
    <w:rsid w:val="00232670"/>
    <w:rsid w:val="002326F6"/>
    <w:rsid w:val="002329FA"/>
    <w:rsid w:val="00232E32"/>
    <w:rsid w:val="00232FC7"/>
    <w:rsid w:val="00232FFA"/>
    <w:rsid w:val="0023317E"/>
    <w:rsid w:val="002332F6"/>
    <w:rsid w:val="002334DE"/>
    <w:rsid w:val="00233638"/>
    <w:rsid w:val="00233668"/>
    <w:rsid w:val="002339EE"/>
    <w:rsid w:val="00233BAD"/>
    <w:rsid w:val="002340AE"/>
    <w:rsid w:val="002341AE"/>
    <w:rsid w:val="0023467F"/>
    <w:rsid w:val="002347FE"/>
    <w:rsid w:val="002348BA"/>
    <w:rsid w:val="00234A0A"/>
    <w:rsid w:val="00234A15"/>
    <w:rsid w:val="00234C0D"/>
    <w:rsid w:val="00234EAE"/>
    <w:rsid w:val="00234EB0"/>
    <w:rsid w:val="002354F7"/>
    <w:rsid w:val="0023598B"/>
    <w:rsid w:val="00235D75"/>
    <w:rsid w:val="00235EA6"/>
    <w:rsid w:val="00235FE9"/>
    <w:rsid w:val="002361EF"/>
    <w:rsid w:val="0023650C"/>
    <w:rsid w:val="00236681"/>
    <w:rsid w:val="002366B6"/>
    <w:rsid w:val="00236977"/>
    <w:rsid w:val="00236DFA"/>
    <w:rsid w:val="00236E6E"/>
    <w:rsid w:val="00236F95"/>
    <w:rsid w:val="002371C0"/>
    <w:rsid w:val="00237308"/>
    <w:rsid w:val="00237597"/>
    <w:rsid w:val="002375BA"/>
    <w:rsid w:val="0023761E"/>
    <w:rsid w:val="0023769E"/>
    <w:rsid w:val="002376BE"/>
    <w:rsid w:val="002378BD"/>
    <w:rsid w:val="00237B5F"/>
    <w:rsid w:val="00237C41"/>
    <w:rsid w:val="00237D82"/>
    <w:rsid w:val="00237DD9"/>
    <w:rsid w:val="002401C9"/>
    <w:rsid w:val="002401CB"/>
    <w:rsid w:val="0024020A"/>
    <w:rsid w:val="002404F3"/>
    <w:rsid w:val="002408DC"/>
    <w:rsid w:val="002409D7"/>
    <w:rsid w:val="00240A16"/>
    <w:rsid w:val="00241BF6"/>
    <w:rsid w:val="00241D08"/>
    <w:rsid w:val="002421A1"/>
    <w:rsid w:val="002421A4"/>
    <w:rsid w:val="002427B6"/>
    <w:rsid w:val="00242AD2"/>
    <w:rsid w:val="00242D8A"/>
    <w:rsid w:val="00242D93"/>
    <w:rsid w:val="00242E04"/>
    <w:rsid w:val="0024336D"/>
    <w:rsid w:val="002433A6"/>
    <w:rsid w:val="002435CF"/>
    <w:rsid w:val="0024381C"/>
    <w:rsid w:val="00243FD7"/>
    <w:rsid w:val="002440A3"/>
    <w:rsid w:val="00244100"/>
    <w:rsid w:val="002443B4"/>
    <w:rsid w:val="002446F0"/>
    <w:rsid w:val="00244B3C"/>
    <w:rsid w:val="00244C75"/>
    <w:rsid w:val="00244DA5"/>
    <w:rsid w:val="00244F5B"/>
    <w:rsid w:val="0024530D"/>
    <w:rsid w:val="00245570"/>
    <w:rsid w:val="0024596E"/>
    <w:rsid w:val="002459E7"/>
    <w:rsid w:val="00245C30"/>
    <w:rsid w:val="00245D94"/>
    <w:rsid w:val="00245EB5"/>
    <w:rsid w:val="00246009"/>
    <w:rsid w:val="002461E7"/>
    <w:rsid w:val="00246A4F"/>
    <w:rsid w:val="00246DB4"/>
    <w:rsid w:val="00246E0E"/>
    <w:rsid w:val="00246E43"/>
    <w:rsid w:val="00247271"/>
    <w:rsid w:val="002473BE"/>
    <w:rsid w:val="002473EB"/>
    <w:rsid w:val="00247541"/>
    <w:rsid w:val="00247572"/>
    <w:rsid w:val="00247885"/>
    <w:rsid w:val="00247B4D"/>
    <w:rsid w:val="00247D15"/>
    <w:rsid w:val="0025011E"/>
    <w:rsid w:val="00250288"/>
    <w:rsid w:val="00250743"/>
    <w:rsid w:val="002508B0"/>
    <w:rsid w:val="002508EF"/>
    <w:rsid w:val="00250904"/>
    <w:rsid w:val="00250A31"/>
    <w:rsid w:val="0025107A"/>
    <w:rsid w:val="002511D1"/>
    <w:rsid w:val="00251469"/>
    <w:rsid w:val="0025152B"/>
    <w:rsid w:val="002515EA"/>
    <w:rsid w:val="00251749"/>
    <w:rsid w:val="002518D2"/>
    <w:rsid w:val="00251A46"/>
    <w:rsid w:val="00251ABB"/>
    <w:rsid w:val="00251C18"/>
    <w:rsid w:val="00251EEE"/>
    <w:rsid w:val="0025222D"/>
    <w:rsid w:val="002524AE"/>
    <w:rsid w:val="002524DF"/>
    <w:rsid w:val="0025253C"/>
    <w:rsid w:val="0025270C"/>
    <w:rsid w:val="0025276D"/>
    <w:rsid w:val="002528F0"/>
    <w:rsid w:val="00252B98"/>
    <w:rsid w:val="00252D8B"/>
    <w:rsid w:val="002530DB"/>
    <w:rsid w:val="002532A7"/>
    <w:rsid w:val="002532D1"/>
    <w:rsid w:val="002538B4"/>
    <w:rsid w:val="00253B66"/>
    <w:rsid w:val="00253C11"/>
    <w:rsid w:val="00253E97"/>
    <w:rsid w:val="00253F6E"/>
    <w:rsid w:val="002540AE"/>
    <w:rsid w:val="002540CD"/>
    <w:rsid w:val="002543D7"/>
    <w:rsid w:val="00254B5C"/>
    <w:rsid w:val="00254EF4"/>
    <w:rsid w:val="002554C1"/>
    <w:rsid w:val="002556AA"/>
    <w:rsid w:val="00255805"/>
    <w:rsid w:val="00255B07"/>
    <w:rsid w:val="00255B0D"/>
    <w:rsid w:val="00255B4D"/>
    <w:rsid w:val="00255B5D"/>
    <w:rsid w:val="00255E6E"/>
    <w:rsid w:val="002560BA"/>
    <w:rsid w:val="00256175"/>
    <w:rsid w:val="00256AD9"/>
    <w:rsid w:val="00256B24"/>
    <w:rsid w:val="00256BD3"/>
    <w:rsid w:val="00256BEA"/>
    <w:rsid w:val="00256C55"/>
    <w:rsid w:val="00256C79"/>
    <w:rsid w:val="00256CF8"/>
    <w:rsid w:val="00256F65"/>
    <w:rsid w:val="0025713B"/>
    <w:rsid w:val="00257337"/>
    <w:rsid w:val="002578C5"/>
    <w:rsid w:val="002578DF"/>
    <w:rsid w:val="00257A5A"/>
    <w:rsid w:val="00257B41"/>
    <w:rsid w:val="00257B45"/>
    <w:rsid w:val="00257C89"/>
    <w:rsid w:val="00257C94"/>
    <w:rsid w:val="00257E3D"/>
    <w:rsid w:val="00260412"/>
    <w:rsid w:val="00260468"/>
    <w:rsid w:val="002607C4"/>
    <w:rsid w:val="002607F4"/>
    <w:rsid w:val="002609AE"/>
    <w:rsid w:val="00260A14"/>
    <w:rsid w:val="00260B4E"/>
    <w:rsid w:val="00260CBA"/>
    <w:rsid w:val="002612F3"/>
    <w:rsid w:val="002614BD"/>
    <w:rsid w:val="0026179B"/>
    <w:rsid w:val="002617DF"/>
    <w:rsid w:val="0026185B"/>
    <w:rsid w:val="0026196D"/>
    <w:rsid w:val="00261A92"/>
    <w:rsid w:val="00261B20"/>
    <w:rsid w:val="00261C43"/>
    <w:rsid w:val="00262102"/>
    <w:rsid w:val="002622AA"/>
    <w:rsid w:val="00262B67"/>
    <w:rsid w:val="00262CD7"/>
    <w:rsid w:val="00262D53"/>
    <w:rsid w:val="00262D59"/>
    <w:rsid w:val="00262E9E"/>
    <w:rsid w:val="00262F31"/>
    <w:rsid w:val="00262F90"/>
    <w:rsid w:val="00263011"/>
    <w:rsid w:val="002637FD"/>
    <w:rsid w:val="00263A38"/>
    <w:rsid w:val="00263C8C"/>
    <w:rsid w:val="00263E47"/>
    <w:rsid w:val="00264405"/>
    <w:rsid w:val="0026496B"/>
    <w:rsid w:val="00264A88"/>
    <w:rsid w:val="00264AE9"/>
    <w:rsid w:val="00264BA0"/>
    <w:rsid w:val="00264DFC"/>
    <w:rsid w:val="00264E50"/>
    <w:rsid w:val="00264ED8"/>
    <w:rsid w:val="00264EE6"/>
    <w:rsid w:val="002652CB"/>
    <w:rsid w:val="002654EF"/>
    <w:rsid w:val="00265620"/>
    <w:rsid w:val="002656FD"/>
    <w:rsid w:val="0026576F"/>
    <w:rsid w:val="0026599B"/>
    <w:rsid w:val="002659D2"/>
    <w:rsid w:val="00265BDD"/>
    <w:rsid w:val="00265F10"/>
    <w:rsid w:val="00265F4A"/>
    <w:rsid w:val="00266067"/>
    <w:rsid w:val="00266186"/>
    <w:rsid w:val="002661A8"/>
    <w:rsid w:val="0026640F"/>
    <w:rsid w:val="002665CF"/>
    <w:rsid w:val="00266731"/>
    <w:rsid w:val="002667AB"/>
    <w:rsid w:val="00266868"/>
    <w:rsid w:val="00266D72"/>
    <w:rsid w:val="00266F5C"/>
    <w:rsid w:val="00266F84"/>
    <w:rsid w:val="0026776B"/>
    <w:rsid w:val="0026778C"/>
    <w:rsid w:val="0026779E"/>
    <w:rsid w:val="0026789B"/>
    <w:rsid w:val="002678BB"/>
    <w:rsid w:val="00267983"/>
    <w:rsid w:val="00267BBA"/>
    <w:rsid w:val="00267D98"/>
    <w:rsid w:val="002700B7"/>
    <w:rsid w:val="00270445"/>
    <w:rsid w:val="00270588"/>
    <w:rsid w:val="00270644"/>
    <w:rsid w:val="00270A40"/>
    <w:rsid w:val="0027103C"/>
    <w:rsid w:val="00271047"/>
    <w:rsid w:val="00271240"/>
    <w:rsid w:val="002713BF"/>
    <w:rsid w:val="002713EF"/>
    <w:rsid w:val="00271775"/>
    <w:rsid w:val="002719D7"/>
    <w:rsid w:val="002719F7"/>
    <w:rsid w:val="00271F42"/>
    <w:rsid w:val="00272064"/>
    <w:rsid w:val="002723ED"/>
    <w:rsid w:val="0027242E"/>
    <w:rsid w:val="0027252A"/>
    <w:rsid w:val="002727FA"/>
    <w:rsid w:val="00272C42"/>
    <w:rsid w:val="00272DDD"/>
    <w:rsid w:val="00272E15"/>
    <w:rsid w:val="00272EA6"/>
    <w:rsid w:val="002731A6"/>
    <w:rsid w:val="00273386"/>
    <w:rsid w:val="00273412"/>
    <w:rsid w:val="002734B6"/>
    <w:rsid w:val="0027395C"/>
    <w:rsid w:val="002739CB"/>
    <w:rsid w:val="002739E3"/>
    <w:rsid w:val="00273F70"/>
    <w:rsid w:val="00273F81"/>
    <w:rsid w:val="002744C3"/>
    <w:rsid w:val="00274512"/>
    <w:rsid w:val="00274897"/>
    <w:rsid w:val="00274C01"/>
    <w:rsid w:val="00274C1E"/>
    <w:rsid w:val="00274D18"/>
    <w:rsid w:val="002752A4"/>
    <w:rsid w:val="00275857"/>
    <w:rsid w:val="00275C10"/>
    <w:rsid w:val="00275EE2"/>
    <w:rsid w:val="00275F7E"/>
    <w:rsid w:val="0027609B"/>
    <w:rsid w:val="0027624A"/>
    <w:rsid w:val="00276669"/>
    <w:rsid w:val="00276D2D"/>
    <w:rsid w:val="00276DE9"/>
    <w:rsid w:val="00276FC4"/>
    <w:rsid w:val="002770FA"/>
    <w:rsid w:val="0027717D"/>
    <w:rsid w:val="0027738A"/>
    <w:rsid w:val="00277423"/>
    <w:rsid w:val="002775EA"/>
    <w:rsid w:val="00277C79"/>
    <w:rsid w:val="00277DBC"/>
    <w:rsid w:val="00277E40"/>
    <w:rsid w:val="00277E68"/>
    <w:rsid w:val="00277F02"/>
    <w:rsid w:val="002800BA"/>
    <w:rsid w:val="002802EB"/>
    <w:rsid w:val="00280338"/>
    <w:rsid w:val="00280470"/>
    <w:rsid w:val="0028047C"/>
    <w:rsid w:val="002805C9"/>
    <w:rsid w:val="00280752"/>
    <w:rsid w:val="002807CB"/>
    <w:rsid w:val="0028080F"/>
    <w:rsid w:val="00280934"/>
    <w:rsid w:val="00280A99"/>
    <w:rsid w:val="00280C46"/>
    <w:rsid w:val="0028101D"/>
    <w:rsid w:val="0028122E"/>
    <w:rsid w:val="00281283"/>
    <w:rsid w:val="00281440"/>
    <w:rsid w:val="00281477"/>
    <w:rsid w:val="0028198C"/>
    <w:rsid w:val="002819E8"/>
    <w:rsid w:val="00281A30"/>
    <w:rsid w:val="00281A6B"/>
    <w:rsid w:val="00281A92"/>
    <w:rsid w:val="00281AED"/>
    <w:rsid w:val="00281D45"/>
    <w:rsid w:val="00281E47"/>
    <w:rsid w:val="0028212A"/>
    <w:rsid w:val="002821A3"/>
    <w:rsid w:val="002822A7"/>
    <w:rsid w:val="002822AA"/>
    <w:rsid w:val="002824B3"/>
    <w:rsid w:val="0028262F"/>
    <w:rsid w:val="002826CE"/>
    <w:rsid w:val="002827C2"/>
    <w:rsid w:val="00282824"/>
    <w:rsid w:val="00283313"/>
    <w:rsid w:val="002834FF"/>
    <w:rsid w:val="00283866"/>
    <w:rsid w:val="00283B3B"/>
    <w:rsid w:val="00283E1F"/>
    <w:rsid w:val="00283E74"/>
    <w:rsid w:val="00283FCF"/>
    <w:rsid w:val="0028430C"/>
    <w:rsid w:val="00284324"/>
    <w:rsid w:val="00284376"/>
    <w:rsid w:val="00284599"/>
    <w:rsid w:val="0028459B"/>
    <w:rsid w:val="002849D2"/>
    <w:rsid w:val="00284EBD"/>
    <w:rsid w:val="0028516E"/>
    <w:rsid w:val="002854DA"/>
    <w:rsid w:val="0028562D"/>
    <w:rsid w:val="00285668"/>
    <w:rsid w:val="002857C9"/>
    <w:rsid w:val="00285CE0"/>
    <w:rsid w:val="00286047"/>
    <w:rsid w:val="0028604D"/>
    <w:rsid w:val="002860BA"/>
    <w:rsid w:val="0028644C"/>
    <w:rsid w:val="00286495"/>
    <w:rsid w:val="0028680E"/>
    <w:rsid w:val="00286A63"/>
    <w:rsid w:val="00286BD1"/>
    <w:rsid w:val="00286E4B"/>
    <w:rsid w:val="0028701B"/>
    <w:rsid w:val="002871C7"/>
    <w:rsid w:val="002873B6"/>
    <w:rsid w:val="00287404"/>
    <w:rsid w:val="0028795E"/>
    <w:rsid w:val="00287D14"/>
    <w:rsid w:val="00287D43"/>
    <w:rsid w:val="00287DCE"/>
    <w:rsid w:val="00287EEC"/>
    <w:rsid w:val="00287F22"/>
    <w:rsid w:val="002903E0"/>
    <w:rsid w:val="00290431"/>
    <w:rsid w:val="002908CA"/>
    <w:rsid w:val="00290AF9"/>
    <w:rsid w:val="00290BBA"/>
    <w:rsid w:val="00290E44"/>
    <w:rsid w:val="00291325"/>
    <w:rsid w:val="002913F8"/>
    <w:rsid w:val="0029150D"/>
    <w:rsid w:val="002915A7"/>
    <w:rsid w:val="0029164A"/>
    <w:rsid w:val="00291874"/>
    <w:rsid w:val="00291954"/>
    <w:rsid w:val="00291FAB"/>
    <w:rsid w:val="0029204D"/>
    <w:rsid w:val="0029239C"/>
    <w:rsid w:val="00292740"/>
    <w:rsid w:val="00292A9C"/>
    <w:rsid w:val="00292B09"/>
    <w:rsid w:val="00292CA1"/>
    <w:rsid w:val="00292D25"/>
    <w:rsid w:val="00292FA9"/>
    <w:rsid w:val="002930D8"/>
    <w:rsid w:val="002930E8"/>
    <w:rsid w:val="00293472"/>
    <w:rsid w:val="002934FA"/>
    <w:rsid w:val="0029354A"/>
    <w:rsid w:val="002936D5"/>
    <w:rsid w:val="002939C4"/>
    <w:rsid w:val="00293A18"/>
    <w:rsid w:val="00293A4F"/>
    <w:rsid w:val="00293AC9"/>
    <w:rsid w:val="00293B1A"/>
    <w:rsid w:val="00293F46"/>
    <w:rsid w:val="00294205"/>
    <w:rsid w:val="00294439"/>
    <w:rsid w:val="00294844"/>
    <w:rsid w:val="00294BCB"/>
    <w:rsid w:val="00294D71"/>
    <w:rsid w:val="00294F47"/>
    <w:rsid w:val="0029505A"/>
    <w:rsid w:val="00295096"/>
    <w:rsid w:val="002950AC"/>
    <w:rsid w:val="0029517A"/>
    <w:rsid w:val="00295190"/>
    <w:rsid w:val="00295263"/>
    <w:rsid w:val="0029553A"/>
    <w:rsid w:val="002956A4"/>
    <w:rsid w:val="002956B5"/>
    <w:rsid w:val="002957F6"/>
    <w:rsid w:val="002957FD"/>
    <w:rsid w:val="00295800"/>
    <w:rsid w:val="00295A01"/>
    <w:rsid w:val="00295BAF"/>
    <w:rsid w:val="00295D4D"/>
    <w:rsid w:val="00295DE9"/>
    <w:rsid w:val="00295E8E"/>
    <w:rsid w:val="00295FA1"/>
    <w:rsid w:val="00296330"/>
    <w:rsid w:val="0029683A"/>
    <w:rsid w:val="00296879"/>
    <w:rsid w:val="00296A4C"/>
    <w:rsid w:val="00296B27"/>
    <w:rsid w:val="00296E59"/>
    <w:rsid w:val="00296ED9"/>
    <w:rsid w:val="00296F69"/>
    <w:rsid w:val="0029709A"/>
    <w:rsid w:val="002970B7"/>
    <w:rsid w:val="002971BF"/>
    <w:rsid w:val="002971CF"/>
    <w:rsid w:val="002972FE"/>
    <w:rsid w:val="002973A5"/>
    <w:rsid w:val="002973F2"/>
    <w:rsid w:val="00297480"/>
    <w:rsid w:val="0029754F"/>
    <w:rsid w:val="00297790"/>
    <w:rsid w:val="00297891"/>
    <w:rsid w:val="00297B0F"/>
    <w:rsid w:val="00297C0F"/>
    <w:rsid w:val="00297CB4"/>
    <w:rsid w:val="002A00DB"/>
    <w:rsid w:val="002A0135"/>
    <w:rsid w:val="002A084B"/>
    <w:rsid w:val="002A0873"/>
    <w:rsid w:val="002A0C06"/>
    <w:rsid w:val="002A0DC1"/>
    <w:rsid w:val="002A0EE4"/>
    <w:rsid w:val="002A149F"/>
    <w:rsid w:val="002A1580"/>
    <w:rsid w:val="002A17D1"/>
    <w:rsid w:val="002A1B18"/>
    <w:rsid w:val="002A1E55"/>
    <w:rsid w:val="002A1FE1"/>
    <w:rsid w:val="002A2132"/>
    <w:rsid w:val="002A2297"/>
    <w:rsid w:val="002A2423"/>
    <w:rsid w:val="002A2510"/>
    <w:rsid w:val="002A2599"/>
    <w:rsid w:val="002A25E3"/>
    <w:rsid w:val="002A28CD"/>
    <w:rsid w:val="002A2BBD"/>
    <w:rsid w:val="002A2C7A"/>
    <w:rsid w:val="002A3237"/>
    <w:rsid w:val="002A328A"/>
    <w:rsid w:val="002A33A8"/>
    <w:rsid w:val="002A365C"/>
    <w:rsid w:val="002A39A9"/>
    <w:rsid w:val="002A39C3"/>
    <w:rsid w:val="002A3E7F"/>
    <w:rsid w:val="002A3F43"/>
    <w:rsid w:val="002A4314"/>
    <w:rsid w:val="002A4487"/>
    <w:rsid w:val="002A484A"/>
    <w:rsid w:val="002A4ABA"/>
    <w:rsid w:val="002A4AD0"/>
    <w:rsid w:val="002A4BFA"/>
    <w:rsid w:val="002A4ECB"/>
    <w:rsid w:val="002A4FD5"/>
    <w:rsid w:val="002A5093"/>
    <w:rsid w:val="002A52E0"/>
    <w:rsid w:val="002A533C"/>
    <w:rsid w:val="002A53B1"/>
    <w:rsid w:val="002A5568"/>
    <w:rsid w:val="002A55BB"/>
    <w:rsid w:val="002A55E8"/>
    <w:rsid w:val="002A56B9"/>
    <w:rsid w:val="002A56E4"/>
    <w:rsid w:val="002A585A"/>
    <w:rsid w:val="002A5993"/>
    <w:rsid w:val="002A5AF8"/>
    <w:rsid w:val="002A5AFB"/>
    <w:rsid w:val="002A5B99"/>
    <w:rsid w:val="002A5D0F"/>
    <w:rsid w:val="002A5E4C"/>
    <w:rsid w:val="002A6003"/>
    <w:rsid w:val="002A626C"/>
    <w:rsid w:val="002A62AD"/>
    <w:rsid w:val="002A645E"/>
    <w:rsid w:val="002A65DF"/>
    <w:rsid w:val="002A661E"/>
    <w:rsid w:val="002A68EA"/>
    <w:rsid w:val="002A69EF"/>
    <w:rsid w:val="002A6A43"/>
    <w:rsid w:val="002A6C90"/>
    <w:rsid w:val="002A6CE7"/>
    <w:rsid w:val="002A703D"/>
    <w:rsid w:val="002A74F9"/>
    <w:rsid w:val="002A7528"/>
    <w:rsid w:val="002A7636"/>
    <w:rsid w:val="002A76A4"/>
    <w:rsid w:val="002A7B52"/>
    <w:rsid w:val="002B0242"/>
    <w:rsid w:val="002B02E3"/>
    <w:rsid w:val="002B0512"/>
    <w:rsid w:val="002B07D3"/>
    <w:rsid w:val="002B085D"/>
    <w:rsid w:val="002B0940"/>
    <w:rsid w:val="002B097A"/>
    <w:rsid w:val="002B0AE4"/>
    <w:rsid w:val="002B0D10"/>
    <w:rsid w:val="002B1427"/>
    <w:rsid w:val="002B1962"/>
    <w:rsid w:val="002B1E54"/>
    <w:rsid w:val="002B1ECB"/>
    <w:rsid w:val="002B1EDF"/>
    <w:rsid w:val="002B2057"/>
    <w:rsid w:val="002B2172"/>
    <w:rsid w:val="002B21FA"/>
    <w:rsid w:val="002B22C7"/>
    <w:rsid w:val="002B25AB"/>
    <w:rsid w:val="002B279D"/>
    <w:rsid w:val="002B2AF5"/>
    <w:rsid w:val="002B2D3A"/>
    <w:rsid w:val="002B2F13"/>
    <w:rsid w:val="002B35D1"/>
    <w:rsid w:val="002B35E5"/>
    <w:rsid w:val="002B3935"/>
    <w:rsid w:val="002B3AEF"/>
    <w:rsid w:val="002B3B9E"/>
    <w:rsid w:val="002B3BC1"/>
    <w:rsid w:val="002B3BC6"/>
    <w:rsid w:val="002B3CAA"/>
    <w:rsid w:val="002B3CE5"/>
    <w:rsid w:val="002B3F49"/>
    <w:rsid w:val="002B4090"/>
    <w:rsid w:val="002B420E"/>
    <w:rsid w:val="002B4304"/>
    <w:rsid w:val="002B45DD"/>
    <w:rsid w:val="002B49AC"/>
    <w:rsid w:val="002B4AA0"/>
    <w:rsid w:val="002B4B10"/>
    <w:rsid w:val="002B4B99"/>
    <w:rsid w:val="002B4D89"/>
    <w:rsid w:val="002B4E5E"/>
    <w:rsid w:val="002B4EC1"/>
    <w:rsid w:val="002B51FC"/>
    <w:rsid w:val="002B581C"/>
    <w:rsid w:val="002B58B8"/>
    <w:rsid w:val="002B58FA"/>
    <w:rsid w:val="002B6070"/>
    <w:rsid w:val="002B607B"/>
    <w:rsid w:val="002B6207"/>
    <w:rsid w:val="002B63B2"/>
    <w:rsid w:val="002B6542"/>
    <w:rsid w:val="002B665F"/>
    <w:rsid w:val="002B6FC0"/>
    <w:rsid w:val="002B700B"/>
    <w:rsid w:val="002B737D"/>
    <w:rsid w:val="002B7608"/>
    <w:rsid w:val="002B76AA"/>
    <w:rsid w:val="002B78A3"/>
    <w:rsid w:val="002B7B26"/>
    <w:rsid w:val="002B7BF9"/>
    <w:rsid w:val="002B7EDF"/>
    <w:rsid w:val="002B7EE3"/>
    <w:rsid w:val="002C00A5"/>
    <w:rsid w:val="002C01AE"/>
    <w:rsid w:val="002C051C"/>
    <w:rsid w:val="002C0537"/>
    <w:rsid w:val="002C05E1"/>
    <w:rsid w:val="002C06E0"/>
    <w:rsid w:val="002C08D2"/>
    <w:rsid w:val="002C0A11"/>
    <w:rsid w:val="002C117B"/>
    <w:rsid w:val="002C13D1"/>
    <w:rsid w:val="002C13D4"/>
    <w:rsid w:val="002C13F4"/>
    <w:rsid w:val="002C146F"/>
    <w:rsid w:val="002C14EE"/>
    <w:rsid w:val="002C1525"/>
    <w:rsid w:val="002C1922"/>
    <w:rsid w:val="002C20F8"/>
    <w:rsid w:val="002C218A"/>
    <w:rsid w:val="002C237A"/>
    <w:rsid w:val="002C248D"/>
    <w:rsid w:val="002C250E"/>
    <w:rsid w:val="002C2628"/>
    <w:rsid w:val="002C2A86"/>
    <w:rsid w:val="002C3245"/>
    <w:rsid w:val="002C360E"/>
    <w:rsid w:val="002C3666"/>
    <w:rsid w:val="002C37CF"/>
    <w:rsid w:val="002C380A"/>
    <w:rsid w:val="002C38E4"/>
    <w:rsid w:val="002C40D1"/>
    <w:rsid w:val="002C452A"/>
    <w:rsid w:val="002C4957"/>
    <w:rsid w:val="002C4CA7"/>
    <w:rsid w:val="002C5220"/>
    <w:rsid w:val="002C5500"/>
    <w:rsid w:val="002C5B15"/>
    <w:rsid w:val="002C5B7D"/>
    <w:rsid w:val="002C5BA8"/>
    <w:rsid w:val="002C5FEF"/>
    <w:rsid w:val="002C6026"/>
    <w:rsid w:val="002C6119"/>
    <w:rsid w:val="002C622B"/>
    <w:rsid w:val="002C634C"/>
    <w:rsid w:val="002C64B3"/>
    <w:rsid w:val="002C671F"/>
    <w:rsid w:val="002C6A28"/>
    <w:rsid w:val="002C6B13"/>
    <w:rsid w:val="002C6B88"/>
    <w:rsid w:val="002C6C4C"/>
    <w:rsid w:val="002C6D27"/>
    <w:rsid w:val="002C6D79"/>
    <w:rsid w:val="002C6EAE"/>
    <w:rsid w:val="002C6FDE"/>
    <w:rsid w:val="002C7648"/>
    <w:rsid w:val="002C77B6"/>
    <w:rsid w:val="002C7DED"/>
    <w:rsid w:val="002C7DF7"/>
    <w:rsid w:val="002C7F33"/>
    <w:rsid w:val="002D026A"/>
    <w:rsid w:val="002D0357"/>
    <w:rsid w:val="002D03A0"/>
    <w:rsid w:val="002D04ED"/>
    <w:rsid w:val="002D0B55"/>
    <w:rsid w:val="002D0F6F"/>
    <w:rsid w:val="002D145A"/>
    <w:rsid w:val="002D16D4"/>
    <w:rsid w:val="002D1707"/>
    <w:rsid w:val="002D1733"/>
    <w:rsid w:val="002D18A5"/>
    <w:rsid w:val="002D1969"/>
    <w:rsid w:val="002D1AA1"/>
    <w:rsid w:val="002D1C0B"/>
    <w:rsid w:val="002D1C1F"/>
    <w:rsid w:val="002D1D3F"/>
    <w:rsid w:val="002D1F56"/>
    <w:rsid w:val="002D1F84"/>
    <w:rsid w:val="002D23A3"/>
    <w:rsid w:val="002D2651"/>
    <w:rsid w:val="002D2660"/>
    <w:rsid w:val="002D2708"/>
    <w:rsid w:val="002D27C9"/>
    <w:rsid w:val="002D2AF9"/>
    <w:rsid w:val="002D2B12"/>
    <w:rsid w:val="002D2B6A"/>
    <w:rsid w:val="002D2C56"/>
    <w:rsid w:val="002D2E7C"/>
    <w:rsid w:val="002D309E"/>
    <w:rsid w:val="002D31D7"/>
    <w:rsid w:val="002D3264"/>
    <w:rsid w:val="002D3550"/>
    <w:rsid w:val="002D3E8A"/>
    <w:rsid w:val="002D474E"/>
    <w:rsid w:val="002D485D"/>
    <w:rsid w:val="002D4A61"/>
    <w:rsid w:val="002D4BA6"/>
    <w:rsid w:val="002D4D80"/>
    <w:rsid w:val="002D4E23"/>
    <w:rsid w:val="002D4F76"/>
    <w:rsid w:val="002D5034"/>
    <w:rsid w:val="002D52D0"/>
    <w:rsid w:val="002D5553"/>
    <w:rsid w:val="002D59F6"/>
    <w:rsid w:val="002D5D74"/>
    <w:rsid w:val="002D615D"/>
    <w:rsid w:val="002D6285"/>
    <w:rsid w:val="002D67E9"/>
    <w:rsid w:val="002D6AA1"/>
    <w:rsid w:val="002D6ABE"/>
    <w:rsid w:val="002D6D11"/>
    <w:rsid w:val="002D6D1D"/>
    <w:rsid w:val="002D6D77"/>
    <w:rsid w:val="002D73CE"/>
    <w:rsid w:val="002D74B1"/>
    <w:rsid w:val="002D7525"/>
    <w:rsid w:val="002D79A7"/>
    <w:rsid w:val="002D79DB"/>
    <w:rsid w:val="002D7ABD"/>
    <w:rsid w:val="002E00FF"/>
    <w:rsid w:val="002E0660"/>
    <w:rsid w:val="002E0829"/>
    <w:rsid w:val="002E08C3"/>
    <w:rsid w:val="002E0950"/>
    <w:rsid w:val="002E095D"/>
    <w:rsid w:val="002E0ACC"/>
    <w:rsid w:val="002E0B3B"/>
    <w:rsid w:val="002E0DA4"/>
    <w:rsid w:val="002E0EA6"/>
    <w:rsid w:val="002E1011"/>
    <w:rsid w:val="002E11E3"/>
    <w:rsid w:val="002E11E6"/>
    <w:rsid w:val="002E13EE"/>
    <w:rsid w:val="002E15C0"/>
    <w:rsid w:val="002E17B8"/>
    <w:rsid w:val="002E17FB"/>
    <w:rsid w:val="002E19AA"/>
    <w:rsid w:val="002E1A3B"/>
    <w:rsid w:val="002E1BF7"/>
    <w:rsid w:val="002E1C9A"/>
    <w:rsid w:val="002E1D5C"/>
    <w:rsid w:val="002E1E08"/>
    <w:rsid w:val="002E23A4"/>
    <w:rsid w:val="002E262C"/>
    <w:rsid w:val="002E2738"/>
    <w:rsid w:val="002E2870"/>
    <w:rsid w:val="002E2BB3"/>
    <w:rsid w:val="002E2F01"/>
    <w:rsid w:val="002E2F93"/>
    <w:rsid w:val="002E3565"/>
    <w:rsid w:val="002E3860"/>
    <w:rsid w:val="002E3909"/>
    <w:rsid w:val="002E3C82"/>
    <w:rsid w:val="002E410F"/>
    <w:rsid w:val="002E42BC"/>
    <w:rsid w:val="002E43A8"/>
    <w:rsid w:val="002E4894"/>
    <w:rsid w:val="002E491A"/>
    <w:rsid w:val="002E4BAE"/>
    <w:rsid w:val="002E4EAE"/>
    <w:rsid w:val="002E5288"/>
    <w:rsid w:val="002E533D"/>
    <w:rsid w:val="002E5785"/>
    <w:rsid w:val="002E580F"/>
    <w:rsid w:val="002E5AD0"/>
    <w:rsid w:val="002E5CF0"/>
    <w:rsid w:val="002E610A"/>
    <w:rsid w:val="002E61DC"/>
    <w:rsid w:val="002E62AA"/>
    <w:rsid w:val="002E6374"/>
    <w:rsid w:val="002E642C"/>
    <w:rsid w:val="002E669F"/>
    <w:rsid w:val="002E69BC"/>
    <w:rsid w:val="002E6CBD"/>
    <w:rsid w:val="002E6D2C"/>
    <w:rsid w:val="002E6D3E"/>
    <w:rsid w:val="002E6F6C"/>
    <w:rsid w:val="002E7047"/>
    <w:rsid w:val="002E70C0"/>
    <w:rsid w:val="002E70CF"/>
    <w:rsid w:val="002E7214"/>
    <w:rsid w:val="002E7387"/>
    <w:rsid w:val="002E7523"/>
    <w:rsid w:val="002E7571"/>
    <w:rsid w:val="002E7899"/>
    <w:rsid w:val="002E7CE3"/>
    <w:rsid w:val="002E7F5A"/>
    <w:rsid w:val="002F02C9"/>
    <w:rsid w:val="002F02D8"/>
    <w:rsid w:val="002F0361"/>
    <w:rsid w:val="002F03D7"/>
    <w:rsid w:val="002F0502"/>
    <w:rsid w:val="002F06EC"/>
    <w:rsid w:val="002F08A3"/>
    <w:rsid w:val="002F0BD6"/>
    <w:rsid w:val="002F0C1A"/>
    <w:rsid w:val="002F0DA5"/>
    <w:rsid w:val="002F0DA8"/>
    <w:rsid w:val="002F0E34"/>
    <w:rsid w:val="002F0EE6"/>
    <w:rsid w:val="002F15E6"/>
    <w:rsid w:val="002F1658"/>
    <w:rsid w:val="002F180D"/>
    <w:rsid w:val="002F1BE4"/>
    <w:rsid w:val="002F1EBB"/>
    <w:rsid w:val="002F2168"/>
    <w:rsid w:val="002F2650"/>
    <w:rsid w:val="002F2938"/>
    <w:rsid w:val="002F2C56"/>
    <w:rsid w:val="002F2F0F"/>
    <w:rsid w:val="002F2FCE"/>
    <w:rsid w:val="002F3027"/>
    <w:rsid w:val="002F3035"/>
    <w:rsid w:val="002F31A6"/>
    <w:rsid w:val="002F335B"/>
    <w:rsid w:val="002F3634"/>
    <w:rsid w:val="002F36F3"/>
    <w:rsid w:val="002F37D7"/>
    <w:rsid w:val="002F39CA"/>
    <w:rsid w:val="002F3A86"/>
    <w:rsid w:val="002F3B93"/>
    <w:rsid w:val="002F3C31"/>
    <w:rsid w:val="002F3C4B"/>
    <w:rsid w:val="002F3CB9"/>
    <w:rsid w:val="002F3CBD"/>
    <w:rsid w:val="002F3D94"/>
    <w:rsid w:val="002F4086"/>
    <w:rsid w:val="002F4263"/>
    <w:rsid w:val="002F4410"/>
    <w:rsid w:val="002F44AE"/>
    <w:rsid w:val="002F474A"/>
    <w:rsid w:val="002F4AE2"/>
    <w:rsid w:val="002F5594"/>
    <w:rsid w:val="002F5975"/>
    <w:rsid w:val="002F5AD4"/>
    <w:rsid w:val="002F5AD5"/>
    <w:rsid w:val="002F5B4A"/>
    <w:rsid w:val="002F5D66"/>
    <w:rsid w:val="002F5DF2"/>
    <w:rsid w:val="002F652B"/>
    <w:rsid w:val="002F65DD"/>
    <w:rsid w:val="002F66C4"/>
    <w:rsid w:val="002F67C8"/>
    <w:rsid w:val="002F683A"/>
    <w:rsid w:val="002F6B3F"/>
    <w:rsid w:val="002F6C78"/>
    <w:rsid w:val="002F7390"/>
    <w:rsid w:val="002F739B"/>
    <w:rsid w:val="002F7776"/>
    <w:rsid w:val="002F7C1F"/>
    <w:rsid w:val="002F7D32"/>
    <w:rsid w:val="003000B2"/>
    <w:rsid w:val="003001BB"/>
    <w:rsid w:val="003001CA"/>
    <w:rsid w:val="00300352"/>
    <w:rsid w:val="00300659"/>
    <w:rsid w:val="003006B0"/>
    <w:rsid w:val="00300904"/>
    <w:rsid w:val="00300EDE"/>
    <w:rsid w:val="00300FB3"/>
    <w:rsid w:val="0030139E"/>
    <w:rsid w:val="00301538"/>
    <w:rsid w:val="0030163D"/>
    <w:rsid w:val="00301931"/>
    <w:rsid w:val="00301CBE"/>
    <w:rsid w:val="00301FA8"/>
    <w:rsid w:val="003020DD"/>
    <w:rsid w:val="00302479"/>
    <w:rsid w:val="003024F2"/>
    <w:rsid w:val="003026D5"/>
    <w:rsid w:val="00302763"/>
    <w:rsid w:val="00302A64"/>
    <w:rsid w:val="00302DE9"/>
    <w:rsid w:val="00302FA7"/>
    <w:rsid w:val="00302FB1"/>
    <w:rsid w:val="003031BB"/>
    <w:rsid w:val="0030359C"/>
    <w:rsid w:val="00303722"/>
    <w:rsid w:val="003038F4"/>
    <w:rsid w:val="003039B7"/>
    <w:rsid w:val="00303A31"/>
    <w:rsid w:val="00303D4D"/>
    <w:rsid w:val="00304261"/>
    <w:rsid w:val="003044B9"/>
    <w:rsid w:val="00304691"/>
    <w:rsid w:val="00304914"/>
    <w:rsid w:val="00304AE5"/>
    <w:rsid w:val="00304D99"/>
    <w:rsid w:val="00304E16"/>
    <w:rsid w:val="00304E23"/>
    <w:rsid w:val="003050D0"/>
    <w:rsid w:val="0030515B"/>
    <w:rsid w:val="0030550F"/>
    <w:rsid w:val="00305746"/>
    <w:rsid w:val="0030583E"/>
    <w:rsid w:val="0030590C"/>
    <w:rsid w:val="003059AB"/>
    <w:rsid w:val="00305D3C"/>
    <w:rsid w:val="00305FCA"/>
    <w:rsid w:val="00306229"/>
    <w:rsid w:val="003062F6"/>
    <w:rsid w:val="003063BB"/>
    <w:rsid w:val="003063E9"/>
    <w:rsid w:val="0030669A"/>
    <w:rsid w:val="00306E0D"/>
    <w:rsid w:val="00306E32"/>
    <w:rsid w:val="00306E45"/>
    <w:rsid w:val="00306EDD"/>
    <w:rsid w:val="00306F79"/>
    <w:rsid w:val="003074B7"/>
    <w:rsid w:val="00307867"/>
    <w:rsid w:val="00307A7F"/>
    <w:rsid w:val="00307C28"/>
    <w:rsid w:val="00310126"/>
    <w:rsid w:val="003101C1"/>
    <w:rsid w:val="0031028E"/>
    <w:rsid w:val="0031083A"/>
    <w:rsid w:val="00310FB3"/>
    <w:rsid w:val="00311011"/>
    <w:rsid w:val="003111A0"/>
    <w:rsid w:val="00311202"/>
    <w:rsid w:val="00311275"/>
    <w:rsid w:val="00311871"/>
    <w:rsid w:val="00311BBC"/>
    <w:rsid w:val="003120F4"/>
    <w:rsid w:val="003123EE"/>
    <w:rsid w:val="0031256F"/>
    <w:rsid w:val="0031287C"/>
    <w:rsid w:val="003129A9"/>
    <w:rsid w:val="00312CF0"/>
    <w:rsid w:val="00312DBF"/>
    <w:rsid w:val="00312FBE"/>
    <w:rsid w:val="003132D2"/>
    <w:rsid w:val="00313516"/>
    <w:rsid w:val="003136FA"/>
    <w:rsid w:val="00313929"/>
    <w:rsid w:val="00313D2F"/>
    <w:rsid w:val="0031456D"/>
    <w:rsid w:val="003146A8"/>
    <w:rsid w:val="00314B91"/>
    <w:rsid w:val="00315143"/>
    <w:rsid w:val="003152D1"/>
    <w:rsid w:val="00315481"/>
    <w:rsid w:val="0031561E"/>
    <w:rsid w:val="00315845"/>
    <w:rsid w:val="00315ACD"/>
    <w:rsid w:val="00315B33"/>
    <w:rsid w:val="00315B3F"/>
    <w:rsid w:val="00315BF3"/>
    <w:rsid w:val="00315FDA"/>
    <w:rsid w:val="003163AD"/>
    <w:rsid w:val="003168BD"/>
    <w:rsid w:val="00316AE9"/>
    <w:rsid w:val="00316B2D"/>
    <w:rsid w:val="00316E55"/>
    <w:rsid w:val="0031721F"/>
    <w:rsid w:val="0031737E"/>
    <w:rsid w:val="003173C3"/>
    <w:rsid w:val="0031754D"/>
    <w:rsid w:val="00317633"/>
    <w:rsid w:val="0031781E"/>
    <w:rsid w:val="003178F6"/>
    <w:rsid w:val="00317AC7"/>
    <w:rsid w:val="00317D07"/>
    <w:rsid w:val="00317D24"/>
    <w:rsid w:val="00317FB7"/>
    <w:rsid w:val="0032008F"/>
    <w:rsid w:val="003200DE"/>
    <w:rsid w:val="0032094A"/>
    <w:rsid w:val="00320D9F"/>
    <w:rsid w:val="00320F2B"/>
    <w:rsid w:val="00321199"/>
    <w:rsid w:val="0032171F"/>
    <w:rsid w:val="0032178D"/>
    <w:rsid w:val="00321884"/>
    <w:rsid w:val="00321997"/>
    <w:rsid w:val="00321CFF"/>
    <w:rsid w:val="00321ED4"/>
    <w:rsid w:val="00322022"/>
    <w:rsid w:val="003222F5"/>
    <w:rsid w:val="003224B2"/>
    <w:rsid w:val="003227DF"/>
    <w:rsid w:val="003227F7"/>
    <w:rsid w:val="003227FD"/>
    <w:rsid w:val="003229C7"/>
    <w:rsid w:val="00322D94"/>
    <w:rsid w:val="0032312B"/>
    <w:rsid w:val="00323190"/>
    <w:rsid w:val="00323315"/>
    <w:rsid w:val="003234E2"/>
    <w:rsid w:val="003237F8"/>
    <w:rsid w:val="0032381E"/>
    <w:rsid w:val="003239CD"/>
    <w:rsid w:val="003239DB"/>
    <w:rsid w:val="00323A7B"/>
    <w:rsid w:val="00323ABD"/>
    <w:rsid w:val="00323CD1"/>
    <w:rsid w:val="00323F66"/>
    <w:rsid w:val="0032408F"/>
    <w:rsid w:val="003240C6"/>
    <w:rsid w:val="0032436A"/>
    <w:rsid w:val="0032442B"/>
    <w:rsid w:val="003244EA"/>
    <w:rsid w:val="0032467A"/>
    <w:rsid w:val="00324868"/>
    <w:rsid w:val="00324923"/>
    <w:rsid w:val="00324939"/>
    <w:rsid w:val="0032499A"/>
    <w:rsid w:val="00324C8D"/>
    <w:rsid w:val="00324F80"/>
    <w:rsid w:val="00325438"/>
    <w:rsid w:val="003255BC"/>
    <w:rsid w:val="003255D7"/>
    <w:rsid w:val="00325773"/>
    <w:rsid w:val="003258C1"/>
    <w:rsid w:val="003259AE"/>
    <w:rsid w:val="00325B30"/>
    <w:rsid w:val="00325EC8"/>
    <w:rsid w:val="00325EE4"/>
    <w:rsid w:val="0032615B"/>
    <w:rsid w:val="003265D6"/>
    <w:rsid w:val="003268A0"/>
    <w:rsid w:val="00326A05"/>
    <w:rsid w:val="0032744F"/>
    <w:rsid w:val="00327493"/>
    <w:rsid w:val="003275CB"/>
    <w:rsid w:val="00327629"/>
    <w:rsid w:val="0032764B"/>
    <w:rsid w:val="00327974"/>
    <w:rsid w:val="00327AF2"/>
    <w:rsid w:val="00327E84"/>
    <w:rsid w:val="0033011C"/>
    <w:rsid w:val="00330277"/>
    <w:rsid w:val="0033030E"/>
    <w:rsid w:val="0033051A"/>
    <w:rsid w:val="003306EA"/>
    <w:rsid w:val="0033091E"/>
    <w:rsid w:val="00330A43"/>
    <w:rsid w:val="00330C4C"/>
    <w:rsid w:val="00330F44"/>
    <w:rsid w:val="0033105B"/>
    <w:rsid w:val="00331097"/>
    <w:rsid w:val="0033109D"/>
    <w:rsid w:val="003310DF"/>
    <w:rsid w:val="00331274"/>
    <w:rsid w:val="00331326"/>
    <w:rsid w:val="00331572"/>
    <w:rsid w:val="00331592"/>
    <w:rsid w:val="0033179E"/>
    <w:rsid w:val="00331A20"/>
    <w:rsid w:val="0033201F"/>
    <w:rsid w:val="00332092"/>
    <w:rsid w:val="003322F7"/>
    <w:rsid w:val="003323B3"/>
    <w:rsid w:val="003325E4"/>
    <w:rsid w:val="00332865"/>
    <w:rsid w:val="0033287C"/>
    <w:rsid w:val="003329EE"/>
    <w:rsid w:val="00332B71"/>
    <w:rsid w:val="00332DB9"/>
    <w:rsid w:val="00332E4F"/>
    <w:rsid w:val="003332FE"/>
    <w:rsid w:val="0033350E"/>
    <w:rsid w:val="003336EC"/>
    <w:rsid w:val="00333740"/>
    <w:rsid w:val="003337F8"/>
    <w:rsid w:val="00333815"/>
    <w:rsid w:val="0033385F"/>
    <w:rsid w:val="00333CC6"/>
    <w:rsid w:val="0033404B"/>
    <w:rsid w:val="00334581"/>
    <w:rsid w:val="00334629"/>
    <w:rsid w:val="0033482F"/>
    <w:rsid w:val="0033498E"/>
    <w:rsid w:val="00334A60"/>
    <w:rsid w:val="00334AF9"/>
    <w:rsid w:val="00334B4E"/>
    <w:rsid w:val="00334E5B"/>
    <w:rsid w:val="00334EE2"/>
    <w:rsid w:val="003353C3"/>
    <w:rsid w:val="003353F7"/>
    <w:rsid w:val="003354C1"/>
    <w:rsid w:val="00335737"/>
    <w:rsid w:val="00335842"/>
    <w:rsid w:val="00335905"/>
    <w:rsid w:val="00335980"/>
    <w:rsid w:val="00335A6E"/>
    <w:rsid w:val="00336175"/>
    <w:rsid w:val="00336211"/>
    <w:rsid w:val="003362C2"/>
    <w:rsid w:val="00336375"/>
    <w:rsid w:val="00336462"/>
    <w:rsid w:val="00336539"/>
    <w:rsid w:val="00336A7A"/>
    <w:rsid w:val="00336B51"/>
    <w:rsid w:val="00336E8E"/>
    <w:rsid w:val="00336ECC"/>
    <w:rsid w:val="00336FBD"/>
    <w:rsid w:val="00337013"/>
    <w:rsid w:val="003370F3"/>
    <w:rsid w:val="00337729"/>
    <w:rsid w:val="00337752"/>
    <w:rsid w:val="00337BF8"/>
    <w:rsid w:val="00340010"/>
    <w:rsid w:val="003401EE"/>
    <w:rsid w:val="00340433"/>
    <w:rsid w:val="0034048D"/>
    <w:rsid w:val="003406A8"/>
    <w:rsid w:val="00340AAB"/>
    <w:rsid w:val="00341042"/>
    <w:rsid w:val="0034124A"/>
    <w:rsid w:val="003412EE"/>
    <w:rsid w:val="00341398"/>
    <w:rsid w:val="0034149C"/>
    <w:rsid w:val="003416D5"/>
    <w:rsid w:val="003416F5"/>
    <w:rsid w:val="00341D42"/>
    <w:rsid w:val="00341F1E"/>
    <w:rsid w:val="00341F72"/>
    <w:rsid w:val="0034278A"/>
    <w:rsid w:val="003427CD"/>
    <w:rsid w:val="003428C9"/>
    <w:rsid w:val="00342ADF"/>
    <w:rsid w:val="00342CA1"/>
    <w:rsid w:val="003431E4"/>
    <w:rsid w:val="0034334C"/>
    <w:rsid w:val="0034363C"/>
    <w:rsid w:val="00343828"/>
    <w:rsid w:val="00343890"/>
    <w:rsid w:val="00343980"/>
    <w:rsid w:val="00344315"/>
    <w:rsid w:val="0034457F"/>
    <w:rsid w:val="003445DA"/>
    <w:rsid w:val="00344876"/>
    <w:rsid w:val="00344CBB"/>
    <w:rsid w:val="00344E78"/>
    <w:rsid w:val="00344F6C"/>
    <w:rsid w:val="00345107"/>
    <w:rsid w:val="00345159"/>
    <w:rsid w:val="00345211"/>
    <w:rsid w:val="00345478"/>
    <w:rsid w:val="003455FC"/>
    <w:rsid w:val="00345627"/>
    <w:rsid w:val="00345783"/>
    <w:rsid w:val="00345816"/>
    <w:rsid w:val="00345A54"/>
    <w:rsid w:val="00345B36"/>
    <w:rsid w:val="00345FB5"/>
    <w:rsid w:val="00346625"/>
    <w:rsid w:val="00346881"/>
    <w:rsid w:val="00346896"/>
    <w:rsid w:val="003468B6"/>
    <w:rsid w:val="00346A49"/>
    <w:rsid w:val="00346BA4"/>
    <w:rsid w:val="00346CC9"/>
    <w:rsid w:val="00346D33"/>
    <w:rsid w:val="00346DD3"/>
    <w:rsid w:val="00346FA4"/>
    <w:rsid w:val="003471B0"/>
    <w:rsid w:val="003473ED"/>
    <w:rsid w:val="00347464"/>
    <w:rsid w:val="0034750B"/>
    <w:rsid w:val="0034767D"/>
    <w:rsid w:val="00347CD1"/>
    <w:rsid w:val="00347CE6"/>
    <w:rsid w:val="00350536"/>
    <w:rsid w:val="00350724"/>
    <w:rsid w:val="00350DC6"/>
    <w:rsid w:val="00350DDF"/>
    <w:rsid w:val="00350FAA"/>
    <w:rsid w:val="003512AB"/>
    <w:rsid w:val="00351670"/>
    <w:rsid w:val="00351918"/>
    <w:rsid w:val="00351BF2"/>
    <w:rsid w:val="00351FF1"/>
    <w:rsid w:val="00352088"/>
    <w:rsid w:val="003523E1"/>
    <w:rsid w:val="0035243F"/>
    <w:rsid w:val="003524C4"/>
    <w:rsid w:val="0035253F"/>
    <w:rsid w:val="00352789"/>
    <w:rsid w:val="00352C8C"/>
    <w:rsid w:val="00352D74"/>
    <w:rsid w:val="00352DBB"/>
    <w:rsid w:val="00353144"/>
    <w:rsid w:val="003536BA"/>
    <w:rsid w:val="00353847"/>
    <w:rsid w:val="0035386C"/>
    <w:rsid w:val="00353B5A"/>
    <w:rsid w:val="00354075"/>
    <w:rsid w:val="00354252"/>
    <w:rsid w:val="00354443"/>
    <w:rsid w:val="00354629"/>
    <w:rsid w:val="00354A8E"/>
    <w:rsid w:val="00354CAE"/>
    <w:rsid w:val="00354DFB"/>
    <w:rsid w:val="0035512D"/>
    <w:rsid w:val="003553F7"/>
    <w:rsid w:val="003555BE"/>
    <w:rsid w:val="00355E2D"/>
    <w:rsid w:val="00355EE8"/>
    <w:rsid w:val="003560A1"/>
    <w:rsid w:val="003561F6"/>
    <w:rsid w:val="00356259"/>
    <w:rsid w:val="0035633A"/>
    <w:rsid w:val="0035648A"/>
    <w:rsid w:val="00356981"/>
    <w:rsid w:val="00356B2B"/>
    <w:rsid w:val="00356B2F"/>
    <w:rsid w:val="00356B7E"/>
    <w:rsid w:val="00356DA5"/>
    <w:rsid w:val="003571E6"/>
    <w:rsid w:val="003574AA"/>
    <w:rsid w:val="00357BAA"/>
    <w:rsid w:val="00357BD1"/>
    <w:rsid w:val="00360061"/>
    <w:rsid w:val="003604F0"/>
    <w:rsid w:val="00360A4F"/>
    <w:rsid w:val="00360D49"/>
    <w:rsid w:val="003614AD"/>
    <w:rsid w:val="003615B4"/>
    <w:rsid w:val="0036160C"/>
    <w:rsid w:val="00361735"/>
    <w:rsid w:val="003619F0"/>
    <w:rsid w:val="00361B6E"/>
    <w:rsid w:val="00361B98"/>
    <w:rsid w:val="00361D3E"/>
    <w:rsid w:val="00361F18"/>
    <w:rsid w:val="00361F46"/>
    <w:rsid w:val="003620DD"/>
    <w:rsid w:val="00362226"/>
    <w:rsid w:val="00362538"/>
    <w:rsid w:val="0036263D"/>
    <w:rsid w:val="003626F1"/>
    <w:rsid w:val="0036292E"/>
    <w:rsid w:val="00362B43"/>
    <w:rsid w:val="00362BBE"/>
    <w:rsid w:val="00362BF5"/>
    <w:rsid w:val="00362C11"/>
    <w:rsid w:val="00362D02"/>
    <w:rsid w:val="00362EE1"/>
    <w:rsid w:val="00362F81"/>
    <w:rsid w:val="00363089"/>
    <w:rsid w:val="00363186"/>
    <w:rsid w:val="00363287"/>
    <w:rsid w:val="00363682"/>
    <w:rsid w:val="00363860"/>
    <w:rsid w:val="00363B32"/>
    <w:rsid w:val="00363BB6"/>
    <w:rsid w:val="00363BCE"/>
    <w:rsid w:val="00364247"/>
    <w:rsid w:val="00364482"/>
    <w:rsid w:val="0036498C"/>
    <w:rsid w:val="00364AEB"/>
    <w:rsid w:val="00364CBF"/>
    <w:rsid w:val="00364F70"/>
    <w:rsid w:val="00364F91"/>
    <w:rsid w:val="003652EE"/>
    <w:rsid w:val="00365440"/>
    <w:rsid w:val="003656D1"/>
    <w:rsid w:val="00365B52"/>
    <w:rsid w:val="00366730"/>
    <w:rsid w:val="00366973"/>
    <w:rsid w:val="00366D58"/>
    <w:rsid w:val="00367214"/>
    <w:rsid w:val="00367228"/>
    <w:rsid w:val="003672BA"/>
    <w:rsid w:val="00367323"/>
    <w:rsid w:val="00367957"/>
    <w:rsid w:val="003679F2"/>
    <w:rsid w:val="003700C8"/>
    <w:rsid w:val="0037019F"/>
    <w:rsid w:val="003701E7"/>
    <w:rsid w:val="003702A0"/>
    <w:rsid w:val="003703AA"/>
    <w:rsid w:val="00370531"/>
    <w:rsid w:val="00370EC6"/>
    <w:rsid w:val="0037129A"/>
    <w:rsid w:val="0037142C"/>
    <w:rsid w:val="0037147C"/>
    <w:rsid w:val="00371693"/>
    <w:rsid w:val="00371B04"/>
    <w:rsid w:val="00371BCA"/>
    <w:rsid w:val="00371BD1"/>
    <w:rsid w:val="00371E4B"/>
    <w:rsid w:val="00371E9A"/>
    <w:rsid w:val="00372021"/>
    <w:rsid w:val="0037215D"/>
    <w:rsid w:val="0037238C"/>
    <w:rsid w:val="003724D5"/>
    <w:rsid w:val="0037263F"/>
    <w:rsid w:val="00372885"/>
    <w:rsid w:val="0037299E"/>
    <w:rsid w:val="00372C9C"/>
    <w:rsid w:val="00372D01"/>
    <w:rsid w:val="003730CD"/>
    <w:rsid w:val="0037324F"/>
    <w:rsid w:val="00373321"/>
    <w:rsid w:val="00373973"/>
    <w:rsid w:val="00373E88"/>
    <w:rsid w:val="003740C7"/>
    <w:rsid w:val="00374121"/>
    <w:rsid w:val="003742DD"/>
    <w:rsid w:val="0037470B"/>
    <w:rsid w:val="00374B0A"/>
    <w:rsid w:val="00374B44"/>
    <w:rsid w:val="00374B74"/>
    <w:rsid w:val="00374D16"/>
    <w:rsid w:val="00374E12"/>
    <w:rsid w:val="00374F78"/>
    <w:rsid w:val="003752AF"/>
    <w:rsid w:val="00375418"/>
    <w:rsid w:val="00375CCB"/>
    <w:rsid w:val="00376071"/>
    <w:rsid w:val="003760DB"/>
    <w:rsid w:val="0037610E"/>
    <w:rsid w:val="0037616A"/>
    <w:rsid w:val="0037618E"/>
    <w:rsid w:val="0037621B"/>
    <w:rsid w:val="00376311"/>
    <w:rsid w:val="003763FC"/>
    <w:rsid w:val="00376473"/>
    <w:rsid w:val="00376922"/>
    <w:rsid w:val="00376E8A"/>
    <w:rsid w:val="00377649"/>
    <w:rsid w:val="00377771"/>
    <w:rsid w:val="00377ADA"/>
    <w:rsid w:val="00377E7F"/>
    <w:rsid w:val="00377F3F"/>
    <w:rsid w:val="00380008"/>
    <w:rsid w:val="0038034F"/>
    <w:rsid w:val="003805A0"/>
    <w:rsid w:val="003806A4"/>
    <w:rsid w:val="00380861"/>
    <w:rsid w:val="00380CC1"/>
    <w:rsid w:val="00380CCA"/>
    <w:rsid w:val="00380D13"/>
    <w:rsid w:val="0038111D"/>
    <w:rsid w:val="0038113A"/>
    <w:rsid w:val="003816C2"/>
    <w:rsid w:val="00381871"/>
    <w:rsid w:val="00381877"/>
    <w:rsid w:val="00381897"/>
    <w:rsid w:val="003818CE"/>
    <w:rsid w:val="00381AF4"/>
    <w:rsid w:val="00381C54"/>
    <w:rsid w:val="00381E70"/>
    <w:rsid w:val="00381F5B"/>
    <w:rsid w:val="00381FFF"/>
    <w:rsid w:val="00382037"/>
    <w:rsid w:val="003820CB"/>
    <w:rsid w:val="00382127"/>
    <w:rsid w:val="003824EE"/>
    <w:rsid w:val="003828BD"/>
    <w:rsid w:val="0038291A"/>
    <w:rsid w:val="00382972"/>
    <w:rsid w:val="00382B5E"/>
    <w:rsid w:val="00382C70"/>
    <w:rsid w:val="00382E7D"/>
    <w:rsid w:val="00382F55"/>
    <w:rsid w:val="00383004"/>
    <w:rsid w:val="003830E7"/>
    <w:rsid w:val="003834EE"/>
    <w:rsid w:val="00383849"/>
    <w:rsid w:val="00383A60"/>
    <w:rsid w:val="00383ABA"/>
    <w:rsid w:val="00383F33"/>
    <w:rsid w:val="003841B2"/>
    <w:rsid w:val="00384241"/>
    <w:rsid w:val="00384372"/>
    <w:rsid w:val="003844B0"/>
    <w:rsid w:val="0038450E"/>
    <w:rsid w:val="00384C71"/>
    <w:rsid w:val="00384CC7"/>
    <w:rsid w:val="00384D09"/>
    <w:rsid w:val="00384D56"/>
    <w:rsid w:val="003852DE"/>
    <w:rsid w:val="003853D2"/>
    <w:rsid w:val="00385471"/>
    <w:rsid w:val="00385A5D"/>
    <w:rsid w:val="00385BF2"/>
    <w:rsid w:val="00385F20"/>
    <w:rsid w:val="00386000"/>
    <w:rsid w:val="0038645C"/>
    <w:rsid w:val="0038670B"/>
    <w:rsid w:val="003868B1"/>
    <w:rsid w:val="00386B04"/>
    <w:rsid w:val="00386BBA"/>
    <w:rsid w:val="00386C5A"/>
    <w:rsid w:val="00386D41"/>
    <w:rsid w:val="00386F3C"/>
    <w:rsid w:val="003872C2"/>
    <w:rsid w:val="00387394"/>
    <w:rsid w:val="003874F2"/>
    <w:rsid w:val="00387873"/>
    <w:rsid w:val="0038787E"/>
    <w:rsid w:val="00387C63"/>
    <w:rsid w:val="00390002"/>
    <w:rsid w:val="0039017A"/>
    <w:rsid w:val="003901FE"/>
    <w:rsid w:val="00390228"/>
    <w:rsid w:val="00390324"/>
    <w:rsid w:val="0039063D"/>
    <w:rsid w:val="0039063E"/>
    <w:rsid w:val="0039066C"/>
    <w:rsid w:val="00390981"/>
    <w:rsid w:val="00390B21"/>
    <w:rsid w:val="00390C04"/>
    <w:rsid w:val="00390EBF"/>
    <w:rsid w:val="00390EFB"/>
    <w:rsid w:val="00390F9D"/>
    <w:rsid w:val="00390FDD"/>
    <w:rsid w:val="00391134"/>
    <w:rsid w:val="003915E5"/>
    <w:rsid w:val="003915FC"/>
    <w:rsid w:val="0039172F"/>
    <w:rsid w:val="003917CF"/>
    <w:rsid w:val="0039187C"/>
    <w:rsid w:val="003919A4"/>
    <w:rsid w:val="00391A32"/>
    <w:rsid w:val="003922E2"/>
    <w:rsid w:val="00392A22"/>
    <w:rsid w:val="00392DAE"/>
    <w:rsid w:val="003931DE"/>
    <w:rsid w:val="00393284"/>
    <w:rsid w:val="003932F1"/>
    <w:rsid w:val="003933F7"/>
    <w:rsid w:val="0039346C"/>
    <w:rsid w:val="0039380B"/>
    <w:rsid w:val="00393B9F"/>
    <w:rsid w:val="00393E06"/>
    <w:rsid w:val="003940A1"/>
    <w:rsid w:val="003940C4"/>
    <w:rsid w:val="00394129"/>
    <w:rsid w:val="00394190"/>
    <w:rsid w:val="003942BA"/>
    <w:rsid w:val="003949D3"/>
    <w:rsid w:val="00394C42"/>
    <w:rsid w:val="00394D8D"/>
    <w:rsid w:val="00394DF8"/>
    <w:rsid w:val="00395191"/>
    <w:rsid w:val="003956D4"/>
    <w:rsid w:val="003958D8"/>
    <w:rsid w:val="0039591F"/>
    <w:rsid w:val="00395990"/>
    <w:rsid w:val="00395C7E"/>
    <w:rsid w:val="0039605F"/>
    <w:rsid w:val="003961A0"/>
    <w:rsid w:val="00396354"/>
    <w:rsid w:val="003963B1"/>
    <w:rsid w:val="003963CC"/>
    <w:rsid w:val="0039656E"/>
    <w:rsid w:val="003968E5"/>
    <w:rsid w:val="00396B41"/>
    <w:rsid w:val="003971DD"/>
    <w:rsid w:val="003972DC"/>
    <w:rsid w:val="00397368"/>
    <w:rsid w:val="00397557"/>
    <w:rsid w:val="00397849"/>
    <w:rsid w:val="00397A55"/>
    <w:rsid w:val="00397FE2"/>
    <w:rsid w:val="00397FF7"/>
    <w:rsid w:val="003A01E7"/>
    <w:rsid w:val="003A03BB"/>
    <w:rsid w:val="003A05B8"/>
    <w:rsid w:val="003A05BB"/>
    <w:rsid w:val="003A0B44"/>
    <w:rsid w:val="003A0B57"/>
    <w:rsid w:val="003A0F80"/>
    <w:rsid w:val="003A1070"/>
    <w:rsid w:val="003A130A"/>
    <w:rsid w:val="003A14E9"/>
    <w:rsid w:val="003A1796"/>
    <w:rsid w:val="003A17FA"/>
    <w:rsid w:val="003A1892"/>
    <w:rsid w:val="003A1B75"/>
    <w:rsid w:val="003A1D1F"/>
    <w:rsid w:val="003A2024"/>
    <w:rsid w:val="003A21E8"/>
    <w:rsid w:val="003A2299"/>
    <w:rsid w:val="003A22B5"/>
    <w:rsid w:val="003A246C"/>
    <w:rsid w:val="003A24AD"/>
    <w:rsid w:val="003A264F"/>
    <w:rsid w:val="003A268A"/>
    <w:rsid w:val="003A2BF6"/>
    <w:rsid w:val="003A2C35"/>
    <w:rsid w:val="003A2C83"/>
    <w:rsid w:val="003A2D7F"/>
    <w:rsid w:val="003A2E2C"/>
    <w:rsid w:val="003A327A"/>
    <w:rsid w:val="003A3386"/>
    <w:rsid w:val="003A3570"/>
    <w:rsid w:val="003A360A"/>
    <w:rsid w:val="003A384B"/>
    <w:rsid w:val="003A3D85"/>
    <w:rsid w:val="003A3E96"/>
    <w:rsid w:val="003A3EE2"/>
    <w:rsid w:val="003A441D"/>
    <w:rsid w:val="003A44D1"/>
    <w:rsid w:val="003A47C3"/>
    <w:rsid w:val="003A4CBB"/>
    <w:rsid w:val="003A4E08"/>
    <w:rsid w:val="003A4E11"/>
    <w:rsid w:val="003A4E64"/>
    <w:rsid w:val="003A504B"/>
    <w:rsid w:val="003A50F0"/>
    <w:rsid w:val="003A53C4"/>
    <w:rsid w:val="003A53E0"/>
    <w:rsid w:val="003A543D"/>
    <w:rsid w:val="003A5597"/>
    <w:rsid w:val="003A5688"/>
    <w:rsid w:val="003A5738"/>
    <w:rsid w:val="003A587C"/>
    <w:rsid w:val="003A5995"/>
    <w:rsid w:val="003A5B29"/>
    <w:rsid w:val="003A5C45"/>
    <w:rsid w:val="003A5C59"/>
    <w:rsid w:val="003A5CFA"/>
    <w:rsid w:val="003A5E2B"/>
    <w:rsid w:val="003A62C7"/>
    <w:rsid w:val="003A650E"/>
    <w:rsid w:val="003A6613"/>
    <w:rsid w:val="003A6739"/>
    <w:rsid w:val="003A68B7"/>
    <w:rsid w:val="003A696E"/>
    <w:rsid w:val="003A6CC2"/>
    <w:rsid w:val="003A6CFD"/>
    <w:rsid w:val="003A714C"/>
    <w:rsid w:val="003A7441"/>
    <w:rsid w:val="003A7484"/>
    <w:rsid w:val="003A7678"/>
    <w:rsid w:val="003A7E37"/>
    <w:rsid w:val="003A7FE9"/>
    <w:rsid w:val="003B034D"/>
    <w:rsid w:val="003B076C"/>
    <w:rsid w:val="003B07C6"/>
    <w:rsid w:val="003B0969"/>
    <w:rsid w:val="003B0C81"/>
    <w:rsid w:val="003B0CE9"/>
    <w:rsid w:val="003B0E2E"/>
    <w:rsid w:val="003B0FAF"/>
    <w:rsid w:val="003B0FD9"/>
    <w:rsid w:val="003B1081"/>
    <w:rsid w:val="003B11CC"/>
    <w:rsid w:val="003B1333"/>
    <w:rsid w:val="003B1441"/>
    <w:rsid w:val="003B1692"/>
    <w:rsid w:val="003B194E"/>
    <w:rsid w:val="003B19CE"/>
    <w:rsid w:val="003B1F40"/>
    <w:rsid w:val="003B2051"/>
    <w:rsid w:val="003B24AD"/>
    <w:rsid w:val="003B2552"/>
    <w:rsid w:val="003B258F"/>
    <w:rsid w:val="003B2775"/>
    <w:rsid w:val="003B27CD"/>
    <w:rsid w:val="003B27DD"/>
    <w:rsid w:val="003B283C"/>
    <w:rsid w:val="003B2A6C"/>
    <w:rsid w:val="003B2A7E"/>
    <w:rsid w:val="003B2D7D"/>
    <w:rsid w:val="003B3077"/>
    <w:rsid w:val="003B3AB9"/>
    <w:rsid w:val="003B3BAC"/>
    <w:rsid w:val="003B3C51"/>
    <w:rsid w:val="003B3CC9"/>
    <w:rsid w:val="003B4092"/>
    <w:rsid w:val="003B429D"/>
    <w:rsid w:val="003B4715"/>
    <w:rsid w:val="003B4B50"/>
    <w:rsid w:val="003B4B7D"/>
    <w:rsid w:val="003B4C3A"/>
    <w:rsid w:val="003B512C"/>
    <w:rsid w:val="003B5355"/>
    <w:rsid w:val="003B547C"/>
    <w:rsid w:val="003B580F"/>
    <w:rsid w:val="003B5858"/>
    <w:rsid w:val="003B59DE"/>
    <w:rsid w:val="003B5A28"/>
    <w:rsid w:val="003B5A98"/>
    <w:rsid w:val="003B5AF2"/>
    <w:rsid w:val="003B5BC6"/>
    <w:rsid w:val="003B5D67"/>
    <w:rsid w:val="003B6491"/>
    <w:rsid w:val="003B6579"/>
    <w:rsid w:val="003B66EC"/>
    <w:rsid w:val="003B6C0C"/>
    <w:rsid w:val="003B72E1"/>
    <w:rsid w:val="003B7937"/>
    <w:rsid w:val="003B7972"/>
    <w:rsid w:val="003B7B7E"/>
    <w:rsid w:val="003B7C61"/>
    <w:rsid w:val="003B7F1D"/>
    <w:rsid w:val="003C0485"/>
    <w:rsid w:val="003C073A"/>
    <w:rsid w:val="003C0848"/>
    <w:rsid w:val="003C0A04"/>
    <w:rsid w:val="003C0DF5"/>
    <w:rsid w:val="003C14B1"/>
    <w:rsid w:val="003C16F2"/>
    <w:rsid w:val="003C17BA"/>
    <w:rsid w:val="003C17DE"/>
    <w:rsid w:val="003C19FE"/>
    <w:rsid w:val="003C1BD6"/>
    <w:rsid w:val="003C1CF2"/>
    <w:rsid w:val="003C1D8F"/>
    <w:rsid w:val="003C1EB8"/>
    <w:rsid w:val="003C1EBD"/>
    <w:rsid w:val="003C1FA1"/>
    <w:rsid w:val="003C2291"/>
    <w:rsid w:val="003C22B8"/>
    <w:rsid w:val="003C24E2"/>
    <w:rsid w:val="003C2533"/>
    <w:rsid w:val="003C28BF"/>
    <w:rsid w:val="003C2DF0"/>
    <w:rsid w:val="003C2EDC"/>
    <w:rsid w:val="003C33A4"/>
    <w:rsid w:val="003C33F4"/>
    <w:rsid w:val="003C36C0"/>
    <w:rsid w:val="003C373F"/>
    <w:rsid w:val="003C37C1"/>
    <w:rsid w:val="003C3B07"/>
    <w:rsid w:val="003C3FA2"/>
    <w:rsid w:val="003C3FE0"/>
    <w:rsid w:val="003C4235"/>
    <w:rsid w:val="003C4455"/>
    <w:rsid w:val="003C4B6D"/>
    <w:rsid w:val="003C4D9B"/>
    <w:rsid w:val="003C511F"/>
    <w:rsid w:val="003C5251"/>
    <w:rsid w:val="003C54A9"/>
    <w:rsid w:val="003C5527"/>
    <w:rsid w:val="003C5587"/>
    <w:rsid w:val="003C559A"/>
    <w:rsid w:val="003C58B0"/>
    <w:rsid w:val="003C59DC"/>
    <w:rsid w:val="003C5A20"/>
    <w:rsid w:val="003C5F54"/>
    <w:rsid w:val="003C66F6"/>
    <w:rsid w:val="003C6909"/>
    <w:rsid w:val="003C6D2A"/>
    <w:rsid w:val="003C6E07"/>
    <w:rsid w:val="003C6F28"/>
    <w:rsid w:val="003C700F"/>
    <w:rsid w:val="003C71E4"/>
    <w:rsid w:val="003C74D9"/>
    <w:rsid w:val="003C78F8"/>
    <w:rsid w:val="003C79DD"/>
    <w:rsid w:val="003D00E6"/>
    <w:rsid w:val="003D0127"/>
    <w:rsid w:val="003D02DC"/>
    <w:rsid w:val="003D03A9"/>
    <w:rsid w:val="003D05A0"/>
    <w:rsid w:val="003D0624"/>
    <w:rsid w:val="003D08DA"/>
    <w:rsid w:val="003D09AD"/>
    <w:rsid w:val="003D0B58"/>
    <w:rsid w:val="003D0EA4"/>
    <w:rsid w:val="003D10B6"/>
    <w:rsid w:val="003D10D0"/>
    <w:rsid w:val="003D1109"/>
    <w:rsid w:val="003D11AD"/>
    <w:rsid w:val="003D1396"/>
    <w:rsid w:val="003D143E"/>
    <w:rsid w:val="003D1526"/>
    <w:rsid w:val="003D1844"/>
    <w:rsid w:val="003D1BAF"/>
    <w:rsid w:val="003D1E64"/>
    <w:rsid w:val="003D2121"/>
    <w:rsid w:val="003D213A"/>
    <w:rsid w:val="003D21F5"/>
    <w:rsid w:val="003D24D2"/>
    <w:rsid w:val="003D25FD"/>
    <w:rsid w:val="003D2A13"/>
    <w:rsid w:val="003D2C6B"/>
    <w:rsid w:val="003D2D06"/>
    <w:rsid w:val="003D2E52"/>
    <w:rsid w:val="003D3236"/>
    <w:rsid w:val="003D3907"/>
    <w:rsid w:val="003D39AA"/>
    <w:rsid w:val="003D39D3"/>
    <w:rsid w:val="003D3CAD"/>
    <w:rsid w:val="003D3D98"/>
    <w:rsid w:val="003D3EB9"/>
    <w:rsid w:val="003D3FF5"/>
    <w:rsid w:val="003D405A"/>
    <w:rsid w:val="003D427B"/>
    <w:rsid w:val="003D46DB"/>
    <w:rsid w:val="003D48BA"/>
    <w:rsid w:val="003D49D6"/>
    <w:rsid w:val="003D4B96"/>
    <w:rsid w:val="003D4C2D"/>
    <w:rsid w:val="003D4F21"/>
    <w:rsid w:val="003D55C5"/>
    <w:rsid w:val="003D59AD"/>
    <w:rsid w:val="003D5CEF"/>
    <w:rsid w:val="003D5F60"/>
    <w:rsid w:val="003D6015"/>
    <w:rsid w:val="003D61EE"/>
    <w:rsid w:val="003D624B"/>
    <w:rsid w:val="003D63C0"/>
    <w:rsid w:val="003D642B"/>
    <w:rsid w:val="003D64DF"/>
    <w:rsid w:val="003D6648"/>
    <w:rsid w:val="003D6963"/>
    <w:rsid w:val="003D6A1F"/>
    <w:rsid w:val="003D6A84"/>
    <w:rsid w:val="003D6B15"/>
    <w:rsid w:val="003D6F86"/>
    <w:rsid w:val="003D7C24"/>
    <w:rsid w:val="003E01D2"/>
    <w:rsid w:val="003E0865"/>
    <w:rsid w:val="003E0AA0"/>
    <w:rsid w:val="003E0BB4"/>
    <w:rsid w:val="003E0D58"/>
    <w:rsid w:val="003E0FC7"/>
    <w:rsid w:val="003E118A"/>
    <w:rsid w:val="003E1209"/>
    <w:rsid w:val="003E13B5"/>
    <w:rsid w:val="003E1416"/>
    <w:rsid w:val="003E17A7"/>
    <w:rsid w:val="003E1815"/>
    <w:rsid w:val="003E185A"/>
    <w:rsid w:val="003E18BE"/>
    <w:rsid w:val="003E1AFA"/>
    <w:rsid w:val="003E1D9F"/>
    <w:rsid w:val="003E1F44"/>
    <w:rsid w:val="003E2040"/>
    <w:rsid w:val="003E225F"/>
    <w:rsid w:val="003E2278"/>
    <w:rsid w:val="003E25D5"/>
    <w:rsid w:val="003E25F9"/>
    <w:rsid w:val="003E25FA"/>
    <w:rsid w:val="003E27F0"/>
    <w:rsid w:val="003E2981"/>
    <w:rsid w:val="003E2A7C"/>
    <w:rsid w:val="003E2B10"/>
    <w:rsid w:val="003E2C7C"/>
    <w:rsid w:val="003E2D64"/>
    <w:rsid w:val="003E2DAD"/>
    <w:rsid w:val="003E3154"/>
    <w:rsid w:val="003E331C"/>
    <w:rsid w:val="003E341B"/>
    <w:rsid w:val="003E34A4"/>
    <w:rsid w:val="003E34B0"/>
    <w:rsid w:val="003E3627"/>
    <w:rsid w:val="003E363C"/>
    <w:rsid w:val="003E366A"/>
    <w:rsid w:val="003E36F8"/>
    <w:rsid w:val="003E3B81"/>
    <w:rsid w:val="003E4288"/>
    <w:rsid w:val="003E42E4"/>
    <w:rsid w:val="003E4429"/>
    <w:rsid w:val="003E4606"/>
    <w:rsid w:val="003E487C"/>
    <w:rsid w:val="003E4A11"/>
    <w:rsid w:val="003E4DED"/>
    <w:rsid w:val="003E5312"/>
    <w:rsid w:val="003E53D6"/>
    <w:rsid w:val="003E54AE"/>
    <w:rsid w:val="003E54EB"/>
    <w:rsid w:val="003E554C"/>
    <w:rsid w:val="003E5B20"/>
    <w:rsid w:val="003E5BCA"/>
    <w:rsid w:val="003E5D6A"/>
    <w:rsid w:val="003E6311"/>
    <w:rsid w:val="003E63B6"/>
    <w:rsid w:val="003E646D"/>
    <w:rsid w:val="003E66ED"/>
    <w:rsid w:val="003E6A24"/>
    <w:rsid w:val="003E6A32"/>
    <w:rsid w:val="003E6A64"/>
    <w:rsid w:val="003E6E39"/>
    <w:rsid w:val="003E6ECD"/>
    <w:rsid w:val="003E6EDD"/>
    <w:rsid w:val="003E7055"/>
    <w:rsid w:val="003E7098"/>
    <w:rsid w:val="003E70F6"/>
    <w:rsid w:val="003E723E"/>
    <w:rsid w:val="003E7372"/>
    <w:rsid w:val="003E745A"/>
    <w:rsid w:val="003E76FD"/>
    <w:rsid w:val="003E7800"/>
    <w:rsid w:val="003E797C"/>
    <w:rsid w:val="003E7D6B"/>
    <w:rsid w:val="003F01AF"/>
    <w:rsid w:val="003F02EA"/>
    <w:rsid w:val="003F03E9"/>
    <w:rsid w:val="003F0530"/>
    <w:rsid w:val="003F06EC"/>
    <w:rsid w:val="003F0780"/>
    <w:rsid w:val="003F07A6"/>
    <w:rsid w:val="003F0881"/>
    <w:rsid w:val="003F08C7"/>
    <w:rsid w:val="003F08CB"/>
    <w:rsid w:val="003F0A03"/>
    <w:rsid w:val="003F0BBB"/>
    <w:rsid w:val="003F0F8C"/>
    <w:rsid w:val="003F11D7"/>
    <w:rsid w:val="003F17E9"/>
    <w:rsid w:val="003F1D87"/>
    <w:rsid w:val="003F1E07"/>
    <w:rsid w:val="003F1E53"/>
    <w:rsid w:val="003F1F04"/>
    <w:rsid w:val="003F2116"/>
    <w:rsid w:val="003F26C7"/>
    <w:rsid w:val="003F30FD"/>
    <w:rsid w:val="003F327D"/>
    <w:rsid w:val="003F3497"/>
    <w:rsid w:val="003F364F"/>
    <w:rsid w:val="003F375E"/>
    <w:rsid w:val="003F38AA"/>
    <w:rsid w:val="003F3D79"/>
    <w:rsid w:val="003F3DB3"/>
    <w:rsid w:val="003F3E88"/>
    <w:rsid w:val="003F3EAC"/>
    <w:rsid w:val="003F3FC3"/>
    <w:rsid w:val="003F4152"/>
    <w:rsid w:val="003F4310"/>
    <w:rsid w:val="003F4589"/>
    <w:rsid w:val="003F4A40"/>
    <w:rsid w:val="003F4B62"/>
    <w:rsid w:val="003F4EFB"/>
    <w:rsid w:val="003F51A9"/>
    <w:rsid w:val="003F55E2"/>
    <w:rsid w:val="003F56E4"/>
    <w:rsid w:val="003F572C"/>
    <w:rsid w:val="003F58F2"/>
    <w:rsid w:val="003F59F4"/>
    <w:rsid w:val="003F5DAD"/>
    <w:rsid w:val="003F5DBB"/>
    <w:rsid w:val="003F5FFD"/>
    <w:rsid w:val="003F6123"/>
    <w:rsid w:val="003F62D6"/>
    <w:rsid w:val="003F64C2"/>
    <w:rsid w:val="003F6649"/>
    <w:rsid w:val="003F6746"/>
    <w:rsid w:val="003F6B3B"/>
    <w:rsid w:val="003F6B7C"/>
    <w:rsid w:val="003F6F2F"/>
    <w:rsid w:val="003F7389"/>
    <w:rsid w:val="003F74D3"/>
    <w:rsid w:val="003F7709"/>
    <w:rsid w:val="003F7AEA"/>
    <w:rsid w:val="003F7C05"/>
    <w:rsid w:val="003F7CFC"/>
    <w:rsid w:val="00400426"/>
    <w:rsid w:val="004008A0"/>
    <w:rsid w:val="00400925"/>
    <w:rsid w:val="00400A24"/>
    <w:rsid w:val="0040129E"/>
    <w:rsid w:val="004018FA"/>
    <w:rsid w:val="00401AAB"/>
    <w:rsid w:val="00401C4C"/>
    <w:rsid w:val="00401D03"/>
    <w:rsid w:val="00401ED7"/>
    <w:rsid w:val="00401F4D"/>
    <w:rsid w:val="004024D2"/>
    <w:rsid w:val="004024DC"/>
    <w:rsid w:val="00402840"/>
    <w:rsid w:val="004028EA"/>
    <w:rsid w:val="00402ECF"/>
    <w:rsid w:val="00402F2D"/>
    <w:rsid w:val="00403017"/>
    <w:rsid w:val="004031CF"/>
    <w:rsid w:val="0040335E"/>
    <w:rsid w:val="00403372"/>
    <w:rsid w:val="004036D4"/>
    <w:rsid w:val="0040375A"/>
    <w:rsid w:val="00403960"/>
    <w:rsid w:val="004039E2"/>
    <w:rsid w:val="00403BF0"/>
    <w:rsid w:val="00403D1D"/>
    <w:rsid w:val="004042E6"/>
    <w:rsid w:val="00404343"/>
    <w:rsid w:val="0040439B"/>
    <w:rsid w:val="00404681"/>
    <w:rsid w:val="00404778"/>
    <w:rsid w:val="00404A46"/>
    <w:rsid w:val="00404A92"/>
    <w:rsid w:val="00404C0A"/>
    <w:rsid w:val="00404D32"/>
    <w:rsid w:val="00404F65"/>
    <w:rsid w:val="004050B6"/>
    <w:rsid w:val="004051AB"/>
    <w:rsid w:val="00405204"/>
    <w:rsid w:val="004052B1"/>
    <w:rsid w:val="00405525"/>
    <w:rsid w:val="00405725"/>
    <w:rsid w:val="004059A4"/>
    <w:rsid w:val="00405ACD"/>
    <w:rsid w:val="00405E1E"/>
    <w:rsid w:val="00405E7F"/>
    <w:rsid w:val="00406073"/>
    <w:rsid w:val="004061B7"/>
    <w:rsid w:val="00406649"/>
    <w:rsid w:val="004069A8"/>
    <w:rsid w:val="004069DE"/>
    <w:rsid w:val="0040739F"/>
    <w:rsid w:val="004073FA"/>
    <w:rsid w:val="00407467"/>
    <w:rsid w:val="0040766D"/>
    <w:rsid w:val="00407D30"/>
    <w:rsid w:val="00407EBA"/>
    <w:rsid w:val="0041065D"/>
    <w:rsid w:val="00410999"/>
    <w:rsid w:val="00410C01"/>
    <w:rsid w:val="00410C0C"/>
    <w:rsid w:val="00410CAB"/>
    <w:rsid w:val="00410D4E"/>
    <w:rsid w:val="00410DA8"/>
    <w:rsid w:val="00410FEA"/>
    <w:rsid w:val="00411158"/>
    <w:rsid w:val="00411360"/>
    <w:rsid w:val="0041140D"/>
    <w:rsid w:val="00411AC5"/>
    <w:rsid w:val="00411CEA"/>
    <w:rsid w:val="00411F33"/>
    <w:rsid w:val="004122B8"/>
    <w:rsid w:val="004123F5"/>
    <w:rsid w:val="00412515"/>
    <w:rsid w:val="00412AD6"/>
    <w:rsid w:val="00412B0F"/>
    <w:rsid w:val="00412B7F"/>
    <w:rsid w:val="00412B93"/>
    <w:rsid w:val="00412B9B"/>
    <w:rsid w:val="00412DF6"/>
    <w:rsid w:val="00412F67"/>
    <w:rsid w:val="004131E8"/>
    <w:rsid w:val="004133A1"/>
    <w:rsid w:val="004136D8"/>
    <w:rsid w:val="00413D03"/>
    <w:rsid w:val="00413D56"/>
    <w:rsid w:val="00414685"/>
    <w:rsid w:val="00414A73"/>
    <w:rsid w:val="00414FCD"/>
    <w:rsid w:val="00415065"/>
    <w:rsid w:val="00415712"/>
    <w:rsid w:val="00415992"/>
    <w:rsid w:val="00415B71"/>
    <w:rsid w:val="00416249"/>
    <w:rsid w:val="00416435"/>
    <w:rsid w:val="0041663A"/>
    <w:rsid w:val="004166ED"/>
    <w:rsid w:val="00416919"/>
    <w:rsid w:val="00416CF8"/>
    <w:rsid w:val="00416F0B"/>
    <w:rsid w:val="00417040"/>
    <w:rsid w:val="0041707C"/>
    <w:rsid w:val="00417133"/>
    <w:rsid w:val="00417240"/>
    <w:rsid w:val="0041725E"/>
    <w:rsid w:val="004172D9"/>
    <w:rsid w:val="004176DC"/>
    <w:rsid w:val="00417C13"/>
    <w:rsid w:val="00417EDB"/>
    <w:rsid w:val="00417F97"/>
    <w:rsid w:val="0042044D"/>
    <w:rsid w:val="004209E3"/>
    <w:rsid w:val="004209F9"/>
    <w:rsid w:val="00420EE6"/>
    <w:rsid w:val="00420F6D"/>
    <w:rsid w:val="00421059"/>
    <w:rsid w:val="004210A4"/>
    <w:rsid w:val="00421728"/>
    <w:rsid w:val="004218B1"/>
    <w:rsid w:val="00421994"/>
    <w:rsid w:val="00421A94"/>
    <w:rsid w:val="0042204C"/>
    <w:rsid w:val="004220E1"/>
    <w:rsid w:val="004224AA"/>
    <w:rsid w:val="004224F1"/>
    <w:rsid w:val="004226A5"/>
    <w:rsid w:val="004227A4"/>
    <w:rsid w:val="004229B3"/>
    <w:rsid w:val="00422BC4"/>
    <w:rsid w:val="00422E4F"/>
    <w:rsid w:val="0042319E"/>
    <w:rsid w:val="004233A1"/>
    <w:rsid w:val="00423A3F"/>
    <w:rsid w:val="00423FC7"/>
    <w:rsid w:val="00424158"/>
    <w:rsid w:val="004242A5"/>
    <w:rsid w:val="004242D2"/>
    <w:rsid w:val="0042435D"/>
    <w:rsid w:val="00424363"/>
    <w:rsid w:val="004244B7"/>
    <w:rsid w:val="00424743"/>
    <w:rsid w:val="004249A1"/>
    <w:rsid w:val="00424B66"/>
    <w:rsid w:val="00424CF8"/>
    <w:rsid w:val="004250A5"/>
    <w:rsid w:val="004250CA"/>
    <w:rsid w:val="004250EB"/>
    <w:rsid w:val="00425126"/>
    <w:rsid w:val="0042546C"/>
    <w:rsid w:val="00425477"/>
    <w:rsid w:val="00425839"/>
    <w:rsid w:val="004259FF"/>
    <w:rsid w:val="00425B36"/>
    <w:rsid w:val="00425CFF"/>
    <w:rsid w:val="00425D2E"/>
    <w:rsid w:val="00425D37"/>
    <w:rsid w:val="00425E55"/>
    <w:rsid w:val="00425F81"/>
    <w:rsid w:val="004260A9"/>
    <w:rsid w:val="0042638B"/>
    <w:rsid w:val="004263F2"/>
    <w:rsid w:val="00426E95"/>
    <w:rsid w:val="00427124"/>
    <w:rsid w:val="00427302"/>
    <w:rsid w:val="004274DD"/>
    <w:rsid w:val="004275C8"/>
    <w:rsid w:val="00427D10"/>
    <w:rsid w:val="00427DEE"/>
    <w:rsid w:val="00427F14"/>
    <w:rsid w:val="00430164"/>
    <w:rsid w:val="00430575"/>
    <w:rsid w:val="0043082B"/>
    <w:rsid w:val="00430891"/>
    <w:rsid w:val="004309ED"/>
    <w:rsid w:val="00430ADD"/>
    <w:rsid w:val="00430DD2"/>
    <w:rsid w:val="00430F1D"/>
    <w:rsid w:val="00430FB2"/>
    <w:rsid w:val="00431053"/>
    <w:rsid w:val="0043111B"/>
    <w:rsid w:val="0043142B"/>
    <w:rsid w:val="00431513"/>
    <w:rsid w:val="0043161E"/>
    <w:rsid w:val="00431680"/>
    <w:rsid w:val="004316E0"/>
    <w:rsid w:val="004317E6"/>
    <w:rsid w:val="00431F09"/>
    <w:rsid w:val="0043206D"/>
    <w:rsid w:val="004320B7"/>
    <w:rsid w:val="00432129"/>
    <w:rsid w:val="0043233D"/>
    <w:rsid w:val="0043244F"/>
    <w:rsid w:val="004325BF"/>
    <w:rsid w:val="004325CE"/>
    <w:rsid w:val="0043283C"/>
    <w:rsid w:val="00432BA3"/>
    <w:rsid w:val="00432D62"/>
    <w:rsid w:val="00432FC5"/>
    <w:rsid w:val="00433151"/>
    <w:rsid w:val="00433516"/>
    <w:rsid w:val="00433EA1"/>
    <w:rsid w:val="00433F84"/>
    <w:rsid w:val="004340F0"/>
    <w:rsid w:val="004341C9"/>
    <w:rsid w:val="004348B4"/>
    <w:rsid w:val="004349E0"/>
    <w:rsid w:val="00434C78"/>
    <w:rsid w:val="00434CA0"/>
    <w:rsid w:val="00434D61"/>
    <w:rsid w:val="0043546A"/>
    <w:rsid w:val="0043546E"/>
    <w:rsid w:val="004355C5"/>
    <w:rsid w:val="00435727"/>
    <w:rsid w:val="00435C9A"/>
    <w:rsid w:val="0043618F"/>
    <w:rsid w:val="004362D1"/>
    <w:rsid w:val="00436421"/>
    <w:rsid w:val="00436433"/>
    <w:rsid w:val="00436721"/>
    <w:rsid w:val="00436776"/>
    <w:rsid w:val="00436B38"/>
    <w:rsid w:val="00436DEA"/>
    <w:rsid w:val="004371A3"/>
    <w:rsid w:val="004373E8"/>
    <w:rsid w:val="0043747F"/>
    <w:rsid w:val="004374D2"/>
    <w:rsid w:val="004374DC"/>
    <w:rsid w:val="004376E6"/>
    <w:rsid w:val="00437738"/>
    <w:rsid w:val="00437CB0"/>
    <w:rsid w:val="00437DC5"/>
    <w:rsid w:val="0044011F"/>
    <w:rsid w:val="0044075A"/>
    <w:rsid w:val="00440775"/>
    <w:rsid w:val="0044087B"/>
    <w:rsid w:val="00440A59"/>
    <w:rsid w:val="00440F30"/>
    <w:rsid w:val="004411F7"/>
    <w:rsid w:val="0044182A"/>
    <w:rsid w:val="0044192D"/>
    <w:rsid w:val="0044196A"/>
    <w:rsid w:val="004419F1"/>
    <w:rsid w:val="00441BCA"/>
    <w:rsid w:val="00441F59"/>
    <w:rsid w:val="00442148"/>
    <w:rsid w:val="004423FC"/>
    <w:rsid w:val="00442574"/>
    <w:rsid w:val="00442620"/>
    <w:rsid w:val="004428B6"/>
    <w:rsid w:val="00442B4D"/>
    <w:rsid w:val="00442E81"/>
    <w:rsid w:val="00442EEB"/>
    <w:rsid w:val="00442F6D"/>
    <w:rsid w:val="0044313A"/>
    <w:rsid w:val="0044333E"/>
    <w:rsid w:val="00443378"/>
    <w:rsid w:val="0044346B"/>
    <w:rsid w:val="00443709"/>
    <w:rsid w:val="00443722"/>
    <w:rsid w:val="00443724"/>
    <w:rsid w:val="004437DF"/>
    <w:rsid w:val="00443B3E"/>
    <w:rsid w:val="00443DD2"/>
    <w:rsid w:val="00443E26"/>
    <w:rsid w:val="0044433C"/>
    <w:rsid w:val="00444718"/>
    <w:rsid w:val="00444724"/>
    <w:rsid w:val="00444765"/>
    <w:rsid w:val="00444770"/>
    <w:rsid w:val="00444877"/>
    <w:rsid w:val="0044488E"/>
    <w:rsid w:val="004449BF"/>
    <w:rsid w:val="00444ADC"/>
    <w:rsid w:val="00444B4D"/>
    <w:rsid w:val="00444B63"/>
    <w:rsid w:val="00444BDF"/>
    <w:rsid w:val="00444CD0"/>
    <w:rsid w:val="00444F3D"/>
    <w:rsid w:val="00445855"/>
    <w:rsid w:val="00445C49"/>
    <w:rsid w:val="00445D27"/>
    <w:rsid w:val="004463E6"/>
    <w:rsid w:val="0044648F"/>
    <w:rsid w:val="004464AF"/>
    <w:rsid w:val="004464CF"/>
    <w:rsid w:val="004464DE"/>
    <w:rsid w:val="004467ED"/>
    <w:rsid w:val="00446C00"/>
    <w:rsid w:val="00446C1C"/>
    <w:rsid w:val="00446C5D"/>
    <w:rsid w:val="00446CC2"/>
    <w:rsid w:val="00446D68"/>
    <w:rsid w:val="00446D8A"/>
    <w:rsid w:val="00447130"/>
    <w:rsid w:val="0044728A"/>
    <w:rsid w:val="004474CF"/>
    <w:rsid w:val="0044750E"/>
    <w:rsid w:val="00447632"/>
    <w:rsid w:val="00447C8F"/>
    <w:rsid w:val="00450090"/>
    <w:rsid w:val="004500B8"/>
    <w:rsid w:val="00450223"/>
    <w:rsid w:val="004502B9"/>
    <w:rsid w:val="00450720"/>
    <w:rsid w:val="004507CC"/>
    <w:rsid w:val="004507EB"/>
    <w:rsid w:val="004508D8"/>
    <w:rsid w:val="004509A1"/>
    <w:rsid w:val="00450D65"/>
    <w:rsid w:val="00450E8C"/>
    <w:rsid w:val="00450F88"/>
    <w:rsid w:val="004513FC"/>
    <w:rsid w:val="00451776"/>
    <w:rsid w:val="004517C8"/>
    <w:rsid w:val="0045189B"/>
    <w:rsid w:val="00451C81"/>
    <w:rsid w:val="00451D0A"/>
    <w:rsid w:val="00451D5F"/>
    <w:rsid w:val="00451DB9"/>
    <w:rsid w:val="0045207F"/>
    <w:rsid w:val="00452128"/>
    <w:rsid w:val="0045255D"/>
    <w:rsid w:val="0045267A"/>
    <w:rsid w:val="004529C7"/>
    <w:rsid w:val="004529E9"/>
    <w:rsid w:val="00452AEE"/>
    <w:rsid w:val="00452EBA"/>
    <w:rsid w:val="00453274"/>
    <w:rsid w:val="004536B7"/>
    <w:rsid w:val="00453C68"/>
    <w:rsid w:val="00453D2B"/>
    <w:rsid w:val="00453D7B"/>
    <w:rsid w:val="00453EA6"/>
    <w:rsid w:val="00454313"/>
    <w:rsid w:val="00454410"/>
    <w:rsid w:val="004544E5"/>
    <w:rsid w:val="0045458C"/>
    <w:rsid w:val="004545A5"/>
    <w:rsid w:val="004547D5"/>
    <w:rsid w:val="00454937"/>
    <w:rsid w:val="00454A45"/>
    <w:rsid w:val="00454BDB"/>
    <w:rsid w:val="00454D52"/>
    <w:rsid w:val="00454DD8"/>
    <w:rsid w:val="0045511D"/>
    <w:rsid w:val="0045512B"/>
    <w:rsid w:val="004554CB"/>
    <w:rsid w:val="004555D8"/>
    <w:rsid w:val="004556CE"/>
    <w:rsid w:val="00455864"/>
    <w:rsid w:val="004558CF"/>
    <w:rsid w:val="00455AE5"/>
    <w:rsid w:val="004561A4"/>
    <w:rsid w:val="00456272"/>
    <w:rsid w:val="004567A7"/>
    <w:rsid w:val="004569F3"/>
    <w:rsid w:val="004569F6"/>
    <w:rsid w:val="00456BF5"/>
    <w:rsid w:val="00456CAF"/>
    <w:rsid w:val="004571DD"/>
    <w:rsid w:val="00457221"/>
    <w:rsid w:val="00457355"/>
    <w:rsid w:val="0045747B"/>
    <w:rsid w:val="00457883"/>
    <w:rsid w:val="004579AC"/>
    <w:rsid w:val="00457F1D"/>
    <w:rsid w:val="00457FA0"/>
    <w:rsid w:val="004600F8"/>
    <w:rsid w:val="00460FE1"/>
    <w:rsid w:val="0046131B"/>
    <w:rsid w:val="00461495"/>
    <w:rsid w:val="00461497"/>
    <w:rsid w:val="004616CE"/>
    <w:rsid w:val="00461725"/>
    <w:rsid w:val="00461B74"/>
    <w:rsid w:val="00461C0D"/>
    <w:rsid w:val="00461C59"/>
    <w:rsid w:val="00461E62"/>
    <w:rsid w:val="004621D7"/>
    <w:rsid w:val="004622B2"/>
    <w:rsid w:val="0046240E"/>
    <w:rsid w:val="004626B9"/>
    <w:rsid w:val="00462987"/>
    <w:rsid w:val="00462B67"/>
    <w:rsid w:val="00462FB3"/>
    <w:rsid w:val="004631C7"/>
    <w:rsid w:val="00463911"/>
    <w:rsid w:val="00463913"/>
    <w:rsid w:val="00463953"/>
    <w:rsid w:val="004639A5"/>
    <w:rsid w:val="004639A7"/>
    <w:rsid w:val="00463C2F"/>
    <w:rsid w:val="00463ECB"/>
    <w:rsid w:val="004642D8"/>
    <w:rsid w:val="004642F2"/>
    <w:rsid w:val="00464308"/>
    <w:rsid w:val="00464344"/>
    <w:rsid w:val="0046437F"/>
    <w:rsid w:val="004643AA"/>
    <w:rsid w:val="0046463A"/>
    <w:rsid w:val="00464837"/>
    <w:rsid w:val="004649C0"/>
    <w:rsid w:val="00464B02"/>
    <w:rsid w:val="00464B2C"/>
    <w:rsid w:val="00464D6F"/>
    <w:rsid w:val="00464F29"/>
    <w:rsid w:val="004650C6"/>
    <w:rsid w:val="0046534C"/>
    <w:rsid w:val="0046572A"/>
    <w:rsid w:val="004658D0"/>
    <w:rsid w:val="00465BCB"/>
    <w:rsid w:val="00465D85"/>
    <w:rsid w:val="00465DEE"/>
    <w:rsid w:val="004661D1"/>
    <w:rsid w:val="00466514"/>
    <w:rsid w:val="00466672"/>
    <w:rsid w:val="004666E9"/>
    <w:rsid w:val="00466876"/>
    <w:rsid w:val="00466D61"/>
    <w:rsid w:val="00466FAB"/>
    <w:rsid w:val="004671B1"/>
    <w:rsid w:val="00467430"/>
    <w:rsid w:val="004674AE"/>
    <w:rsid w:val="0046764B"/>
    <w:rsid w:val="00467659"/>
    <w:rsid w:val="004679E4"/>
    <w:rsid w:val="00467B53"/>
    <w:rsid w:val="00467E66"/>
    <w:rsid w:val="0047055B"/>
    <w:rsid w:val="004707BD"/>
    <w:rsid w:val="00470B4A"/>
    <w:rsid w:val="00470BFD"/>
    <w:rsid w:val="00470BFF"/>
    <w:rsid w:val="00470CF4"/>
    <w:rsid w:val="00471280"/>
    <w:rsid w:val="004712D8"/>
    <w:rsid w:val="00471B1D"/>
    <w:rsid w:val="00471C68"/>
    <w:rsid w:val="004720DF"/>
    <w:rsid w:val="004722F8"/>
    <w:rsid w:val="0047241C"/>
    <w:rsid w:val="00472652"/>
    <w:rsid w:val="004726A7"/>
    <w:rsid w:val="0047286A"/>
    <w:rsid w:val="004729C8"/>
    <w:rsid w:val="00472B0C"/>
    <w:rsid w:val="00472B51"/>
    <w:rsid w:val="00472E27"/>
    <w:rsid w:val="00472FFF"/>
    <w:rsid w:val="0047308B"/>
    <w:rsid w:val="004738F2"/>
    <w:rsid w:val="00473BB2"/>
    <w:rsid w:val="00473E2D"/>
    <w:rsid w:val="00473F2D"/>
    <w:rsid w:val="00474087"/>
    <w:rsid w:val="004740CA"/>
    <w:rsid w:val="0047418C"/>
    <w:rsid w:val="00474213"/>
    <w:rsid w:val="0047451D"/>
    <w:rsid w:val="004747C6"/>
    <w:rsid w:val="00474D83"/>
    <w:rsid w:val="00474E38"/>
    <w:rsid w:val="00474E64"/>
    <w:rsid w:val="00474E91"/>
    <w:rsid w:val="0047600D"/>
    <w:rsid w:val="00476538"/>
    <w:rsid w:val="004766B5"/>
    <w:rsid w:val="00476799"/>
    <w:rsid w:val="00476805"/>
    <w:rsid w:val="00476813"/>
    <w:rsid w:val="0047696E"/>
    <w:rsid w:val="00476C0F"/>
    <w:rsid w:val="00476D4B"/>
    <w:rsid w:val="0047718C"/>
    <w:rsid w:val="004771DE"/>
    <w:rsid w:val="004774BE"/>
    <w:rsid w:val="004776C1"/>
    <w:rsid w:val="004777D6"/>
    <w:rsid w:val="0047781D"/>
    <w:rsid w:val="0047788A"/>
    <w:rsid w:val="00477A76"/>
    <w:rsid w:val="00477BD2"/>
    <w:rsid w:val="00477BE2"/>
    <w:rsid w:val="00477C44"/>
    <w:rsid w:val="00477DC9"/>
    <w:rsid w:val="0048019B"/>
    <w:rsid w:val="00480707"/>
    <w:rsid w:val="00480909"/>
    <w:rsid w:val="00480D70"/>
    <w:rsid w:val="00480EA5"/>
    <w:rsid w:val="00480EC4"/>
    <w:rsid w:val="00480FA6"/>
    <w:rsid w:val="004810D0"/>
    <w:rsid w:val="004811DC"/>
    <w:rsid w:val="00481373"/>
    <w:rsid w:val="004814D9"/>
    <w:rsid w:val="0048179E"/>
    <w:rsid w:val="00481C1C"/>
    <w:rsid w:val="00481E4F"/>
    <w:rsid w:val="00482206"/>
    <w:rsid w:val="0048223F"/>
    <w:rsid w:val="00482240"/>
    <w:rsid w:val="004823D0"/>
    <w:rsid w:val="00482580"/>
    <w:rsid w:val="00482C5D"/>
    <w:rsid w:val="00482CBD"/>
    <w:rsid w:val="00482E9D"/>
    <w:rsid w:val="00482F48"/>
    <w:rsid w:val="00483321"/>
    <w:rsid w:val="004834BA"/>
    <w:rsid w:val="004836D8"/>
    <w:rsid w:val="004836E3"/>
    <w:rsid w:val="00483771"/>
    <w:rsid w:val="00483A21"/>
    <w:rsid w:val="00483F7F"/>
    <w:rsid w:val="00484081"/>
    <w:rsid w:val="004840DE"/>
    <w:rsid w:val="00484AB8"/>
    <w:rsid w:val="00484B4D"/>
    <w:rsid w:val="00484D2F"/>
    <w:rsid w:val="00484EEB"/>
    <w:rsid w:val="00485C38"/>
    <w:rsid w:val="00485C39"/>
    <w:rsid w:val="00485F49"/>
    <w:rsid w:val="00486146"/>
    <w:rsid w:val="004861F7"/>
    <w:rsid w:val="004862C3"/>
    <w:rsid w:val="00486505"/>
    <w:rsid w:val="0048667F"/>
    <w:rsid w:val="004866AA"/>
    <w:rsid w:val="00486E88"/>
    <w:rsid w:val="00487046"/>
    <w:rsid w:val="004871EA"/>
    <w:rsid w:val="004873AE"/>
    <w:rsid w:val="00487549"/>
    <w:rsid w:val="0048781E"/>
    <w:rsid w:val="00487951"/>
    <w:rsid w:val="00487AF8"/>
    <w:rsid w:val="00487B54"/>
    <w:rsid w:val="00490018"/>
    <w:rsid w:val="00490275"/>
    <w:rsid w:val="00490299"/>
    <w:rsid w:val="004902CF"/>
    <w:rsid w:val="0049042C"/>
    <w:rsid w:val="0049044B"/>
    <w:rsid w:val="0049049A"/>
    <w:rsid w:val="004904D5"/>
    <w:rsid w:val="004905FC"/>
    <w:rsid w:val="004908E1"/>
    <w:rsid w:val="00490928"/>
    <w:rsid w:val="00490B6F"/>
    <w:rsid w:val="00490CE1"/>
    <w:rsid w:val="00490D9B"/>
    <w:rsid w:val="00490E25"/>
    <w:rsid w:val="00491374"/>
    <w:rsid w:val="004917D1"/>
    <w:rsid w:val="00491AB9"/>
    <w:rsid w:val="00491E1C"/>
    <w:rsid w:val="00491EDF"/>
    <w:rsid w:val="004921BA"/>
    <w:rsid w:val="00492202"/>
    <w:rsid w:val="0049228F"/>
    <w:rsid w:val="00492477"/>
    <w:rsid w:val="00492756"/>
    <w:rsid w:val="00492888"/>
    <w:rsid w:val="00492B97"/>
    <w:rsid w:val="00492C06"/>
    <w:rsid w:val="00492D8A"/>
    <w:rsid w:val="00493444"/>
    <w:rsid w:val="004937AE"/>
    <w:rsid w:val="00493A32"/>
    <w:rsid w:val="00493CA5"/>
    <w:rsid w:val="00493DDD"/>
    <w:rsid w:val="00493E4F"/>
    <w:rsid w:val="0049423D"/>
    <w:rsid w:val="0049470D"/>
    <w:rsid w:val="00494803"/>
    <w:rsid w:val="00494C64"/>
    <w:rsid w:val="00494F97"/>
    <w:rsid w:val="00495232"/>
    <w:rsid w:val="004952C3"/>
    <w:rsid w:val="00495389"/>
    <w:rsid w:val="004954EC"/>
    <w:rsid w:val="00495501"/>
    <w:rsid w:val="004957B3"/>
    <w:rsid w:val="004958B4"/>
    <w:rsid w:val="00495DB6"/>
    <w:rsid w:val="00495E38"/>
    <w:rsid w:val="0049613E"/>
    <w:rsid w:val="004961DE"/>
    <w:rsid w:val="004964AF"/>
    <w:rsid w:val="00496697"/>
    <w:rsid w:val="00496736"/>
    <w:rsid w:val="004967D1"/>
    <w:rsid w:val="00496823"/>
    <w:rsid w:val="004968A6"/>
    <w:rsid w:val="004971FF"/>
    <w:rsid w:val="004972ED"/>
    <w:rsid w:val="0049731A"/>
    <w:rsid w:val="00497401"/>
    <w:rsid w:val="004975A6"/>
    <w:rsid w:val="004975BA"/>
    <w:rsid w:val="0049761B"/>
    <w:rsid w:val="0049763D"/>
    <w:rsid w:val="004977A5"/>
    <w:rsid w:val="00497A87"/>
    <w:rsid w:val="00497B0F"/>
    <w:rsid w:val="00497B96"/>
    <w:rsid w:val="00497BDA"/>
    <w:rsid w:val="00497E07"/>
    <w:rsid w:val="00497E8F"/>
    <w:rsid w:val="004A0420"/>
    <w:rsid w:val="004A04DB"/>
    <w:rsid w:val="004A0558"/>
    <w:rsid w:val="004A0633"/>
    <w:rsid w:val="004A0BD5"/>
    <w:rsid w:val="004A0EEF"/>
    <w:rsid w:val="004A1121"/>
    <w:rsid w:val="004A113D"/>
    <w:rsid w:val="004A1470"/>
    <w:rsid w:val="004A159B"/>
    <w:rsid w:val="004A1B39"/>
    <w:rsid w:val="004A1FDB"/>
    <w:rsid w:val="004A26B6"/>
    <w:rsid w:val="004A2986"/>
    <w:rsid w:val="004A29BC"/>
    <w:rsid w:val="004A2C20"/>
    <w:rsid w:val="004A2D7B"/>
    <w:rsid w:val="004A2F56"/>
    <w:rsid w:val="004A3198"/>
    <w:rsid w:val="004A3370"/>
    <w:rsid w:val="004A33A7"/>
    <w:rsid w:val="004A33C1"/>
    <w:rsid w:val="004A3B2A"/>
    <w:rsid w:val="004A3DFF"/>
    <w:rsid w:val="004A3E4D"/>
    <w:rsid w:val="004A3EF4"/>
    <w:rsid w:val="004A3FEF"/>
    <w:rsid w:val="004A4196"/>
    <w:rsid w:val="004A4352"/>
    <w:rsid w:val="004A46CE"/>
    <w:rsid w:val="004A48B3"/>
    <w:rsid w:val="004A4AC0"/>
    <w:rsid w:val="004A4CD8"/>
    <w:rsid w:val="004A4E90"/>
    <w:rsid w:val="004A4F29"/>
    <w:rsid w:val="004A4FC6"/>
    <w:rsid w:val="004A51AD"/>
    <w:rsid w:val="004A54AE"/>
    <w:rsid w:val="004A57CA"/>
    <w:rsid w:val="004A5AF2"/>
    <w:rsid w:val="004A604B"/>
    <w:rsid w:val="004A6687"/>
    <w:rsid w:val="004A6824"/>
    <w:rsid w:val="004A6932"/>
    <w:rsid w:val="004A6B61"/>
    <w:rsid w:val="004A6BAE"/>
    <w:rsid w:val="004A6BDB"/>
    <w:rsid w:val="004A6C39"/>
    <w:rsid w:val="004A6D2D"/>
    <w:rsid w:val="004A70D1"/>
    <w:rsid w:val="004A740E"/>
    <w:rsid w:val="004A743D"/>
    <w:rsid w:val="004A7FA1"/>
    <w:rsid w:val="004A7FB2"/>
    <w:rsid w:val="004B008E"/>
    <w:rsid w:val="004B00A0"/>
    <w:rsid w:val="004B02AC"/>
    <w:rsid w:val="004B036B"/>
    <w:rsid w:val="004B0621"/>
    <w:rsid w:val="004B0822"/>
    <w:rsid w:val="004B0B5C"/>
    <w:rsid w:val="004B0BCD"/>
    <w:rsid w:val="004B0CED"/>
    <w:rsid w:val="004B112F"/>
    <w:rsid w:val="004B1183"/>
    <w:rsid w:val="004B11CD"/>
    <w:rsid w:val="004B1289"/>
    <w:rsid w:val="004B12E9"/>
    <w:rsid w:val="004B18F6"/>
    <w:rsid w:val="004B1903"/>
    <w:rsid w:val="004B1BB1"/>
    <w:rsid w:val="004B1F22"/>
    <w:rsid w:val="004B206C"/>
    <w:rsid w:val="004B2439"/>
    <w:rsid w:val="004B2AC9"/>
    <w:rsid w:val="004B2BA8"/>
    <w:rsid w:val="004B2BE9"/>
    <w:rsid w:val="004B2F79"/>
    <w:rsid w:val="004B2F92"/>
    <w:rsid w:val="004B3041"/>
    <w:rsid w:val="004B3099"/>
    <w:rsid w:val="004B30EC"/>
    <w:rsid w:val="004B330B"/>
    <w:rsid w:val="004B35B2"/>
    <w:rsid w:val="004B36E0"/>
    <w:rsid w:val="004B3A5D"/>
    <w:rsid w:val="004B3C85"/>
    <w:rsid w:val="004B3D6B"/>
    <w:rsid w:val="004B404A"/>
    <w:rsid w:val="004B41EF"/>
    <w:rsid w:val="004B435E"/>
    <w:rsid w:val="004B446F"/>
    <w:rsid w:val="004B44B3"/>
    <w:rsid w:val="004B4645"/>
    <w:rsid w:val="004B4701"/>
    <w:rsid w:val="004B48DF"/>
    <w:rsid w:val="004B496E"/>
    <w:rsid w:val="004B4A57"/>
    <w:rsid w:val="004B512A"/>
    <w:rsid w:val="004B52FE"/>
    <w:rsid w:val="004B551E"/>
    <w:rsid w:val="004B5680"/>
    <w:rsid w:val="004B56F8"/>
    <w:rsid w:val="004B5900"/>
    <w:rsid w:val="004B5A01"/>
    <w:rsid w:val="004B5CCC"/>
    <w:rsid w:val="004B61FD"/>
    <w:rsid w:val="004B628D"/>
    <w:rsid w:val="004B672E"/>
    <w:rsid w:val="004B677A"/>
    <w:rsid w:val="004B680F"/>
    <w:rsid w:val="004B6845"/>
    <w:rsid w:val="004B6AB8"/>
    <w:rsid w:val="004B6CF7"/>
    <w:rsid w:val="004B704B"/>
    <w:rsid w:val="004B7470"/>
    <w:rsid w:val="004B7A74"/>
    <w:rsid w:val="004B7AD8"/>
    <w:rsid w:val="004B7C24"/>
    <w:rsid w:val="004B7CC6"/>
    <w:rsid w:val="004B7E50"/>
    <w:rsid w:val="004B7E63"/>
    <w:rsid w:val="004C025B"/>
    <w:rsid w:val="004C0380"/>
    <w:rsid w:val="004C03E2"/>
    <w:rsid w:val="004C0490"/>
    <w:rsid w:val="004C0644"/>
    <w:rsid w:val="004C0ADD"/>
    <w:rsid w:val="004C0D13"/>
    <w:rsid w:val="004C11B8"/>
    <w:rsid w:val="004C12A4"/>
    <w:rsid w:val="004C1427"/>
    <w:rsid w:val="004C144A"/>
    <w:rsid w:val="004C15A7"/>
    <w:rsid w:val="004C1CDC"/>
    <w:rsid w:val="004C1DBF"/>
    <w:rsid w:val="004C1ED0"/>
    <w:rsid w:val="004C1EE1"/>
    <w:rsid w:val="004C223C"/>
    <w:rsid w:val="004C23D8"/>
    <w:rsid w:val="004C277A"/>
    <w:rsid w:val="004C29DB"/>
    <w:rsid w:val="004C2AC0"/>
    <w:rsid w:val="004C2FB7"/>
    <w:rsid w:val="004C32E4"/>
    <w:rsid w:val="004C34E9"/>
    <w:rsid w:val="004C36DF"/>
    <w:rsid w:val="004C36FE"/>
    <w:rsid w:val="004C3906"/>
    <w:rsid w:val="004C3BA5"/>
    <w:rsid w:val="004C3D5C"/>
    <w:rsid w:val="004C3D6C"/>
    <w:rsid w:val="004C3EF8"/>
    <w:rsid w:val="004C4167"/>
    <w:rsid w:val="004C418E"/>
    <w:rsid w:val="004C41AD"/>
    <w:rsid w:val="004C41FD"/>
    <w:rsid w:val="004C4209"/>
    <w:rsid w:val="004C4377"/>
    <w:rsid w:val="004C4488"/>
    <w:rsid w:val="004C4985"/>
    <w:rsid w:val="004C4E9A"/>
    <w:rsid w:val="004C4FC3"/>
    <w:rsid w:val="004C515A"/>
    <w:rsid w:val="004C51AC"/>
    <w:rsid w:val="004C530D"/>
    <w:rsid w:val="004C5893"/>
    <w:rsid w:val="004C5918"/>
    <w:rsid w:val="004C5931"/>
    <w:rsid w:val="004C5BD8"/>
    <w:rsid w:val="004C5C62"/>
    <w:rsid w:val="004C5FA4"/>
    <w:rsid w:val="004C6898"/>
    <w:rsid w:val="004C6E74"/>
    <w:rsid w:val="004C70B0"/>
    <w:rsid w:val="004C7668"/>
    <w:rsid w:val="004C7711"/>
    <w:rsid w:val="004C795B"/>
    <w:rsid w:val="004D02F6"/>
    <w:rsid w:val="004D0540"/>
    <w:rsid w:val="004D096C"/>
    <w:rsid w:val="004D0A0C"/>
    <w:rsid w:val="004D0CD3"/>
    <w:rsid w:val="004D0E17"/>
    <w:rsid w:val="004D1008"/>
    <w:rsid w:val="004D125A"/>
    <w:rsid w:val="004D12A8"/>
    <w:rsid w:val="004D1372"/>
    <w:rsid w:val="004D168A"/>
    <w:rsid w:val="004D1F6E"/>
    <w:rsid w:val="004D2150"/>
    <w:rsid w:val="004D2297"/>
    <w:rsid w:val="004D2604"/>
    <w:rsid w:val="004D26B2"/>
    <w:rsid w:val="004D2788"/>
    <w:rsid w:val="004D2B40"/>
    <w:rsid w:val="004D3368"/>
    <w:rsid w:val="004D350A"/>
    <w:rsid w:val="004D35D5"/>
    <w:rsid w:val="004D3793"/>
    <w:rsid w:val="004D37F6"/>
    <w:rsid w:val="004D39A0"/>
    <w:rsid w:val="004D3A2B"/>
    <w:rsid w:val="004D456E"/>
    <w:rsid w:val="004D45DF"/>
    <w:rsid w:val="004D4AE4"/>
    <w:rsid w:val="004D4B55"/>
    <w:rsid w:val="004D4CBF"/>
    <w:rsid w:val="004D4D05"/>
    <w:rsid w:val="004D54A0"/>
    <w:rsid w:val="004D5648"/>
    <w:rsid w:val="004D5F8F"/>
    <w:rsid w:val="004D6488"/>
    <w:rsid w:val="004D669A"/>
    <w:rsid w:val="004D67C2"/>
    <w:rsid w:val="004D6ECB"/>
    <w:rsid w:val="004D7167"/>
    <w:rsid w:val="004D744A"/>
    <w:rsid w:val="004D7754"/>
    <w:rsid w:val="004D77C0"/>
    <w:rsid w:val="004D7F9D"/>
    <w:rsid w:val="004E003C"/>
    <w:rsid w:val="004E011F"/>
    <w:rsid w:val="004E01D1"/>
    <w:rsid w:val="004E0374"/>
    <w:rsid w:val="004E0916"/>
    <w:rsid w:val="004E0BC7"/>
    <w:rsid w:val="004E0F60"/>
    <w:rsid w:val="004E0F7C"/>
    <w:rsid w:val="004E1652"/>
    <w:rsid w:val="004E1E31"/>
    <w:rsid w:val="004E21F5"/>
    <w:rsid w:val="004E22F5"/>
    <w:rsid w:val="004E2508"/>
    <w:rsid w:val="004E254F"/>
    <w:rsid w:val="004E2678"/>
    <w:rsid w:val="004E2777"/>
    <w:rsid w:val="004E2812"/>
    <w:rsid w:val="004E2920"/>
    <w:rsid w:val="004E2AA8"/>
    <w:rsid w:val="004E3050"/>
    <w:rsid w:val="004E30D7"/>
    <w:rsid w:val="004E3250"/>
    <w:rsid w:val="004E33E2"/>
    <w:rsid w:val="004E3457"/>
    <w:rsid w:val="004E386F"/>
    <w:rsid w:val="004E398B"/>
    <w:rsid w:val="004E39AD"/>
    <w:rsid w:val="004E3B20"/>
    <w:rsid w:val="004E3B76"/>
    <w:rsid w:val="004E3BCB"/>
    <w:rsid w:val="004E3C80"/>
    <w:rsid w:val="004E3D16"/>
    <w:rsid w:val="004E4848"/>
    <w:rsid w:val="004E4B41"/>
    <w:rsid w:val="004E4E76"/>
    <w:rsid w:val="004E531D"/>
    <w:rsid w:val="004E5482"/>
    <w:rsid w:val="004E54FA"/>
    <w:rsid w:val="004E560F"/>
    <w:rsid w:val="004E56E7"/>
    <w:rsid w:val="004E5948"/>
    <w:rsid w:val="004E5C29"/>
    <w:rsid w:val="004E6015"/>
    <w:rsid w:val="004E60AC"/>
    <w:rsid w:val="004E610E"/>
    <w:rsid w:val="004E628C"/>
    <w:rsid w:val="004E645B"/>
    <w:rsid w:val="004E65DB"/>
    <w:rsid w:val="004E66E1"/>
    <w:rsid w:val="004E6739"/>
    <w:rsid w:val="004E6BC2"/>
    <w:rsid w:val="004E6CFB"/>
    <w:rsid w:val="004E6DAE"/>
    <w:rsid w:val="004E6DBB"/>
    <w:rsid w:val="004E73B3"/>
    <w:rsid w:val="004E748B"/>
    <w:rsid w:val="004E7857"/>
    <w:rsid w:val="004E7904"/>
    <w:rsid w:val="004E7A6E"/>
    <w:rsid w:val="004E7C69"/>
    <w:rsid w:val="004E7D6F"/>
    <w:rsid w:val="004F00BE"/>
    <w:rsid w:val="004F01CC"/>
    <w:rsid w:val="004F03C5"/>
    <w:rsid w:val="004F09AC"/>
    <w:rsid w:val="004F0C0A"/>
    <w:rsid w:val="004F0DCA"/>
    <w:rsid w:val="004F0EEA"/>
    <w:rsid w:val="004F12CE"/>
    <w:rsid w:val="004F1B8F"/>
    <w:rsid w:val="004F21EC"/>
    <w:rsid w:val="004F224A"/>
    <w:rsid w:val="004F225F"/>
    <w:rsid w:val="004F2626"/>
    <w:rsid w:val="004F292C"/>
    <w:rsid w:val="004F2ADB"/>
    <w:rsid w:val="004F2FF0"/>
    <w:rsid w:val="004F3069"/>
    <w:rsid w:val="004F3143"/>
    <w:rsid w:val="004F3714"/>
    <w:rsid w:val="004F378B"/>
    <w:rsid w:val="004F39D4"/>
    <w:rsid w:val="004F3CFA"/>
    <w:rsid w:val="004F3DD6"/>
    <w:rsid w:val="004F3E69"/>
    <w:rsid w:val="004F3E94"/>
    <w:rsid w:val="004F43A0"/>
    <w:rsid w:val="004F43A8"/>
    <w:rsid w:val="004F43D1"/>
    <w:rsid w:val="004F445B"/>
    <w:rsid w:val="004F44F5"/>
    <w:rsid w:val="004F4528"/>
    <w:rsid w:val="004F458D"/>
    <w:rsid w:val="004F477F"/>
    <w:rsid w:val="004F47D7"/>
    <w:rsid w:val="004F4A62"/>
    <w:rsid w:val="004F5066"/>
    <w:rsid w:val="004F517B"/>
    <w:rsid w:val="004F523E"/>
    <w:rsid w:val="004F528B"/>
    <w:rsid w:val="004F5A46"/>
    <w:rsid w:val="004F5B7F"/>
    <w:rsid w:val="004F5E9B"/>
    <w:rsid w:val="004F6956"/>
    <w:rsid w:val="004F6992"/>
    <w:rsid w:val="004F6BAB"/>
    <w:rsid w:val="004F6BC4"/>
    <w:rsid w:val="004F72D0"/>
    <w:rsid w:val="004F75C5"/>
    <w:rsid w:val="004F7855"/>
    <w:rsid w:val="004F7A9D"/>
    <w:rsid w:val="004F7D08"/>
    <w:rsid w:val="004F7F0D"/>
    <w:rsid w:val="00500095"/>
    <w:rsid w:val="005001C5"/>
    <w:rsid w:val="00500350"/>
    <w:rsid w:val="005005C2"/>
    <w:rsid w:val="00500A80"/>
    <w:rsid w:val="00500A90"/>
    <w:rsid w:val="00500BE8"/>
    <w:rsid w:val="0050102E"/>
    <w:rsid w:val="005015F4"/>
    <w:rsid w:val="00501770"/>
    <w:rsid w:val="00501861"/>
    <w:rsid w:val="00501C82"/>
    <w:rsid w:val="00501F86"/>
    <w:rsid w:val="00501FD2"/>
    <w:rsid w:val="005020FC"/>
    <w:rsid w:val="00502202"/>
    <w:rsid w:val="005022B6"/>
    <w:rsid w:val="00502633"/>
    <w:rsid w:val="0050268F"/>
    <w:rsid w:val="00502711"/>
    <w:rsid w:val="00502835"/>
    <w:rsid w:val="005028E9"/>
    <w:rsid w:val="005029D8"/>
    <w:rsid w:val="00502B1B"/>
    <w:rsid w:val="00502BA0"/>
    <w:rsid w:val="00502F0A"/>
    <w:rsid w:val="00502F4F"/>
    <w:rsid w:val="00502F8B"/>
    <w:rsid w:val="00503173"/>
    <w:rsid w:val="00503321"/>
    <w:rsid w:val="00503764"/>
    <w:rsid w:val="00503920"/>
    <w:rsid w:val="00503A2A"/>
    <w:rsid w:val="00503B29"/>
    <w:rsid w:val="00503C2B"/>
    <w:rsid w:val="00503C60"/>
    <w:rsid w:val="00503D0D"/>
    <w:rsid w:val="00503EBB"/>
    <w:rsid w:val="005041B2"/>
    <w:rsid w:val="00504457"/>
    <w:rsid w:val="0050445B"/>
    <w:rsid w:val="00504491"/>
    <w:rsid w:val="00504833"/>
    <w:rsid w:val="005049C3"/>
    <w:rsid w:val="00504B22"/>
    <w:rsid w:val="00504E8D"/>
    <w:rsid w:val="00505434"/>
    <w:rsid w:val="005056B5"/>
    <w:rsid w:val="005057D0"/>
    <w:rsid w:val="00505C2D"/>
    <w:rsid w:val="00505DF9"/>
    <w:rsid w:val="00505E51"/>
    <w:rsid w:val="00505E91"/>
    <w:rsid w:val="0050604E"/>
    <w:rsid w:val="00506194"/>
    <w:rsid w:val="005061AB"/>
    <w:rsid w:val="0050623F"/>
    <w:rsid w:val="00506261"/>
    <w:rsid w:val="005068D1"/>
    <w:rsid w:val="005068E8"/>
    <w:rsid w:val="005069AE"/>
    <w:rsid w:val="00506D4D"/>
    <w:rsid w:val="00506DE8"/>
    <w:rsid w:val="0050702D"/>
    <w:rsid w:val="005071B3"/>
    <w:rsid w:val="0050724E"/>
    <w:rsid w:val="005072D0"/>
    <w:rsid w:val="005072E6"/>
    <w:rsid w:val="00507371"/>
    <w:rsid w:val="005074FD"/>
    <w:rsid w:val="005077C0"/>
    <w:rsid w:val="00507CD2"/>
    <w:rsid w:val="00507D6F"/>
    <w:rsid w:val="00510024"/>
    <w:rsid w:val="00510687"/>
    <w:rsid w:val="005107F2"/>
    <w:rsid w:val="00510965"/>
    <w:rsid w:val="005109F5"/>
    <w:rsid w:val="00510A1A"/>
    <w:rsid w:val="00510B7D"/>
    <w:rsid w:val="00511001"/>
    <w:rsid w:val="0051100F"/>
    <w:rsid w:val="005116D6"/>
    <w:rsid w:val="0051178C"/>
    <w:rsid w:val="00511A4D"/>
    <w:rsid w:val="00511C79"/>
    <w:rsid w:val="00511CF9"/>
    <w:rsid w:val="00512216"/>
    <w:rsid w:val="0051222A"/>
    <w:rsid w:val="00512306"/>
    <w:rsid w:val="00512421"/>
    <w:rsid w:val="005124FB"/>
    <w:rsid w:val="005125EA"/>
    <w:rsid w:val="00512B2E"/>
    <w:rsid w:val="00512DBD"/>
    <w:rsid w:val="005133FF"/>
    <w:rsid w:val="005134FE"/>
    <w:rsid w:val="00513537"/>
    <w:rsid w:val="005135D4"/>
    <w:rsid w:val="005135E6"/>
    <w:rsid w:val="005136DC"/>
    <w:rsid w:val="00513B67"/>
    <w:rsid w:val="00513C0E"/>
    <w:rsid w:val="00513D9A"/>
    <w:rsid w:val="00514245"/>
    <w:rsid w:val="00514382"/>
    <w:rsid w:val="005143DF"/>
    <w:rsid w:val="005146A9"/>
    <w:rsid w:val="005147A9"/>
    <w:rsid w:val="00514B64"/>
    <w:rsid w:val="00514CD2"/>
    <w:rsid w:val="00514D39"/>
    <w:rsid w:val="0051519F"/>
    <w:rsid w:val="0051598A"/>
    <w:rsid w:val="00515FCF"/>
    <w:rsid w:val="0051600B"/>
    <w:rsid w:val="005160EC"/>
    <w:rsid w:val="0051625C"/>
    <w:rsid w:val="0051629D"/>
    <w:rsid w:val="005164C6"/>
    <w:rsid w:val="0051651D"/>
    <w:rsid w:val="00516543"/>
    <w:rsid w:val="00516942"/>
    <w:rsid w:val="00516950"/>
    <w:rsid w:val="00516B4B"/>
    <w:rsid w:val="00516BB5"/>
    <w:rsid w:val="00516EEA"/>
    <w:rsid w:val="005172A5"/>
    <w:rsid w:val="005178CA"/>
    <w:rsid w:val="00517AC2"/>
    <w:rsid w:val="00517AE2"/>
    <w:rsid w:val="00517F21"/>
    <w:rsid w:val="00520318"/>
    <w:rsid w:val="00520598"/>
    <w:rsid w:val="00520946"/>
    <w:rsid w:val="00520BB8"/>
    <w:rsid w:val="00520E9B"/>
    <w:rsid w:val="00520F3D"/>
    <w:rsid w:val="00521241"/>
    <w:rsid w:val="005213F9"/>
    <w:rsid w:val="00521451"/>
    <w:rsid w:val="005218C2"/>
    <w:rsid w:val="00521C72"/>
    <w:rsid w:val="00521DAD"/>
    <w:rsid w:val="00521E36"/>
    <w:rsid w:val="00521E57"/>
    <w:rsid w:val="00521EE9"/>
    <w:rsid w:val="0052202F"/>
    <w:rsid w:val="00522069"/>
    <w:rsid w:val="00522292"/>
    <w:rsid w:val="00522515"/>
    <w:rsid w:val="005225DC"/>
    <w:rsid w:val="005227BA"/>
    <w:rsid w:val="00522BD6"/>
    <w:rsid w:val="00522CEE"/>
    <w:rsid w:val="00522DB7"/>
    <w:rsid w:val="00522E77"/>
    <w:rsid w:val="00522ED6"/>
    <w:rsid w:val="00523060"/>
    <w:rsid w:val="005233C9"/>
    <w:rsid w:val="00523A4C"/>
    <w:rsid w:val="00523C55"/>
    <w:rsid w:val="00523C9C"/>
    <w:rsid w:val="00523C9F"/>
    <w:rsid w:val="00523E4C"/>
    <w:rsid w:val="00523F9E"/>
    <w:rsid w:val="005248E1"/>
    <w:rsid w:val="00524A9A"/>
    <w:rsid w:val="00524AA5"/>
    <w:rsid w:val="00524BDE"/>
    <w:rsid w:val="00524D8A"/>
    <w:rsid w:val="0052503E"/>
    <w:rsid w:val="005251E6"/>
    <w:rsid w:val="005253DD"/>
    <w:rsid w:val="005254F1"/>
    <w:rsid w:val="00525823"/>
    <w:rsid w:val="00525841"/>
    <w:rsid w:val="00525C55"/>
    <w:rsid w:val="00525DC6"/>
    <w:rsid w:val="00525E4F"/>
    <w:rsid w:val="00525FFC"/>
    <w:rsid w:val="00526AF2"/>
    <w:rsid w:val="00526C6D"/>
    <w:rsid w:val="00526EE7"/>
    <w:rsid w:val="005272B6"/>
    <w:rsid w:val="005273EA"/>
    <w:rsid w:val="005274CC"/>
    <w:rsid w:val="00527807"/>
    <w:rsid w:val="00527B8F"/>
    <w:rsid w:val="00527C9D"/>
    <w:rsid w:val="00527CD8"/>
    <w:rsid w:val="00527E53"/>
    <w:rsid w:val="005302C2"/>
    <w:rsid w:val="00530BC5"/>
    <w:rsid w:val="00530F82"/>
    <w:rsid w:val="00531056"/>
    <w:rsid w:val="005311F9"/>
    <w:rsid w:val="005312BE"/>
    <w:rsid w:val="00531A32"/>
    <w:rsid w:val="00532208"/>
    <w:rsid w:val="00532568"/>
    <w:rsid w:val="00532573"/>
    <w:rsid w:val="00532698"/>
    <w:rsid w:val="005326BF"/>
    <w:rsid w:val="005326DE"/>
    <w:rsid w:val="00532791"/>
    <w:rsid w:val="0053283D"/>
    <w:rsid w:val="00532A80"/>
    <w:rsid w:val="0053329A"/>
    <w:rsid w:val="00533332"/>
    <w:rsid w:val="005334AA"/>
    <w:rsid w:val="005335FE"/>
    <w:rsid w:val="00533B26"/>
    <w:rsid w:val="00533B79"/>
    <w:rsid w:val="00533F26"/>
    <w:rsid w:val="005341B4"/>
    <w:rsid w:val="00534361"/>
    <w:rsid w:val="005343B5"/>
    <w:rsid w:val="0053477D"/>
    <w:rsid w:val="005348A5"/>
    <w:rsid w:val="00534999"/>
    <w:rsid w:val="005349DF"/>
    <w:rsid w:val="00534A7E"/>
    <w:rsid w:val="00534ABC"/>
    <w:rsid w:val="00534DC2"/>
    <w:rsid w:val="00534F92"/>
    <w:rsid w:val="0053512A"/>
    <w:rsid w:val="00535301"/>
    <w:rsid w:val="00535521"/>
    <w:rsid w:val="00535816"/>
    <w:rsid w:val="00535A4B"/>
    <w:rsid w:val="00535D25"/>
    <w:rsid w:val="00535D9E"/>
    <w:rsid w:val="00536265"/>
    <w:rsid w:val="005365BC"/>
    <w:rsid w:val="0053679B"/>
    <w:rsid w:val="00536A4C"/>
    <w:rsid w:val="00536CA3"/>
    <w:rsid w:val="00536CB8"/>
    <w:rsid w:val="00536DB0"/>
    <w:rsid w:val="00536E63"/>
    <w:rsid w:val="00536F4D"/>
    <w:rsid w:val="00537381"/>
    <w:rsid w:val="005373E8"/>
    <w:rsid w:val="0053754F"/>
    <w:rsid w:val="00537BC2"/>
    <w:rsid w:val="00537BF4"/>
    <w:rsid w:val="00537C4B"/>
    <w:rsid w:val="00537CBA"/>
    <w:rsid w:val="005400F8"/>
    <w:rsid w:val="005404C6"/>
    <w:rsid w:val="0054064D"/>
    <w:rsid w:val="005407E3"/>
    <w:rsid w:val="005407E4"/>
    <w:rsid w:val="00540851"/>
    <w:rsid w:val="00540973"/>
    <w:rsid w:val="00540A06"/>
    <w:rsid w:val="00540EF8"/>
    <w:rsid w:val="00541249"/>
    <w:rsid w:val="0054154F"/>
    <w:rsid w:val="0054168F"/>
    <w:rsid w:val="00541B1F"/>
    <w:rsid w:val="00541E49"/>
    <w:rsid w:val="00541EDE"/>
    <w:rsid w:val="00542027"/>
    <w:rsid w:val="0054207F"/>
    <w:rsid w:val="005420BD"/>
    <w:rsid w:val="005425A3"/>
    <w:rsid w:val="00542A30"/>
    <w:rsid w:val="00542CB8"/>
    <w:rsid w:val="00542DC4"/>
    <w:rsid w:val="005433BB"/>
    <w:rsid w:val="0054378E"/>
    <w:rsid w:val="0054380B"/>
    <w:rsid w:val="0054399F"/>
    <w:rsid w:val="00543F4C"/>
    <w:rsid w:val="0054406E"/>
    <w:rsid w:val="00544280"/>
    <w:rsid w:val="00544362"/>
    <w:rsid w:val="00544B85"/>
    <w:rsid w:val="00544C55"/>
    <w:rsid w:val="00544F2D"/>
    <w:rsid w:val="005453D7"/>
    <w:rsid w:val="005454DF"/>
    <w:rsid w:val="00545536"/>
    <w:rsid w:val="0054591B"/>
    <w:rsid w:val="00545C9C"/>
    <w:rsid w:val="00545EB0"/>
    <w:rsid w:val="0054600A"/>
    <w:rsid w:val="005460E3"/>
    <w:rsid w:val="0054663C"/>
    <w:rsid w:val="00546696"/>
    <w:rsid w:val="005467EE"/>
    <w:rsid w:val="00546ADE"/>
    <w:rsid w:val="00546CF8"/>
    <w:rsid w:val="00546E06"/>
    <w:rsid w:val="005470AA"/>
    <w:rsid w:val="005472E4"/>
    <w:rsid w:val="0054755B"/>
    <w:rsid w:val="0054759E"/>
    <w:rsid w:val="005476F1"/>
    <w:rsid w:val="00547709"/>
    <w:rsid w:val="00547775"/>
    <w:rsid w:val="0054790A"/>
    <w:rsid w:val="0054796F"/>
    <w:rsid w:val="00547BF7"/>
    <w:rsid w:val="00547D3B"/>
    <w:rsid w:val="00547EE5"/>
    <w:rsid w:val="005501FA"/>
    <w:rsid w:val="005503EA"/>
    <w:rsid w:val="0055057C"/>
    <w:rsid w:val="00550969"/>
    <w:rsid w:val="00550A28"/>
    <w:rsid w:val="00550AE7"/>
    <w:rsid w:val="00550B37"/>
    <w:rsid w:val="00550D98"/>
    <w:rsid w:val="00550EE7"/>
    <w:rsid w:val="00551304"/>
    <w:rsid w:val="005514ED"/>
    <w:rsid w:val="005517E5"/>
    <w:rsid w:val="005518C5"/>
    <w:rsid w:val="00551972"/>
    <w:rsid w:val="0055197D"/>
    <w:rsid w:val="00551CE5"/>
    <w:rsid w:val="00551DDC"/>
    <w:rsid w:val="00551EC2"/>
    <w:rsid w:val="005520EA"/>
    <w:rsid w:val="00552595"/>
    <w:rsid w:val="005526D1"/>
    <w:rsid w:val="0055271F"/>
    <w:rsid w:val="00552725"/>
    <w:rsid w:val="00552B13"/>
    <w:rsid w:val="00552C28"/>
    <w:rsid w:val="00552D23"/>
    <w:rsid w:val="00552DA4"/>
    <w:rsid w:val="00552F30"/>
    <w:rsid w:val="00553263"/>
    <w:rsid w:val="005533FC"/>
    <w:rsid w:val="00553412"/>
    <w:rsid w:val="00553471"/>
    <w:rsid w:val="005534E3"/>
    <w:rsid w:val="005535E5"/>
    <w:rsid w:val="005537AD"/>
    <w:rsid w:val="005537CE"/>
    <w:rsid w:val="00553DF9"/>
    <w:rsid w:val="00553E29"/>
    <w:rsid w:val="00553EA4"/>
    <w:rsid w:val="00553FBA"/>
    <w:rsid w:val="00554501"/>
    <w:rsid w:val="005547B9"/>
    <w:rsid w:val="0055484D"/>
    <w:rsid w:val="00554A9C"/>
    <w:rsid w:val="00554B3D"/>
    <w:rsid w:val="00554C68"/>
    <w:rsid w:val="00554FB7"/>
    <w:rsid w:val="0055507B"/>
    <w:rsid w:val="0055523F"/>
    <w:rsid w:val="005556CD"/>
    <w:rsid w:val="005556D4"/>
    <w:rsid w:val="00555746"/>
    <w:rsid w:val="005558AE"/>
    <w:rsid w:val="00555B61"/>
    <w:rsid w:val="00555B70"/>
    <w:rsid w:val="00555E6C"/>
    <w:rsid w:val="0055614E"/>
    <w:rsid w:val="0055627F"/>
    <w:rsid w:val="00556462"/>
    <w:rsid w:val="0055648C"/>
    <w:rsid w:val="005566D6"/>
    <w:rsid w:val="0055698F"/>
    <w:rsid w:val="00556A19"/>
    <w:rsid w:val="00556C5B"/>
    <w:rsid w:val="00556E1A"/>
    <w:rsid w:val="00556E4C"/>
    <w:rsid w:val="0055750A"/>
    <w:rsid w:val="00557912"/>
    <w:rsid w:val="00557A52"/>
    <w:rsid w:val="00557AE5"/>
    <w:rsid w:val="00557BE6"/>
    <w:rsid w:val="00557BF5"/>
    <w:rsid w:val="00557F2A"/>
    <w:rsid w:val="00557FCB"/>
    <w:rsid w:val="00560137"/>
    <w:rsid w:val="0056036E"/>
    <w:rsid w:val="00560370"/>
    <w:rsid w:val="005603AF"/>
    <w:rsid w:val="0056054C"/>
    <w:rsid w:val="0056061A"/>
    <w:rsid w:val="0056068C"/>
    <w:rsid w:val="0056079F"/>
    <w:rsid w:val="00560874"/>
    <w:rsid w:val="00560995"/>
    <w:rsid w:val="00560A06"/>
    <w:rsid w:val="00560A4C"/>
    <w:rsid w:val="00560CE2"/>
    <w:rsid w:val="00560DB5"/>
    <w:rsid w:val="00560DC0"/>
    <w:rsid w:val="00560F7E"/>
    <w:rsid w:val="005610AD"/>
    <w:rsid w:val="00561654"/>
    <w:rsid w:val="00561701"/>
    <w:rsid w:val="00561CFC"/>
    <w:rsid w:val="00561E83"/>
    <w:rsid w:val="00562048"/>
    <w:rsid w:val="00562673"/>
    <w:rsid w:val="0056283B"/>
    <w:rsid w:val="00562C9C"/>
    <w:rsid w:val="00562D0E"/>
    <w:rsid w:val="00562FC0"/>
    <w:rsid w:val="00563380"/>
    <w:rsid w:val="00563504"/>
    <w:rsid w:val="0056391D"/>
    <w:rsid w:val="00563B77"/>
    <w:rsid w:val="00563E36"/>
    <w:rsid w:val="00563FEA"/>
    <w:rsid w:val="005644B0"/>
    <w:rsid w:val="005648B0"/>
    <w:rsid w:val="00564993"/>
    <w:rsid w:val="005649C0"/>
    <w:rsid w:val="00564B2E"/>
    <w:rsid w:val="00564C6F"/>
    <w:rsid w:val="00564C9F"/>
    <w:rsid w:val="00564D2A"/>
    <w:rsid w:val="00564D78"/>
    <w:rsid w:val="00564EC8"/>
    <w:rsid w:val="00565031"/>
    <w:rsid w:val="0056519E"/>
    <w:rsid w:val="00565381"/>
    <w:rsid w:val="0056549C"/>
    <w:rsid w:val="00565968"/>
    <w:rsid w:val="005659AF"/>
    <w:rsid w:val="005659BA"/>
    <w:rsid w:val="00565A36"/>
    <w:rsid w:val="00566638"/>
    <w:rsid w:val="005669B8"/>
    <w:rsid w:val="00566BCF"/>
    <w:rsid w:val="00566D42"/>
    <w:rsid w:val="00566E52"/>
    <w:rsid w:val="00566FB9"/>
    <w:rsid w:val="00567063"/>
    <w:rsid w:val="00567213"/>
    <w:rsid w:val="00567292"/>
    <w:rsid w:val="005672D6"/>
    <w:rsid w:val="005675A8"/>
    <w:rsid w:val="005676E4"/>
    <w:rsid w:val="00567788"/>
    <w:rsid w:val="005677C9"/>
    <w:rsid w:val="005679C0"/>
    <w:rsid w:val="00567D92"/>
    <w:rsid w:val="00567E2E"/>
    <w:rsid w:val="00567EEF"/>
    <w:rsid w:val="00567F5B"/>
    <w:rsid w:val="005700E2"/>
    <w:rsid w:val="00570972"/>
    <w:rsid w:val="00570C66"/>
    <w:rsid w:val="00570C7F"/>
    <w:rsid w:val="005713F8"/>
    <w:rsid w:val="00571934"/>
    <w:rsid w:val="005719D4"/>
    <w:rsid w:val="00571BC8"/>
    <w:rsid w:val="00571EE8"/>
    <w:rsid w:val="00571F74"/>
    <w:rsid w:val="00571FF0"/>
    <w:rsid w:val="00572085"/>
    <w:rsid w:val="005720D8"/>
    <w:rsid w:val="00572105"/>
    <w:rsid w:val="005721AF"/>
    <w:rsid w:val="005726EA"/>
    <w:rsid w:val="00572A2B"/>
    <w:rsid w:val="00572D84"/>
    <w:rsid w:val="00572FFC"/>
    <w:rsid w:val="005730F5"/>
    <w:rsid w:val="0057322F"/>
    <w:rsid w:val="00573433"/>
    <w:rsid w:val="005735DF"/>
    <w:rsid w:val="00573638"/>
    <w:rsid w:val="0057363B"/>
    <w:rsid w:val="00573850"/>
    <w:rsid w:val="00573AAB"/>
    <w:rsid w:val="00574249"/>
    <w:rsid w:val="00574796"/>
    <w:rsid w:val="00574880"/>
    <w:rsid w:val="00574BBA"/>
    <w:rsid w:val="00574DA0"/>
    <w:rsid w:val="00574ED5"/>
    <w:rsid w:val="005751A3"/>
    <w:rsid w:val="0057526F"/>
    <w:rsid w:val="00575402"/>
    <w:rsid w:val="00575C73"/>
    <w:rsid w:val="00575F50"/>
    <w:rsid w:val="005762CC"/>
    <w:rsid w:val="005768E2"/>
    <w:rsid w:val="0057694C"/>
    <w:rsid w:val="00576C70"/>
    <w:rsid w:val="00576E65"/>
    <w:rsid w:val="00576FC6"/>
    <w:rsid w:val="005773AA"/>
    <w:rsid w:val="005775E8"/>
    <w:rsid w:val="0057796D"/>
    <w:rsid w:val="0057796E"/>
    <w:rsid w:val="005779C1"/>
    <w:rsid w:val="00577D61"/>
    <w:rsid w:val="00577E83"/>
    <w:rsid w:val="00577EC8"/>
    <w:rsid w:val="00577F31"/>
    <w:rsid w:val="00577FF7"/>
    <w:rsid w:val="00580137"/>
    <w:rsid w:val="00580470"/>
    <w:rsid w:val="00580764"/>
    <w:rsid w:val="0058083B"/>
    <w:rsid w:val="00580946"/>
    <w:rsid w:val="00580C23"/>
    <w:rsid w:val="00580C32"/>
    <w:rsid w:val="00581294"/>
    <w:rsid w:val="00581350"/>
    <w:rsid w:val="00581A3D"/>
    <w:rsid w:val="00581D97"/>
    <w:rsid w:val="0058206C"/>
    <w:rsid w:val="00582245"/>
    <w:rsid w:val="005827A8"/>
    <w:rsid w:val="00582964"/>
    <w:rsid w:val="005829C1"/>
    <w:rsid w:val="00582D27"/>
    <w:rsid w:val="00582F5D"/>
    <w:rsid w:val="0058322D"/>
    <w:rsid w:val="0058354C"/>
    <w:rsid w:val="00583651"/>
    <w:rsid w:val="005836CE"/>
    <w:rsid w:val="005840A2"/>
    <w:rsid w:val="0058440B"/>
    <w:rsid w:val="0058447E"/>
    <w:rsid w:val="005845DF"/>
    <w:rsid w:val="00584959"/>
    <w:rsid w:val="00584992"/>
    <w:rsid w:val="00584CA8"/>
    <w:rsid w:val="00584FA6"/>
    <w:rsid w:val="005852FA"/>
    <w:rsid w:val="00585422"/>
    <w:rsid w:val="00585475"/>
    <w:rsid w:val="005859F7"/>
    <w:rsid w:val="00585D2E"/>
    <w:rsid w:val="00586031"/>
    <w:rsid w:val="005860CB"/>
    <w:rsid w:val="005862D8"/>
    <w:rsid w:val="0058635C"/>
    <w:rsid w:val="0058687C"/>
    <w:rsid w:val="0058698D"/>
    <w:rsid w:val="0058699F"/>
    <w:rsid w:val="00586E42"/>
    <w:rsid w:val="005875B3"/>
    <w:rsid w:val="00587AE5"/>
    <w:rsid w:val="00587B8F"/>
    <w:rsid w:val="00587C5F"/>
    <w:rsid w:val="00587D50"/>
    <w:rsid w:val="00587E7F"/>
    <w:rsid w:val="00587ED3"/>
    <w:rsid w:val="0059011E"/>
    <w:rsid w:val="0059036A"/>
    <w:rsid w:val="00590506"/>
    <w:rsid w:val="005905FC"/>
    <w:rsid w:val="00590881"/>
    <w:rsid w:val="0059089F"/>
    <w:rsid w:val="00590B0B"/>
    <w:rsid w:val="00590D88"/>
    <w:rsid w:val="0059105F"/>
    <w:rsid w:val="0059118F"/>
    <w:rsid w:val="00591404"/>
    <w:rsid w:val="0059174F"/>
    <w:rsid w:val="0059180A"/>
    <w:rsid w:val="00591864"/>
    <w:rsid w:val="00591865"/>
    <w:rsid w:val="00591D32"/>
    <w:rsid w:val="00591E10"/>
    <w:rsid w:val="005920A5"/>
    <w:rsid w:val="00592110"/>
    <w:rsid w:val="00592327"/>
    <w:rsid w:val="00592544"/>
    <w:rsid w:val="0059258F"/>
    <w:rsid w:val="005926FA"/>
    <w:rsid w:val="00592708"/>
    <w:rsid w:val="00592E47"/>
    <w:rsid w:val="005930E7"/>
    <w:rsid w:val="00593227"/>
    <w:rsid w:val="005932A6"/>
    <w:rsid w:val="0059337A"/>
    <w:rsid w:val="00593610"/>
    <w:rsid w:val="0059383D"/>
    <w:rsid w:val="00593A6A"/>
    <w:rsid w:val="00593BE2"/>
    <w:rsid w:val="00593C0A"/>
    <w:rsid w:val="00593D3B"/>
    <w:rsid w:val="00593E1F"/>
    <w:rsid w:val="00594059"/>
    <w:rsid w:val="0059405B"/>
    <w:rsid w:val="005942BF"/>
    <w:rsid w:val="00594313"/>
    <w:rsid w:val="00594497"/>
    <w:rsid w:val="005944AC"/>
    <w:rsid w:val="005948B0"/>
    <w:rsid w:val="005949E2"/>
    <w:rsid w:val="00594E77"/>
    <w:rsid w:val="00594F89"/>
    <w:rsid w:val="00595780"/>
    <w:rsid w:val="00595E28"/>
    <w:rsid w:val="00595F32"/>
    <w:rsid w:val="00596136"/>
    <w:rsid w:val="00596186"/>
    <w:rsid w:val="0059642D"/>
    <w:rsid w:val="00596667"/>
    <w:rsid w:val="005966B1"/>
    <w:rsid w:val="00596893"/>
    <w:rsid w:val="005968BA"/>
    <w:rsid w:val="00596900"/>
    <w:rsid w:val="00596E15"/>
    <w:rsid w:val="00596E87"/>
    <w:rsid w:val="00597201"/>
    <w:rsid w:val="0059729C"/>
    <w:rsid w:val="00597377"/>
    <w:rsid w:val="005974E5"/>
    <w:rsid w:val="00597A86"/>
    <w:rsid w:val="00597C60"/>
    <w:rsid w:val="00597EC7"/>
    <w:rsid w:val="00597FCF"/>
    <w:rsid w:val="00597FE9"/>
    <w:rsid w:val="005A0287"/>
    <w:rsid w:val="005A07F2"/>
    <w:rsid w:val="005A10AB"/>
    <w:rsid w:val="005A1161"/>
    <w:rsid w:val="005A1188"/>
    <w:rsid w:val="005A1309"/>
    <w:rsid w:val="005A1D4C"/>
    <w:rsid w:val="005A205D"/>
    <w:rsid w:val="005A211E"/>
    <w:rsid w:val="005A2203"/>
    <w:rsid w:val="005A22C7"/>
    <w:rsid w:val="005A2403"/>
    <w:rsid w:val="005A2408"/>
    <w:rsid w:val="005A2506"/>
    <w:rsid w:val="005A2612"/>
    <w:rsid w:val="005A2636"/>
    <w:rsid w:val="005A2695"/>
    <w:rsid w:val="005A2996"/>
    <w:rsid w:val="005A29C2"/>
    <w:rsid w:val="005A3060"/>
    <w:rsid w:val="005A338E"/>
    <w:rsid w:val="005A3457"/>
    <w:rsid w:val="005A346A"/>
    <w:rsid w:val="005A394E"/>
    <w:rsid w:val="005A3BF7"/>
    <w:rsid w:val="005A3E8F"/>
    <w:rsid w:val="005A3FD5"/>
    <w:rsid w:val="005A400F"/>
    <w:rsid w:val="005A40AE"/>
    <w:rsid w:val="005A41B4"/>
    <w:rsid w:val="005A42E0"/>
    <w:rsid w:val="005A4462"/>
    <w:rsid w:val="005A446C"/>
    <w:rsid w:val="005A44C1"/>
    <w:rsid w:val="005A4B34"/>
    <w:rsid w:val="005A5313"/>
    <w:rsid w:val="005A5320"/>
    <w:rsid w:val="005A5541"/>
    <w:rsid w:val="005A5EB3"/>
    <w:rsid w:val="005A5FBB"/>
    <w:rsid w:val="005A60AA"/>
    <w:rsid w:val="005A610E"/>
    <w:rsid w:val="005A61F9"/>
    <w:rsid w:val="005A62B7"/>
    <w:rsid w:val="005A6386"/>
    <w:rsid w:val="005A63AE"/>
    <w:rsid w:val="005A646C"/>
    <w:rsid w:val="005A6587"/>
    <w:rsid w:val="005A659D"/>
    <w:rsid w:val="005A65D8"/>
    <w:rsid w:val="005A6828"/>
    <w:rsid w:val="005A692A"/>
    <w:rsid w:val="005A6B3D"/>
    <w:rsid w:val="005A6B8E"/>
    <w:rsid w:val="005A6CFB"/>
    <w:rsid w:val="005A6DB4"/>
    <w:rsid w:val="005A7176"/>
    <w:rsid w:val="005A7252"/>
    <w:rsid w:val="005A72D8"/>
    <w:rsid w:val="005A7332"/>
    <w:rsid w:val="005A74AA"/>
    <w:rsid w:val="005A74D0"/>
    <w:rsid w:val="005A7CE2"/>
    <w:rsid w:val="005A7E90"/>
    <w:rsid w:val="005B0565"/>
    <w:rsid w:val="005B0582"/>
    <w:rsid w:val="005B082F"/>
    <w:rsid w:val="005B0836"/>
    <w:rsid w:val="005B08D4"/>
    <w:rsid w:val="005B09D6"/>
    <w:rsid w:val="005B0AC4"/>
    <w:rsid w:val="005B0C0B"/>
    <w:rsid w:val="005B0EB9"/>
    <w:rsid w:val="005B1307"/>
    <w:rsid w:val="005B16A3"/>
    <w:rsid w:val="005B16B7"/>
    <w:rsid w:val="005B17C1"/>
    <w:rsid w:val="005B1806"/>
    <w:rsid w:val="005B1929"/>
    <w:rsid w:val="005B1A07"/>
    <w:rsid w:val="005B1B44"/>
    <w:rsid w:val="005B1E01"/>
    <w:rsid w:val="005B1EAD"/>
    <w:rsid w:val="005B2151"/>
    <w:rsid w:val="005B220B"/>
    <w:rsid w:val="005B232C"/>
    <w:rsid w:val="005B296F"/>
    <w:rsid w:val="005B2A3A"/>
    <w:rsid w:val="005B2B38"/>
    <w:rsid w:val="005B2D3F"/>
    <w:rsid w:val="005B2E5C"/>
    <w:rsid w:val="005B2EE5"/>
    <w:rsid w:val="005B2FBE"/>
    <w:rsid w:val="005B2FD3"/>
    <w:rsid w:val="005B3077"/>
    <w:rsid w:val="005B31CA"/>
    <w:rsid w:val="005B324F"/>
    <w:rsid w:val="005B34DC"/>
    <w:rsid w:val="005B3631"/>
    <w:rsid w:val="005B3A23"/>
    <w:rsid w:val="005B3A2A"/>
    <w:rsid w:val="005B3A89"/>
    <w:rsid w:val="005B3B8A"/>
    <w:rsid w:val="005B3BF1"/>
    <w:rsid w:val="005B3C3C"/>
    <w:rsid w:val="005B3D6A"/>
    <w:rsid w:val="005B3EED"/>
    <w:rsid w:val="005B4321"/>
    <w:rsid w:val="005B43F1"/>
    <w:rsid w:val="005B47A5"/>
    <w:rsid w:val="005B4889"/>
    <w:rsid w:val="005B4D5C"/>
    <w:rsid w:val="005B4E13"/>
    <w:rsid w:val="005B5079"/>
    <w:rsid w:val="005B5384"/>
    <w:rsid w:val="005B5562"/>
    <w:rsid w:val="005B58D3"/>
    <w:rsid w:val="005B5B9D"/>
    <w:rsid w:val="005B5BCF"/>
    <w:rsid w:val="005B5C32"/>
    <w:rsid w:val="005B5D2D"/>
    <w:rsid w:val="005B5E42"/>
    <w:rsid w:val="005B6281"/>
    <w:rsid w:val="005B66BC"/>
    <w:rsid w:val="005B6C7A"/>
    <w:rsid w:val="005B6C87"/>
    <w:rsid w:val="005B6E25"/>
    <w:rsid w:val="005B7347"/>
    <w:rsid w:val="005B73D6"/>
    <w:rsid w:val="005B749A"/>
    <w:rsid w:val="005B784E"/>
    <w:rsid w:val="005B7DA8"/>
    <w:rsid w:val="005C0053"/>
    <w:rsid w:val="005C053D"/>
    <w:rsid w:val="005C0BE8"/>
    <w:rsid w:val="005C0F1F"/>
    <w:rsid w:val="005C1068"/>
    <w:rsid w:val="005C11BD"/>
    <w:rsid w:val="005C1545"/>
    <w:rsid w:val="005C1BC7"/>
    <w:rsid w:val="005C20F1"/>
    <w:rsid w:val="005C236D"/>
    <w:rsid w:val="005C23E5"/>
    <w:rsid w:val="005C249B"/>
    <w:rsid w:val="005C28D5"/>
    <w:rsid w:val="005C2A41"/>
    <w:rsid w:val="005C2AA2"/>
    <w:rsid w:val="005C2BAA"/>
    <w:rsid w:val="005C2D68"/>
    <w:rsid w:val="005C3090"/>
    <w:rsid w:val="005C30EC"/>
    <w:rsid w:val="005C3B94"/>
    <w:rsid w:val="005C3BE3"/>
    <w:rsid w:val="005C403E"/>
    <w:rsid w:val="005C43C4"/>
    <w:rsid w:val="005C450B"/>
    <w:rsid w:val="005C487E"/>
    <w:rsid w:val="005C48C6"/>
    <w:rsid w:val="005C4C81"/>
    <w:rsid w:val="005C4DF2"/>
    <w:rsid w:val="005C51D0"/>
    <w:rsid w:val="005C542C"/>
    <w:rsid w:val="005C546A"/>
    <w:rsid w:val="005C54F1"/>
    <w:rsid w:val="005C5B08"/>
    <w:rsid w:val="005C5B36"/>
    <w:rsid w:val="005C5CC9"/>
    <w:rsid w:val="005C5F1F"/>
    <w:rsid w:val="005C5FEF"/>
    <w:rsid w:val="005C608F"/>
    <w:rsid w:val="005C61EF"/>
    <w:rsid w:val="005C6321"/>
    <w:rsid w:val="005C6393"/>
    <w:rsid w:val="005C64E2"/>
    <w:rsid w:val="005C667D"/>
    <w:rsid w:val="005C6791"/>
    <w:rsid w:val="005C69DC"/>
    <w:rsid w:val="005C6C9D"/>
    <w:rsid w:val="005C6CD6"/>
    <w:rsid w:val="005C6D3F"/>
    <w:rsid w:val="005C7039"/>
    <w:rsid w:val="005C719F"/>
    <w:rsid w:val="005C71D7"/>
    <w:rsid w:val="005C71E5"/>
    <w:rsid w:val="005C72A5"/>
    <w:rsid w:val="005C72AD"/>
    <w:rsid w:val="005C747A"/>
    <w:rsid w:val="005C7BCE"/>
    <w:rsid w:val="005C7C30"/>
    <w:rsid w:val="005C7D44"/>
    <w:rsid w:val="005D0104"/>
    <w:rsid w:val="005D0461"/>
    <w:rsid w:val="005D0489"/>
    <w:rsid w:val="005D06BF"/>
    <w:rsid w:val="005D0725"/>
    <w:rsid w:val="005D0933"/>
    <w:rsid w:val="005D0AD1"/>
    <w:rsid w:val="005D0C89"/>
    <w:rsid w:val="005D145D"/>
    <w:rsid w:val="005D14A3"/>
    <w:rsid w:val="005D150C"/>
    <w:rsid w:val="005D1822"/>
    <w:rsid w:val="005D1867"/>
    <w:rsid w:val="005D18C7"/>
    <w:rsid w:val="005D1928"/>
    <w:rsid w:val="005D1B4C"/>
    <w:rsid w:val="005D1F80"/>
    <w:rsid w:val="005D1FC1"/>
    <w:rsid w:val="005D2138"/>
    <w:rsid w:val="005D21E8"/>
    <w:rsid w:val="005D228A"/>
    <w:rsid w:val="005D23AA"/>
    <w:rsid w:val="005D2720"/>
    <w:rsid w:val="005D2BCE"/>
    <w:rsid w:val="005D2BD7"/>
    <w:rsid w:val="005D2BE1"/>
    <w:rsid w:val="005D2EB0"/>
    <w:rsid w:val="005D3068"/>
    <w:rsid w:val="005D359D"/>
    <w:rsid w:val="005D374D"/>
    <w:rsid w:val="005D3C4C"/>
    <w:rsid w:val="005D3CDE"/>
    <w:rsid w:val="005D4285"/>
    <w:rsid w:val="005D4457"/>
    <w:rsid w:val="005D447F"/>
    <w:rsid w:val="005D470F"/>
    <w:rsid w:val="005D472E"/>
    <w:rsid w:val="005D4ABB"/>
    <w:rsid w:val="005D4D9A"/>
    <w:rsid w:val="005D4E4B"/>
    <w:rsid w:val="005D511C"/>
    <w:rsid w:val="005D52D3"/>
    <w:rsid w:val="005D5317"/>
    <w:rsid w:val="005D554C"/>
    <w:rsid w:val="005D5628"/>
    <w:rsid w:val="005D5757"/>
    <w:rsid w:val="005D5866"/>
    <w:rsid w:val="005D58A8"/>
    <w:rsid w:val="005D5D8B"/>
    <w:rsid w:val="005D615B"/>
    <w:rsid w:val="005D61A2"/>
    <w:rsid w:val="005D628F"/>
    <w:rsid w:val="005D63C2"/>
    <w:rsid w:val="005D6890"/>
    <w:rsid w:val="005D69FE"/>
    <w:rsid w:val="005D6C01"/>
    <w:rsid w:val="005D6E12"/>
    <w:rsid w:val="005D7149"/>
    <w:rsid w:val="005D71AA"/>
    <w:rsid w:val="005D7210"/>
    <w:rsid w:val="005D739B"/>
    <w:rsid w:val="005D7E5C"/>
    <w:rsid w:val="005E0007"/>
    <w:rsid w:val="005E00D4"/>
    <w:rsid w:val="005E0151"/>
    <w:rsid w:val="005E0277"/>
    <w:rsid w:val="005E0344"/>
    <w:rsid w:val="005E0458"/>
    <w:rsid w:val="005E0667"/>
    <w:rsid w:val="005E0841"/>
    <w:rsid w:val="005E08A1"/>
    <w:rsid w:val="005E08AC"/>
    <w:rsid w:val="005E0965"/>
    <w:rsid w:val="005E09EC"/>
    <w:rsid w:val="005E0BD9"/>
    <w:rsid w:val="005E0DDE"/>
    <w:rsid w:val="005E0E94"/>
    <w:rsid w:val="005E0F5F"/>
    <w:rsid w:val="005E115E"/>
    <w:rsid w:val="005E1294"/>
    <w:rsid w:val="005E1326"/>
    <w:rsid w:val="005E133B"/>
    <w:rsid w:val="005E14A2"/>
    <w:rsid w:val="005E15F6"/>
    <w:rsid w:val="005E18B4"/>
    <w:rsid w:val="005E1AEA"/>
    <w:rsid w:val="005E1B1C"/>
    <w:rsid w:val="005E1D1E"/>
    <w:rsid w:val="005E2149"/>
    <w:rsid w:val="005E2195"/>
    <w:rsid w:val="005E2315"/>
    <w:rsid w:val="005E2350"/>
    <w:rsid w:val="005E242A"/>
    <w:rsid w:val="005E246A"/>
    <w:rsid w:val="005E25A9"/>
    <w:rsid w:val="005E25D4"/>
    <w:rsid w:val="005E26BE"/>
    <w:rsid w:val="005E281D"/>
    <w:rsid w:val="005E2B87"/>
    <w:rsid w:val="005E2C81"/>
    <w:rsid w:val="005E32CF"/>
    <w:rsid w:val="005E33AD"/>
    <w:rsid w:val="005E3622"/>
    <w:rsid w:val="005E3673"/>
    <w:rsid w:val="005E3AF3"/>
    <w:rsid w:val="005E3D63"/>
    <w:rsid w:val="005E3F5A"/>
    <w:rsid w:val="005E3FE4"/>
    <w:rsid w:val="005E49F5"/>
    <w:rsid w:val="005E4BF4"/>
    <w:rsid w:val="005E4CE2"/>
    <w:rsid w:val="005E4E68"/>
    <w:rsid w:val="005E4F2A"/>
    <w:rsid w:val="005E5013"/>
    <w:rsid w:val="005E51F4"/>
    <w:rsid w:val="005E570C"/>
    <w:rsid w:val="005E573D"/>
    <w:rsid w:val="005E5751"/>
    <w:rsid w:val="005E5771"/>
    <w:rsid w:val="005E5831"/>
    <w:rsid w:val="005E5900"/>
    <w:rsid w:val="005E5A5B"/>
    <w:rsid w:val="005E62BC"/>
    <w:rsid w:val="005E643B"/>
    <w:rsid w:val="005E6472"/>
    <w:rsid w:val="005E64BC"/>
    <w:rsid w:val="005E655B"/>
    <w:rsid w:val="005E6981"/>
    <w:rsid w:val="005E6CF4"/>
    <w:rsid w:val="005E6D3E"/>
    <w:rsid w:val="005E6E5A"/>
    <w:rsid w:val="005E70B1"/>
    <w:rsid w:val="005E727D"/>
    <w:rsid w:val="005E7786"/>
    <w:rsid w:val="005E7BF0"/>
    <w:rsid w:val="005E7E30"/>
    <w:rsid w:val="005F006F"/>
    <w:rsid w:val="005F0549"/>
    <w:rsid w:val="005F055F"/>
    <w:rsid w:val="005F061B"/>
    <w:rsid w:val="005F0B5E"/>
    <w:rsid w:val="005F0B6E"/>
    <w:rsid w:val="005F0C63"/>
    <w:rsid w:val="005F0FFA"/>
    <w:rsid w:val="005F1273"/>
    <w:rsid w:val="005F137A"/>
    <w:rsid w:val="005F17D4"/>
    <w:rsid w:val="005F18D3"/>
    <w:rsid w:val="005F1D39"/>
    <w:rsid w:val="005F1DBC"/>
    <w:rsid w:val="005F1DC4"/>
    <w:rsid w:val="005F228B"/>
    <w:rsid w:val="005F22FE"/>
    <w:rsid w:val="005F234D"/>
    <w:rsid w:val="005F2B43"/>
    <w:rsid w:val="005F2FD6"/>
    <w:rsid w:val="005F2FE0"/>
    <w:rsid w:val="005F309F"/>
    <w:rsid w:val="005F316A"/>
    <w:rsid w:val="005F3291"/>
    <w:rsid w:val="005F37B2"/>
    <w:rsid w:val="005F3CA4"/>
    <w:rsid w:val="005F3F3A"/>
    <w:rsid w:val="005F4135"/>
    <w:rsid w:val="005F43DA"/>
    <w:rsid w:val="005F4751"/>
    <w:rsid w:val="005F4855"/>
    <w:rsid w:val="005F48DD"/>
    <w:rsid w:val="005F48DF"/>
    <w:rsid w:val="005F4962"/>
    <w:rsid w:val="005F4967"/>
    <w:rsid w:val="005F4A78"/>
    <w:rsid w:val="005F4BEE"/>
    <w:rsid w:val="005F4FD8"/>
    <w:rsid w:val="005F51C7"/>
    <w:rsid w:val="005F5262"/>
    <w:rsid w:val="005F533F"/>
    <w:rsid w:val="005F5643"/>
    <w:rsid w:val="005F5869"/>
    <w:rsid w:val="005F588D"/>
    <w:rsid w:val="005F5A28"/>
    <w:rsid w:val="005F5A6A"/>
    <w:rsid w:val="005F5BA5"/>
    <w:rsid w:val="005F63A9"/>
    <w:rsid w:val="005F64FE"/>
    <w:rsid w:val="005F65EB"/>
    <w:rsid w:val="005F664B"/>
    <w:rsid w:val="005F66A2"/>
    <w:rsid w:val="005F67ED"/>
    <w:rsid w:val="005F6982"/>
    <w:rsid w:val="005F6A8F"/>
    <w:rsid w:val="005F6B34"/>
    <w:rsid w:val="005F7048"/>
    <w:rsid w:val="005F7627"/>
    <w:rsid w:val="005F7916"/>
    <w:rsid w:val="005F7A5E"/>
    <w:rsid w:val="005F7E01"/>
    <w:rsid w:val="005F7E47"/>
    <w:rsid w:val="005F7F43"/>
    <w:rsid w:val="0060006D"/>
    <w:rsid w:val="006004A0"/>
    <w:rsid w:val="00600662"/>
    <w:rsid w:val="006008EE"/>
    <w:rsid w:val="00600B2B"/>
    <w:rsid w:val="00600FF7"/>
    <w:rsid w:val="006010B7"/>
    <w:rsid w:val="00601628"/>
    <w:rsid w:val="00601A87"/>
    <w:rsid w:val="00601A91"/>
    <w:rsid w:val="00601EB1"/>
    <w:rsid w:val="00602229"/>
    <w:rsid w:val="00602297"/>
    <w:rsid w:val="00602685"/>
    <w:rsid w:val="006028A2"/>
    <w:rsid w:val="00602B9D"/>
    <w:rsid w:val="00602D92"/>
    <w:rsid w:val="0060369A"/>
    <w:rsid w:val="00603C54"/>
    <w:rsid w:val="0060449A"/>
    <w:rsid w:val="006044EF"/>
    <w:rsid w:val="006049AA"/>
    <w:rsid w:val="00604DDC"/>
    <w:rsid w:val="006052E3"/>
    <w:rsid w:val="006053E5"/>
    <w:rsid w:val="0060540F"/>
    <w:rsid w:val="00605420"/>
    <w:rsid w:val="006054C5"/>
    <w:rsid w:val="0060566B"/>
    <w:rsid w:val="0060583E"/>
    <w:rsid w:val="00605A2D"/>
    <w:rsid w:val="006060DC"/>
    <w:rsid w:val="00606333"/>
    <w:rsid w:val="00606342"/>
    <w:rsid w:val="00606954"/>
    <w:rsid w:val="00606A97"/>
    <w:rsid w:val="00606B1A"/>
    <w:rsid w:val="00606C20"/>
    <w:rsid w:val="00606C68"/>
    <w:rsid w:val="00606D21"/>
    <w:rsid w:val="00606D81"/>
    <w:rsid w:val="0060713A"/>
    <w:rsid w:val="00607257"/>
    <w:rsid w:val="00607711"/>
    <w:rsid w:val="00607747"/>
    <w:rsid w:val="00607A28"/>
    <w:rsid w:val="00607A76"/>
    <w:rsid w:val="00607F25"/>
    <w:rsid w:val="00607FC4"/>
    <w:rsid w:val="006101FF"/>
    <w:rsid w:val="00610448"/>
    <w:rsid w:val="00610BE1"/>
    <w:rsid w:val="00610C4E"/>
    <w:rsid w:val="00610D20"/>
    <w:rsid w:val="00610F33"/>
    <w:rsid w:val="006111DF"/>
    <w:rsid w:val="00611543"/>
    <w:rsid w:val="006115EB"/>
    <w:rsid w:val="006119A3"/>
    <w:rsid w:val="00611B3E"/>
    <w:rsid w:val="00611C12"/>
    <w:rsid w:val="00611CB6"/>
    <w:rsid w:val="00611F1D"/>
    <w:rsid w:val="006121B7"/>
    <w:rsid w:val="00612371"/>
    <w:rsid w:val="006125FB"/>
    <w:rsid w:val="006128AD"/>
    <w:rsid w:val="00612ABD"/>
    <w:rsid w:val="00612CF3"/>
    <w:rsid w:val="00612D99"/>
    <w:rsid w:val="00612E73"/>
    <w:rsid w:val="00612E7E"/>
    <w:rsid w:val="00613141"/>
    <w:rsid w:val="0061318A"/>
    <w:rsid w:val="006131A8"/>
    <w:rsid w:val="006136D7"/>
    <w:rsid w:val="006138F2"/>
    <w:rsid w:val="006139D3"/>
    <w:rsid w:val="00613A1C"/>
    <w:rsid w:val="00613AF8"/>
    <w:rsid w:val="00613BD9"/>
    <w:rsid w:val="00613D7C"/>
    <w:rsid w:val="00613DA9"/>
    <w:rsid w:val="00613F2F"/>
    <w:rsid w:val="00613FB3"/>
    <w:rsid w:val="00614318"/>
    <w:rsid w:val="006146F3"/>
    <w:rsid w:val="00614945"/>
    <w:rsid w:val="00614C06"/>
    <w:rsid w:val="00614F3D"/>
    <w:rsid w:val="006151D8"/>
    <w:rsid w:val="006155DE"/>
    <w:rsid w:val="00615E40"/>
    <w:rsid w:val="00615EE7"/>
    <w:rsid w:val="0061618C"/>
    <w:rsid w:val="006161AC"/>
    <w:rsid w:val="006162D8"/>
    <w:rsid w:val="006165E3"/>
    <w:rsid w:val="006167D7"/>
    <w:rsid w:val="00616BB2"/>
    <w:rsid w:val="00616CA0"/>
    <w:rsid w:val="00616CA2"/>
    <w:rsid w:val="006170D1"/>
    <w:rsid w:val="0061712E"/>
    <w:rsid w:val="006171A8"/>
    <w:rsid w:val="00617211"/>
    <w:rsid w:val="00617665"/>
    <w:rsid w:val="00620099"/>
    <w:rsid w:val="006200FE"/>
    <w:rsid w:val="006201F4"/>
    <w:rsid w:val="00620320"/>
    <w:rsid w:val="00620328"/>
    <w:rsid w:val="0062037C"/>
    <w:rsid w:val="00620516"/>
    <w:rsid w:val="00620D94"/>
    <w:rsid w:val="00620F62"/>
    <w:rsid w:val="00621051"/>
    <w:rsid w:val="00621282"/>
    <w:rsid w:val="006214FA"/>
    <w:rsid w:val="00621776"/>
    <w:rsid w:val="006219D3"/>
    <w:rsid w:val="00621C23"/>
    <w:rsid w:val="00621DAB"/>
    <w:rsid w:val="00621F52"/>
    <w:rsid w:val="006223BA"/>
    <w:rsid w:val="00622664"/>
    <w:rsid w:val="00622717"/>
    <w:rsid w:val="0062277F"/>
    <w:rsid w:val="0062282E"/>
    <w:rsid w:val="00622AF1"/>
    <w:rsid w:val="00622B28"/>
    <w:rsid w:val="00622C79"/>
    <w:rsid w:val="00622CAA"/>
    <w:rsid w:val="00622E1D"/>
    <w:rsid w:val="00622EDF"/>
    <w:rsid w:val="00623095"/>
    <w:rsid w:val="006230FF"/>
    <w:rsid w:val="00623193"/>
    <w:rsid w:val="006234E7"/>
    <w:rsid w:val="00623B0D"/>
    <w:rsid w:val="00623B66"/>
    <w:rsid w:val="00623B88"/>
    <w:rsid w:val="00623C25"/>
    <w:rsid w:val="00623DA1"/>
    <w:rsid w:val="00623E80"/>
    <w:rsid w:val="00624193"/>
    <w:rsid w:val="006243A1"/>
    <w:rsid w:val="00624635"/>
    <w:rsid w:val="00624EE4"/>
    <w:rsid w:val="00624F32"/>
    <w:rsid w:val="00624FE0"/>
    <w:rsid w:val="00625157"/>
    <w:rsid w:val="00625234"/>
    <w:rsid w:val="00625314"/>
    <w:rsid w:val="0062531E"/>
    <w:rsid w:val="0062556B"/>
    <w:rsid w:val="006259B0"/>
    <w:rsid w:val="00625B2A"/>
    <w:rsid w:val="00625EAC"/>
    <w:rsid w:val="00625EE0"/>
    <w:rsid w:val="00625F61"/>
    <w:rsid w:val="0062615F"/>
    <w:rsid w:val="006262ED"/>
    <w:rsid w:val="006268AE"/>
    <w:rsid w:val="00626BEA"/>
    <w:rsid w:val="00626DE0"/>
    <w:rsid w:val="006271D3"/>
    <w:rsid w:val="006271EC"/>
    <w:rsid w:val="00627433"/>
    <w:rsid w:val="00627683"/>
    <w:rsid w:val="00627833"/>
    <w:rsid w:val="00627B38"/>
    <w:rsid w:val="00627B57"/>
    <w:rsid w:val="00627B67"/>
    <w:rsid w:val="0063004A"/>
    <w:rsid w:val="0063009F"/>
    <w:rsid w:val="0063070F"/>
    <w:rsid w:val="00630AF4"/>
    <w:rsid w:val="00630B54"/>
    <w:rsid w:val="00630F8A"/>
    <w:rsid w:val="0063133E"/>
    <w:rsid w:val="00631933"/>
    <w:rsid w:val="006320F1"/>
    <w:rsid w:val="006325B6"/>
    <w:rsid w:val="006327C9"/>
    <w:rsid w:val="006327EE"/>
    <w:rsid w:val="006328DD"/>
    <w:rsid w:val="00632D0B"/>
    <w:rsid w:val="00632DA8"/>
    <w:rsid w:val="00633076"/>
    <w:rsid w:val="0063338D"/>
    <w:rsid w:val="00633473"/>
    <w:rsid w:val="00633AB6"/>
    <w:rsid w:val="00633B2F"/>
    <w:rsid w:val="00633D11"/>
    <w:rsid w:val="00633E2E"/>
    <w:rsid w:val="00634BE8"/>
    <w:rsid w:val="00634DCD"/>
    <w:rsid w:val="006350A0"/>
    <w:rsid w:val="006353BF"/>
    <w:rsid w:val="00635555"/>
    <w:rsid w:val="006358EB"/>
    <w:rsid w:val="00635A5A"/>
    <w:rsid w:val="00635ACA"/>
    <w:rsid w:val="00635FCF"/>
    <w:rsid w:val="00636122"/>
    <w:rsid w:val="00636226"/>
    <w:rsid w:val="00636255"/>
    <w:rsid w:val="00636493"/>
    <w:rsid w:val="00636546"/>
    <w:rsid w:val="00636939"/>
    <w:rsid w:val="00636B3B"/>
    <w:rsid w:val="00636C0B"/>
    <w:rsid w:val="00636C9E"/>
    <w:rsid w:val="00636CDA"/>
    <w:rsid w:val="00636E50"/>
    <w:rsid w:val="00636E7E"/>
    <w:rsid w:val="00637198"/>
    <w:rsid w:val="006371D9"/>
    <w:rsid w:val="00637249"/>
    <w:rsid w:val="006372FA"/>
    <w:rsid w:val="00637792"/>
    <w:rsid w:val="00637BDE"/>
    <w:rsid w:val="00637C8D"/>
    <w:rsid w:val="00637D83"/>
    <w:rsid w:val="00637EE6"/>
    <w:rsid w:val="0064002A"/>
    <w:rsid w:val="006400E6"/>
    <w:rsid w:val="00640153"/>
    <w:rsid w:val="00640616"/>
    <w:rsid w:val="00640A3A"/>
    <w:rsid w:val="00640BB4"/>
    <w:rsid w:val="00640BC2"/>
    <w:rsid w:val="00640CFB"/>
    <w:rsid w:val="00640E65"/>
    <w:rsid w:val="00640F9C"/>
    <w:rsid w:val="00641139"/>
    <w:rsid w:val="0064137E"/>
    <w:rsid w:val="00641448"/>
    <w:rsid w:val="00641842"/>
    <w:rsid w:val="0064186B"/>
    <w:rsid w:val="006419B5"/>
    <w:rsid w:val="00641B96"/>
    <w:rsid w:val="00641BA1"/>
    <w:rsid w:val="00641C7A"/>
    <w:rsid w:val="00641E6C"/>
    <w:rsid w:val="0064202D"/>
    <w:rsid w:val="006422F5"/>
    <w:rsid w:val="00642517"/>
    <w:rsid w:val="0064258E"/>
    <w:rsid w:val="0064265B"/>
    <w:rsid w:val="00642926"/>
    <w:rsid w:val="00642B21"/>
    <w:rsid w:val="00642DB4"/>
    <w:rsid w:val="00643365"/>
    <w:rsid w:val="00643545"/>
    <w:rsid w:val="00643554"/>
    <w:rsid w:val="006435D4"/>
    <w:rsid w:val="006436DA"/>
    <w:rsid w:val="00643821"/>
    <w:rsid w:val="0064383D"/>
    <w:rsid w:val="00644190"/>
    <w:rsid w:val="006441B1"/>
    <w:rsid w:val="006445D8"/>
    <w:rsid w:val="006446D4"/>
    <w:rsid w:val="0064479E"/>
    <w:rsid w:val="006448AB"/>
    <w:rsid w:val="00644B07"/>
    <w:rsid w:val="00644B1B"/>
    <w:rsid w:val="00644E32"/>
    <w:rsid w:val="00645117"/>
    <w:rsid w:val="0064554B"/>
    <w:rsid w:val="0064558A"/>
    <w:rsid w:val="00645940"/>
    <w:rsid w:val="00645CE8"/>
    <w:rsid w:val="0064603C"/>
    <w:rsid w:val="00646152"/>
    <w:rsid w:val="006461C0"/>
    <w:rsid w:val="00646754"/>
    <w:rsid w:val="006467EE"/>
    <w:rsid w:val="00646AEF"/>
    <w:rsid w:val="00646D08"/>
    <w:rsid w:val="00647031"/>
    <w:rsid w:val="006470AB"/>
    <w:rsid w:val="006470C2"/>
    <w:rsid w:val="00647164"/>
    <w:rsid w:val="0064733C"/>
    <w:rsid w:val="006475AE"/>
    <w:rsid w:val="0064764F"/>
    <w:rsid w:val="00647653"/>
    <w:rsid w:val="006476CB"/>
    <w:rsid w:val="00647707"/>
    <w:rsid w:val="0064795C"/>
    <w:rsid w:val="0064798F"/>
    <w:rsid w:val="00647BEB"/>
    <w:rsid w:val="00647C81"/>
    <w:rsid w:val="00647E1C"/>
    <w:rsid w:val="00647E7B"/>
    <w:rsid w:val="006501F4"/>
    <w:rsid w:val="006502A3"/>
    <w:rsid w:val="00650732"/>
    <w:rsid w:val="006508E3"/>
    <w:rsid w:val="00650A25"/>
    <w:rsid w:val="00650A5C"/>
    <w:rsid w:val="00651044"/>
    <w:rsid w:val="0065117A"/>
    <w:rsid w:val="00651643"/>
    <w:rsid w:val="00651667"/>
    <w:rsid w:val="00651715"/>
    <w:rsid w:val="00651E49"/>
    <w:rsid w:val="00652232"/>
    <w:rsid w:val="00652276"/>
    <w:rsid w:val="00652358"/>
    <w:rsid w:val="0065265C"/>
    <w:rsid w:val="00652830"/>
    <w:rsid w:val="00652926"/>
    <w:rsid w:val="00652BE8"/>
    <w:rsid w:val="00652D10"/>
    <w:rsid w:val="00652FAA"/>
    <w:rsid w:val="006530E3"/>
    <w:rsid w:val="00653478"/>
    <w:rsid w:val="00653C7A"/>
    <w:rsid w:val="00653DB2"/>
    <w:rsid w:val="00653E53"/>
    <w:rsid w:val="006543A1"/>
    <w:rsid w:val="0065443D"/>
    <w:rsid w:val="00654575"/>
    <w:rsid w:val="006547CF"/>
    <w:rsid w:val="0065490B"/>
    <w:rsid w:val="0065495D"/>
    <w:rsid w:val="00654F05"/>
    <w:rsid w:val="006550CA"/>
    <w:rsid w:val="00655102"/>
    <w:rsid w:val="00655180"/>
    <w:rsid w:val="0065552B"/>
    <w:rsid w:val="00655594"/>
    <w:rsid w:val="00655B5D"/>
    <w:rsid w:val="00655B67"/>
    <w:rsid w:val="00655CE2"/>
    <w:rsid w:val="006560D5"/>
    <w:rsid w:val="00656309"/>
    <w:rsid w:val="00656656"/>
    <w:rsid w:val="0065667A"/>
    <w:rsid w:val="00656694"/>
    <w:rsid w:val="0065680D"/>
    <w:rsid w:val="00656853"/>
    <w:rsid w:val="00656AC2"/>
    <w:rsid w:val="00657075"/>
    <w:rsid w:val="0065710F"/>
    <w:rsid w:val="00657238"/>
    <w:rsid w:val="00657248"/>
    <w:rsid w:val="0065743B"/>
    <w:rsid w:val="0065785B"/>
    <w:rsid w:val="00657A35"/>
    <w:rsid w:val="00657AC3"/>
    <w:rsid w:val="00657DEC"/>
    <w:rsid w:val="00657E16"/>
    <w:rsid w:val="00657F22"/>
    <w:rsid w:val="00660073"/>
    <w:rsid w:val="00660428"/>
    <w:rsid w:val="00660778"/>
    <w:rsid w:val="006607F0"/>
    <w:rsid w:val="00660A16"/>
    <w:rsid w:val="00660A82"/>
    <w:rsid w:val="00660F86"/>
    <w:rsid w:val="00660FFE"/>
    <w:rsid w:val="0066108D"/>
    <w:rsid w:val="006610AC"/>
    <w:rsid w:val="0066142D"/>
    <w:rsid w:val="00661466"/>
    <w:rsid w:val="006614C0"/>
    <w:rsid w:val="00661673"/>
    <w:rsid w:val="006617E6"/>
    <w:rsid w:val="006618AF"/>
    <w:rsid w:val="00662218"/>
    <w:rsid w:val="006622B4"/>
    <w:rsid w:val="00662359"/>
    <w:rsid w:val="00662626"/>
    <w:rsid w:val="0066274E"/>
    <w:rsid w:val="0066276E"/>
    <w:rsid w:val="00662890"/>
    <w:rsid w:val="006628CA"/>
    <w:rsid w:val="00662B80"/>
    <w:rsid w:val="00662EB9"/>
    <w:rsid w:val="006630FC"/>
    <w:rsid w:val="0066318B"/>
    <w:rsid w:val="00663283"/>
    <w:rsid w:val="006634B1"/>
    <w:rsid w:val="0066355D"/>
    <w:rsid w:val="00663847"/>
    <w:rsid w:val="0066393F"/>
    <w:rsid w:val="00663AFD"/>
    <w:rsid w:val="00663D76"/>
    <w:rsid w:val="00663DB6"/>
    <w:rsid w:val="00663E82"/>
    <w:rsid w:val="006645C3"/>
    <w:rsid w:val="00664759"/>
    <w:rsid w:val="006647BC"/>
    <w:rsid w:val="0066480B"/>
    <w:rsid w:val="00664B8E"/>
    <w:rsid w:val="00664D2C"/>
    <w:rsid w:val="00664FC2"/>
    <w:rsid w:val="00665135"/>
    <w:rsid w:val="006653DC"/>
    <w:rsid w:val="006656E8"/>
    <w:rsid w:val="006658C2"/>
    <w:rsid w:val="0066590A"/>
    <w:rsid w:val="00665EC4"/>
    <w:rsid w:val="0066603B"/>
    <w:rsid w:val="00666213"/>
    <w:rsid w:val="00666D32"/>
    <w:rsid w:val="00666FB3"/>
    <w:rsid w:val="006673A3"/>
    <w:rsid w:val="00667A6A"/>
    <w:rsid w:val="00667E3C"/>
    <w:rsid w:val="00667F84"/>
    <w:rsid w:val="0067011B"/>
    <w:rsid w:val="00670179"/>
    <w:rsid w:val="0067046B"/>
    <w:rsid w:val="006704EC"/>
    <w:rsid w:val="006707F8"/>
    <w:rsid w:val="0067087E"/>
    <w:rsid w:val="006709F2"/>
    <w:rsid w:val="00670C46"/>
    <w:rsid w:val="00670D19"/>
    <w:rsid w:val="00670EB4"/>
    <w:rsid w:val="006711C8"/>
    <w:rsid w:val="0067184E"/>
    <w:rsid w:val="006718D0"/>
    <w:rsid w:val="006719EA"/>
    <w:rsid w:val="00671A23"/>
    <w:rsid w:val="00671E02"/>
    <w:rsid w:val="00671E26"/>
    <w:rsid w:val="00672145"/>
    <w:rsid w:val="0067268E"/>
    <w:rsid w:val="006729AA"/>
    <w:rsid w:val="00672AC4"/>
    <w:rsid w:val="00672B06"/>
    <w:rsid w:val="00673011"/>
    <w:rsid w:val="006730CF"/>
    <w:rsid w:val="0067313E"/>
    <w:rsid w:val="006734AB"/>
    <w:rsid w:val="00673751"/>
    <w:rsid w:val="0067398E"/>
    <w:rsid w:val="00673A83"/>
    <w:rsid w:val="00673C58"/>
    <w:rsid w:val="00673C75"/>
    <w:rsid w:val="006741A3"/>
    <w:rsid w:val="00674211"/>
    <w:rsid w:val="00674498"/>
    <w:rsid w:val="0067456F"/>
    <w:rsid w:val="006747DC"/>
    <w:rsid w:val="006749C9"/>
    <w:rsid w:val="00674A85"/>
    <w:rsid w:val="00674DA4"/>
    <w:rsid w:val="00674E15"/>
    <w:rsid w:val="00674F40"/>
    <w:rsid w:val="00675094"/>
    <w:rsid w:val="00675163"/>
    <w:rsid w:val="006753FB"/>
    <w:rsid w:val="0067548B"/>
    <w:rsid w:val="00675725"/>
    <w:rsid w:val="006758FA"/>
    <w:rsid w:val="006759C5"/>
    <w:rsid w:val="0067606C"/>
    <w:rsid w:val="006763C0"/>
    <w:rsid w:val="0067641D"/>
    <w:rsid w:val="0067642E"/>
    <w:rsid w:val="00676780"/>
    <w:rsid w:val="006767F9"/>
    <w:rsid w:val="00676D74"/>
    <w:rsid w:val="00676E08"/>
    <w:rsid w:val="00676E8D"/>
    <w:rsid w:val="0067717F"/>
    <w:rsid w:val="00677251"/>
    <w:rsid w:val="0067730E"/>
    <w:rsid w:val="006775F9"/>
    <w:rsid w:val="00677686"/>
    <w:rsid w:val="006777D1"/>
    <w:rsid w:val="00677C45"/>
    <w:rsid w:val="00677C64"/>
    <w:rsid w:val="00677CDE"/>
    <w:rsid w:val="00677E8D"/>
    <w:rsid w:val="0068035C"/>
    <w:rsid w:val="0068036C"/>
    <w:rsid w:val="0068036F"/>
    <w:rsid w:val="00680741"/>
    <w:rsid w:val="0068093A"/>
    <w:rsid w:val="00680A27"/>
    <w:rsid w:val="00680C14"/>
    <w:rsid w:val="00680EA9"/>
    <w:rsid w:val="00680EC8"/>
    <w:rsid w:val="006811FD"/>
    <w:rsid w:val="006813D3"/>
    <w:rsid w:val="006814A7"/>
    <w:rsid w:val="0068150D"/>
    <w:rsid w:val="00681922"/>
    <w:rsid w:val="006819CD"/>
    <w:rsid w:val="00681B55"/>
    <w:rsid w:val="00681FDD"/>
    <w:rsid w:val="00682034"/>
    <w:rsid w:val="006820C7"/>
    <w:rsid w:val="00682397"/>
    <w:rsid w:val="0068277F"/>
    <w:rsid w:val="006829CE"/>
    <w:rsid w:val="00682BA8"/>
    <w:rsid w:val="00682DD7"/>
    <w:rsid w:val="00682DF9"/>
    <w:rsid w:val="00682F6D"/>
    <w:rsid w:val="0068320A"/>
    <w:rsid w:val="00683360"/>
    <w:rsid w:val="00683387"/>
    <w:rsid w:val="00683413"/>
    <w:rsid w:val="00683825"/>
    <w:rsid w:val="00683961"/>
    <w:rsid w:val="00683B9E"/>
    <w:rsid w:val="00683FAE"/>
    <w:rsid w:val="00683FE8"/>
    <w:rsid w:val="00684011"/>
    <w:rsid w:val="00684129"/>
    <w:rsid w:val="006841EF"/>
    <w:rsid w:val="00684478"/>
    <w:rsid w:val="006846FE"/>
    <w:rsid w:val="006847F6"/>
    <w:rsid w:val="0068484A"/>
    <w:rsid w:val="006848F6"/>
    <w:rsid w:val="00684CF9"/>
    <w:rsid w:val="00684E55"/>
    <w:rsid w:val="00684F35"/>
    <w:rsid w:val="00684FCF"/>
    <w:rsid w:val="006850A7"/>
    <w:rsid w:val="00685178"/>
    <w:rsid w:val="006853FD"/>
    <w:rsid w:val="0068545C"/>
    <w:rsid w:val="00685636"/>
    <w:rsid w:val="006859A5"/>
    <w:rsid w:val="00685A0F"/>
    <w:rsid w:val="00685A61"/>
    <w:rsid w:val="00685AD9"/>
    <w:rsid w:val="00685B9B"/>
    <w:rsid w:val="00686085"/>
    <w:rsid w:val="006860B7"/>
    <w:rsid w:val="00686157"/>
    <w:rsid w:val="00686303"/>
    <w:rsid w:val="00686393"/>
    <w:rsid w:val="00686484"/>
    <w:rsid w:val="00686597"/>
    <w:rsid w:val="00686687"/>
    <w:rsid w:val="00686788"/>
    <w:rsid w:val="00686791"/>
    <w:rsid w:val="00686D85"/>
    <w:rsid w:val="00686DA4"/>
    <w:rsid w:val="00687088"/>
    <w:rsid w:val="006870B1"/>
    <w:rsid w:val="00687451"/>
    <w:rsid w:val="006876D4"/>
    <w:rsid w:val="00687912"/>
    <w:rsid w:val="00687A3F"/>
    <w:rsid w:val="00687A56"/>
    <w:rsid w:val="006903FE"/>
    <w:rsid w:val="0069049D"/>
    <w:rsid w:val="006904D9"/>
    <w:rsid w:val="006904E9"/>
    <w:rsid w:val="00690D4D"/>
    <w:rsid w:val="00690DF9"/>
    <w:rsid w:val="00691100"/>
    <w:rsid w:val="00691185"/>
    <w:rsid w:val="006911DE"/>
    <w:rsid w:val="0069124A"/>
    <w:rsid w:val="00691370"/>
    <w:rsid w:val="006913A7"/>
    <w:rsid w:val="006913D4"/>
    <w:rsid w:val="00691734"/>
    <w:rsid w:val="0069182C"/>
    <w:rsid w:val="00691B88"/>
    <w:rsid w:val="00691D3B"/>
    <w:rsid w:val="00691EED"/>
    <w:rsid w:val="00691FEC"/>
    <w:rsid w:val="00692B0A"/>
    <w:rsid w:val="00692B77"/>
    <w:rsid w:val="00692D95"/>
    <w:rsid w:val="00692DE3"/>
    <w:rsid w:val="00693178"/>
    <w:rsid w:val="006933E8"/>
    <w:rsid w:val="0069348C"/>
    <w:rsid w:val="006936BE"/>
    <w:rsid w:val="0069392C"/>
    <w:rsid w:val="00693A33"/>
    <w:rsid w:val="00693A3C"/>
    <w:rsid w:val="00693ACA"/>
    <w:rsid w:val="00693B10"/>
    <w:rsid w:val="00693CF6"/>
    <w:rsid w:val="00693D08"/>
    <w:rsid w:val="006940F3"/>
    <w:rsid w:val="00694435"/>
    <w:rsid w:val="00694903"/>
    <w:rsid w:val="00694A70"/>
    <w:rsid w:val="00694D77"/>
    <w:rsid w:val="00694FEC"/>
    <w:rsid w:val="00695986"/>
    <w:rsid w:val="006959D8"/>
    <w:rsid w:val="00695B7C"/>
    <w:rsid w:val="00695F29"/>
    <w:rsid w:val="00695F44"/>
    <w:rsid w:val="00695F4E"/>
    <w:rsid w:val="00696322"/>
    <w:rsid w:val="006967B6"/>
    <w:rsid w:val="00696916"/>
    <w:rsid w:val="00696975"/>
    <w:rsid w:val="00696E31"/>
    <w:rsid w:val="006970BA"/>
    <w:rsid w:val="00697108"/>
    <w:rsid w:val="00697811"/>
    <w:rsid w:val="00697B37"/>
    <w:rsid w:val="00697D2A"/>
    <w:rsid w:val="006A04F5"/>
    <w:rsid w:val="006A0C1A"/>
    <w:rsid w:val="006A0E6C"/>
    <w:rsid w:val="006A10F8"/>
    <w:rsid w:val="006A110A"/>
    <w:rsid w:val="006A157E"/>
    <w:rsid w:val="006A1605"/>
    <w:rsid w:val="006A1927"/>
    <w:rsid w:val="006A1B64"/>
    <w:rsid w:val="006A1F40"/>
    <w:rsid w:val="006A219E"/>
    <w:rsid w:val="006A2242"/>
    <w:rsid w:val="006A239C"/>
    <w:rsid w:val="006A24AA"/>
    <w:rsid w:val="006A2A2F"/>
    <w:rsid w:val="006A2C16"/>
    <w:rsid w:val="006A2D8F"/>
    <w:rsid w:val="006A2E74"/>
    <w:rsid w:val="006A2EEE"/>
    <w:rsid w:val="006A3236"/>
    <w:rsid w:val="006A3726"/>
    <w:rsid w:val="006A3953"/>
    <w:rsid w:val="006A3979"/>
    <w:rsid w:val="006A3AE9"/>
    <w:rsid w:val="006A3B7F"/>
    <w:rsid w:val="006A3E35"/>
    <w:rsid w:val="006A4859"/>
    <w:rsid w:val="006A4918"/>
    <w:rsid w:val="006A499A"/>
    <w:rsid w:val="006A5183"/>
    <w:rsid w:val="006A51BE"/>
    <w:rsid w:val="006A531B"/>
    <w:rsid w:val="006A596F"/>
    <w:rsid w:val="006A5C60"/>
    <w:rsid w:val="006A5EB4"/>
    <w:rsid w:val="006A5F44"/>
    <w:rsid w:val="006A629A"/>
    <w:rsid w:val="006A62BD"/>
    <w:rsid w:val="006A65D1"/>
    <w:rsid w:val="006A6631"/>
    <w:rsid w:val="006A68D0"/>
    <w:rsid w:val="006A697F"/>
    <w:rsid w:val="006A6CBB"/>
    <w:rsid w:val="006A6F5D"/>
    <w:rsid w:val="006A747D"/>
    <w:rsid w:val="006A74A1"/>
    <w:rsid w:val="006A7597"/>
    <w:rsid w:val="006A7665"/>
    <w:rsid w:val="006A7879"/>
    <w:rsid w:val="006A7A20"/>
    <w:rsid w:val="006A7A3A"/>
    <w:rsid w:val="006A7A73"/>
    <w:rsid w:val="006A7E4D"/>
    <w:rsid w:val="006A7E54"/>
    <w:rsid w:val="006A7F04"/>
    <w:rsid w:val="006B032A"/>
    <w:rsid w:val="006B065B"/>
    <w:rsid w:val="006B0742"/>
    <w:rsid w:val="006B096A"/>
    <w:rsid w:val="006B0EA2"/>
    <w:rsid w:val="006B11D2"/>
    <w:rsid w:val="006B147B"/>
    <w:rsid w:val="006B1744"/>
    <w:rsid w:val="006B1781"/>
    <w:rsid w:val="006B188D"/>
    <w:rsid w:val="006B1A45"/>
    <w:rsid w:val="006B1B56"/>
    <w:rsid w:val="006B1C94"/>
    <w:rsid w:val="006B1F47"/>
    <w:rsid w:val="006B2048"/>
    <w:rsid w:val="006B295D"/>
    <w:rsid w:val="006B29FF"/>
    <w:rsid w:val="006B2A1E"/>
    <w:rsid w:val="006B2AB1"/>
    <w:rsid w:val="006B2AF9"/>
    <w:rsid w:val="006B2B7D"/>
    <w:rsid w:val="006B2C20"/>
    <w:rsid w:val="006B3313"/>
    <w:rsid w:val="006B351C"/>
    <w:rsid w:val="006B359F"/>
    <w:rsid w:val="006B35F7"/>
    <w:rsid w:val="006B377D"/>
    <w:rsid w:val="006B38F5"/>
    <w:rsid w:val="006B40BA"/>
    <w:rsid w:val="006B4206"/>
    <w:rsid w:val="006B46F8"/>
    <w:rsid w:val="006B489C"/>
    <w:rsid w:val="006B4B35"/>
    <w:rsid w:val="006B4E61"/>
    <w:rsid w:val="006B5050"/>
    <w:rsid w:val="006B511A"/>
    <w:rsid w:val="006B51A7"/>
    <w:rsid w:val="006B53A1"/>
    <w:rsid w:val="006B5697"/>
    <w:rsid w:val="006B57B2"/>
    <w:rsid w:val="006B59C6"/>
    <w:rsid w:val="006B5BA5"/>
    <w:rsid w:val="006B60A2"/>
    <w:rsid w:val="006B6323"/>
    <w:rsid w:val="006B65FB"/>
    <w:rsid w:val="006B6A35"/>
    <w:rsid w:val="006B6C39"/>
    <w:rsid w:val="006B6CC8"/>
    <w:rsid w:val="006B6F02"/>
    <w:rsid w:val="006B6F84"/>
    <w:rsid w:val="006B75D8"/>
    <w:rsid w:val="006B768F"/>
    <w:rsid w:val="006B76ED"/>
    <w:rsid w:val="006B77ED"/>
    <w:rsid w:val="006B77FA"/>
    <w:rsid w:val="006B786A"/>
    <w:rsid w:val="006B7889"/>
    <w:rsid w:val="006B7B7A"/>
    <w:rsid w:val="006B7C9C"/>
    <w:rsid w:val="006B7DFC"/>
    <w:rsid w:val="006B7FA8"/>
    <w:rsid w:val="006C03FD"/>
    <w:rsid w:val="006C0422"/>
    <w:rsid w:val="006C04E3"/>
    <w:rsid w:val="006C0873"/>
    <w:rsid w:val="006C09CF"/>
    <w:rsid w:val="006C0C62"/>
    <w:rsid w:val="006C0DE9"/>
    <w:rsid w:val="006C0FD2"/>
    <w:rsid w:val="006C0FFD"/>
    <w:rsid w:val="006C1054"/>
    <w:rsid w:val="006C1396"/>
    <w:rsid w:val="006C1C9C"/>
    <w:rsid w:val="006C201D"/>
    <w:rsid w:val="006C20CE"/>
    <w:rsid w:val="006C22F4"/>
    <w:rsid w:val="006C2368"/>
    <w:rsid w:val="006C2450"/>
    <w:rsid w:val="006C27E1"/>
    <w:rsid w:val="006C291D"/>
    <w:rsid w:val="006C2A42"/>
    <w:rsid w:val="006C2B20"/>
    <w:rsid w:val="006C2B88"/>
    <w:rsid w:val="006C2C74"/>
    <w:rsid w:val="006C33B1"/>
    <w:rsid w:val="006C33EE"/>
    <w:rsid w:val="006C3506"/>
    <w:rsid w:val="006C36E7"/>
    <w:rsid w:val="006C38E5"/>
    <w:rsid w:val="006C39E4"/>
    <w:rsid w:val="006C3A09"/>
    <w:rsid w:val="006C3AE8"/>
    <w:rsid w:val="006C3DBB"/>
    <w:rsid w:val="006C4002"/>
    <w:rsid w:val="006C4701"/>
    <w:rsid w:val="006C483A"/>
    <w:rsid w:val="006C4A2E"/>
    <w:rsid w:val="006C4A9F"/>
    <w:rsid w:val="006C4AEB"/>
    <w:rsid w:val="006C4BDF"/>
    <w:rsid w:val="006C4C3C"/>
    <w:rsid w:val="006C4CCF"/>
    <w:rsid w:val="006C4E48"/>
    <w:rsid w:val="006C4EE9"/>
    <w:rsid w:val="006C4FA9"/>
    <w:rsid w:val="006C4FEF"/>
    <w:rsid w:val="006C5479"/>
    <w:rsid w:val="006C55D8"/>
    <w:rsid w:val="006C59BD"/>
    <w:rsid w:val="006C5AC9"/>
    <w:rsid w:val="006C5BD7"/>
    <w:rsid w:val="006C5DC4"/>
    <w:rsid w:val="006C5F6C"/>
    <w:rsid w:val="006C60B3"/>
    <w:rsid w:val="006C611C"/>
    <w:rsid w:val="006C638E"/>
    <w:rsid w:val="006C69DC"/>
    <w:rsid w:val="006C72CB"/>
    <w:rsid w:val="006C72FD"/>
    <w:rsid w:val="006C77FC"/>
    <w:rsid w:val="006C7BE4"/>
    <w:rsid w:val="006C7C09"/>
    <w:rsid w:val="006C7CDE"/>
    <w:rsid w:val="006D010F"/>
    <w:rsid w:val="006D015E"/>
    <w:rsid w:val="006D0379"/>
    <w:rsid w:val="006D05CF"/>
    <w:rsid w:val="006D0A3E"/>
    <w:rsid w:val="006D0DA5"/>
    <w:rsid w:val="006D119D"/>
    <w:rsid w:val="006D136E"/>
    <w:rsid w:val="006D13B3"/>
    <w:rsid w:val="006D1727"/>
    <w:rsid w:val="006D17AB"/>
    <w:rsid w:val="006D1CDC"/>
    <w:rsid w:val="006D1DA7"/>
    <w:rsid w:val="006D1E82"/>
    <w:rsid w:val="006D1EB0"/>
    <w:rsid w:val="006D1ED0"/>
    <w:rsid w:val="006D1EFE"/>
    <w:rsid w:val="006D23C7"/>
    <w:rsid w:val="006D259C"/>
    <w:rsid w:val="006D28FF"/>
    <w:rsid w:val="006D2FAC"/>
    <w:rsid w:val="006D3053"/>
    <w:rsid w:val="006D3189"/>
    <w:rsid w:val="006D3371"/>
    <w:rsid w:val="006D36E5"/>
    <w:rsid w:val="006D3AEB"/>
    <w:rsid w:val="006D3F67"/>
    <w:rsid w:val="006D3F89"/>
    <w:rsid w:val="006D411B"/>
    <w:rsid w:val="006D450E"/>
    <w:rsid w:val="006D4945"/>
    <w:rsid w:val="006D4B63"/>
    <w:rsid w:val="006D4E3A"/>
    <w:rsid w:val="006D4F76"/>
    <w:rsid w:val="006D5283"/>
    <w:rsid w:val="006D52B5"/>
    <w:rsid w:val="006D5406"/>
    <w:rsid w:val="006D57C0"/>
    <w:rsid w:val="006D5857"/>
    <w:rsid w:val="006D5B39"/>
    <w:rsid w:val="006D5BBF"/>
    <w:rsid w:val="006D5C52"/>
    <w:rsid w:val="006D5C87"/>
    <w:rsid w:val="006D5D90"/>
    <w:rsid w:val="006D6028"/>
    <w:rsid w:val="006D62FC"/>
    <w:rsid w:val="006D6800"/>
    <w:rsid w:val="006D6934"/>
    <w:rsid w:val="006D6BBD"/>
    <w:rsid w:val="006D6C0B"/>
    <w:rsid w:val="006D748F"/>
    <w:rsid w:val="006D751D"/>
    <w:rsid w:val="006D7B04"/>
    <w:rsid w:val="006D7BF1"/>
    <w:rsid w:val="006D7BF9"/>
    <w:rsid w:val="006D7F44"/>
    <w:rsid w:val="006E01E8"/>
    <w:rsid w:val="006E0223"/>
    <w:rsid w:val="006E068B"/>
    <w:rsid w:val="006E06C1"/>
    <w:rsid w:val="006E087D"/>
    <w:rsid w:val="006E0949"/>
    <w:rsid w:val="006E0A58"/>
    <w:rsid w:val="006E0BFF"/>
    <w:rsid w:val="006E0E52"/>
    <w:rsid w:val="006E106F"/>
    <w:rsid w:val="006E1158"/>
    <w:rsid w:val="006E13ED"/>
    <w:rsid w:val="006E1629"/>
    <w:rsid w:val="006E163F"/>
    <w:rsid w:val="006E1A30"/>
    <w:rsid w:val="006E1EE1"/>
    <w:rsid w:val="006E2057"/>
    <w:rsid w:val="006E21A2"/>
    <w:rsid w:val="006E231C"/>
    <w:rsid w:val="006E2529"/>
    <w:rsid w:val="006E25AD"/>
    <w:rsid w:val="006E29C1"/>
    <w:rsid w:val="006E2A20"/>
    <w:rsid w:val="006E304A"/>
    <w:rsid w:val="006E312E"/>
    <w:rsid w:val="006E3F77"/>
    <w:rsid w:val="006E4379"/>
    <w:rsid w:val="006E444D"/>
    <w:rsid w:val="006E4504"/>
    <w:rsid w:val="006E46B3"/>
    <w:rsid w:val="006E47D4"/>
    <w:rsid w:val="006E4AA9"/>
    <w:rsid w:val="006E54B1"/>
    <w:rsid w:val="006E5B48"/>
    <w:rsid w:val="006E5DA7"/>
    <w:rsid w:val="006E5E55"/>
    <w:rsid w:val="006E5F0F"/>
    <w:rsid w:val="006E5FF3"/>
    <w:rsid w:val="006E6265"/>
    <w:rsid w:val="006E6344"/>
    <w:rsid w:val="006E6979"/>
    <w:rsid w:val="006E6BB3"/>
    <w:rsid w:val="006E6DB0"/>
    <w:rsid w:val="006E6DB9"/>
    <w:rsid w:val="006E6EA3"/>
    <w:rsid w:val="006E7246"/>
    <w:rsid w:val="006E7285"/>
    <w:rsid w:val="006E7383"/>
    <w:rsid w:val="006E75B8"/>
    <w:rsid w:val="006E7600"/>
    <w:rsid w:val="006E7AC0"/>
    <w:rsid w:val="006E7AD8"/>
    <w:rsid w:val="006E7B71"/>
    <w:rsid w:val="006E7D85"/>
    <w:rsid w:val="006F0126"/>
    <w:rsid w:val="006F0256"/>
    <w:rsid w:val="006F0DD2"/>
    <w:rsid w:val="006F0E88"/>
    <w:rsid w:val="006F0ED0"/>
    <w:rsid w:val="006F1103"/>
    <w:rsid w:val="006F127B"/>
    <w:rsid w:val="006F140E"/>
    <w:rsid w:val="006F143B"/>
    <w:rsid w:val="006F14A2"/>
    <w:rsid w:val="006F15EF"/>
    <w:rsid w:val="006F161B"/>
    <w:rsid w:val="006F1761"/>
    <w:rsid w:val="006F1826"/>
    <w:rsid w:val="006F1AAC"/>
    <w:rsid w:val="006F1BCF"/>
    <w:rsid w:val="006F202B"/>
    <w:rsid w:val="006F2719"/>
    <w:rsid w:val="006F2734"/>
    <w:rsid w:val="006F29B7"/>
    <w:rsid w:val="006F2F3E"/>
    <w:rsid w:val="006F309B"/>
    <w:rsid w:val="006F3415"/>
    <w:rsid w:val="006F354B"/>
    <w:rsid w:val="006F37D9"/>
    <w:rsid w:val="006F3BD2"/>
    <w:rsid w:val="006F3CB7"/>
    <w:rsid w:val="006F3D3E"/>
    <w:rsid w:val="006F3E2A"/>
    <w:rsid w:val="006F405A"/>
    <w:rsid w:val="006F4755"/>
    <w:rsid w:val="006F493B"/>
    <w:rsid w:val="006F4980"/>
    <w:rsid w:val="006F4C34"/>
    <w:rsid w:val="006F4D66"/>
    <w:rsid w:val="006F4E9A"/>
    <w:rsid w:val="006F50A8"/>
    <w:rsid w:val="006F50EE"/>
    <w:rsid w:val="006F530B"/>
    <w:rsid w:val="006F531B"/>
    <w:rsid w:val="006F5350"/>
    <w:rsid w:val="006F568F"/>
    <w:rsid w:val="006F599F"/>
    <w:rsid w:val="006F5A2B"/>
    <w:rsid w:val="006F5A5A"/>
    <w:rsid w:val="006F5C69"/>
    <w:rsid w:val="006F5CA6"/>
    <w:rsid w:val="006F63E3"/>
    <w:rsid w:val="006F69B6"/>
    <w:rsid w:val="006F6A3D"/>
    <w:rsid w:val="006F6DD3"/>
    <w:rsid w:val="006F6E35"/>
    <w:rsid w:val="006F6FD0"/>
    <w:rsid w:val="006F7034"/>
    <w:rsid w:val="006F714D"/>
    <w:rsid w:val="006F72B7"/>
    <w:rsid w:val="006F73FB"/>
    <w:rsid w:val="006F74EC"/>
    <w:rsid w:val="006F7575"/>
    <w:rsid w:val="006F75BA"/>
    <w:rsid w:val="006F76CD"/>
    <w:rsid w:val="006F7A08"/>
    <w:rsid w:val="006F7DD6"/>
    <w:rsid w:val="006F7DDC"/>
    <w:rsid w:val="006F7EA4"/>
    <w:rsid w:val="006F7EBF"/>
    <w:rsid w:val="0070013A"/>
    <w:rsid w:val="00700A47"/>
    <w:rsid w:val="00700A98"/>
    <w:rsid w:val="00700C73"/>
    <w:rsid w:val="00700EA2"/>
    <w:rsid w:val="00701058"/>
    <w:rsid w:val="00701124"/>
    <w:rsid w:val="007015F6"/>
    <w:rsid w:val="00701784"/>
    <w:rsid w:val="0070186E"/>
    <w:rsid w:val="00701926"/>
    <w:rsid w:val="00701F20"/>
    <w:rsid w:val="007021AC"/>
    <w:rsid w:val="0070228C"/>
    <w:rsid w:val="00702455"/>
    <w:rsid w:val="00702B77"/>
    <w:rsid w:val="00702BD4"/>
    <w:rsid w:val="00702C02"/>
    <w:rsid w:val="00702D4B"/>
    <w:rsid w:val="00702D58"/>
    <w:rsid w:val="00702EAB"/>
    <w:rsid w:val="00703238"/>
    <w:rsid w:val="00703247"/>
    <w:rsid w:val="00703414"/>
    <w:rsid w:val="0070347A"/>
    <w:rsid w:val="00703572"/>
    <w:rsid w:val="00703601"/>
    <w:rsid w:val="007038D7"/>
    <w:rsid w:val="00703A10"/>
    <w:rsid w:val="00703A70"/>
    <w:rsid w:val="00703C73"/>
    <w:rsid w:val="00703E74"/>
    <w:rsid w:val="00703E84"/>
    <w:rsid w:val="00704112"/>
    <w:rsid w:val="00704133"/>
    <w:rsid w:val="0070422E"/>
    <w:rsid w:val="0070425A"/>
    <w:rsid w:val="00704A27"/>
    <w:rsid w:val="00704A29"/>
    <w:rsid w:val="0070505E"/>
    <w:rsid w:val="00705491"/>
    <w:rsid w:val="007056CB"/>
    <w:rsid w:val="007057A6"/>
    <w:rsid w:val="00705985"/>
    <w:rsid w:val="00705C93"/>
    <w:rsid w:val="00705E35"/>
    <w:rsid w:val="00706121"/>
    <w:rsid w:val="007062E5"/>
    <w:rsid w:val="007063E2"/>
    <w:rsid w:val="00706731"/>
    <w:rsid w:val="00706747"/>
    <w:rsid w:val="00706B5C"/>
    <w:rsid w:val="00706D96"/>
    <w:rsid w:val="00707380"/>
    <w:rsid w:val="0070747F"/>
    <w:rsid w:val="007079DE"/>
    <w:rsid w:val="00707A9F"/>
    <w:rsid w:val="00707DB3"/>
    <w:rsid w:val="00710008"/>
    <w:rsid w:val="00710023"/>
    <w:rsid w:val="0071024E"/>
    <w:rsid w:val="00710283"/>
    <w:rsid w:val="00710418"/>
    <w:rsid w:val="0071078A"/>
    <w:rsid w:val="007108B5"/>
    <w:rsid w:val="00710929"/>
    <w:rsid w:val="00711066"/>
    <w:rsid w:val="0071112D"/>
    <w:rsid w:val="007111C4"/>
    <w:rsid w:val="0071145C"/>
    <w:rsid w:val="007114C0"/>
    <w:rsid w:val="0071153A"/>
    <w:rsid w:val="00711570"/>
    <w:rsid w:val="00711923"/>
    <w:rsid w:val="00712069"/>
    <w:rsid w:val="007125F8"/>
    <w:rsid w:val="0071260A"/>
    <w:rsid w:val="0071263D"/>
    <w:rsid w:val="007126C8"/>
    <w:rsid w:val="0071281B"/>
    <w:rsid w:val="00712EB5"/>
    <w:rsid w:val="007130E4"/>
    <w:rsid w:val="00713372"/>
    <w:rsid w:val="00713406"/>
    <w:rsid w:val="007136B5"/>
    <w:rsid w:val="00713983"/>
    <w:rsid w:val="00713A35"/>
    <w:rsid w:val="00713E3F"/>
    <w:rsid w:val="0071424F"/>
    <w:rsid w:val="007145C0"/>
    <w:rsid w:val="007145F2"/>
    <w:rsid w:val="00714713"/>
    <w:rsid w:val="00714FDF"/>
    <w:rsid w:val="00715333"/>
    <w:rsid w:val="007153C1"/>
    <w:rsid w:val="007155BF"/>
    <w:rsid w:val="0071563B"/>
    <w:rsid w:val="007158E9"/>
    <w:rsid w:val="00715D93"/>
    <w:rsid w:val="00715DC7"/>
    <w:rsid w:val="00715F17"/>
    <w:rsid w:val="00715F64"/>
    <w:rsid w:val="00715FCA"/>
    <w:rsid w:val="00716409"/>
    <w:rsid w:val="0071678C"/>
    <w:rsid w:val="007167DA"/>
    <w:rsid w:val="007169F2"/>
    <w:rsid w:val="00716A0C"/>
    <w:rsid w:val="00716AB1"/>
    <w:rsid w:val="00716E1B"/>
    <w:rsid w:val="007170C6"/>
    <w:rsid w:val="007171A1"/>
    <w:rsid w:val="0071725D"/>
    <w:rsid w:val="00717317"/>
    <w:rsid w:val="00717CC8"/>
    <w:rsid w:val="00717CD5"/>
    <w:rsid w:val="0072008C"/>
    <w:rsid w:val="007203C8"/>
    <w:rsid w:val="007207D9"/>
    <w:rsid w:val="0072080A"/>
    <w:rsid w:val="00720B4A"/>
    <w:rsid w:val="00720CCF"/>
    <w:rsid w:val="00721B67"/>
    <w:rsid w:val="00721D83"/>
    <w:rsid w:val="00722153"/>
    <w:rsid w:val="0072231B"/>
    <w:rsid w:val="007223A2"/>
    <w:rsid w:val="00722631"/>
    <w:rsid w:val="00722978"/>
    <w:rsid w:val="00722C3B"/>
    <w:rsid w:val="00722D8A"/>
    <w:rsid w:val="00722F55"/>
    <w:rsid w:val="007231DB"/>
    <w:rsid w:val="007232F0"/>
    <w:rsid w:val="007232FA"/>
    <w:rsid w:val="00723439"/>
    <w:rsid w:val="007234E4"/>
    <w:rsid w:val="00723CD7"/>
    <w:rsid w:val="007243F7"/>
    <w:rsid w:val="0072452B"/>
    <w:rsid w:val="007247D0"/>
    <w:rsid w:val="007247EF"/>
    <w:rsid w:val="0072494B"/>
    <w:rsid w:val="00724C46"/>
    <w:rsid w:val="00724D1C"/>
    <w:rsid w:val="0072545A"/>
    <w:rsid w:val="00725786"/>
    <w:rsid w:val="007259AF"/>
    <w:rsid w:val="00725A39"/>
    <w:rsid w:val="00725B05"/>
    <w:rsid w:val="00725BAA"/>
    <w:rsid w:val="00725D70"/>
    <w:rsid w:val="00725F4F"/>
    <w:rsid w:val="00726195"/>
    <w:rsid w:val="007261BE"/>
    <w:rsid w:val="007262FF"/>
    <w:rsid w:val="00726853"/>
    <w:rsid w:val="007269FF"/>
    <w:rsid w:val="00726A21"/>
    <w:rsid w:val="00726B82"/>
    <w:rsid w:val="00726E1B"/>
    <w:rsid w:val="00726ECD"/>
    <w:rsid w:val="00727041"/>
    <w:rsid w:val="007272EE"/>
    <w:rsid w:val="00727698"/>
    <w:rsid w:val="007276EC"/>
    <w:rsid w:val="007300E2"/>
    <w:rsid w:val="00730485"/>
    <w:rsid w:val="007304FA"/>
    <w:rsid w:val="007305F5"/>
    <w:rsid w:val="00730754"/>
    <w:rsid w:val="00730A74"/>
    <w:rsid w:val="00730B70"/>
    <w:rsid w:val="00730B76"/>
    <w:rsid w:val="00730C26"/>
    <w:rsid w:val="00730C41"/>
    <w:rsid w:val="00730C69"/>
    <w:rsid w:val="00730E74"/>
    <w:rsid w:val="007311D7"/>
    <w:rsid w:val="0073133A"/>
    <w:rsid w:val="0073157B"/>
    <w:rsid w:val="0073172D"/>
    <w:rsid w:val="007318A9"/>
    <w:rsid w:val="007318BA"/>
    <w:rsid w:val="00731CBE"/>
    <w:rsid w:val="00731CDA"/>
    <w:rsid w:val="007325A7"/>
    <w:rsid w:val="00732B20"/>
    <w:rsid w:val="00732CC5"/>
    <w:rsid w:val="00732CDE"/>
    <w:rsid w:val="00732D8D"/>
    <w:rsid w:val="007332F1"/>
    <w:rsid w:val="0073380F"/>
    <w:rsid w:val="007339A4"/>
    <w:rsid w:val="00733C24"/>
    <w:rsid w:val="00733ED5"/>
    <w:rsid w:val="00733FA1"/>
    <w:rsid w:val="0073413C"/>
    <w:rsid w:val="00734305"/>
    <w:rsid w:val="007345AB"/>
    <w:rsid w:val="00734629"/>
    <w:rsid w:val="00734686"/>
    <w:rsid w:val="007347FC"/>
    <w:rsid w:val="00734831"/>
    <w:rsid w:val="007348D1"/>
    <w:rsid w:val="00734D3F"/>
    <w:rsid w:val="007351E9"/>
    <w:rsid w:val="00735233"/>
    <w:rsid w:val="0073581E"/>
    <w:rsid w:val="00735927"/>
    <w:rsid w:val="0073592D"/>
    <w:rsid w:val="00735FDB"/>
    <w:rsid w:val="0073642F"/>
    <w:rsid w:val="00736538"/>
    <w:rsid w:val="0073690D"/>
    <w:rsid w:val="007369F7"/>
    <w:rsid w:val="00736C45"/>
    <w:rsid w:val="00736CF2"/>
    <w:rsid w:val="00736F99"/>
    <w:rsid w:val="00737159"/>
    <w:rsid w:val="007372A1"/>
    <w:rsid w:val="007373C3"/>
    <w:rsid w:val="00737713"/>
    <w:rsid w:val="007377F0"/>
    <w:rsid w:val="0073790B"/>
    <w:rsid w:val="00737917"/>
    <w:rsid w:val="00737970"/>
    <w:rsid w:val="00737BF1"/>
    <w:rsid w:val="00737CB3"/>
    <w:rsid w:val="007401AF"/>
    <w:rsid w:val="0074041A"/>
    <w:rsid w:val="007406ED"/>
    <w:rsid w:val="00740A04"/>
    <w:rsid w:val="007410EA"/>
    <w:rsid w:val="0074166A"/>
    <w:rsid w:val="00741674"/>
    <w:rsid w:val="0074172C"/>
    <w:rsid w:val="007417C6"/>
    <w:rsid w:val="00741A6F"/>
    <w:rsid w:val="00741C43"/>
    <w:rsid w:val="00741C5B"/>
    <w:rsid w:val="0074203B"/>
    <w:rsid w:val="00742087"/>
    <w:rsid w:val="00742164"/>
    <w:rsid w:val="007421F2"/>
    <w:rsid w:val="0074226C"/>
    <w:rsid w:val="0074242D"/>
    <w:rsid w:val="00742572"/>
    <w:rsid w:val="007426A8"/>
    <w:rsid w:val="007429F4"/>
    <w:rsid w:val="00742D4A"/>
    <w:rsid w:val="00742F46"/>
    <w:rsid w:val="00743169"/>
    <w:rsid w:val="0074340B"/>
    <w:rsid w:val="0074340E"/>
    <w:rsid w:val="00743478"/>
    <w:rsid w:val="007434C2"/>
    <w:rsid w:val="00743658"/>
    <w:rsid w:val="00743776"/>
    <w:rsid w:val="00743855"/>
    <w:rsid w:val="00743BC2"/>
    <w:rsid w:val="00743C28"/>
    <w:rsid w:val="007441EF"/>
    <w:rsid w:val="00744325"/>
    <w:rsid w:val="007444AF"/>
    <w:rsid w:val="00744C65"/>
    <w:rsid w:val="00744E4B"/>
    <w:rsid w:val="0074513C"/>
    <w:rsid w:val="0074519A"/>
    <w:rsid w:val="00745692"/>
    <w:rsid w:val="00745D31"/>
    <w:rsid w:val="00745E69"/>
    <w:rsid w:val="007460D2"/>
    <w:rsid w:val="00746478"/>
    <w:rsid w:val="00746496"/>
    <w:rsid w:val="007464A2"/>
    <w:rsid w:val="00746648"/>
    <w:rsid w:val="007469C2"/>
    <w:rsid w:val="00746BD8"/>
    <w:rsid w:val="00746C25"/>
    <w:rsid w:val="00747317"/>
    <w:rsid w:val="007473F6"/>
    <w:rsid w:val="00747589"/>
    <w:rsid w:val="00747711"/>
    <w:rsid w:val="00747A0D"/>
    <w:rsid w:val="00747AD2"/>
    <w:rsid w:val="00747B13"/>
    <w:rsid w:val="00747E26"/>
    <w:rsid w:val="00750359"/>
    <w:rsid w:val="007508D3"/>
    <w:rsid w:val="007509D5"/>
    <w:rsid w:val="00750D1D"/>
    <w:rsid w:val="00750DA3"/>
    <w:rsid w:val="00750F6E"/>
    <w:rsid w:val="007510EC"/>
    <w:rsid w:val="0075124A"/>
    <w:rsid w:val="0075146E"/>
    <w:rsid w:val="007518C6"/>
    <w:rsid w:val="007518D3"/>
    <w:rsid w:val="00751951"/>
    <w:rsid w:val="00751AD3"/>
    <w:rsid w:val="00751B20"/>
    <w:rsid w:val="00751B21"/>
    <w:rsid w:val="00751D53"/>
    <w:rsid w:val="00751F3E"/>
    <w:rsid w:val="00752073"/>
    <w:rsid w:val="00752334"/>
    <w:rsid w:val="007525C6"/>
    <w:rsid w:val="007526AC"/>
    <w:rsid w:val="0075278D"/>
    <w:rsid w:val="007528B2"/>
    <w:rsid w:val="00752A85"/>
    <w:rsid w:val="00752BBA"/>
    <w:rsid w:val="007532D7"/>
    <w:rsid w:val="00753344"/>
    <w:rsid w:val="007535C0"/>
    <w:rsid w:val="007538D0"/>
    <w:rsid w:val="007539E0"/>
    <w:rsid w:val="00753EE7"/>
    <w:rsid w:val="00754359"/>
    <w:rsid w:val="00754370"/>
    <w:rsid w:val="00754449"/>
    <w:rsid w:val="00754792"/>
    <w:rsid w:val="00754B9E"/>
    <w:rsid w:val="00754EE2"/>
    <w:rsid w:val="00755020"/>
    <w:rsid w:val="0075554F"/>
    <w:rsid w:val="00755584"/>
    <w:rsid w:val="007558C8"/>
    <w:rsid w:val="00755C9B"/>
    <w:rsid w:val="00755CCE"/>
    <w:rsid w:val="00755D59"/>
    <w:rsid w:val="00755DA1"/>
    <w:rsid w:val="007560C7"/>
    <w:rsid w:val="007560CE"/>
    <w:rsid w:val="0075614F"/>
    <w:rsid w:val="007561F1"/>
    <w:rsid w:val="007565DF"/>
    <w:rsid w:val="00756733"/>
    <w:rsid w:val="0075680E"/>
    <w:rsid w:val="00756877"/>
    <w:rsid w:val="007568E5"/>
    <w:rsid w:val="0075692B"/>
    <w:rsid w:val="00756964"/>
    <w:rsid w:val="00756A9A"/>
    <w:rsid w:val="00756BB3"/>
    <w:rsid w:val="00756E6F"/>
    <w:rsid w:val="00756F0E"/>
    <w:rsid w:val="00756FAA"/>
    <w:rsid w:val="007570BA"/>
    <w:rsid w:val="00757305"/>
    <w:rsid w:val="007573EA"/>
    <w:rsid w:val="00757443"/>
    <w:rsid w:val="00757522"/>
    <w:rsid w:val="00757E18"/>
    <w:rsid w:val="00757E32"/>
    <w:rsid w:val="00757E5B"/>
    <w:rsid w:val="00760030"/>
    <w:rsid w:val="0076006C"/>
    <w:rsid w:val="0076019B"/>
    <w:rsid w:val="00760857"/>
    <w:rsid w:val="00760901"/>
    <w:rsid w:val="00760B75"/>
    <w:rsid w:val="007612A7"/>
    <w:rsid w:val="007612B1"/>
    <w:rsid w:val="00761319"/>
    <w:rsid w:val="007613BC"/>
    <w:rsid w:val="00761657"/>
    <w:rsid w:val="007616E4"/>
    <w:rsid w:val="00761865"/>
    <w:rsid w:val="00761874"/>
    <w:rsid w:val="00761DC0"/>
    <w:rsid w:val="00761EBA"/>
    <w:rsid w:val="00762381"/>
    <w:rsid w:val="00762880"/>
    <w:rsid w:val="00762DF3"/>
    <w:rsid w:val="00763148"/>
    <w:rsid w:val="0076316F"/>
    <w:rsid w:val="00763197"/>
    <w:rsid w:val="007632E3"/>
    <w:rsid w:val="00763449"/>
    <w:rsid w:val="007634DF"/>
    <w:rsid w:val="0076358F"/>
    <w:rsid w:val="0076360A"/>
    <w:rsid w:val="00763722"/>
    <w:rsid w:val="00763916"/>
    <w:rsid w:val="00763A91"/>
    <w:rsid w:val="00763B33"/>
    <w:rsid w:val="00763B62"/>
    <w:rsid w:val="00764204"/>
    <w:rsid w:val="00764208"/>
    <w:rsid w:val="007648F5"/>
    <w:rsid w:val="00764E2D"/>
    <w:rsid w:val="00764F47"/>
    <w:rsid w:val="00764F8D"/>
    <w:rsid w:val="00764F9B"/>
    <w:rsid w:val="00764FEC"/>
    <w:rsid w:val="00765305"/>
    <w:rsid w:val="0076547B"/>
    <w:rsid w:val="0076569C"/>
    <w:rsid w:val="00765BE3"/>
    <w:rsid w:val="00765C3F"/>
    <w:rsid w:val="00765E8F"/>
    <w:rsid w:val="00765F13"/>
    <w:rsid w:val="0076641A"/>
    <w:rsid w:val="007664D8"/>
    <w:rsid w:val="00766629"/>
    <w:rsid w:val="0076675B"/>
    <w:rsid w:val="00766922"/>
    <w:rsid w:val="00766BE5"/>
    <w:rsid w:val="007670B1"/>
    <w:rsid w:val="007670BC"/>
    <w:rsid w:val="00767180"/>
    <w:rsid w:val="0076772B"/>
    <w:rsid w:val="00767C44"/>
    <w:rsid w:val="00767F6C"/>
    <w:rsid w:val="007701D1"/>
    <w:rsid w:val="007701DE"/>
    <w:rsid w:val="007704C4"/>
    <w:rsid w:val="007707F6"/>
    <w:rsid w:val="0077096D"/>
    <w:rsid w:val="007709CF"/>
    <w:rsid w:val="00770CE4"/>
    <w:rsid w:val="0077115E"/>
    <w:rsid w:val="0077151D"/>
    <w:rsid w:val="0077160C"/>
    <w:rsid w:val="0077182A"/>
    <w:rsid w:val="00771868"/>
    <w:rsid w:val="007719FB"/>
    <w:rsid w:val="00771B64"/>
    <w:rsid w:val="00771CB1"/>
    <w:rsid w:val="00771EAD"/>
    <w:rsid w:val="00771FAE"/>
    <w:rsid w:val="00771FF3"/>
    <w:rsid w:val="0077219B"/>
    <w:rsid w:val="0077221B"/>
    <w:rsid w:val="00772297"/>
    <w:rsid w:val="007723E1"/>
    <w:rsid w:val="007727D9"/>
    <w:rsid w:val="007728BE"/>
    <w:rsid w:val="00772A35"/>
    <w:rsid w:val="00772AC8"/>
    <w:rsid w:val="00772B3D"/>
    <w:rsid w:val="00772D30"/>
    <w:rsid w:val="00772F4E"/>
    <w:rsid w:val="00773450"/>
    <w:rsid w:val="007735BE"/>
    <w:rsid w:val="007735FC"/>
    <w:rsid w:val="00773661"/>
    <w:rsid w:val="0077371C"/>
    <w:rsid w:val="00773EE7"/>
    <w:rsid w:val="00774015"/>
    <w:rsid w:val="007744A7"/>
    <w:rsid w:val="0077464F"/>
    <w:rsid w:val="00774662"/>
    <w:rsid w:val="0077466C"/>
    <w:rsid w:val="007746F0"/>
    <w:rsid w:val="007747BB"/>
    <w:rsid w:val="007747FF"/>
    <w:rsid w:val="0077498E"/>
    <w:rsid w:val="00774D15"/>
    <w:rsid w:val="00775051"/>
    <w:rsid w:val="007750F2"/>
    <w:rsid w:val="007751F2"/>
    <w:rsid w:val="007753E1"/>
    <w:rsid w:val="00775BAF"/>
    <w:rsid w:val="00775E76"/>
    <w:rsid w:val="00775F85"/>
    <w:rsid w:val="00775FF1"/>
    <w:rsid w:val="0077610A"/>
    <w:rsid w:val="00776207"/>
    <w:rsid w:val="007762A6"/>
    <w:rsid w:val="0077631B"/>
    <w:rsid w:val="007763AD"/>
    <w:rsid w:val="00776406"/>
    <w:rsid w:val="00776815"/>
    <w:rsid w:val="007769CB"/>
    <w:rsid w:val="00776C5D"/>
    <w:rsid w:val="00777736"/>
    <w:rsid w:val="0077780C"/>
    <w:rsid w:val="007779B8"/>
    <w:rsid w:val="00777B27"/>
    <w:rsid w:val="00777C3F"/>
    <w:rsid w:val="00780098"/>
    <w:rsid w:val="00780814"/>
    <w:rsid w:val="00780999"/>
    <w:rsid w:val="00780A2E"/>
    <w:rsid w:val="00780B91"/>
    <w:rsid w:val="00780CD6"/>
    <w:rsid w:val="00780DFB"/>
    <w:rsid w:val="00780E94"/>
    <w:rsid w:val="00780E96"/>
    <w:rsid w:val="007810B2"/>
    <w:rsid w:val="0078147F"/>
    <w:rsid w:val="00781B6D"/>
    <w:rsid w:val="00781D3D"/>
    <w:rsid w:val="00781DB4"/>
    <w:rsid w:val="00781E4F"/>
    <w:rsid w:val="00782B26"/>
    <w:rsid w:val="00782C4B"/>
    <w:rsid w:val="00782CA0"/>
    <w:rsid w:val="00782CA6"/>
    <w:rsid w:val="00782EE9"/>
    <w:rsid w:val="00783062"/>
    <w:rsid w:val="00783097"/>
    <w:rsid w:val="007831DF"/>
    <w:rsid w:val="0078333D"/>
    <w:rsid w:val="00783891"/>
    <w:rsid w:val="00783898"/>
    <w:rsid w:val="00783954"/>
    <w:rsid w:val="00783AAB"/>
    <w:rsid w:val="00783AE1"/>
    <w:rsid w:val="00783F40"/>
    <w:rsid w:val="00784030"/>
    <w:rsid w:val="0078480A"/>
    <w:rsid w:val="0078483D"/>
    <w:rsid w:val="00784B58"/>
    <w:rsid w:val="00784D9F"/>
    <w:rsid w:val="00784E73"/>
    <w:rsid w:val="00784E85"/>
    <w:rsid w:val="00785088"/>
    <w:rsid w:val="007853CB"/>
    <w:rsid w:val="00785468"/>
    <w:rsid w:val="00785484"/>
    <w:rsid w:val="0078565A"/>
    <w:rsid w:val="0078582F"/>
    <w:rsid w:val="00785863"/>
    <w:rsid w:val="00785CE3"/>
    <w:rsid w:val="007860D3"/>
    <w:rsid w:val="0078624B"/>
    <w:rsid w:val="00786579"/>
    <w:rsid w:val="00786587"/>
    <w:rsid w:val="007869BC"/>
    <w:rsid w:val="00786CC9"/>
    <w:rsid w:val="00786F42"/>
    <w:rsid w:val="00786F61"/>
    <w:rsid w:val="007870E7"/>
    <w:rsid w:val="007873DB"/>
    <w:rsid w:val="0078750B"/>
    <w:rsid w:val="00787663"/>
    <w:rsid w:val="0078770C"/>
    <w:rsid w:val="00787740"/>
    <w:rsid w:val="007878B3"/>
    <w:rsid w:val="007878CE"/>
    <w:rsid w:val="00787A59"/>
    <w:rsid w:val="00787CF8"/>
    <w:rsid w:val="00790374"/>
    <w:rsid w:val="007903F5"/>
    <w:rsid w:val="0079078D"/>
    <w:rsid w:val="007909D2"/>
    <w:rsid w:val="00790A92"/>
    <w:rsid w:val="00790AD8"/>
    <w:rsid w:val="00790BE3"/>
    <w:rsid w:val="00790C72"/>
    <w:rsid w:val="00790C8D"/>
    <w:rsid w:val="00790D6B"/>
    <w:rsid w:val="00791077"/>
    <w:rsid w:val="00791245"/>
    <w:rsid w:val="007912EE"/>
    <w:rsid w:val="00791432"/>
    <w:rsid w:val="00791523"/>
    <w:rsid w:val="0079152E"/>
    <w:rsid w:val="00791618"/>
    <w:rsid w:val="007916FC"/>
    <w:rsid w:val="007917D6"/>
    <w:rsid w:val="00791C5E"/>
    <w:rsid w:val="00791F12"/>
    <w:rsid w:val="00791FE0"/>
    <w:rsid w:val="007920D4"/>
    <w:rsid w:val="0079211E"/>
    <w:rsid w:val="00792269"/>
    <w:rsid w:val="007922F2"/>
    <w:rsid w:val="0079238D"/>
    <w:rsid w:val="0079252B"/>
    <w:rsid w:val="0079262F"/>
    <w:rsid w:val="00792674"/>
    <w:rsid w:val="00792A17"/>
    <w:rsid w:val="0079309A"/>
    <w:rsid w:val="007931FF"/>
    <w:rsid w:val="00793325"/>
    <w:rsid w:val="007934CF"/>
    <w:rsid w:val="00793849"/>
    <w:rsid w:val="007939A9"/>
    <w:rsid w:val="00793BD5"/>
    <w:rsid w:val="00793D70"/>
    <w:rsid w:val="0079417B"/>
    <w:rsid w:val="00794643"/>
    <w:rsid w:val="00794731"/>
    <w:rsid w:val="00794941"/>
    <w:rsid w:val="00794E0A"/>
    <w:rsid w:val="00795481"/>
    <w:rsid w:val="007954C2"/>
    <w:rsid w:val="007956BD"/>
    <w:rsid w:val="00795734"/>
    <w:rsid w:val="00795A1C"/>
    <w:rsid w:val="00795C30"/>
    <w:rsid w:val="007962C4"/>
    <w:rsid w:val="007962D9"/>
    <w:rsid w:val="00796383"/>
    <w:rsid w:val="00796AD7"/>
    <w:rsid w:val="00796B8A"/>
    <w:rsid w:val="00796BBA"/>
    <w:rsid w:val="007975E5"/>
    <w:rsid w:val="0079770C"/>
    <w:rsid w:val="00797A5F"/>
    <w:rsid w:val="00797AF4"/>
    <w:rsid w:val="00797F54"/>
    <w:rsid w:val="00797F89"/>
    <w:rsid w:val="007A0040"/>
    <w:rsid w:val="007A00A6"/>
    <w:rsid w:val="007A01B4"/>
    <w:rsid w:val="007A0417"/>
    <w:rsid w:val="007A055E"/>
    <w:rsid w:val="007A05E0"/>
    <w:rsid w:val="007A063D"/>
    <w:rsid w:val="007A095E"/>
    <w:rsid w:val="007A0A57"/>
    <w:rsid w:val="007A0AD6"/>
    <w:rsid w:val="007A0CBA"/>
    <w:rsid w:val="007A1009"/>
    <w:rsid w:val="007A11CC"/>
    <w:rsid w:val="007A1301"/>
    <w:rsid w:val="007A139E"/>
    <w:rsid w:val="007A1793"/>
    <w:rsid w:val="007A1877"/>
    <w:rsid w:val="007A187E"/>
    <w:rsid w:val="007A1A5D"/>
    <w:rsid w:val="007A1ADC"/>
    <w:rsid w:val="007A1EE1"/>
    <w:rsid w:val="007A2036"/>
    <w:rsid w:val="007A20F6"/>
    <w:rsid w:val="007A2350"/>
    <w:rsid w:val="007A237D"/>
    <w:rsid w:val="007A26F7"/>
    <w:rsid w:val="007A2762"/>
    <w:rsid w:val="007A2789"/>
    <w:rsid w:val="007A2D94"/>
    <w:rsid w:val="007A305D"/>
    <w:rsid w:val="007A30C8"/>
    <w:rsid w:val="007A3176"/>
    <w:rsid w:val="007A32BB"/>
    <w:rsid w:val="007A3335"/>
    <w:rsid w:val="007A33A8"/>
    <w:rsid w:val="007A34E6"/>
    <w:rsid w:val="007A34E7"/>
    <w:rsid w:val="007A367E"/>
    <w:rsid w:val="007A367F"/>
    <w:rsid w:val="007A37BD"/>
    <w:rsid w:val="007A3848"/>
    <w:rsid w:val="007A3A60"/>
    <w:rsid w:val="007A3E1F"/>
    <w:rsid w:val="007A3F8D"/>
    <w:rsid w:val="007A3FA7"/>
    <w:rsid w:val="007A4459"/>
    <w:rsid w:val="007A4B7E"/>
    <w:rsid w:val="007A5038"/>
    <w:rsid w:val="007A515C"/>
    <w:rsid w:val="007A51C5"/>
    <w:rsid w:val="007A53E4"/>
    <w:rsid w:val="007A5481"/>
    <w:rsid w:val="007A5677"/>
    <w:rsid w:val="007A5684"/>
    <w:rsid w:val="007A573A"/>
    <w:rsid w:val="007A5747"/>
    <w:rsid w:val="007A57A0"/>
    <w:rsid w:val="007A5EBA"/>
    <w:rsid w:val="007A5F56"/>
    <w:rsid w:val="007A6180"/>
    <w:rsid w:val="007A64B3"/>
    <w:rsid w:val="007A6548"/>
    <w:rsid w:val="007A669F"/>
    <w:rsid w:val="007A6AA7"/>
    <w:rsid w:val="007A6AC1"/>
    <w:rsid w:val="007A6B8D"/>
    <w:rsid w:val="007A6E25"/>
    <w:rsid w:val="007A6E35"/>
    <w:rsid w:val="007A705B"/>
    <w:rsid w:val="007A7195"/>
    <w:rsid w:val="007A77C3"/>
    <w:rsid w:val="007A77E1"/>
    <w:rsid w:val="007A787D"/>
    <w:rsid w:val="007A790E"/>
    <w:rsid w:val="007A7BD2"/>
    <w:rsid w:val="007A7C8F"/>
    <w:rsid w:val="007A7CB6"/>
    <w:rsid w:val="007A7F57"/>
    <w:rsid w:val="007B009C"/>
    <w:rsid w:val="007B02FB"/>
    <w:rsid w:val="007B030C"/>
    <w:rsid w:val="007B0571"/>
    <w:rsid w:val="007B0583"/>
    <w:rsid w:val="007B0626"/>
    <w:rsid w:val="007B0B2F"/>
    <w:rsid w:val="007B0C56"/>
    <w:rsid w:val="007B0CA7"/>
    <w:rsid w:val="007B0CB3"/>
    <w:rsid w:val="007B0DD0"/>
    <w:rsid w:val="007B0E32"/>
    <w:rsid w:val="007B0F60"/>
    <w:rsid w:val="007B13D5"/>
    <w:rsid w:val="007B1450"/>
    <w:rsid w:val="007B19DD"/>
    <w:rsid w:val="007B1BD9"/>
    <w:rsid w:val="007B1CA2"/>
    <w:rsid w:val="007B1F3D"/>
    <w:rsid w:val="007B21D8"/>
    <w:rsid w:val="007B2365"/>
    <w:rsid w:val="007B2437"/>
    <w:rsid w:val="007B2623"/>
    <w:rsid w:val="007B28D4"/>
    <w:rsid w:val="007B2A48"/>
    <w:rsid w:val="007B2B2F"/>
    <w:rsid w:val="007B2C50"/>
    <w:rsid w:val="007B2F29"/>
    <w:rsid w:val="007B3085"/>
    <w:rsid w:val="007B346F"/>
    <w:rsid w:val="007B34B0"/>
    <w:rsid w:val="007B36E7"/>
    <w:rsid w:val="007B37B5"/>
    <w:rsid w:val="007B3889"/>
    <w:rsid w:val="007B3A28"/>
    <w:rsid w:val="007B3B8F"/>
    <w:rsid w:val="007B3E02"/>
    <w:rsid w:val="007B400D"/>
    <w:rsid w:val="007B40A1"/>
    <w:rsid w:val="007B4121"/>
    <w:rsid w:val="007B437B"/>
    <w:rsid w:val="007B49AE"/>
    <w:rsid w:val="007B4AA1"/>
    <w:rsid w:val="007B4C7E"/>
    <w:rsid w:val="007B4F9F"/>
    <w:rsid w:val="007B55BA"/>
    <w:rsid w:val="007B560E"/>
    <w:rsid w:val="007B57DC"/>
    <w:rsid w:val="007B599C"/>
    <w:rsid w:val="007B5E05"/>
    <w:rsid w:val="007B63A1"/>
    <w:rsid w:val="007B63B4"/>
    <w:rsid w:val="007B66C1"/>
    <w:rsid w:val="007B68ED"/>
    <w:rsid w:val="007B6967"/>
    <w:rsid w:val="007B6A92"/>
    <w:rsid w:val="007B6AA5"/>
    <w:rsid w:val="007B6AEE"/>
    <w:rsid w:val="007B6CAD"/>
    <w:rsid w:val="007B6E40"/>
    <w:rsid w:val="007B73A5"/>
    <w:rsid w:val="007B78EA"/>
    <w:rsid w:val="007B7D63"/>
    <w:rsid w:val="007B7EDD"/>
    <w:rsid w:val="007C020A"/>
    <w:rsid w:val="007C031D"/>
    <w:rsid w:val="007C04F5"/>
    <w:rsid w:val="007C04F9"/>
    <w:rsid w:val="007C04FC"/>
    <w:rsid w:val="007C0C13"/>
    <w:rsid w:val="007C0EF7"/>
    <w:rsid w:val="007C155E"/>
    <w:rsid w:val="007C1705"/>
    <w:rsid w:val="007C1A87"/>
    <w:rsid w:val="007C1BB6"/>
    <w:rsid w:val="007C1BFC"/>
    <w:rsid w:val="007C1E29"/>
    <w:rsid w:val="007C1E89"/>
    <w:rsid w:val="007C1E98"/>
    <w:rsid w:val="007C1EC9"/>
    <w:rsid w:val="007C1EE0"/>
    <w:rsid w:val="007C24B1"/>
    <w:rsid w:val="007C25C5"/>
    <w:rsid w:val="007C2B3C"/>
    <w:rsid w:val="007C2D9F"/>
    <w:rsid w:val="007C2FBE"/>
    <w:rsid w:val="007C30BC"/>
    <w:rsid w:val="007C30EC"/>
    <w:rsid w:val="007C3197"/>
    <w:rsid w:val="007C31EE"/>
    <w:rsid w:val="007C36A4"/>
    <w:rsid w:val="007C36A7"/>
    <w:rsid w:val="007C377E"/>
    <w:rsid w:val="007C37FE"/>
    <w:rsid w:val="007C3868"/>
    <w:rsid w:val="007C3AD0"/>
    <w:rsid w:val="007C3E02"/>
    <w:rsid w:val="007C3E75"/>
    <w:rsid w:val="007C428B"/>
    <w:rsid w:val="007C42A2"/>
    <w:rsid w:val="007C49CB"/>
    <w:rsid w:val="007C4BE3"/>
    <w:rsid w:val="007C4C2D"/>
    <w:rsid w:val="007C533B"/>
    <w:rsid w:val="007C573A"/>
    <w:rsid w:val="007C5793"/>
    <w:rsid w:val="007C5848"/>
    <w:rsid w:val="007C5983"/>
    <w:rsid w:val="007C5AC3"/>
    <w:rsid w:val="007C5B95"/>
    <w:rsid w:val="007C5C1D"/>
    <w:rsid w:val="007C5DB5"/>
    <w:rsid w:val="007C5DCD"/>
    <w:rsid w:val="007C5FB7"/>
    <w:rsid w:val="007C60CD"/>
    <w:rsid w:val="007C616D"/>
    <w:rsid w:val="007C63E9"/>
    <w:rsid w:val="007C6488"/>
    <w:rsid w:val="007C6500"/>
    <w:rsid w:val="007C67C1"/>
    <w:rsid w:val="007C6AD6"/>
    <w:rsid w:val="007C6D76"/>
    <w:rsid w:val="007C6F42"/>
    <w:rsid w:val="007C6F9F"/>
    <w:rsid w:val="007C7024"/>
    <w:rsid w:val="007C7471"/>
    <w:rsid w:val="007C77AF"/>
    <w:rsid w:val="007C7C1D"/>
    <w:rsid w:val="007C7F99"/>
    <w:rsid w:val="007D002E"/>
    <w:rsid w:val="007D004E"/>
    <w:rsid w:val="007D0381"/>
    <w:rsid w:val="007D08EA"/>
    <w:rsid w:val="007D0B1A"/>
    <w:rsid w:val="007D0B33"/>
    <w:rsid w:val="007D0DC3"/>
    <w:rsid w:val="007D0E18"/>
    <w:rsid w:val="007D0E5A"/>
    <w:rsid w:val="007D14F9"/>
    <w:rsid w:val="007D1536"/>
    <w:rsid w:val="007D1863"/>
    <w:rsid w:val="007D1A59"/>
    <w:rsid w:val="007D1D4A"/>
    <w:rsid w:val="007D1E03"/>
    <w:rsid w:val="007D1F16"/>
    <w:rsid w:val="007D1F86"/>
    <w:rsid w:val="007D207C"/>
    <w:rsid w:val="007D2422"/>
    <w:rsid w:val="007D2705"/>
    <w:rsid w:val="007D2717"/>
    <w:rsid w:val="007D298E"/>
    <w:rsid w:val="007D2B26"/>
    <w:rsid w:val="007D2D4D"/>
    <w:rsid w:val="007D31BD"/>
    <w:rsid w:val="007D3377"/>
    <w:rsid w:val="007D33AC"/>
    <w:rsid w:val="007D33FF"/>
    <w:rsid w:val="007D3817"/>
    <w:rsid w:val="007D4175"/>
    <w:rsid w:val="007D41A1"/>
    <w:rsid w:val="007D44F4"/>
    <w:rsid w:val="007D4602"/>
    <w:rsid w:val="007D475F"/>
    <w:rsid w:val="007D4A6D"/>
    <w:rsid w:val="007D4C92"/>
    <w:rsid w:val="007D4E97"/>
    <w:rsid w:val="007D4F4F"/>
    <w:rsid w:val="007D5425"/>
    <w:rsid w:val="007D5765"/>
    <w:rsid w:val="007D5804"/>
    <w:rsid w:val="007D592E"/>
    <w:rsid w:val="007D5B1F"/>
    <w:rsid w:val="007D5D16"/>
    <w:rsid w:val="007D5DA7"/>
    <w:rsid w:val="007D5E2B"/>
    <w:rsid w:val="007D5FE6"/>
    <w:rsid w:val="007D65E2"/>
    <w:rsid w:val="007D67F6"/>
    <w:rsid w:val="007D70A8"/>
    <w:rsid w:val="007D7430"/>
    <w:rsid w:val="007D74A8"/>
    <w:rsid w:val="007D74D0"/>
    <w:rsid w:val="007D7534"/>
    <w:rsid w:val="007D7586"/>
    <w:rsid w:val="007D7C64"/>
    <w:rsid w:val="007D7D6F"/>
    <w:rsid w:val="007D7E43"/>
    <w:rsid w:val="007D7EDC"/>
    <w:rsid w:val="007E02A8"/>
    <w:rsid w:val="007E04B5"/>
    <w:rsid w:val="007E0736"/>
    <w:rsid w:val="007E078E"/>
    <w:rsid w:val="007E08CE"/>
    <w:rsid w:val="007E0B24"/>
    <w:rsid w:val="007E0F80"/>
    <w:rsid w:val="007E129F"/>
    <w:rsid w:val="007E12CA"/>
    <w:rsid w:val="007E1353"/>
    <w:rsid w:val="007E20D6"/>
    <w:rsid w:val="007E226C"/>
    <w:rsid w:val="007E2439"/>
    <w:rsid w:val="007E2713"/>
    <w:rsid w:val="007E2855"/>
    <w:rsid w:val="007E2908"/>
    <w:rsid w:val="007E2916"/>
    <w:rsid w:val="007E2D10"/>
    <w:rsid w:val="007E2E91"/>
    <w:rsid w:val="007E2F16"/>
    <w:rsid w:val="007E3011"/>
    <w:rsid w:val="007E3219"/>
    <w:rsid w:val="007E3327"/>
    <w:rsid w:val="007E339C"/>
    <w:rsid w:val="007E346B"/>
    <w:rsid w:val="007E34F0"/>
    <w:rsid w:val="007E3569"/>
    <w:rsid w:val="007E35E5"/>
    <w:rsid w:val="007E3750"/>
    <w:rsid w:val="007E3A16"/>
    <w:rsid w:val="007E3A20"/>
    <w:rsid w:val="007E3B94"/>
    <w:rsid w:val="007E4075"/>
    <w:rsid w:val="007E436E"/>
    <w:rsid w:val="007E46C6"/>
    <w:rsid w:val="007E4824"/>
    <w:rsid w:val="007E4892"/>
    <w:rsid w:val="007E49F5"/>
    <w:rsid w:val="007E4FD4"/>
    <w:rsid w:val="007E5087"/>
    <w:rsid w:val="007E52A2"/>
    <w:rsid w:val="007E5624"/>
    <w:rsid w:val="007E5679"/>
    <w:rsid w:val="007E57A6"/>
    <w:rsid w:val="007E59A5"/>
    <w:rsid w:val="007E5B78"/>
    <w:rsid w:val="007E5E95"/>
    <w:rsid w:val="007E6017"/>
    <w:rsid w:val="007E6082"/>
    <w:rsid w:val="007E60C6"/>
    <w:rsid w:val="007E6284"/>
    <w:rsid w:val="007E6365"/>
    <w:rsid w:val="007E64B0"/>
    <w:rsid w:val="007E64ED"/>
    <w:rsid w:val="007E6502"/>
    <w:rsid w:val="007E66A7"/>
    <w:rsid w:val="007E67F4"/>
    <w:rsid w:val="007E69C8"/>
    <w:rsid w:val="007E69F0"/>
    <w:rsid w:val="007E6AE7"/>
    <w:rsid w:val="007E6B1B"/>
    <w:rsid w:val="007E6D47"/>
    <w:rsid w:val="007E6E9D"/>
    <w:rsid w:val="007E6F12"/>
    <w:rsid w:val="007E7066"/>
    <w:rsid w:val="007E72A3"/>
    <w:rsid w:val="007E72F4"/>
    <w:rsid w:val="007E73CA"/>
    <w:rsid w:val="007E7496"/>
    <w:rsid w:val="007E7582"/>
    <w:rsid w:val="007E760F"/>
    <w:rsid w:val="007E7693"/>
    <w:rsid w:val="007E7711"/>
    <w:rsid w:val="007E77F9"/>
    <w:rsid w:val="007E79A2"/>
    <w:rsid w:val="007E7B42"/>
    <w:rsid w:val="007E7CED"/>
    <w:rsid w:val="007E7D80"/>
    <w:rsid w:val="007F0210"/>
    <w:rsid w:val="007F0798"/>
    <w:rsid w:val="007F0A4F"/>
    <w:rsid w:val="007F0ABB"/>
    <w:rsid w:val="007F0B4D"/>
    <w:rsid w:val="007F0ED6"/>
    <w:rsid w:val="007F0F34"/>
    <w:rsid w:val="007F18BD"/>
    <w:rsid w:val="007F1900"/>
    <w:rsid w:val="007F19F4"/>
    <w:rsid w:val="007F19FC"/>
    <w:rsid w:val="007F1AEE"/>
    <w:rsid w:val="007F1BE4"/>
    <w:rsid w:val="007F1D50"/>
    <w:rsid w:val="007F1E8E"/>
    <w:rsid w:val="007F1FC4"/>
    <w:rsid w:val="007F204C"/>
    <w:rsid w:val="007F22F4"/>
    <w:rsid w:val="007F248C"/>
    <w:rsid w:val="007F248D"/>
    <w:rsid w:val="007F24DA"/>
    <w:rsid w:val="007F264C"/>
    <w:rsid w:val="007F2701"/>
    <w:rsid w:val="007F29A6"/>
    <w:rsid w:val="007F2B6E"/>
    <w:rsid w:val="007F31F6"/>
    <w:rsid w:val="007F3675"/>
    <w:rsid w:val="007F372B"/>
    <w:rsid w:val="007F389A"/>
    <w:rsid w:val="007F3E79"/>
    <w:rsid w:val="007F3FAD"/>
    <w:rsid w:val="007F4313"/>
    <w:rsid w:val="007F45AA"/>
    <w:rsid w:val="007F478C"/>
    <w:rsid w:val="007F4A04"/>
    <w:rsid w:val="007F4CEE"/>
    <w:rsid w:val="007F524E"/>
    <w:rsid w:val="007F558C"/>
    <w:rsid w:val="007F55AC"/>
    <w:rsid w:val="007F5A3B"/>
    <w:rsid w:val="007F5B1A"/>
    <w:rsid w:val="007F5C69"/>
    <w:rsid w:val="007F5CD9"/>
    <w:rsid w:val="007F60EC"/>
    <w:rsid w:val="007F61D0"/>
    <w:rsid w:val="007F6287"/>
    <w:rsid w:val="007F6488"/>
    <w:rsid w:val="007F66B1"/>
    <w:rsid w:val="007F67CD"/>
    <w:rsid w:val="007F68A6"/>
    <w:rsid w:val="007F6E08"/>
    <w:rsid w:val="007F7011"/>
    <w:rsid w:val="007F7063"/>
    <w:rsid w:val="007F73CB"/>
    <w:rsid w:val="007F749B"/>
    <w:rsid w:val="007F7530"/>
    <w:rsid w:val="007F75DD"/>
    <w:rsid w:val="007F7772"/>
    <w:rsid w:val="007F77D6"/>
    <w:rsid w:val="007F77DC"/>
    <w:rsid w:val="007F7838"/>
    <w:rsid w:val="007F7840"/>
    <w:rsid w:val="007F786C"/>
    <w:rsid w:val="007F7A5E"/>
    <w:rsid w:val="007F7C4E"/>
    <w:rsid w:val="007F7D0C"/>
    <w:rsid w:val="007F7D59"/>
    <w:rsid w:val="0080043C"/>
    <w:rsid w:val="00800692"/>
    <w:rsid w:val="00800758"/>
    <w:rsid w:val="008009D1"/>
    <w:rsid w:val="00800A19"/>
    <w:rsid w:val="00800D5B"/>
    <w:rsid w:val="00800D9F"/>
    <w:rsid w:val="00801513"/>
    <w:rsid w:val="0080153B"/>
    <w:rsid w:val="00801876"/>
    <w:rsid w:val="00801A3F"/>
    <w:rsid w:val="00801A4B"/>
    <w:rsid w:val="00801A65"/>
    <w:rsid w:val="00801C33"/>
    <w:rsid w:val="00801D17"/>
    <w:rsid w:val="00801D1B"/>
    <w:rsid w:val="0080206F"/>
    <w:rsid w:val="00802D69"/>
    <w:rsid w:val="00802F93"/>
    <w:rsid w:val="00802FDB"/>
    <w:rsid w:val="00802FE4"/>
    <w:rsid w:val="00803231"/>
    <w:rsid w:val="0080333F"/>
    <w:rsid w:val="008036A4"/>
    <w:rsid w:val="00804201"/>
    <w:rsid w:val="0080439C"/>
    <w:rsid w:val="0080448C"/>
    <w:rsid w:val="00804802"/>
    <w:rsid w:val="00804A7A"/>
    <w:rsid w:val="00804C13"/>
    <w:rsid w:val="00804D7C"/>
    <w:rsid w:val="00805128"/>
    <w:rsid w:val="008051C7"/>
    <w:rsid w:val="00805259"/>
    <w:rsid w:val="0080529D"/>
    <w:rsid w:val="0080544A"/>
    <w:rsid w:val="008056D3"/>
    <w:rsid w:val="00805A6A"/>
    <w:rsid w:val="00805C05"/>
    <w:rsid w:val="00805E88"/>
    <w:rsid w:val="008063BC"/>
    <w:rsid w:val="008067EF"/>
    <w:rsid w:val="008069A0"/>
    <w:rsid w:val="00806D15"/>
    <w:rsid w:val="00806F2B"/>
    <w:rsid w:val="00806F4E"/>
    <w:rsid w:val="0080704E"/>
    <w:rsid w:val="008075A0"/>
    <w:rsid w:val="0080769C"/>
    <w:rsid w:val="00807913"/>
    <w:rsid w:val="00807AB1"/>
    <w:rsid w:val="00807FFD"/>
    <w:rsid w:val="008100D9"/>
    <w:rsid w:val="00810754"/>
    <w:rsid w:val="008107C1"/>
    <w:rsid w:val="00810829"/>
    <w:rsid w:val="00810BE1"/>
    <w:rsid w:val="00810CFA"/>
    <w:rsid w:val="00810D4B"/>
    <w:rsid w:val="008112A1"/>
    <w:rsid w:val="00811669"/>
    <w:rsid w:val="008118CD"/>
    <w:rsid w:val="008119E8"/>
    <w:rsid w:val="00811A14"/>
    <w:rsid w:val="00811AD9"/>
    <w:rsid w:val="00811D10"/>
    <w:rsid w:val="00811FCF"/>
    <w:rsid w:val="0081208C"/>
    <w:rsid w:val="00812345"/>
    <w:rsid w:val="00812507"/>
    <w:rsid w:val="008128C1"/>
    <w:rsid w:val="00812968"/>
    <w:rsid w:val="00812A74"/>
    <w:rsid w:val="00812BDC"/>
    <w:rsid w:val="008133CD"/>
    <w:rsid w:val="0081394E"/>
    <w:rsid w:val="0081453C"/>
    <w:rsid w:val="0081464E"/>
    <w:rsid w:val="008148D1"/>
    <w:rsid w:val="00814B8F"/>
    <w:rsid w:val="00814CA5"/>
    <w:rsid w:val="00814D5F"/>
    <w:rsid w:val="00815438"/>
    <w:rsid w:val="00815451"/>
    <w:rsid w:val="008154CE"/>
    <w:rsid w:val="00815888"/>
    <w:rsid w:val="008158D1"/>
    <w:rsid w:val="00815F6D"/>
    <w:rsid w:val="008161EB"/>
    <w:rsid w:val="00816436"/>
    <w:rsid w:val="008164F3"/>
    <w:rsid w:val="0081657E"/>
    <w:rsid w:val="00816713"/>
    <w:rsid w:val="00816872"/>
    <w:rsid w:val="0081691E"/>
    <w:rsid w:val="00816B48"/>
    <w:rsid w:val="00817017"/>
    <w:rsid w:val="00817052"/>
    <w:rsid w:val="0081737C"/>
    <w:rsid w:val="008175B3"/>
    <w:rsid w:val="008178A3"/>
    <w:rsid w:val="00817CE5"/>
    <w:rsid w:val="00817DA3"/>
    <w:rsid w:val="00817F09"/>
    <w:rsid w:val="00820348"/>
    <w:rsid w:val="0082065A"/>
    <w:rsid w:val="00820755"/>
    <w:rsid w:val="008207EF"/>
    <w:rsid w:val="00820870"/>
    <w:rsid w:val="008208DA"/>
    <w:rsid w:val="00820919"/>
    <w:rsid w:val="008209D1"/>
    <w:rsid w:val="00820A0E"/>
    <w:rsid w:val="00820BF2"/>
    <w:rsid w:val="00820C23"/>
    <w:rsid w:val="00820D47"/>
    <w:rsid w:val="00820DE8"/>
    <w:rsid w:val="00820EE9"/>
    <w:rsid w:val="00820FF8"/>
    <w:rsid w:val="00821037"/>
    <w:rsid w:val="00821153"/>
    <w:rsid w:val="0082115B"/>
    <w:rsid w:val="0082116E"/>
    <w:rsid w:val="008211E6"/>
    <w:rsid w:val="0082120F"/>
    <w:rsid w:val="00821213"/>
    <w:rsid w:val="00821247"/>
    <w:rsid w:val="0082127F"/>
    <w:rsid w:val="00821614"/>
    <w:rsid w:val="008218A5"/>
    <w:rsid w:val="00821BC7"/>
    <w:rsid w:val="00821C9D"/>
    <w:rsid w:val="00821DD1"/>
    <w:rsid w:val="00821EAC"/>
    <w:rsid w:val="00822027"/>
    <w:rsid w:val="00822081"/>
    <w:rsid w:val="008225F2"/>
    <w:rsid w:val="00822660"/>
    <w:rsid w:val="0082288C"/>
    <w:rsid w:val="008228BD"/>
    <w:rsid w:val="00822955"/>
    <w:rsid w:val="00822AED"/>
    <w:rsid w:val="00822B47"/>
    <w:rsid w:val="00823703"/>
    <w:rsid w:val="008239A8"/>
    <w:rsid w:val="008239E3"/>
    <w:rsid w:val="00823C23"/>
    <w:rsid w:val="00823E0A"/>
    <w:rsid w:val="00824044"/>
    <w:rsid w:val="0082418D"/>
    <w:rsid w:val="00824534"/>
    <w:rsid w:val="00824740"/>
    <w:rsid w:val="00824A1F"/>
    <w:rsid w:val="00824D70"/>
    <w:rsid w:val="0082503D"/>
    <w:rsid w:val="008250AA"/>
    <w:rsid w:val="008250C7"/>
    <w:rsid w:val="008257FD"/>
    <w:rsid w:val="00825AB0"/>
    <w:rsid w:val="00825C42"/>
    <w:rsid w:val="00825CEB"/>
    <w:rsid w:val="00825F38"/>
    <w:rsid w:val="00825F94"/>
    <w:rsid w:val="00826299"/>
    <w:rsid w:val="0082656C"/>
    <w:rsid w:val="00826649"/>
    <w:rsid w:val="00826CB8"/>
    <w:rsid w:val="00826F08"/>
    <w:rsid w:val="00827111"/>
    <w:rsid w:val="00827206"/>
    <w:rsid w:val="00827338"/>
    <w:rsid w:val="00827459"/>
    <w:rsid w:val="008276C4"/>
    <w:rsid w:val="0082779E"/>
    <w:rsid w:val="00827A41"/>
    <w:rsid w:val="00827B90"/>
    <w:rsid w:val="00827E3A"/>
    <w:rsid w:val="00827FCB"/>
    <w:rsid w:val="00830071"/>
    <w:rsid w:val="008301AC"/>
    <w:rsid w:val="008302BF"/>
    <w:rsid w:val="008302F6"/>
    <w:rsid w:val="008306B7"/>
    <w:rsid w:val="00830F0C"/>
    <w:rsid w:val="00830FD1"/>
    <w:rsid w:val="0083103C"/>
    <w:rsid w:val="008314A2"/>
    <w:rsid w:val="008315D0"/>
    <w:rsid w:val="00831AB8"/>
    <w:rsid w:val="008320D8"/>
    <w:rsid w:val="0083216A"/>
    <w:rsid w:val="008328EA"/>
    <w:rsid w:val="00832C86"/>
    <w:rsid w:val="00832D26"/>
    <w:rsid w:val="00832DBF"/>
    <w:rsid w:val="008330BA"/>
    <w:rsid w:val="0083314C"/>
    <w:rsid w:val="00833160"/>
    <w:rsid w:val="00833677"/>
    <w:rsid w:val="00833780"/>
    <w:rsid w:val="00833819"/>
    <w:rsid w:val="00833BAB"/>
    <w:rsid w:val="00833DFE"/>
    <w:rsid w:val="008342E3"/>
    <w:rsid w:val="008344C9"/>
    <w:rsid w:val="00834588"/>
    <w:rsid w:val="00834820"/>
    <w:rsid w:val="008348FB"/>
    <w:rsid w:val="0083495F"/>
    <w:rsid w:val="00834BFC"/>
    <w:rsid w:val="00834E3A"/>
    <w:rsid w:val="00834F72"/>
    <w:rsid w:val="008351EE"/>
    <w:rsid w:val="00835375"/>
    <w:rsid w:val="00835978"/>
    <w:rsid w:val="00835E48"/>
    <w:rsid w:val="00836601"/>
    <w:rsid w:val="008367A2"/>
    <w:rsid w:val="008370A4"/>
    <w:rsid w:val="00837252"/>
    <w:rsid w:val="008373A7"/>
    <w:rsid w:val="00837540"/>
    <w:rsid w:val="00837A09"/>
    <w:rsid w:val="00837B2C"/>
    <w:rsid w:val="00837C39"/>
    <w:rsid w:val="008401F5"/>
    <w:rsid w:val="0084025E"/>
    <w:rsid w:val="00840317"/>
    <w:rsid w:val="00840366"/>
    <w:rsid w:val="008405CB"/>
    <w:rsid w:val="00840627"/>
    <w:rsid w:val="00840753"/>
    <w:rsid w:val="008407E9"/>
    <w:rsid w:val="00840927"/>
    <w:rsid w:val="00840AC5"/>
    <w:rsid w:val="00841045"/>
    <w:rsid w:val="00841254"/>
    <w:rsid w:val="0084139D"/>
    <w:rsid w:val="00841721"/>
    <w:rsid w:val="008417DC"/>
    <w:rsid w:val="00841859"/>
    <w:rsid w:val="0084185E"/>
    <w:rsid w:val="00841B57"/>
    <w:rsid w:val="00841BC7"/>
    <w:rsid w:val="00841C85"/>
    <w:rsid w:val="008420EA"/>
    <w:rsid w:val="0084222C"/>
    <w:rsid w:val="00842617"/>
    <w:rsid w:val="00842B10"/>
    <w:rsid w:val="00842D40"/>
    <w:rsid w:val="0084346E"/>
    <w:rsid w:val="008439D4"/>
    <w:rsid w:val="00843AFD"/>
    <w:rsid w:val="00843C32"/>
    <w:rsid w:val="0084400F"/>
    <w:rsid w:val="0084421A"/>
    <w:rsid w:val="00844267"/>
    <w:rsid w:val="008443A0"/>
    <w:rsid w:val="0084466C"/>
    <w:rsid w:val="0084497E"/>
    <w:rsid w:val="008449CC"/>
    <w:rsid w:val="00844A0A"/>
    <w:rsid w:val="00844C3F"/>
    <w:rsid w:val="00844C98"/>
    <w:rsid w:val="00844F3D"/>
    <w:rsid w:val="008451AA"/>
    <w:rsid w:val="008451CC"/>
    <w:rsid w:val="0084545A"/>
    <w:rsid w:val="00845529"/>
    <w:rsid w:val="00845949"/>
    <w:rsid w:val="008459D5"/>
    <w:rsid w:val="00845A9D"/>
    <w:rsid w:val="00845AA4"/>
    <w:rsid w:val="00845DA2"/>
    <w:rsid w:val="00846049"/>
    <w:rsid w:val="008461A0"/>
    <w:rsid w:val="00846243"/>
    <w:rsid w:val="0084663F"/>
    <w:rsid w:val="0084677A"/>
    <w:rsid w:val="008470E8"/>
    <w:rsid w:val="008471A8"/>
    <w:rsid w:val="008471CF"/>
    <w:rsid w:val="008472F5"/>
    <w:rsid w:val="008476D3"/>
    <w:rsid w:val="00847826"/>
    <w:rsid w:val="00847B66"/>
    <w:rsid w:val="00847DA4"/>
    <w:rsid w:val="00847DD8"/>
    <w:rsid w:val="00847DDB"/>
    <w:rsid w:val="00847EEC"/>
    <w:rsid w:val="008501C4"/>
    <w:rsid w:val="0085025B"/>
    <w:rsid w:val="00850453"/>
    <w:rsid w:val="008506A5"/>
    <w:rsid w:val="008506D4"/>
    <w:rsid w:val="008508E5"/>
    <w:rsid w:val="00850970"/>
    <w:rsid w:val="008509CA"/>
    <w:rsid w:val="00850AD4"/>
    <w:rsid w:val="00850E5E"/>
    <w:rsid w:val="008511C5"/>
    <w:rsid w:val="0085144E"/>
    <w:rsid w:val="008514F9"/>
    <w:rsid w:val="008515A1"/>
    <w:rsid w:val="00851816"/>
    <w:rsid w:val="00851CDB"/>
    <w:rsid w:val="00851D29"/>
    <w:rsid w:val="00851DBB"/>
    <w:rsid w:val="00851E6A"/>
    <w:rsid w:val="008522B9"/>
    <w:rsid w:val="0085269A"/>
    <w:rsid w:val="0085271B"/>
    <w:rsid w:val="00852FE5"/>
    <w:rsid w:val="00853111"/>
    <w:rsid w:val="00853236"/>
    <w:rsid w:val="00853321"/>
    <w:rsid w:val="008535EF"/>
    <w:rsid w:val="0085377D"/>
    <w:rsid w:val="00853802"/>
    <w:rsid w:val="00853B87"/>
    <w:rsid w:val="00853E54"/>
    <w:rsid w:val="00853F3B"/>
    <w:rsid w:val="00853F5D"/>
    <w:rsid w:val="00854135"/>
    <w:rsid w:val="008541CE"/>
    <w:rsid w:val="008542E1"/>
    <w:rsid w:val="0085449D"/>
    <w:rsid w:val="00854592"/>
    <w:rsid w:val="00854638"/>
    <w:rsid w:val="008547D1"/>
    <w:rsid w:val="00854811"/>
    <w:rsid w:val="00854A2A"/>
    <w:rsid w:val="00854B05"/>
    <w:rsid w:val="00854BE8"/>
    <w:rsid w:val="00854C22"/>
    <w:rsid w:val="00854C5E"/>
    <w:rsid w:val="00854E04"/>
    <w:rsid w:val="00854F21"/>
    <w:rsid w:val="008550E6"/>
    <w:rsid w:val="00855797"/>
    <w:rsid w:val="00855853"/>
    <w:rsid w:val="00855873"/>
    <w:rsid w:val="008558FF"/>
    <w:rsid w:val="0085590E"/>
    <w:rsid w:val="008559FE"/>
    <w:rsid w:val="00855B2D"/>
    <w:rsid w:val="00855EBE"/>
    <w:rsid w:val="00855F10"/>
    <w:rsid w:val="008561DA"/>
    <w:rsid w:val="008561F9"/>
    <w:rsid w:val="00856404"/>
    <w:rsid w:val="00856851"/>
    <w:rsid w:val="0085698F"/>
    <w:rsid w:val="00856B5D"/>
    <w:rsid w:val="00856B93"/>
    <w:rsid w:val="00856D52"/>
    <w:rsid w:val="008571F5"/>
    <w:rsid w:val="00857403"/>
    <w:rsid w:val="00857752"/>
    <w:rsid w:val="00857789"/>
    <w:rsid w:val="00857875"/>
    <w:rsid w:val="00857929"/>
    <w:rsid w:val="00857E24"/>
    <w:rsid w:val="008601F1"/>
    <w:rsid w:val="00860574"/>
    <w:rsid w:val="008605DD"/>
    <w:rsid w:val="00860681"/>
    <w:rsid w:val="00860A6A"/>
    <w:rsid w:val="00860BDC"/>
    <w:rsid w:val="00860DDE"/>
    <w:rsid w:val="0086107D"/>
    <w:rsid w:val="0086146F"/>
    <w:rsid w:val="008614CB"/>
    <w:rsid w:val="00861526"/>
    <w:rsid w:val="00861599"/>
    <w:rsid w:val="008616AC"/>
    <w:rsid w:val="0086171D"/>
    <w:rsid w:val="00861848"/>
    <w:rsid w:val="00861874"/>
    <w:rsid w:val="008618AD"/>
    <w:rsid w:val="008618F2"/>
    <w:rsid w:val="0086198D"/>
    <w:rsid w:val="00862071"/>
    <w:rsid w:val="008620FD"/>
    <w:rsid w:val="0086276C"/>
    <w:rsid w:val="00862D20"/>
    <w:rsid w:val="00862E3E"/>
    <w:rsid w:val="0086359A"/>
    <w:rsid w:val="008638B2"/>
    <w:rsid w:val="00863D28"/>
    <w:rsid w:val="00863E14"/>
    <w:rsid w:val="0086441E"/>
    <w:rsid w:val="0086447D"/>
    <w:rsid w:val="008647A1"/>
    <w:rsid w:val="008647A7"/>
    <w:rsid w:val="00864CD1"/>
    <w:rsid w:val="00864CE8"/>
    <w:rsid w:val="00864F30"/>
    <w:rsid w:val="00864FD9"/>
    <w:rsid w:val="008654C8"/>
    <w:rsid w:val="008654E2"/>
    <w:rsid w:val="008657A3"/>
    <w:rsid w:val="00865A06"/>
    <w:rsid w:val="00865E25"/>
    <w:rsid w:val="008664FF"/>
    <w:rsid w:val="008668DD"/>
    <w:rsid w:val="00866A2D"/>
    <w:rsid w:val="00866B27"/>
    <w:rsid w:val="00866BF9"/>
    <w:rsid w:val="00866C18"/>
    <w:rsid w:val="00867105"/>
    <w:rsid w:val="008672AF"/>
    <w:rsid w:val="008672B5"/>
    <w:rsid w:val="00867520"/>
    <w:rsid w:val="00867601"/>
    <w:rsid w:val="00867993"/>
    <w:rsid w:val="00867A10"/>
    <w:rsid w:val="00867B52"/>
    <w:rsid w:val="00867C95"/>
    <w:rsid w:val="00867DAF"/>
    <w:rsid w:val="00867FB1"/>
    <w:rsid w:val="008700A6"/>
    <w:rsid w:val="00870252"/>
    <w:rsid w:val="008703AF"/>
    <w:rsid w:val="008706D3"/>
    <w:rsid w:val="00870937"/>
    <w:rsid w:val="00870AF6"/>
    <w:rsid w:val="00871142"/>
    <w:rsid w:val="00871542"/>
    <w:rsid w:val="008715D5"/>
    <w:rsid w:val="00871968"/>
    <w:rsid w:val="00871A46"/>
    <w:rsid w:val="00871ABA"/>
    <w:rsid w:val="00871D14"/>
    <w:rsid w:val="00871D4C"/>
    <w:rsid w:val="00871ED9"/>
    <w:rsid w:val="0087226B"/>
    <w:rsid w:val="008723E2"/>
    <w:rsid w:val="0087242E"/>
    <w:rsid w:val="00872A26"/>
    <w:rsid w:val="00872ADD"/>
    <w:rsid w:val="00872BD8"/>
    <w:rsid w:val="00872D43"/>
    <w:rsid w:val="00873998"/>
    <w:rsid w:val="00873B22"/>
    <w:rsid w:val="00873C7C"/>
    <w:rsid w:val="00873DBB"/>
    <w:rsid w:val="0087425F"/>
    <w:rsid w:val="00874364"/>
    <w:rsid w:val="0087439F"/>
    <w:rsid w:val="0087459E"/>
    <w:rsid w:val="0087474C"/>
    <w:rsid w:val="00874EF9"/>
    <w:rsid w:val="0087500C"/>
    <w:rsid w:val="008750C0"/>
    <w:rsid w:val="0087547D"/>
    <w:rsid w:val="008755F7"/>
    <w:rsid w:val="008756D5"/>
    <w:rsid w:val="00875711"/>
    <w:rsid w:val="00875805"/>
    <w:rsid w:val="00875B6E"/>
    <w:rsid w:val="008763C1"/>
    <w:rsid w:val="008767F0"/>
    <w:rsid w:val="00876E1D"/>
    <w:rsid w:val="00877466"/>
    <w:rsid w:val="00877488"/>
    <w:rsid w:val="008775C4"/>
    <w:rsid w:val="00877621"/>
    <w:rsid w:val="00877702"/>
    <w:rsid w:val="008777F7"/>
    <w:rsid w:val="00877EC3"/>
    <w:rsid w:val="00877F58"/>
    <w:rsid w:val="00877FC8"/>
    <w:rsid w:val="00880831"/>
    <w:rsid w:val="00880912"/>
    <w:rsid w:val="008809A3"/>
    <w:rsid w:val="00880A26"/>
    <w:rsid w:val="00880AA8"/>
    <w:rsid w:val="00880BC8"/>
    <w:rsid w:val="00880C4E"/>
    <w:rsid w:val="00881369"/>
    <w:rsid w:val="00881485"/>
    <w:rsid w:val="00881529"/>
    <w:rsid w:val="0088165D"/>
    <w:rsid w:val="0088176F"/>
    <w:rsid w:val="008818A0"/>
    <w:rsid w:val="0088190C"/>
    <w:rsid w:val="00881CF6"/>
    <w:rsid w:val="00881F98"/>
    <w:rsid w:val="00881FC2"/>
    <w:rsid w:val="00882033"/>
    <w:rsid w:val="008820C0"/>
    <w:rsid w:val="0088212A"/>
    <w:rsid w:val="00882254"/>
    <w:rsid w:val="008824DF"/>
    <w:rsid w:val="00882816"/>
    <w:rsid w:val="00882866"/>
    <w:rsid w:val="008828C9"/>
    <w:rsid w:val="00882973"/>
    <w:rsid w:val="008829B8"/>
    <w:rsid w:val="008829E9"/>
    <w:rsid w:val="00882A19"/>
    <w:rsid w:val="00882BC3"/>
    <w:rsid w:val="00882D27"/>
    <w:rsid w:val="00882E55"/>
    <w:rsid w:val="00882FE4"/>
    <w:rsid w:val="0088311C"/>
    <w:rsid w:val="0088319C"/>
    <w:rsid w:val="00883305"/>
    <w:rsid w:val="00883495"/>
    <w:rsid w:val="00883670"/>
    <w:rsid w:val="00883DB2"/>
    <w:rsid w:val="00883E74"/>
    <w:rsid w:val="00883EC1"/>
    <w:rsid w:val="00883FB1"/>
    <w:rsid w:val="00884207"/>
    <w:rsid w:val="008842D6"/>
    <w:rsid w:val="008848F0"/>
    <w:rsid w:val="008849A0"/>
    <w:rsid w:val="00884B6C"/>
    <w:rsid w:val="00884C09"/>
    <w:rsid w:val="00884CCD"/>
    <w:rsid w:val="00884E76"/>
    <w:rsid w:val="00884F3E"/>
    <w:rsid w:val="0088514D"/>
    <w:rsid w:val="0088522C"/>
    <w:rsid w:val="008852CF"/>
    <w:rsid w:val="008854D7"/>
    <w:rsid w:val="00885654"/>
    <w:rsid w:val="00885659"/>
    <w:rsid w:val="008857BC"/>
    <w:rsid w:val="008857C8"/>
    <w:rsid w:val="00885875"/>
    <w:rsid w:val="00885A9F"/>
    <w:rsid w:val="00886067"/>
    <w:rsid w:val="00886086"/>
    <w:rsid w:val="00886126"/>
    <w:rsid w:val="00886637"/>
    <w:rsid w:val="0088664C"/>
    <w:rsid w:val="008866C3"/>
    <w:rsid w:val="00886795"/>
    <w:rsid w:val="00886865"/>
    <w:rsid w:val="00886A64"/>
    <w:rsid w:val="00886D19"/>
    <w:rsid w:val="00886D80"/>
    <w:rsid w:val="008872EA"/>
    <w:rsid w:val="008874D6"/>
    <w:rsid w:val="0088766D"/>
    <w:rsid w:val="00887BE3"/>
    <w:rsid w:val="00887D7D"/>
    <w:rsid w:val="008900DE"/>
    <w:rsid w:val="008902FE"/>
    <w:rsid w:val="0089061F"/>
    <w:rsid w:val="00890786"/>
    <w:rsid w:val="00890E4C"/>
    <w:rsid w:val="00890EBF"/>
    <w:rsid w:val="00890F70"/>
    <w:rsid w:val="00891112"/>
    <w:rsid w:val="008911C9"/>
    <w:rsid w:val="008913D9"/>
    <w:rsid w:val="0089147E"/>
    <w:rsid w:val="0089156F"/>
    <w:rsid w:val="0089169F"/>
    <w:rsid w:val="00891945"/>
    <w:rsid w:val="00891BA9"/>
    <w:rsid w:val="00891C36"/>
    <w:rsid w:val="00891F18"/>
    <w:rsid w:val="00892007"/>
    <w:rsid w:val="0089203D"/>
    <w:rsid w:val="00892042"/>
    <w:rsid w:val="008924B7"/>
    <w:rsid w:val="008925D8"/>
    <w:rsid w:val="00892654"/>
    <w:rsid w:val="00892857"/>
    <w:rsid w:val="0089297B"/>
    <w:rsid w:val="00892B43"/>
    <w:rsid w:val="0089352A"/>
    <w:rsid w:val="00893829"/>
    <w:rsid w:val="00893A12"/>
    <w:rsid w:val="00893C73"/>
    <w:rsid w:val="00893D80"/>
    <w:rsid w:val="008942FF"/>
    <w:rsid w:val="008948CC"/>
    <w:rsid w:val="0089495B"/>
    <w:rsid w:val="00894B25"/>
    <w:rsid w:val="00895244"/>
    <w:rsid w:val="008953CF"/>
    <w:rsid w:val="00895656"/>
    <w:rsid w:val="00895754"/>
    <w:rsid w:val="00895826"/>
    <w:rsid w:val="00895847"/>
    <w:rsid w:val="00896129"/>
    <w:rsid w:val="008968BD"/>
    <w:rsid w:val="00896C8F"/>
    <w:rsid w:val="00896D09"/>
    <w:rsid w:val="00896DF1"/>
    <w:rsid w:val="00896E87"/>
    <w:rsid w:val="00897167"/>
    <w:rsid w:val="008972E1"/>
    <w:rsid w:val="008974FB"/>
    <w:rsid w:val="00897841"/>
    <w:rsid w:val="00897AAE"/>
    <w:rsid w:val="00897C49"/>
    <w:rsid w:val="008A0126"/>
    <w:rsid w:val="008A0146"/>
    <w:rsid w:val="008A0508"/>
    <w:rsid w:val="008A0F43"/>
    <w:rsid w:val="008A110C"/>
    <w:rsid w:val="008A17A6"/>
    <w:rsid w:val="008A182E"/>
    <w:rsid w:val="008A18D0"/>
    <w:rsid w:val="008A1945"/>
    <w:rsid w:val="008A1A23"/>
    <w:rsid w:val="008A1C26"/>
    <w:rsid w:val="008A1F10"/>
    <w:rsid w:val="008A1FE7"/>
    <w:rsid w:val="008A25DE"/>
    <w:rsid w:val="008A2BC0"/>
    <w:rsid w:val="008A2ECC"/>
    <w:rsid w:val="008A3099"/>
    <w:rsid w:val="008A3184"/>
    <w:rsid w:val="008A345E"/>
    <w:rsid w:val="008A3853"/>
    <w:rsid w:val="008A3882"/>
    <w:rsid w:val="008A3E16"/>
    <w:rsid w:val="008A4562"/>
    <w:rsid w:val="008A45E4"/>
    <w:rsid w:val="008A49B1"/>
    <w:rsid w:val="008A5082"/>
    <w:rsid w:val="008A50C0"/>
    <w:rsid w:val="008A50DA"/>
    <w:rsid w:val="008A5286"/>
    <w:rsid w:val="008A54D9"/>
    <w:rsid w:val="008A551C"/>
    <w:rsid w:val="008A5548"/>
    <w:rsid w:val="008A5B69"/>
    <w:rsid w:val="008A5BD7"/>
    <w:rsid w:val="008A5C55"/>
    <w:rsid w:val="008A5D14"/>
    <w:rsid w:val="008A5ED1"/>
    <w:rsid w:val="008A642F"/>
    <w:rsid w:val="008A6541"/>
    <w:rsid w:val="008A6598"/>
    <w:rsid w:val="008A6808"/>
    <w:rsid w:val="008A681E"/>
    <w:rsid w:val="008A68CE"/>
    <w:rsid w:val="008A6915"/>
    <w:rsid w:val="008A6A4E"/>
    <w:rsid w:val="008A74A4"/>
    <w:rsid w:val="008A76A5"/>
    <w:rsid w:val="008A7812"/>
    <w:rsid w:val="008A78DF"/>
    <w:rsid w:val="008A7983"/>
    <w:rsid w:val="008A7BD4"/>
    <w:rsid w:val="008A7EC2"/>
    <w:rsid w:val="008B0354"/>
    <w:rsid w:val="008B03CE"/>
    <w:rsid w:val="008B0579"/>
    <w:rsid w:val="008B0852"/>
    <w:rsid w:val="008B0BF9"/>
    <w:rsid w:val="008B0D14"/>
    <w:rsid w:val="008B1310"/>
    <w:rsid w:val="008B140E"/>
    <w:rsid w:val="008B14D5"/>
    <w:rsid w:val="008B1A4F"/>
    <w:rsid w:val="008B1ADA"/>
    <w:rsid w:val="008B1D4D"/>
    <w:rsid w:val="008B1E0E"/>
    <w:rsid w:val="008B1FF2"/>
    <w:rsid w:val="008B202D"/>
    <w:rsid w:val="008B23C0"/>
    <w:rsid w:val="008B23CC"/>
    <w:rsid w:val="008B23F8"/>
    <w:rsid w:val="008B2405"/>
    <w:rsid w:val="008B2A39"/>
    <w:rsid w:val="008B3201"/>
    <w:rsid w:val="008B35B8"/>
    <w:rsid w:val="008B35F6"/>
    <w:rsid w:val="008B37C9"/>
    <w:rsid w:val="008B38A5"/>
    <w:rsid w:val="008B3B56"/>
    <w:rsid w:val="008B3C89"/>
    <w:rsid w:val="008B3C8D"/>
    <w:rsid w:val="008B3CDE"/>
    <w:rsid w:val="008B3D48"/>
    <w:rsid w:val="008B41C2"/>
    <w:rsid w:val="008B432C"/>
    <w:rsid w:val="008B439C"/>
    <w:rsid w:val="008B44A7"/>
    <w:rsid w:val="008B48F2"/>
    <w:rsid w:val="008B49D6"/>
    <w:rsid w:val="008B4EE3"/>
    <w:rsid w:val="008B5896"/>
    <w:rsid w:val="008B6096"/>
    <w:rsid w:val="008B6578"/>
    <w:rsid w:val="008B65ED"/>
    <w:rsid w:val="008B6662"/>
    <w:rsid w:val="008B67AF"/>
    <w:rsid w:val="008B681A"/>
    <w:rsid w:val="008B6934"/>
    <w:rsid w:val="008B6A88"/>
    <w:rsid w:val="008B7070"/>
    <w:rsid w:val="008B709E"/>
    <w:rsid w:val="008B70B6"/>
    <w:rsid w:val="008B7341"/>
    <w:rsid w:val="008B74F7"/>
    <w:rsid w:val="008B767E"/>
    <w:rsid w:val="008B7AA1"/>
    <w:rsid w:val="008C01F3"/>
    <w:rsid w:val="008C0693"/>
    <w:rsid w:val="008C06AA"/>
    <w:rsid w:val="008C0ADF"/>
    <w:rsid w:val="008C0DA1"/>
    <w:rsid w:val="008C1AE1"/>
    <w:rsid w:val="008C1B25"/>
    <w:rsid w:val="008C1C51"/>
    <w:rsid w:val="008C1D16"/>
    <w:rsid w:val="008C1E92"/>
    <w:rsid w:val="008C1EE7"/>
    <w:rsid w:val="008C202C"/>
    <w:rsid w:val="008C2341"/>
    <w:rsid w:val="008C2457"/>
    <w:rsid w:val="008C277B"/>
    <w:rsid w:val="008C32CE"/>
    <w:rsid w:val="008C3386"/>
    <w:rsid w:val="008C33EB"/>
    <w:rsid w:val="008C35AA"/>
    <w:rsid w:val="008C37D5"/>
    <w:rsid w:val="008C3829"/>
    <w:rsid w:val="008C3838"/>
    <w:rsid w:val="008C3B91"/>
    <w:rsid w:val="008C49D7"/>
    <w:rsid w:val="008C4D0F"/>
    <w:rsid w:val="008C4EFB"/>
    <w:rsid w:val="008C5032"/>
    <w:rsid w:val="008C52B9"/>
    <w:rsid w:val="008C52EE"/>
    <w:rsid w:val="008C5300"/>
    <w:rsid w:val="008C538F"/>
    <w:rsid w:val="008C57C7"/>
    <w:rsid w:val="008C594C"/>
    <w:rsid w:val="008C5B51"/>
    <w:rsid w:val="008C5C2F"/>
    <w:rsid w:val="008C607C"/>
    <w:rsid w:val="008C61E4"/>
    <w:rsid w:val="008C62B9"/>
    <w:rsid w:val="008C66B2"/>
    <w:rsid w:val="008C6BD2"/>
    <w:rsid w:val="008C6F87"/>
    <w:rsid w:val="008C7042"/>
    <w:rsid w:val="008C7EE5"/>
    <w:rsid w:val="008D02CC"/>
    <w:rsid w:val="008D03C2"/>
    <w:rsid w:val="008D044E"/>
    <w:rsid w:val="008D0455"/>
    <w:rsid w:val="008D0481"/>
    <w:rsid w:val="008D052D"/>
    <w:rsid w:val="008D0752"/>
    <w:rsid w:val="008D07D1"/>
    <w:rsid w:val="008D094B"/>
    <w:rsid w:val="008D0BBC"/>
    <w:rsid w:val="008D110E"/>
    <w:rsid w:val="008D17ED"/>
    <w:rsid w:val="008D19D1"/>
    <w:rsid w:val="008D1B2F"/>
    <w:rsid w:val="008D1B37"/>
    <w:rsid w:val="008D1CA3"/>
    <w:rsid w:val="008D1F76"/>
    <w:rsid w:val="008D1FF5"/>
    <w:rsid w:val="008D217D"/>
    <w:rsid w:val="008D23A3"/>
    <w:rsid w:val="008D2933"/>
    <w:rsid w:val="008D2F6E"/>
    <w:rsid w:val="008D30B7"/>
    <w:rsid w:val="008D328F"/>
    <w:rsid w:val="008D33C0"/>
    <w:rsid w:val="008D3553"/>
    <w:rsid w:val="008D365A"/>
    <w:rsid w:val="008D3882"/>
    <w:rsid w:val="008D38F4"/>
    <w:rsid w:val="008D39AB"/>
    <w:rsid w:val="008D3B5E"/>
    <w:rsid w:val="008D3B69"/>
    <w:rsid w:val="008D3E17"/>
    <w:rsid w:val="008D3E65"/>
    <w:rsid w:val="008D4030"/>
    <w:rsid w:val="008D4524"/>
    <w:rsid w:val="008D4574"/>
    <w:rsid w:val="008D486A"/>
    <w:rsid w:val="008D49BC"/>
    <w:rsid w:val="008D4DE1"/>
    <w:rsid w:val="008D53A7"/>
    <w:rsid w:val="008D560A"/>
    <w:rsid w:val="008D5647"/>
    <w:rsid w:val="008D5935"/>
    <w:rsid w:val="008D5AFF"/>
    <w:rsid w:val="008D5B6C"/>
    <w:rsid w:val="008D5CEE"/>
    <w:rsid w:val="008D5D9C"/>
    <w:rsid w:val="008D610A"/>
    <w:rsid w:val="008D6853"/>
    <w:rsid w:val="008D6877"/>
    <w:rsid w:val="008D68DB"/>
    <w:rsid w:val="008D6925"/>
    <w:rsid w:val="008D6B6E"/>
    <w:rsid w:val="008D6CF5"/>
    <w:rsid w:val="008D7940"/>
    <w:rsid w:val="008D79DF"/>
    <w:rsid w:val="008D7AFC"/>
    <w:rsid w:val="008D7B91"/>
    <w:rsid w:val="008D7E14"/>
    <w:rsid w:val="008D7F27"/>
    <w:rsid w:val="008D7F4A"/>
    <w:rsid w:val="008E00F1"/>
    <w:rsid w:val="008E02E3"/>
    <w:rsid w:val="008E03D2"/>
    <w:rsid w:val="008E03E2"/>
    <w:rsid w:val="008E0968"/>
    <w:rsid w:val="008E0C41"/>
    <w:rsid w:val="008E1167"/>
    <w:rsid w:val="008E126C"/>
    <w:rsid w:val="008E1480"/>
    <w:rsid w:val="008E1655"/>
    <w:rsid w:val="008E1788"/>
    <w:rsid w:val="008E18B1"/>
    <w:rsid w:val="008E1BCC"/>
    <w:rsid w:val="008E1C5E"/>
    <w:rsid w:val="008E2081"/>
    <w:rsid w:val="008E2285"/>
    <w:rsid w:val="008E2446"/>
    <w:rsid w:val="008E27D3"/>
    <w:rsid w:val="008E283E"/>
    <w:rsid w:val="008E2916"/>
    <w:rsid w:val="008E2AC0"/>
    <w:rsid w:val="008E2C0A"/>
    <w:rsid w:val="008E306E"/>
    <w:rsid w:val="008E309D"/>
    <w:rsid w:val="008E3286"/>
    <w:rsid w:val="008E3366"/>
    <w:rsid w:val="008E3790"/>
    <w:rsid w:val="008E388E"/>
    <w:rsid w:val="008E3A5E"/>
    <w:rsid w:val="008E3B70"/>
    <w:rsid w:val="008E3DEC"/>
    <w:rsid w:val="008E4072"/>
    <w:rsid w:val="008E423B"/>
    <w:rsid w:val="008E4362"/>
    <w:rsid w:val="008E43CC"/>
    <w:rsid w:val="008E4981"/>
    <w:rsid w:val="008E4F18"/>
    <w:rsid w:val="008E52EA"/>
    <w:rsid w:val="008E52EE"/>
    <w:rsid w:val="008E532F"/>
    <w:rsid w:val="008E53A6"/>
    <w:rsid w:val="008E5479"/>
    <w:rsid w:val="008E5684"/>
    <w:rsid w:val="008E57F9"/>
    <w:rsid w:val="008E59C6"/>
    <w:rsid w:val="008E5A81"/>
    <w:rsid w:val="008E5D31"/>
    <w:rsid w:val="008E5E0A"/>
    <w:rsid w:val="008E609E"/>
    <w:rsid w:val="008E6343"/>
    <w:rsid w:val="008E64A1"/>
    <w:rsid w:val="008E666D"/>
    <w:rsid w:val="008E66F0"/>
    <w:rsid w:val="008E674C"/>
    <w:rsid w:val="008E6847"/>
    <w:rsid w:val="008E68E0"/>
    <w:rsid w:val="008E6CEA"/>
    <w:rsid w:val="008E7045"/>
    <w:rsid w:val="008E70E0"/>
    <w:rsid w:val="008E71E0"/>
    <w:rsid w:val="008E72F7"/>
    <w:rsid w:val="008E74B7"/>
    <w:rsid w:val="008E767B"/>
    <w:rsid w:val="008E78B2"/>
    <w:rsid w:val="008E795F"/>
    <w:rsid w:val="008E7AAD"/>
    <w:rsid w:val="008E7B41"/>
    <w:rsid w:val="008E7ED5"/>
    <w:rsid w:val="008F01D4"/>
    <w:rsid w:val="008F0699"/>
    <w:rsid w:val="008F07F2"/>
    <w:rsid w:val="008F089C"/>
    <w:rsid w:val="008F0C8D"/>
    <w:rsid w:val="008F0DDA"/>
    <w:rsid w:val="008F0EDB"/>
    <w:rsid w:val="008F0EF1"/>
    <w:rsid w:val="008F1068"/>
    <w:rsid w:val="008F1312"/>
    <w:rsid w:val="008F13BA"/>
    <w:rsid w:val="008F141E"/>
    <w:rsid w:val="008F1496"/>
    <w:rsid w:val="008F1922"/>
    <w:rsid w:val="008F199D"/>
    <w:rsid w:val="008F1CAF"/>
    <w:rsid w:val="008F1FEF"/>
    <w:rsid w:val="008F20FF"/>
    <w:rsid w:val="008F2154"/>
    <w:rsid w:val="008F2282"/>
    <w:rsid w:val="008F235D"/>
    <w:rsid w:val="008F2761"/>
    <w:rsid w:val="008F29EB"/>
    <w:rsid w:val="008F2E29"/>
    <w:rsid w:val="008F32ED"/>
    <w:rsid w:val="008F33F7"/>
    <w:rsid w:val="008F38AC"/>
    <w:rsid w:val="008F397C"/>
    <w:rsid w:val="008F3A55"/>
    <w:rsid w:val="008F3C2B"/>
    <w:rsid w:val="008F3D24"/>
    <w:rsid w:val="008F3D72"/>
    <w:rsid w:val="008F3F6D"/>
    <w:rsid w:val="008F4126"/>
    <w:rsid w:val="008F4350"/>
    <w:rsid w:val="008F4678"/>
    <w:rsid w:val="008F47A9"/>
    <w:rsid w:val="008F4A2D"/>
    <w:rsid w:val="008F4AAD"/>
    <w:rsid w:val="008F4D34"/>
    <w:rsid w:val="008F4DAE"/>
    <w:rsid w:val="008F5020"/>
    <w:rsid w:val="008F5037"/>
    <w:rsid w:val="008F53DA"/>
    <w:rsid w:val="008F53ED"/>
    <w:rsid w:val="008F5553"/>
    <w:rsid w:val="008F583F"/>
    <w:rsid w:val="008F5841"/>
    <w:rsid w:val="008F589C"/>
    <w:rsid w:val="008F5FE4"/>
    <w:rsid w:val="008F63E5"/>
    <w:rsid w:val="008F6400"/>
    <w:rsid w:val="008F6542"/>
    <w:rsid w:val="008F6772"/>
    <w:rsid w:val="008F68A5"/>
    <w:rsid w:val="008F6945"/>
    <w:rsid w:val="008F6CF9"/>
    <w:rsid w:val="008F6D78"/>
    <w:rsid w:val="008F70B0"/>
    <w:rsid w:val="008F7974"/>
    <w:rsid w:val="008F797E"/>
    <w:rsid w:val="008F7C87"/>
    <w:rsid w:val="008F7F41"/>
    <w:rsid w:val="0090001A"/>
    <w:rsid w:val="00900023"/>
    <w:rsid w:val="009005AD"/>
    <w:rsid w:val="00900629"/>
    <w:rsid w:val="009006DD"/>
    <w:rsid w:val="00900748"/>
    <w:rsid w:val="00900900"/>
    <w:rsid w:val="0090094E"/>
    <w:rsid w:val="0090099F"/>
    <w:rsid w:val="00900A8A"/>
    <w:rsid w:val="00900C4A"/>
    <w:rsid w:val="00900CCD"/>
    <w:rsid w:val="00900E9E"/>
    <w:rsid w:val="00900EBA"/>
    <w:rsid w:val="0090164A"/>
    <w:rsid w:val="00901908"/>
    <w:rsid w:val="00901A71"/>
    <w:rsid w:val="00901FFE"/>
    <w:rsid w:val="00902483"/>
    <w:rsid w:val="009027A7"/>
    <w:rsid w:val="009027F8"/>
    <w:rsid w:val="00902949"/>
    <w:rsid w:val="009029A2"/>
    <w:rsid w:val="00902CFE"/>
    <w:rsid w:val="00902D7C"/>
    <w:rsid w:val="00902DB3"/>
    <w:rsid w:val="00902DFA"/>
    <w:rsid w:val="00903156"/>
    <w:rsid w:val="0090319E"/>
    <w:rsid w:val="0090392B"/>
    <w:rsid w:val="00903A5F"/>
    <w:rsid w:val="00903AF1"/>
    <w:rsid w:val="00903B82"/>
    <w:rsid w:val="00903BA5"/>
    <w:rsid w:val="00903C44"/>
    <w:rsid w:val="00903DD7"/>
    <w:rsid w:val="00903DE8"/>
    <w:rsid w:val="0090407E"/>
    <w:rsid w:val="0090461C"/>
    <w:rsid w:val="0090473D"/>
    <w:rsid w:val="00904815"/>
    <w:rsid w:val="0090494C"/>
    <w:rsid w:val="00904C75"/>
    <w:rsid w:val="00904FA7"/>
    <w:rsid w:val="00905007"/>
    <w:rsid w:val="009053FE"/>
    <w:rsid w:val="00905442"/>
    <w:rsid w:val="00905484"/>
    <w:rsid w:val="009055F1"/>
    <w:rsid w:val="00905CB1"/>
    <w:rsid w:val="00905CC2"/>
    <w:rsid w:val="00905CED"/>
    <w:rsid w:val="00905ECD"/>
    <w:rsid w:val="0090642E"/>
    <w:rsid w:val="009064B0"/>
    <w:rsid w:val="0090689B"/>
    <w:rsid w:val="00906B73"/>
    <w:rsid w:val="00906D4B"/>
    <w:rsid w:val="00907044"/>
    <w:rsid w:val="0090705B"/>
    <w:rsid w:val="00907295"/>
    <w:rsid w:val="0090766E"/>
    <w:rsid w:val="009077F7"/>
    <w:rsid w:val="00907860"/>
    <w:rsid w:val="00907A78"/>
    <w:rsid w:val="00907D23"/>
    <w:rsid w:val="00907D76"/>
    <w:rsid w:val="00910343"/>
    <w:rsid w:val="009103FD"/>
    <w:rsid w:val="00910465"/>
    <w:rsid w:val="009106A4"/>
    <w:rsid w:val="00910807"/>
    <w:rsid w:val="00910873"/>
    <w:rsid w:val="00910962"/>
    <w:rsid w:val="00910AFA"/>
    <w:rsid w:val="00910D5D"/>
    <w:rsid w:val="00910EAE"/>
    <w:rsid w:val="00911080"/>
    <w:rsid w:val="009110FC"/>
    <w:rsid w:val="00911363"/>
    <w:rsid w:val="00911753"/>
    <w:rsid w:val="00911EF6"/>
    <w:rsid w:val="00911EFC"/>
    <w:rsid w:val="00911FBE"/>
    <w:rsid w:val="00912161"/>
    <w:rsid w:val="00912629"/>
    <w:rsid w:val="00912668"/>
    <w:rsid w:val="00912913"/>
    <w:rsid w:val="00912D51"/>
    <w:rsid w:val="00912D8E"/>
    <w:rsid w:val="00912DCB"/>
    <w:rsid w:val="0091319D"/>
    <w:rsid w:val="009132A4"/>
    <w:rsid w:val="009133B0"/>
    <w:rsid w:val="00913A61"/>
    <w:rsid w:val="00913C7F"/>
    <w:rsid w:val="009146FF"/>
    <w:rsid w:val="00914730"/>
    <w:rsid w:val="009148C7"/>
    <w:rsid w:val="00914903"/>
    <w:rsid w:val="0091494E"/>
    <w:rsid w:val="00914ACC"/>
    <w:rsid w:val="00914C3D"/>
    <w:rsid w:val="00914CBC"/>
    <w:rsid w:val="00914D5A"/>
    <w:rsid w:val="0091506E"/>
    <w:rsid w:val="0091507E"/>
    <w:rsid w:val="00915189"/>
    <w:rsid w:val="009152A8"/>
    <w:rsid w:val="0091549A"/>
    <w:rsid w:val="0091567D"/>
    <w:rsid w:val="00915771"/>
    <w:rsid w:val="009157E4"/>
    <w:rsid w:val="00915859"/>
    <w:rsid w:val="00915E6E"/>
    <w:rsid w:val="00915F22"/>
    <w:rsid w:val="00915FA0"/>
    <w:rsid w:val="00916342"/>
    <w:rsid w:val="0091672D"/>
    <w:rsid w:val="009167D8"/>
    <w:rsid w:val="00916855"/>
    <w:rsid w:val="009168A2"/>
    <w:rsid w:val="00916B19"/>
    <w:rsid w:val="00916C5B"/>
    <w:rsid w:val="00917164"/>
    <w:rsid w:val="00917191"/>
    <w:rsid w:val="009173DE"/>
    <w:rsid w:val="009174BB"/>
    <w:rsid w:val="0091778A"/>
    <w:rsid w:val="00917E00"/>
    <w:rsid w:val="00917F6C"/>
    <w:rsid w:val="00920069"/>
    <w:rsid w:val="0092025F"/>
    <w:rsid w:val="00920687"/>
    <w:rsid w:val="00920787"/>
    <w:rsid w:val="00920AD0"/>
    <w:rsid w:val="00920C5D"/>
    <w:rsid w:val="00920CFB"/>
    <w:rsid w:val="00920ECA"/>
    <w:rsid w:val="00920F14"/>
    <w:rsid w:val="009212C2"/>
    <w:rsid w:val="009214C6"/>
    <w:rsid w:val="009215D3"/>
    <w:rsid w:val="009217C1"/>
    <w:rsid w:val="009217E2"/>
    <w:rsid w:val="00921A1B"/>
    <w:rsid w:val="00921D5E"/>
    <w:rsid w:val="00921DB3"/>
    <w:rsid w:val="00921DC6"/>
    <w:rsid w:val="00921E39"/>
    <w:rsid w:val="00921E51"/>
    <w:rsid w:val="009225D7"/>
    <w:rsid w:val="009228A0"/>
    <w:rsid w:val="009229B9"/>
    <w:rsid w:val="00922A7E"/>
    <w:rsid w:val="00922C5C"/>
    <w:rsid w:val="00922C6B"/>
    <w:rsid w:val="00922C6E"/>
    <w:rsid w:val="00922DE7"/>
    <w:rsid w:val="00922F6E"/>
    <w:rsid w:val="00922FCF"/>
    <w:rsid w:val="0092304E"/>
    <w:rsid w:val="00923252"/>
    <w:rsid w:val="00923326"/>
    <w:rsid w:val="00923439"/>
    <w:rsid w:val="00923551"/>
    <w:rsid w:val="0092380C"/>
    <w:rsid w:val="0092382E"/>
    <w:rsid w:val="00923861"/>
    <w:rsid w:val="00923A66"/>
    <w:rsid w:val="00923E4C"/>
    <w:rsid w:val="00923E98"/>
    <w:rsid w:val="00924420"/>
    <w:rsid w:val="0092466E"/>
    <w:rsid w:val="009246E2"/>
    <w:rsid w:val="00924B06"/>
    <w:rsid w:val="00924B0D"/>
    <w:rsid w:val="00924B31"/>
    <w:rsid w:val="00924B63"/>
    <w:rsid w:val="00924C2B"/>
    <w:rsid w:val="00924C83"/>
    <w:rsid w:val="00924DF1"/>
    <w:rsid w:val="00924FBE"/>
    <w:rsid w:val="009251B7"/>
    <w:rsid w:val="00925791"/>
    <w:rsid w:val="0092639D"/>
    <w:rsid w:val="009267D4"/>
    <w:rsid w:val="00926841"/>
    <w:rsid w:val="009268F3"/>
    <w:rsid w:val="009269DF"/>
    <w:rsid w:val="00926A4C"/>
    <w:rsid w:val="00926EE3"/>
    <w:rsid w:val="009270F6"/>
    <w:rsid w:val="00927274"/>
    <w:rsid w:val="009272ED"/>
    <w:rsid w:val="0092756D"/>
    <w:rsid w:val="0092797B"/>
    <w:rsid w:val="009279C0"/>
    <w:rsid w:val="00927B2C"/>
    <w:rsid w:val="00927F06"/>
    <w:rsid w:val="00927F9D"/>
    <w:rsid w:val="00930048"/>
    <w:rsid w:val="00930089"/>
    <w:rsid w:val="00930427"/>
    <w:rsid w:val="00930599"/>
    <w:rsid w:val="009305C0"/>
    <w:rsid w:val="0093064C"/>
    <w:rsid w:val="009307B0"/>
    <w:rsid w:val="009308D5"/>
    <w:rsid w:val="00930910"/>
    <w:rsid w:val="0093107B"/>
    <w:rsid w:val="00931206"/>
    <w:rsid w:val="009314FF"/>
    <w:rsid w:val="00931766"/>
    <w:rsid w:val="00931777"/>
    <w:rsid w:val="0093180F"/>
    <w:rsid w:val="00931C91"/>
    <w:rsid w:val="00931D18"/>
    <w:rsid w:val="00931E27"/>
    <w:rsid w:val="00931F11"/>
    <w:rsid w:val="00932121"/>
    <w:rsid w:val="00932268"/>
    <w:rsid w:val="009326AB"/>
    <w:rsid w:val="00932979"/>
    <w:rsid w:val="00932D3F"/>
    <w:rsid w:val="009330A5"/>
    <w:rsid w:val="0093327F"/>
    <w:rsid w:val="009334D4"/>
    <w:rsid w:val="009334DA"/>
    <w:rsid w:val="009337BC"/>
    <w:rsid w:val="009337FE"/>
    <w:rsid w:val="0093381D"/>
    <w:rsid w:val="0093396E"/>
    <w:rsid w:val="00933B10"/>
    <w:rsid w:val="00933DAE"/>
    <w:rsid w:val="00933EBD"/>
    <w:rsid w:val="009346BC"/>
    <w:rsid w:val="00934909"/>
    <w:rsid w:val="00934AB7"/>
    <w:rsid w:val="00934ADD"/>
    <w:rsid w:val="00934C28"/>
    <w:rsid w:val="009350C6"/>
    <w:rsid w:val="009352CF"/>
    <w:rsid w:val="00935641"/>
    <w:rsid w:val="00935AF9"/>
    <w:rsid w:val="00935B04"/>
    <w:rsid w:val="00935CDD"/>
    <w:rsid w:val="0093601A"/>
    <w:rsid w:val="0093605B"/>
    <w:rsid w:val="0093630D"/>
    <w:rsid w:val="009364EA"/>
    <w:rsid w:val="00936564"/>
    <w:rsid w:val="00936668"/>
    <w:rsid w:val="009366BF"/>
    <w:rsid w:val="00936B97"/>
    <w:rsid w:val="00936CCE"/>
    <w:rsid w:val="00936FF6"/>
    <w:rsid w:val="00937547"/>
    <w:rsid w:val="0093754B"/>
    <w:rsid w:val="00937585"/>
    <w:rsid w:val="0093773D"/>
    <w:rsid w:val="00937937"/>
    <w:rsid w:val="00937942"/>
    <w:rsid w:val="009379D6"/>
    <w:rsid w:val="00937A45"/>
    <w:rsid w:val="00937B14"/>
    <w:rsid w:val="00937C7E"/>
    <w:rsid w:val="00937EE1"/>
    <w:rsid w:val="00937F3A"/>
    <w:rsid w:val="00940209"/>
    <w:rsid w:val="0094028E"/>
    <w:rsid w:val="009405BC"/>
    <w:rsid w:val="0094079F"/>
    <w:rsid w:val="009408AC"/>
    <w:rsid w:val="00940A17"/>
    <w:rsid w:val="00940C23"/>
    <w:rsid w:val="00940C2D"/>
    <w:rsid w:val="00940C98"/>
    <w:rsid w:val="00940E2A"/>
    <w:rsid w:val="0094117B"/>
    <w:rsid w:val="00941523"/>
    <w:rsid w:val="009419A9"/>
    <w:rsid w:val="00941A29"/>
    <w:rsid w:val="00941F03"/>
    <w:rsid w:val="00941F43"/>
    <w:rsid w:val="00941FD5"/>
    <w:rsid w:val="0094207C"/>
    <w:rsid w:val="009420F5"/>
    <w:rsid w:val="009420FE"/>
    <w:rsid w:val="00942221"/>
    <w:rsid w:val="00942519"/>
    <w:rsid w:val="00942573"/>
    <w:rsid w:val="00942738"/>
    <w:rsid w:val="00942823"/>
    <w:rsid w:val="00942903"/>
    <w:rsid w:val="00942A4D"/>
    <w:rsid w:val="00942A86"/>
    <w:rsid w:val="00942B4C"/>
    <w:rsid w:val="00942B86"/>
    <w:rsid w:val="00942D8D"/>
    <w:rsid w:val="009430D2"/>
    <w:rsid w:val="0094324D"/>
    <w:rsid w:val="009434E4"/>
    <w:rsid w:val="00943711"/>
    <w:rsid w:val="00943B1E"/>
    <w:rsid w:val="00943EBC"/>
    <w:rsid w:val="00944123"/>
    <w:rsid w:val="0094453E"/>
    <w:rsid w:val="00944556"/>
    <w:rsid w:val="00944B9B"/>
    <w:rsid w:val="00944CB6"/>
    <w:rsid w:val="00944F91"/>
    <w:rsid w:val="00945377"/>
    <w:rsid w:val="0094566E"/>
    <w:rsid w:val="00945F37"/>
    <w:rsid w:val="00945FAE"/>
    <w:rsid w:val="00946074"/>
    <w:rsid w:val="00946331"/>
    <w:rsid w:val="0094661C"/>
    <w:rsid w:val="009468B5"/>
    <w:rsid w:val="009469E6"/>
    <w:rsid w:val="00946B29"/>
    <w:rsid w:val="00946BB3"/>
    <w:rsid w:val="00946D46"/>
    <w:rsid w:val="00947049"/>
    <w:rsid w:val="00947314"/>
    <w:rsid w:val="009473F1"/>
    <w:rsid w:val="00947607"/>
    <w:rsid w:val="00947755"/>
    <w:rsid w:val="00947920"/>
    <w:rsid w:val="00947987"/>
    <w:rsid w:val="00947B0F"/>
    <w:rsid w:val="00947B62"/>
    <w:rsid w:val="00947BA8"/>
    <w:rsid w:val="00947C05"/>
    <w:rsid w:val="00947CAB"/>
    <w:rsid w:val="00947E19"/>
    <w:rsid w:val="00950004"/>
    <w:rsid w:val="00950065"/>
    <w:rsid w:val="009500A4"/>
    <w:rsid w:val="009501EB"/>
    <w:rsid w:val="0095024E"/>
    <w:rsid w:val="0095044A"/>
    <w:rsid w:val="009508B6"/>
    <w:rsid w:val="009509C7"/>
    <w:rsid w:val="00950D62"/>
    <w:rsid w:val="00950EF0"/>
    <w:rsid w:val="009510DC"/>
    <w:rsid w:val="00951483"/>
    <w:rsid w:val="009514BC"/>
    <w:rsid w:val="00951C1B"/>
    <w:rsid w:val="00951DC1"/>
    <w:rsid w:val="00951EE3"/>
    <w:rsid w:val="00951F23"/>
    <w:rsid w:val="009520C0"/>
    <w:rsid w:val="00952271"/>
    <w:rsid w:val="0095272F"/>
    <w:rsid w:val="00952772"/>
    <w:rsid w:val="009527BC"/>
    <w:rsid w:val="00952C92"/>
    <w:rsid w:val="00952DE9"/>
    <w:rsid w:val="00953153"/>
    <w:rsid w:val="00953310"/>
    <w:rsid w:val="0095335E"/>
    <w:rsid w:val="00953396"/>
    <w:rsid w:val="009533A5"/>
    <w:rsid w:val="0095362A"/>
    <w:rsid w:val="0095367E"/>
    <w:rsid w:val="00953ABC"/>
    <w:rsid w:val="00953C63"/>
    <w:rsid w:val="00954349"/>
    <w:rsid w:val="00954704"/>
    <w:rsid w:val="0095480B"/>
    <w:rsid w:val="0095492A"/>
    <w:rsid w:val="00954A1A"/>
    <w:rsid w:val="00955167"/>
    <w:rsid w:val="00955383"/>
    <w:rsid w:val="0095573E"/>
    <w:rsid w:val="0095579A"/>
    <w:rsid w:val="009557C3"/>
    <w:rsid w:val="0095593D"/>
    <w:rsid w:val="00955F99"/>
    <w:rsid w:val="009560AA"/>
    <w:rsid w:val="00956131"/>
    <w:rsid w:val="009563B6"/>
    <w:rsid w:val="00956415"/>
    <w:rsid w:val="009566EC"/>
    <w:rsid w:val="00956B1C"/>
    <w:rsid w:val="00956EC0"/>
    <w:rsid w:val="00956F01"/>
    <w:rsid w:val="00956F6D"/>
    <w:rsid w:val="0095721E"/>
    <w:rsid w:val="0095733A"/>
    <w:rsid w:val="00957458"/>
    <w:rsid w:val="0095750D"/>
    <w:rsid w:val="009579BB"/>
    <w:rsid w:val="009579ED"/>
    <w:rsid w:val="00957CD7"/>
    <w:rsid w:val="00957D7A"/>
    <w:rsid w:val="00957DFF"/>
    <w:rsid w:val="009603E5"/>
    <w:rsid w:val="00960A63"/>
    <w:rsid w:val="00960BC9"/>
    <w:rsid w:val="00960CDB"/>
    <w:rsid w:val="00961087"/>
    <w:rsid w:val="009610F9"/>
    <w:rsid w:val="0096116D"/>
    <w:rsid w:val="00961747"/>
    <w:rsid w:val="00961899"/>
    <w:rsid w:val="00961BF8"/>
    <w:rsid w:val="00961C64"/>
    <w:rsid w:val="00961FE3"/>
    <w:rsid w:val="00962468"/>
    <w:rsid w:val="009624A0"/>
    <w:rsid w:val="009624A6"/>
    <w:rsid w:val="009625D7"/>
    <w:rsid w:val="009626A4"/>
    <w:rsid w:val="00962BC0"/>
    <w:rsid w:val="00962DD7"/>
    <w:rsid w:val="00962F09"/>
    <w:rsid w:val="00962F6C"/>
    <w:rsid w:val="009631B9"/>
    <w:rsid w:val="009634D7"/>
    <w:rsid w:val="0096371A"/>
    <w:rsid w:val="009639CC"/>
    <w:rsid w:val="0096429E"/>
    <w:rsid w:val="00964489"/>
    <w:rsid w:val="00964496"/>
    <w:rsid w:val="00964786"/>
    <w:rsid w:val="00964A58"/>
    <w:rsid w:val="00964AEC"/>
    <w:rsid w:val="00964B00"/>
    <w:rsid w:val="00964DA9"/>
    <w:rsid w:val="0096512E"/>
    <w:rsid w:val="00965205"/>
    <w:rsid w:val="00965280"/>
    <w:rsid w:val="0096556A"/>
    <w:rsid w:val="0096562D"/>
    <w:rsid w:val="00965D38"/>
    <w:rsid w:val="00965D56"/>
    <w:rsid w:val="00965E7A"/>
    <w:rsid w:val="00965EC7"/>
    <w:rsid w:val="0096610F"/>
    <w:rsid w:val="00966176"/>
    <w:rsid w:val="009664A8"/>
    <w:rsid w:val="009668AF"/>
    <w:rsid w:val="00966B60"/>
    <w:rsid w:val="00966C93"/>
    <w:rsid w:val="00966D62"/>
    <w:rsid w:val="00966FCE"/>
    <w:rsid w:val="0096737F"/>
    <w:rsid w:val="009675D1"/>
    <w:rsid w:val="00967625"/>
    <w:rsid w:val="00967884"/>
    <w:rsid w:val="00967A1F"/>
    <w:rsid w:val="00967D2D"/>
    <w:rsid w:val="00967DA0"/>
    <w:rsid w:val="00967ECF"/>
    <w:rsid w:val="00970416"/>
    <w:rsid w:val="0097052F"/>
    <w:rsid w:val="00970536"/>
    <w:rsid w:val="009709EE"/>
    <w:rsid w:val="00970A57"/>
    <w:rsid w:val="00970A71"/>
    <w:rsid w:val="00970CA9"/>
    <w:rsid w:val="00970D2C"/>
    <w:rsid w:val="00970D97"/>
    <w:rsid w:val="00970E27"/>
    <w:rsid w:val="00970E41"/>
    <w:rsid w:val="009711A6"/>
    <w:rsid w:val="009715D2"/>
    <w:rsid w:val="00971738"/>
    <w:rsid w:val="00971A00"/>
    <w:rsid w:val="00971B0F"/>
    <w:rsid w:val="00971B2B"/>
    <w:rsid w:val="00971B8B"/>
    <w:rsid w:val="00971D54"/>
    <w:rsid w:val="00971E39"/>
    <w:rsid w:val="009721F8"/>
    <w:rsid w:val="00972300"/>
    <w:rsid w:val="009723A4"/>
    <w:rsid w:val="0097278D"/>
    <w:rsid w:val="009727F4"/>
    <w:rsid w:val="00972A63"/>
    <w:rsid w:val="00972D9E"/>
    <w:rsid w:val="00972E3F"/>
    <w:rsid w:val="00972F6C"/>
    <w:rsid w:val="00973338"/>
    <w:rsid w:val="009736C1"/>
    <w:rsid w:val="00973776"/>
    <w:rsid w:val="0097385A"/>
    <w:rsid w:val="00973863"/>
    <w:rsid w:val="009739AB"/>
    <w:rsid w:val="009739F6"/>
    <w:rsid w:val="00973B58"/>
    <w:rsid w:val="00973C6D"/>
    <w:rsid w:val="00973D80"/>
    <w:rsid w:val="00973DD1"/>
    <w:rsid w:val="00973EE6"/>
    <w:rsid w:val="00974219"/>
    <w:rsid w:val="009743F8"/>
    <w:rsid w:val="0097458B"/>
    <w:rsid w:val="0097470C"/>
    <w:rsid w:val="00974B70"/>
    <w:rsid w:val="00974C77"/>
    <w:rsid w:val="00974CC9"/>
    <w:rsid w:val="00974EED"/>
    <w:rsid w:val="00974FF4"/>
    <w:rsid w:val="009751AA"/>
    <w:rsid w:val="009752CE"/>
    <w:rsid w:val="0097536A"/>
    <w:rsid w:val="00975531"/>
    <w:rsid w:val="00975AAA"/>
    <w:rsid w:val="00975B4B"/>
    <w:rsid w:val="00975E5E"/>
    <w:rsid w:val="0097629A"/>
    <w:rsid w:val="009765DC"/>
    <w:rsid w:val="00976759"/>
    <w:rsid w:val="0097675D"/>
    <w:rsid w:val="009767C1"/>
    <w:rsid w:val="00976AA7"/>
    <w:rsid w:val="00976D01"/>
    <w:rsid w:val="00976DF0"/>
    <w:rsid w:val="00976E42"/>
    <w:rsid w:val="0097747C"/>
    <w:rsid w:val="0097783F"/>
    <w:rsid w:val="00977977"/>
    <w:rsid w:val="00977B4E"/>
    <w:rsid w:val="00977DCF"/>
    <w:rsid w:val="00977E50"/>
    <w:rsid w:val="00980014"/>
    <w:rsid w:val="00980095"/>
    <w:rsid w:val="00980188"/>
    <w:rsid w:val="009803BE"/>
    <w:rsid w:val="00980CE4"/>
    <w:rsid w:val="0098103D"/>
    <w:rsid w:val="009810B2"/>
    <w:rsid w:val="009811F7"/>
    <w:rsid w:val="0098138A"/>
    <w:rsid w:val="00981589"/>
    <w:rsid w:val="0098163A"/>
    <w:rsid w:val="00981890"/>
    <w:rsid w:val="009819E6"/>
    <w:rsid w:val="00981B42"/>
    <w:rsid w:val="00981D4C"/>
    <w:rsid w:val="00982253"/>
    <w:rsid w:val="009822AB"/>
    <w:rsid w:val="00982357"/>
    <w:rsid w:val="009827F0"/>
    <w:rsid w:val="0098285B"/>
    <w:rsid w:val="00982B1B"/>
    <w:rsid w:val="00982C76"/>
    <w:rsid w:val="00982C7E"/>
    <w:rsid w:val="00982F7F"/>
    <w:rsid w:val="00983562"/>
    <w:rsid w:val="00983885"/>
    <w:rsid w:val="00983B7E"/>
    <w:rsid w:val="00984092"/>
    <w:rsid w:val="00984609"/>
    <w:rsid w:val="00984AA8"/>
    <w:rsid w:val="00984DA7"/>
    <w:rsid w:val="009851AA"/>
    <w:rsid w:val="009853D4"/>
    <w:rsid w:val="0098555F"/>
    <w:rsid w:val="0098576B"/>
    <w:rsid w:val="00985AB3"/>
    <w:rsid w:val="00985AEE"/>
    <w:rsid w:val="00985F95"/>
    <w:rsid w:val="0098612B"/>
    <w:rsid w:val="009862D5"/>
    <w:rsid w:val="009863E6"/>
    <w:rsid w:val="00986481"/>
    <w:rsid w:val="009866AA"/>
    <w:rsid w:val="0098684C"/>
    <w:rsid w:val="00986A36"/>
    <w:rsid w:val="00986F6D"/>
    <w:rsid w:val="0098703C"/>
    <w:rsid w:val="00987731"/>
    <w:rsid w:val="00987767"/>
    <w:rsid w:val="0098788A"/>
    <w:rsid w:val="00987AE0"/>
    <w:rsid w:val="0099010D"/>
    <w:rsid w:val="0099046D"/>
    <w:rsid w:val="009906A8"/>
    <w:rsid w:val="0099071B"/>
    <w:rsid w:val="00990977"/>
    <w:rsid w:val="009909A9"/>
    <w:rsid w:val="009909D8"/>
    <w:rsid w:val="00990AB4"/>
    <w:rsid w:val="00990C31"/>
    <w:rsid w:val="00990C4E"/>
    <w:rsid w:val="00990EC1"/>
    <w:rsid w:val="00990F02"/>
    <w:rsid w:val="00991064"/>
    <w:rsid w:val="009911B7"/>
    <w:rsid w:val="0099159B"/>
    <w:rsid w:val="009915E3"/>
    <w:rsid w:val="009919AC"/>
    <w:rsid w:val="00991B9E"/>
    <w:rsid w:val="00991DAC"/>
    <w:rsid w:val="00991FF5"/>
    <w:rsid w:val="00992065"/>
    <w:rsid w:val="00992390"/>
    <w:rsid w:val="0099253D"/>
    <w:rsid w:val="00992630"/>
    <w:rsid w:val="00992768"/>
    <w:rsid w:val="009927C8"/>
    <w:rsid w:val="009929DB"/>
    <w:rsid w:val="00992C32"/>
    <w:rsid w:val="00992CE5"/>
    <w:rsid w:val="00992F3C"/>
    <w:rsid w:val="00993236"/>
    <w:rsid w:val="0099356E"/>
    <w:rsid w:val="00993A4C"/>
    <w:rsid w:val="00993AF1"/>
    <w:rsid w:val="00993CA6"/>
    <w:rsid w:val="00993F69"/>
    <w:rsid w:val="009948AD"/>
    <w:rsid w:val="00994D3C"/>
    <w:rsid w:val="00995009"/>
    <w:rsid w:val="009952F1"/>
    <w:rsid w:val="0099546B"/>
    <w:rsid w:val="009956E1"/>
    <w:rsid w:val="0099582A"/>
    <w:rsid w:val="00995834"/>
    <w:rsid w:val="00995903"/>
    <w:rsid w:val="00995CD5"/>
    <w:rsid w:val="00995CEB"/>
    <w:rsid w:val="00995E5D"/>
    <w:rsid w:val="00995F27"/>
    <w:rsid w:val="00995FA2"/>
    <w:rsid w:val="009962DD"/>
    <w:rsid w:val="009962ED"/>
    <w:rsid w:val="00996312"/>
    <w:rsid w:val="00996348"/>
    <w:rsid w:val="009963AC"/>
    <w:rsid w:val="009963EC"/>
    <w:rsid w:val="00996856"/>
    <w:rsid w:val="009968F3"/>
    <w:rsid w:val="00996A4D"/>
    <w:rsid w:val="00996FB1"/>
    <w:rsid w:val="00997486"/>
    <w:rsid w:val="009974CB"/>
    <w:rsid w:val="0099759A"/>
    <w:rsid w:val="0099781A"/>
    <w:rsid w:val="00997B73"/>
    <w:rsid w:val="00997C18"/>
    <w:rsid w:val="00997CA8"/>
    <w:rsid w:val="00997E9D"/>
    <w:rsid w:val="00997ED4"/>
    <w:rsid w:val="009A0519"/>
    <w:rsid w:val="009A079D"/>
    <w:rsid w:val="009A0828"/>
    <w:rsid w:val="009A08A2"/>
    <w:rsid w:val="009A098C"/>
    <w:rsid w:val="009A0DA0"/>
    <w:rsid w:val="009A0DE0"/>
    <w:rsid w:val="009A126C"/>
    <w:rsid w:val="009A1BCB"/>
    <w:rsid w:val="009A1CC4"/>
    <w:rsid w:val="009A215B"/>
    <w:rsid w:val="009A221F"/>
    <w:rsid w:val="009A22C7"/>
    <w:rsid w:val="009A238C"/>
    <w:rsid w:val="009A240E"/>
    <w:rsid w:val="009A2691"/>
    <w:rsid w:val="009A26FA"/>
    <w:rsid w:val="009A27DD"/>
    <w:rsid w:val="009A27EA"/>
    <w:rsid w:val="009A29B3"/>
    <w:rsid w:val="009A2A15"/>
    <w:rsid w:val="009A2B3F"/>
    <w:rsid w:val="009A2B7B"/>
    <w:rsid w:val="009A30CA"/>
    <w:rsid w:val="009A320B"/>
    <w:rsid w:val="009A3324"/>
    <w:rsid w:val="009A347F"/>
    <w:rsid w:val="009A3649"/>
    <w:rsid w:val="009A36D8"/>
    <w:rsid w:val="009A373D"/>
    <w:rsid w:val="009A3A6E"/>
    <w:rsid w:val="009A3ABC"/>
    <w:rsid w:val="009A3BB2"/>
    <w:rsid w:val="009A3EBB"/>
    <w:rsid w:val="009A41F1"/>
    <w:rsid w:val="009A4205"/>
    <w:rsid w:val="009A4331"/>
    <w:rsid w:val="009A445E"/>
    <w:rsid w:val="009A4466"/>
    <w:rsid w:val="009A4499"/>
    <w:rsid w:val="009A44EF"/>
    <w:rsid w:val="009A45AE"/>
    <w:rsid w:val="009A47AD"/>
    <w:rsid w:val="009A48BE"/>
    <w:rsid w:val="009A48EF"/>
    <w:rsid w:val="009A493A"/>
    <w:rsid w:val="009A4B36"/>
    <w:rsid w:val="009A4B64"/>
    <w:rsid w:val="009A4BDA"/>
    <w:rsid w:val="009A4C3C"/>
    <w:rsid w:val="009A5088"/>
    <w:rsid w:val="009A5431"/>
    <w:rsid w:val="009A5A5D"/>
    <w:rsid w:val="009A5A67"/>
    <w:rsid w:val="009A5A6E"/>
    <w:rsid w:val="009A5C98"/>
    <w:rsid w:val="009A5D2F"/>
    <w:rsid w:val="009A63AC"/>
    <w:rsid w:val="009A6464"/>
    <w:rsid w:val="009A64C0"/>
    <w:rsid w:val="009A65BA"/>
    <w:rsid w:val="009A6666"/>
    <w:rsid w:val="009A6F76"/>
    <w:rsid w:val="009A719B"/>
    <w:rsid w:val="009A733A"/>
    <w:rsid w:val="009A7406"/>
    <w:rsid w:val="009A741B"/>
    <w:rsid w:val="009A75E4"/>
    <w:rsid w:val="009A789C"/>
    <w:rsid w:val="009A79D5"/>
    <w:rsid w:val="009A7BAF"/>
    <w:rsid w:val="009A7C95"/>
    <w:rsid w:val="009A7DE7"/>
    <w:rsid w:val="009B0884"/>
    <w:rsid w:val="009B08B5"/>
    <w:rsid w:val="009B0CA8"/>
    <w:rsid w:val="009B10CB"/>
    <w:rsid w:val="009B11AE"/>
    <w:rsid w:val="009B136B"/>
    <w:rsid w:val="009B149E"/>
    <w:rsid w:val="009B191F"/>
    <w:rsid w:val="009B19FF"/>
    <w:rsid w:val="009B1A1D"/>
    <w:rsid w:val="009B1B8B"/>
    <w:rsid w:val="009B1CDF"/>
    <w:rsid w:val="009B1DDA"/>
    <w:rsid w:val="009B1E34"/>
    <w:rsid w:val="009B1F6A"/>
    <w:rsid w:val="009B2503"/>
    <w:rsid w:val="009B27A9"/>
    <w:rsid w:val="009B2893"/>
    <w:rsid w:val="009B2EB9"/>
    <w:rsid w:val="009B3051"/>
    <w:rsid w:val="009B31CF"/>
    <w:rsid w:val="009B3AE8"/>
    <w:rsid w:val="009B4182"/>
    <w:rsid w:val="009B4308"/>
    <w:rsid w:val="009B4338"/>
    <w:rsid w:val="009B4564"/>
    <w:rsid w:val="009B46B9"/>
    <w:rsid w:val="009B47F8"/>
    <w:rsid w:val="009B4BDF"/>
    <w:rsid w:val="009B4C77"/>
    <w:rsid w:val="009B4C9D"/>
    <w:rsid w:val="009B4DA5"/>
    <w:rsid w:val="009B4DCF"/>
    <w:rsid w:val="009B4EAF"/>
    <w:rsid w:val="009B4EB7"/>
    <w:rsid w:val="009B4F67"/>
    <w:rsid w:val="009B5172"/>
    <w:rsid w:val="009B5201"/>
    <w:rsid w:val="009B53B6"/>
    <w:rsid w:val="009B5A66"/>
    <w:rsid w:val="009B5AC7"/>
    <w:rsid w:val="009B5C12"/>
    <w:rsid w:val="009B5D7E"/>
    <w:rsid w:val="009B5D8A"/>
    <w:rsid w:val="009B603B"/>
    <w:rsid w:val="009B6299"/>
    <w:rsid w:val="009B64D8"/>
    <w:rsid w:val="009B6AE9"/>
    <w:rsid w:val="009B6B0A"/>
    <w:rsid w:val="009B6B0E"/>
    <w:rsid w:val="009B6D3E"/>
    <w:rsid w:val="009B6EAB"/>
    <w:rsid w:val="009B7099"/>
    <w:rsid w:val="009B7282"/>
    <w:rsid w:val="009B76D0"/>
    <w:rsid w:val="009B786F"/>
    <w:rsid w:val="009B7942"/>
    <w:rsid w:val="009B7985"/>
    <w:rsid w:val="009B7B41"/>
    <w:rsid w:val="009B7E57"/>
    <w:rsid w:val="009B7E60"/>
    <w:rsid w:val="009B7EF0"/>
    <w:rsid w:val="009B7FA9"/>
    <w:rsid w:val="009C0041"/>
    <w:rsid w:val="009C019E"/>
    <w:rsid w:val="009C0478"/>
    <w:rsid w:val="009C0776"/>
    <w:rsid w:val="009C11A0"/>
    <w:rsid w:val="009C1D02"/>
    <w:rsid w:val="009C1FBA"/>
    <w:rsid w:val="009C2158"/>
    <w:rsid w:val="009C2315"/>
    <w:rsid w:val="009C2363"/>
    <w:rsid w:val="009C24A9"/>
    <w:rsid w:val="009C250F"/>
    <w:rsid w:val="009C25D4"/>
    <w:rsid w:val="009C25E5"/>
    <w:rsid w:val="009C2621"/>
    <w:rsid w:val="009C2A41"/>
    <w:rsid w:val="009C2DC2"/>
    <w:rsid w:val="009C2E50"/>
    <w:rsid w:val="009C2EBC"/>
    <w:rsid w:val="009C35F9"/>
    <w:rsid w:val="009C36A6"/>
    <w:rsid w:val="009C3E2F"/>
    <w:rsid w:val="009C3F2D"/>
    <w:rsid w:val="009C5015"/>
    <w:rsid w:val="009C502C"/>
    <w:rsid w:val="009C5094"/>
    <w:rsid w:val="009C51F2"/>
    <w:rsid w:val="009C55EA"/>
    <w:rsid w:val="009C5942"/>
    <w:rsid w:val="009C5BEF"/>
    <w:rsid w:val="009C65AD"/>
    <w:rsid w:val="009C6800"/>
    <w:rsid w:val="009C684A"/>
    <w:rsid w:val="009C6953"/>
    <w:rsid w:val="009C6965"/>
    <w:rsid w:val="009C69A2"/>
    <w:rsid w:val="009C6AC6"/>
    <w:rsid w:val="009C6AE0"/>
    <w:rsid w:val="009C6EDA"/>
    <w:rsid w:val="009C6F50"/>
    <w:rsid w:val="009C7444"/>
    <w:rsid w:val="009C77E4"/>
    <w:rsid w:val="009C791C"/>
    <w:rsid w:val="009C7A13"/>
    <w:rsid w:val="009C7A16"/>
    <w:rsid w:val="009C7E26"/>
    <w:rsid w:val="009C7E90"/>
    <w:rsid w:val="009D007E"/>
    <w:rsid w:val="009D010D"/>
    <w:rsid w:val="009D034A"/>
    <w:rsid w:val="009D0464"/>
    <w:rsid w:val="009D050A"/>
    <w:rsid w:val="009D0542"/>
    <w:rsid w:val="009D0A54"/>
    <w:rsid w:val="009D0B9E"/>
    <w:rsid w:val="009D0C20"/>
    <w:rsid w:val="009D111E"/>
    <w:rsid w:val="009D151C"/>
    <w:rsid w:val="009D156C"/>
    <w:rsid w:val="009D1725"/>
    <w:rsid w:val="009D1AFD"/>
    <w:rsid w:val="009D1C5F"/>
    <w:rsid w:val="009D1DB9"/>
    <w:rsid w:val="009D2281"/>
    <w:rsid w:val="009D2342"/>
    <w:rsid w:val="009D23E9"/>
    <w:rsid w:val="009D2472"/>
    <w:rsid w:val="009D250A"/>
    <w:rsid w:val="009D25ED"/>
    <w:rsid w:val="009D27E9"/>
    <w:rsid w:val="009D304D"/>
    <w:rsid w:val="009D30BB"/>
    <w:rsid w:val="009D317E"/>
    <w:rsid w:val="009D336B"/>
    <w:rsid w:val="009D34E5"/>
    <w:rsid w:val="009D3597"/>
    <w:rsid w:val="009D365B"/>
    <w:rsid w:val="009D365F"/>
    <w:rsid w:val="009D38D0"/>
    <w:rsid w:val="009D3926"/>
    <w:rsid w:val="009D3A3F"/>
    <w:rsid w:val="009D3ADB"/>
    <w:rsid w:val="009D3D93"/>
    <w:rsid w:val="009D400F"/>
    <w:rsid w:val="009D412E"/>
    <w:rsid w:val="009D423F"/>
    <w:rsid w:val="009D43EA"/>
    <w:rsid w:val="009D4570"/>
    <w:rsid w:val="009D47DF"/>
    <w:rsid w:val="009D4871"/>
    <w:rsid w:val="009D49BB"/>
    <w:rsid w:val="009D4B3C"/>
    <w:rsid w:val="009D4B7D"/>
    <w:rsid w:val="009D4C6B"/>
    <w:rsid w:val="009D4CE6"/>
    <w:rsid w:val="009D50D3"/>
    <w:rsid w:val="009D550D"/>
    <w:rsid w:val="009D5706"/>
    <w:rsid w:val="009D57D8"/>
    <w:rsid w:val="009D5FEC"/>
    <w:rsid w:val="009D619D"/>
    <w:rsid w:val="009D628D"/>
    <w:rsid w:val="009D6360"/>
    <w:rsid w:val="009D6860"/>
    <w:rsid w:val="009D6872"/>
    <w:rsid w:val="009D6A32"/>
    <w:rsid w:val="009D6AF6"/>
    <w:rsid w:val="009D6B29"/>
    <w:rsid w:val="009D6DFA"/>
    <w:rsid w:val="009D6E87"/>
    <w:rsid w:val="009D708F"/>
    <w:rsid w:val="009D7380"/>
    <w:rsid w:val="009D7477"/>
    <w:rsid w:val="009D760B"/>
    <w:rsid w:val="009D765E"/>
    <w:rsid w:val="009D77BF"/>
    <w:rsid w:val="009D787D"/>
    <w:rsid w:val="009D7957"/>
    <w:rsid w:val="009D7961"/>
    <w:rsid w:val="009D79FD"/>
    <w:rsid w:val="009D7BEF"/>
    <w:rsid w:val="009D7DB2"/>
    <w:rsid w:val="009D7E80"/>
    <w:rsid w:val="009D7ECB"/>
    <w:rsid w:val="009E00EC"/>
    <w:rsid w:val="009E06DC"/>
    <w:rsid w:val="009E0A04"/>
    <w:rsid w:val="009E127E"/>
    <w:rsid w:val="009E15BD"/>
    <w:rsid w:val="009E15D3"/>
    <w:rsid w:val="009E189A"/>
    <w:rsid w:val="009E1BD5"/>
    <w:rsid w:val="009E1CE5"/>
    <w:rsid w:val="009E1F3B"/>
    <w:rsid w:val="009E217A"/>
    <w:rsid w:val="009E2603"/>
    <w:rsid w:val="009E26B0"/>
    <w:rsid w:val="009E2827"/>
    <w:rsid w:val="009E2846"/>
    <w:rsid w:val="009E2990"/>
    <w:rsid w:val="009E2B5A"/>
    <w:rsid w:val="009E2B6D"/>
    <w:rsid w:val="009E2E44"/>
    <w:rsid w:val="009E2EEA"/>
    <w:rsid w:val="009E2FEF"/>
    <w:rsid w:val="009E3040"/>
    <w:rsid w:val="009E3047"/>
    <w:rsid w:val="009E3387"/>
    <w:rsid w:val="009E3455"/>
    <w:rsid w:val="009E34D5"/>
    <w:rsid w:val="009E38BC"/>
    <w:rsid w:val="009E39B0"/>
    <w:rsid w:val="009E3E81"/>
    <w:rsid w:val="009E4538"/>
    <w:rsid w:val="009E47C7"/>
    <w:rsid w:val="009E4934"/>
    <w:rsid w:val="009E4AA8"/>
    <w:rsid w:val="009E4D8D"/>
    <w:rsid w:val="009E4FD4"/>
    <w:rsid w:val="009E51A1"/>
    <w:rsid w:val="009E551E"/>
    <w:rsid w:val="009E5650"/>
    <w:rsid w:val="009E5696"/>
    <w:rsid w:val="009E5D4A"/>
    <w:rsid w:val="009E5D89"/>
    <w:rsid w:val="009E5F6D"/>
    <w:rsid w:val="009E6533"/>
    <w:rsid w:val="009E6B42"/>
    <w:rsid w:val="009E6C4F"/>
    <w:rsid w:val="009E6CA6"/>
    <w:rsid w:val="009E6E58"/>
    <w:rsid w:val="009E6EE8"/>
    <w:rsid w:val="009E73F7"/>
    <w:rsid w:val="009E753E"/>
    <w:rsid w:val="009E774C"/>
    <w:rsid w:val="009E788A"/>
    <w:rsid w:val="009E7C51"/>
    <w:rsid w:val="009E7C8E"/>
    <w:rsid w:val="009E7E84"/>
    <w:rsid w:val="009E7F3E"/>
    <w:rsid w:val="009F03C9"/>
    <w:rsid w:val="009F0553"/>
    <w:rsid w:val="009F06C0"/>
    <w:rsid w:val="009F07F0"/>
    <w:rsid w:val="009F0A2D"/>
    <w:rsid w:val="009F0A4A"/>
    <w:rsid w:val="009F110E"/>
    <w:rsid w:val="009F165E"/>
    <w:rsid w:val="009F187E"/>
    <w:rsid w:val="009F1CF5"/>
    <w:rsid w:val="009F1D2C"/>
    <w:rsid w:val="009F2529"/>
    <w:rsid w:val="009F263E"/>
    <w:rsid w:val="009F26F9"/>
    <w:rsid w:val="009F2773"/>
    <w:rsid w:val="009F2A80"/>
    <w:rsid w:val="009F2BFC"/>
    <w:rsid w:val="009F2CC1"/>
    <w:rsid w:val="009F2CFE"/>
    <w:rsid w:val="009F2D54"/>
    <w:rsid w:val="009F2D90"/>
    <w:rsid w:val="009F311C"/>
    <w:rsid w:val="009F32E6"/>
    <w:rsid w:val="009F356F"/>
    <w:rsid w:val="009F3596"/>
    <w:rsid w:val="009F3650"/>
    <w:rsid w:val="009F36CC"/>
    <w:rsid w:val="009F3735"/>
    <w:rsid w:val="009F37C8"/>
    <w:rsid w:val="009F37CA"/>
    <w:rsid w:val="009F405C"/>
    <w:rsid w:val="009F47FA"/>
    <w:rsid w:val="009F4BAD"/>
    <w:rsid w:val="009F5041"/>
    <w:rsid w:val="009F54C4"/>
    <w:rsid w:val="009F55D6"/>
    <w:rsid w:val="009F5793"/>
    <w:rsid w:val="009F5870"/>
    <w:rsid w:val="009F59E5"/>
    <w:rsid w:val="009F59F9"/>
    <w:rsid w:val="009F5B0A"/>
    <w:rsid w:val="009F5EFC"/>
    <w:rsid w:val="009F5FE9"/>
    <w:rsid w:val="009F62B4"/>
    <w:rsid w:val="009F63A7"/>
    <w:rsid w:val="009F63FF"/>
    <w:rsid w:val="009F65A0"/>
    <w:rsid w:val="009F677A"/>
    <w:rsid w:val="009F6926"/>
    <w:rsid w:val="009F6AA2"/>
    <w:rsid w:val="009F6B43"/>
    <w:rsid w:val="009F6C3A"/>
    <w:rsid w:val="009F72DB"/>
    <w:rsid w:val="009F73F1"/>
    <w:rsid w:val="009F7575"/>
    <w:rsid w:val="009F7598"/>
    <w:rsid w:val="009F774D"/>
    <w:rsid w:val="009F79AE"/>
    <w:rsid w:val="009F7BB9"/>
    <w:rsid w:val="009F7DE5"/>
    <w:rsid w:val="00A00079"/>
    <w:rsid w:val="00A002AB"/>
    <w:rsid w:val="00A007E1"/>
    <w:rsid w:val="00A00803"/>
    <w:rsid w:val="00A00830"/>
    <w:rsid w:val="00A00836"/>
    <w:rsid w:val="00A009B6"/>
    <w:rsid w:val="00A00B6A"/>
    <w:rsid w:val="00A00C9C"/>
    <w:rsid w:val="00A00E07"/>
    <w:rsid w:val="00A01017"/>
    <w:rsid w:val="00A01129"/>
    <w:rsid w:val="00A01505"/>
    <w:rsid w:val="00A01671"/>
    <w:rsid w:val="00A0179A"/>
    <w:rsid w:val="00A01B38"/>
    <w:rsid w:val="00A020F5"/>
    <w:rsid w:val="00A021FB"/>
    <w:rsid w:val="00A024AE"/>
    <w:rsid w:val="00A0251E"/>
    <w:rsid w:val="00A02575"/>
    <w:rsid w:val="00A029E4"/>
    <w:rsid w:val="00A02B12"/>
    <w:rsid w:val="00A02D3D"/>
    <w:rsid w:val="00A0308E"/>
    <w:rsid w:val="00A03325"/>
    <w:rsid w:val="00A03350"/>
    <w:rsid w:val="00A035E2"/>
    <w:rsid w:val="00A035ED"/>
    <w:rsid w:val="00A03825"/>
    <w:rsid w:val="00A03A52"/>
    <w:rsid w:val="00A03E74"/>
    <w:rsid w:val="00A0499F"/>
    <w:rsid w:val="00A04BF6"/>
    <w:rsid w:val="00A04EE2"/>
    <w:rsid w:val="00A05053"/>
    <w:rsid w:val="00A0548A"/>
    <w:rsid w:val="00A05795"/>
    <w:rsid w:val="00A058C4"/>
    <w:rsid w:val="00A05A16"/>
    <w:rsid w:val="00A05E01"/>
    <w:rsid w:val="00A0602A"/>
    <w:rsid w:val="00A06117"/>
    <w:rsid w:val="00A063B8"/>
    <w:rsid w:val="00A065C3"/>
    <w:rsid w:val="00A065DD"/>
    <w:rsid w:val="00A067B6"/>
    <w:rsid w:val="00A06D4A"/>
    <w:rsid w:val="00A07288"/>
    <w:rsid w:val="00A0754E"/>
    <w:rsid w:val="00A0768E"/>
    <w:rsid w:val="00A07A3A"/>
    <w:rsid w:val="00A07AAC"/>
    <w:rsid w:val="00A07BA0"/>
    <w:rsid w:val="00A07C93"/>
    <w:rsid w:val="00A07D1E"/>
    <w:rsid w:val="00A07F6C"/>
    <w:rsid w:val="00A07FFA"/>
    <w:rsid w:val="00A10272"/>
    <w:rsid w:val="00A104B5"/>
    <w:rsid w:val="00A10873"/>
    <w:rsid w:val="00A109D6"/>
    <w:rsid w:val="00A109F3"/>
    <w:rsid w:val="00A10BF5"/>
    <w:rsid w:val="00A10CD2"/>
    <w:rsid w:val="00A10D6B"/>
    <w:rsid w:val="00A1111B"/>
    <w:rsid w:val="00A11247"/>
    <w:rsid w:val="00A11693"/>
    <w:rsid w:val="00A1192C"/>
    <w:rsid w:val="00A11C6C"/>
    <w:rsid w:val="00A11FFE"/>
    <w:rsid w:val="00A1254F"/>
    <w:rsid w:val="00A12602"/>
    <w:rsid w:val="00A1285D"/>
    <w:rsid w:val="00A12DB3"/>
    <w:rsid w:val="00A12E20"/>
    <w:rsid w:val="00A134DD"/>
    <w:rsid w:val="00A1374F"/>
    <w:rsid w:val="00A137BA"/>
    <w:rsid w:val="00A1389F"/>
    <w:rsid w:val="00A13D7B"/>
    <w:rsid w:val="00A1422A"/>
    <w:rsid w:val="00A14682"/>
    <w:rsid w:val="00A1488C"/>
    <w:rsid w:val="00A14895"/>
    <w:rsid w:val="00A14AD1"/>
    <w:rsid w:val="00A14B44"/>
    <w:rsid w:val="00A14BD6"/>
    <w:rsid w:val="00A14C6B"/>
    <w:rsid w:val="00A14EFA"/>
    <w:rsid w:val="00A14FE8"/>
    <w:rsid w:val="00A1517F"/>
    <w:rsid w:val="00A151A9"/>
    <w:rsid w:val="00A15537"/>
    <w:rsid w:val="00A15677"/>
    <w:rsid w:val="00A15A81"/>
    <w:rsid w:val="00A15ACA"/>
    <w:rsid w:val="00A15BC5"/>
    <w:rsid w:val="00A15CFC"/>
    <w:rsid w:val="00A15EF3"/>
    <w:rsid w:val="00A160A0"/>
    <w:rsid w:val="00A160B9"/>
    <w:rsid w:val="00A161B5"/>
    <w:rsid w:val="00A16414"/>
    <w:rsid w:val="00A16BC4"/>
    <w:rsid w:val="00A16D2A"/>
    <w:rsid w:val="00A16D60"/>
    <w:rsid w:val="00A16DBB"/>
    <w:rsid w:val="00A17AEC"/>
    <w:rsid w:val="00A17B21"/>
    <w:rsid w:val="00A17C21"/>
    <w:rsid w:val="00A17C41"/>
    <w:rsid w:val="00A17E42"/>
    <w:rsid w:val="00A17EDC"/>
    <w:rsid w:val="00A200DB"/>
    <w:rsid w:val="00A202D7"/>
    <w:rsid w:val="00A2046E"/>
    <w:rsid w:val="00A20492"/>
    <w:rsid w:val="00A20846"/>
    <w:rsid w:val="00A2094C"/>
    <w:rsid w:val="00A20C98"/>
    <w:rsid w:val="00A20CBF"/>
    <w:rsid w:val="00A20DDA"/>
    <w:rsid w:val="00A20E16"/>
    <w:rsid w:val="00A20EA8"/>
    <w:rsid w:val="00A21187"/>
    <w:rsid w:val="00A21594"/>
    <w:rsid w:val="00A21626"/>
    <w:rsid w:val="00A217B8"/>
    <w:rsid w:val="00A21CB3"/>
    <w:rsid w:val="00A21D02"/>
    <w:rsid w:val="00A2238B"/>
    <w:rsid w:val="00A226DF"/>
    <w:rsid w:val="00A232A6"/>
    <w:rsid w:val="00A232BC"/>
    <w:rsid w:val="00A23464"/>
    <w:rsid w:val="00A235E2"/>
    <w:rsid w:val="00A235FD"/>
    <w:rsid w:val="00A2442A"/>
    <w:rsid w:val="00A245F8"/>
    <w:rsid w:val="00A24668"/>
    <w:rsid w:val="00A2491F"/>
    <w:rsid w:val="00A24B4F"/>
    <w:rsid w:val="00A24D76"/>
    <w:rsid w:val="00A24EFE"/>
    <w:rsid w:val="00A253C8"/>
    <w:rsid w:val="00A25442"/>
    <w:rsid w:val="00A255F5"/>
    <w:rsid w:val="00A259FC"/>
    <w:rsid w:val="00A25E34"/>
    <w:rsid w:val="00A260F4"/>
    <w:rsid w:val="00A264DD"/>
    <w:rsid w:val="00A2675F"/>
    <w:rsid w:val="00A26C3F"/>
    <w:rsid w:val="00A26E27"/>
    <w:rsid w:val="00A27096"/>
    <w:rsid w:val="00A27161"/>
    <w:rsid w:val="00A2727D"/>
    <w:rsid w:val="00A27285"/>
    <w:rsid w:val="00A273B6"/>
    <w:rsid w:val="00A278EB"/>
    <w:rsid w:val="00A27995"/>
    <w:rsid w:val="00A3007D"/>
    <w:rsid w:val="00A30333"/>
    <w:rsid w:val="00A30877"/>
    <w:rsid w:val="00A30CFC"/>
    <w:rsid w:val="00A30E99"/>
    <w:rsid w:val="00A30FF8"/>
    <w:rsid w:val="00A31262"/>
    <w:rsid w:val="00A31423"/>
    <w:rsid w:val="00A3157B"/>
    <w:rsid w:val="00A31582"/>
    <w:rsid w:val="00A31934"/>
    <w:rsid w:val="00A319DA"/>
    <w:rsid w:val="00A31FDA"/>
    <w:rsid w:val="00A32564"/>
    <w:rsid w:val="00A32579"/>
    <w:rsid w:val="00A3286D"/>
    <w:rsid w:val="00A32891"/>
    <w:rsid w:val="00A3297D"/>
    <w:rsid w:val="00A32AB4"/>
    <w:rsid w:val="00A337F8"/>
    <w:rsid w:val="00A33A51"/>
    <w:rsid w:val="00A33F04"/>
    <w:rsid w:val="00A33F54"/>
    <w:rsid w:val="00A34049"/>
    <w:rsid w:val="00A340BE"/>
    <w:rsid w:val="00A34124"/>
    <w:rsid w:val="00A34456"/>
    <w:rsid w:val="00A344D3"/>
    <w:rsid w:val="00A34633"/>
    <w:rsid w:val="00A34927"/>
    <w:rsid w:val="00A34935"/>
    <w:rsid w:val="00A34DB6"/>
    <w:rsid w:val="00A34E2C"/>
    <w:rsid w:val="00A34F9C"/>
    <w:rsid w:val="00A353A0"/>
    <w:rsid w:val="00A35500"/>
    <w:rsid w:val="00A3575C"/>
    <w:rsid w:val="00A357AC"/>
    <w:rsid w:val="00A3586D"/>
    <w:rsid w:val="00A35A49"/>
    <w:rsid w:val="00A35CC5"/>
    <w:rsid w:val="00A36074"/>
    <w:rsid w:val="00A361B3"/>
    <w:rsid w:val="00A3620F"/>
    <w:rsid w:val="00A36545"/>
    <w:rsid w:val="00A36564"/>
    <w:rsid w:val="00A36654"/>
    <w:rsid w:val="00A3667E"/>
    <w:rsid w:val="00A368A4"/>
    <w:rsid w:val="00A36948"/>
    <w:rsid w:val="00A36CF0"/>
    <w:rsid w:val="00A36CF8"/>
    <w:rsid w:val="00A372C4"/>
    <w:rsid w:val="00A372C7"/>
    <w:rsid w:val="00A374D4"/>
    <w:rsid w:val="00A37819"/>
    <w:rsid w:val="00A3798A"/>
    <w:rsid w:val="00A37C41"/>
    <w:rsid w:val="00A37DF6"/>
    <w:rsid w:val="00A400C7"/>
    <w:rsid w:val="00A40353"/>
    <w:rsid w:val="00A4073B"/>
    <w:rsid w:val="00A4081F"/>
    <w:rsid w:val="00A40ADD"/>
    <w:rsid w:val="00A40C0E"/>
    <w:rsid w:val="00A40C2B"/>
    <w:rsid w:val="00A40E77"/>
    <w:rsid w:val="00A4126D"/>
    <w:rsid w:val="00A412CF"/>
    <w:rsid w:val="00A41746"/>
    <w:rsid w:val="00A417DF"/>
    <w:rsid w:val="00A42107"/>
    <w:rsid w:val="00A42185"/>
    <w:rsid w:val="00A42271"/>
    <w:rsid w:val="00A424F5"/>
    <w:rsid w:val="00A42767"/>
    <w:rsid w:val="00A428AA"/>
    <w:rsid w:val="00A429A7"/>
    <w:rsid w:val="00A42C7D"/>
    <w:rsid w:val="00A42E35"/>
    <w:rsid w:val="00A43206"/>
    <w:rsid w:val="00A4368B"/>
    <w:rsid w:val="00A43BC1"/>
    <w:rsid w:val="00A43F54"/>
    <w:rsid w:val="00A44049"/>
    <w:rsid w:val="00A441E9"/>
    <w:rsid w:val="00A444F3"/>
    <w:rsid w:val="00A449EC"/>
    <w:rsid w:val="00A44A84"/>
    <w:rsid w:val="00A44AA7"/>
    <w:rsid w:val="00A44C9B"/>
    <w:rsid w:val="00A44E3E"/>
    <w:rsid w:val="00A44FD5"/>
    <w:rsid w:val="00A4526E"/>
    <w:rsid w:val="00A452D9"/>
    <w:rsid w:val="00A45445"/>
    <w:rsid w:val="00A45612"/>
    <w:rsid w:val="00A46231"/>
    <w:rsid w:val="00A46772"/>
    <w:rsid w:val="00A4678A"/>
    <w:rsid w:val="00A469A7"/>
    <w:rsid w:val="00A46B81"/>
    <w:rsid w:val="00A47270"/>
    <w:rsid w:val="00A47304"/>
    <w:rsid w:val="00A47A6A"/>
    <w:rsid w:val="00A47B62"/>
    <w:rsid w:val="00A47C7C"/>
    <w:rsid w:val="00A47C7F"/>
    <w:rsid w:val="00A47F51"/>
    <w:rsid w:val="00A50133"/>
    <w:rsid w:val="00A50141"/>
    <w:rsid w:val="00A50E13"/>
    <w:rsid w:val="00A50ED8"/>
    <w:rsid w:val="00A5109E"/>
    <w:rsid w:val="00A514F6"/>
    <w:rsid w:val="00A51559"/>
    <w:rsid w:val="00A51852"/>
    <w:rsid w:val="00A51968"/>
    <w:rsid w:val="00A51C7D"/>
    <w:rsid w:val="00A51CC5"/>
    <w:rsid w:val="00A51D5A"/>
    <w:rsid w:val="00A51E39"/>
    <w:rsid w:val="00A5206F"/>
    <w:rsid w:val="00A520C1"/>
    <w:rsid w:val="00A521CF"/>
    <w:rsid w:val="00A52410"/>
    <w:rsid w:val="00A5287E"/>
    <w:rsid w:val="00A529D3"/>
    <w:rsid w:val="00A52B2E"/>
    <w:rsid w:val="00A52B49"/>
    <w:rsid w:val="00A52BBD"/>
    <w:rsid w:val="00A52E55"/>
    <w:rsid w:val="00A52E6A"/>
    <w:rsid w:val="00A530F9"/>
    <w:rsid w:val="00A536CD"/>
    <w:rsid w:val="00A53832"/>
    <w:rsid w:val="00A538FA"/>
    <w:rsid w:val="00A53AA2"/>
    <w:rsid w:val="00A53FA5"/>
    <w:rsid w:val="00A541AA"/>
    <w:rsid w:val="00A54246"/>
    <w:rsid w:val="00A54260"/>
    <w:rsid w:val="00A5438D"/>
    <w:rsid w:val="00A553B1"/>
    <w:rsid w:val="00A555C3"/>
    <w:rsid w:val="00A5569D"/>
    <w:rsid w:val="00A55B12"/>
    <w:rsid w:val="00A55E58"/>
    <w:rsid w:val="00A561FA"/>
    <w:rsid w:val="00A563D7"/>
    <w:rsid w:val="00A56621"/>
    <w:rsid w:val="00A5694E"/>
    <w:rsid w:val="00A56A2B"/>
    <w:rsid w:val="00A56A5B"/>
    <w:rsid w:val="00A56B72"/>
    <w:rsid w:val="00A56F04"/>
    <w:rsid w:val="00A57087"/>
    <w:rsid w:val="00A570B2"/>
    <w:rsid w:val="00A5713D"/>
    <w:rsid w:val="00A57231"/>
    <w:rsid w:val="00A573AC"/>
    <w:rsid w:val="00A57596"/>
    <w:rsid w:val="00A5774A"/>
    <w:rsid w:val="00A57A8D"/>
    <w:rsid w:val="00A57E8A"/>
    <w:rsid w:val="00A57FDF"/>
    <w:rsid w:val="00A57FE0"/>
    <w:rsid w:val="00A6062C"/>
    <w:rsid w:val="00A6091E"/>
    <w:rsid w:val="00A6092C"/>
    <w:rsid w:val="00A60B65"/>
    <w:rsid w:val="00A60D72"/>
    <w:rsid w:val="00A60F4C"/>
    <w:rsid w:val="00A60FAE"/>
    <w:rsid w:val="00A610C1"/>
    <w:rsid w:val="00A61176"/>
    <w:rsid w:val="00A611CE"/>
    <w:rsid w:val="00A612A1"/>
    <w:rsid w:val="00A61449"/>
    <w:rsid w:val="00A617B4"/>
    <w:rsid w:val="00A619BB"/>
    <w:rsid w:val="00A61AB4"/>
    <w:rsid w:val="00A61B53"/>
    <w:rsid w:val="00A61B78"/>
    <w:rsid w:val="00A61B94"/>
    <w:rsid w:val="00A61D52"/>
    <w:rsid w:val="00A61E7E"/>
    <w:rsid w:val="00A61F1C"/>
    <w:rsid w:val="00A62315"/>
    <w:rsid w:val="00A62317"/>
    <w:rsid w:val="00A6249C"/>
    <w:rsid w:val="00A6269B"/>
    <w:rsid w:val="00A627D5"/>
    <w:rsid w:val="00A6280E"/>
    <w:rsid w:val="00A62A15"/>
    <w:rsid w:val="00A62A35"/>
    <w:rsid w:val="00A62AB3"/>
    <w:rsid w:val="00A62C0B"/>
    <w:rsid w:val="00A62DFE"/>
    <w:rsid w:val="00A634E1"/>
    <w:rsid w:val="00A636B2"/>
    <w:rsid w:val="00A63718"/>
    <w:rsid w:val="00A638E5"/>
    <w:rsid w:val="00A638EC"/>
    <w:rsid w:val="00A63B0E"/>
    <w:rsid w:val="00A63EBF"/>
    <w:rsid w:val="00A63F1E"/>
    <w:rsid w:val="00A63F69"/>
    <w:rsid w:val="00A63FB8"/>
    <w:rsid w:val="00A640D9"/>
    <w:rsid w:val="00A6418A"/>
    <w:rsid w:val="00A641B0"/>
    <w:rsid w:val="00A6472E"/>
    <w:rsid w:val="00A647C9"/>
    <w:rsid w:val="00A647DE"/>
    <w:rsid w:val="00A64B33"/>
    <w:rsid w:val="00A64C90"/>
    <w:rsid w:val="00A650F4"/>
    <w:rsid w:val="00A655D3"/>
    <w:rsid w:val="00A65751"/>
    <w:rsid w:val="00A65827"/>
    <w:rsid w:val="00A65A79"/>
    <w:rsid w:val="00A663CE"/>
    <w:rsid w:val="00A66641"/>
    <w:rsid w:val="00A66A2F"/>
    <w:rsid w:val="00A66AAA"/>
    <w:rsid w:val="00A66C7D"/>
    <w:rsid w:val="00A66D67"/>
    <w:rsid w:val="00A67117"/>
    <w:rsid w:val="00A673B1"/>
    <w:rsid w:val="00A6749B"/>
    <w:rsid w:val="00A67533"/>
    <w:rsid w:val="00A6764E"/>
    <w:rsid w:val="00A67C23"/>
    <w:rsid w:val="00A70923"/>
    <w:rsid w:val="00A70A80"/>
    <w:rsid w:val="00A70E71"/>
    <w:rsid w:val="00A71053"/>
    <w:rsid w:val="00A71185"/>
    <w:rsid w:val="00A711AF"/>
    <w:rsid w:val="00A71348"/>
    <w:rsid w:val="00A7149C"/>
    <w:rsid w:val="00A7180E"/>
    <w:rsid w:val="00A71B7A"/>
    <w:rsid w:val="00A71CD6"/>
    <w:rsid w:val="00A71FB6"/>
    <w:rsid w:val="00A72032"/>
    <w:rsid w:val="00A7203B"/>
    <w:rsid w:val="00A7241F"/>
    <w:rsid w:val="00A72593"/>
    <w:rsid w:val="00A7281D"/>
    <w:rsid w:val="00A728F6"/>
    <w:rsid w:val="00A72994"/>
    <w:rsid w:val="00A731BD"/>
    <w:rsid w:val="00A731C7"/>
    <w:rsid w:val="00A731D0"/>
    <w:rsid w:val="00A735BC"/>
    <w:rsid w:val="00A7406A"/>
    <w:rsid w:val="00A740F9"/>
    <w:rsid w:val="00A742B6"/>
    <w:rsid w:val="00A742F4"/>
    <w:rsid w:val="00A74637"/>
    <w:rsid w:val="00A747CA"/>
    <w:rsid w:val="00A7482C"/>
    <w:rsid w:val="00A7493E"/>
    <w:rsid w:val="00A749F6"/>
    <w:rsid w:val="00A74D32"/>
    <w:rsid w:val="00A74E7C"/>
    <w:rsid w:val="00A74EE7"/>
    <w:rsid w:val="00A75115"/>
    <w:rsid w:val="00A751D1"/>
    <w:rsid w:val="00A75206"/>
    <w:rsid w:val="00A75B92"/>
    <w:rsid w:val="00A75BC8"/>
    <w:rsid w:val="00A76182"/>
    <w:rsid w:val="00A764C8"/>
    <w:rsid w:val="00A76A0F"/>
    <w:rsid w:val="00A76AD1"/>
    <w:rsid w:val="00A76F2C"/>
    <w:rsid w:val="00A770AD"/>
    <w:rsid w:val="00A772B3"/>
    <w:rsid w:val="00A77536"/>
    <w:rsid w:val="00A77587"/>
    <w:rsid w:val="00A7762C"/>
    <w:rsid w:val="00A777E4"/>
    <w:rsid w:val="00A77938"/>
    <w:rsid w:val="00A77BAC"/>
    <w:rsid w:val="00A77BE4"/>
    <w:rsid w:val="00A77FA3"/>
    <w:rsid w:val="00A80098"/>
    <w:rsid w:val="00A805E5"/>
    <w:rsid w:val="00A806C5"/>
    <w:rsid w:val="00A80749"/>
    <w:rsid w:val="00A80786"/>
    <w:rsid w:val="00A80964"/>
    <w:rsid w:val="00A80FB4"/>
    <w:rsid w:val="00A81036"/>
    <w:rsid w:val="00A8123B"/>
    <w:rsid w:val="00A8181D"/>
    <w:rsid w:val="00A8188A"/>
    <w:rsid w:val="00A81978"/>
    <w:rsid w:val="00A81CD0"/>
    <w:rsid w:val="00A81F35"/>
    <w:rsid w:val="00A81FD3"/>
    <w:rsid w:val="00A82036"/>
    <w:rsid w:val="00A82054"/>
    <w:rsid w:val="00A822D0"/>
    <w:rsid w:val="00A8239A"/>
    <w:rsid w:val="00A825A4"/>
    <w:rsid w:val="00A82A7F"/>
    <w:rsid w:val="00A82AA5"/>
    <w:rsid w:val="00A83209"/>
    <w:rsid w:val="00A832D1"/>
    <w:rsid w:val="00A8343E"/>
    <w:rsid w:val="00A8405F"/>
    <w:rsid w:val="00A840BB"/>
    <w:rsid w:val="00A842CC"/>
    <w:rsid w:val="00A8452A"/>
    <w:rsid w:val="00A8481F"/>
    <w:rsid w:val="00A84986"/>
    <w:rsid w:val="00A84A1E"/>
    <w:rsid w:val="00A84AB5"/>
    <w:rsid w:val="00A84C3D"/>
    <w:rsid w:val="00A857E3"/>
    <w:rsid w:val="00A857FF"/>
    <w:rsid w:val="00A85A41"/>
    <w:rsid w:val="00A85DC7"/>
    <w:rsid w:val="00A864DA"/>
    <w:rsid w:val="00A86B08"/>
    <w:rsid w:val="00A86B33"/>
    <w:rsid w:val="00A86E05"/>
    <w:rsid w:val="00A86F89"/>
    <w:rsid w:val="00A87217"/>
    <w:rsid w:val="00A87305"/>
    <w:rsid w:val="00A873AD"/>
    <w:rsid w:val="00A902A9"/>
    <w:rsid w:val="00A90556"/>
    <w:rsid w:val="00A9083F"/>
    <w:rsid w:val="00A90A00"/>
    <w:rsid w:val="00A90CF6"/>
    <w:rsid w:val="00A90F66"/>
    <w:rsid w:val="00A91151"/>
    <w:rsid w:val="00A913CA"/>
    <w:rsid w:val="00A9194F"/>
    <w:rsid w:val="00A91994"/>
    <w:rsid w:val="00A91B2A"/>
    <w:rsid w:val="00A91C0B"/>
    <w:rsid w:val="00A91EEC"/>
    <w:rsid w:val="00A9213F"/>
    <w:rsid w:val="00A926BB"/>
    <w:rsid w:val="00A929D9"/>
    <w:rsid w:val="00A92CF6"/>
    <w:rsid w:val="00A92F8D"/>
    <w:rsid w:val="00A93013"/>
    <w:rsid w:val="00A9345F"/>
    <w:rsid w:val="00A93A1A"/>
    <w:rsid w:val="00A93B08"/>
    <w:rsid w:val="00A93BE5"/>
    <w:rsid w:val="00A9400D"/>
    <w:rsid w:val="00A94208"/>
    <w:rsid w:val="00A943C4"/>
    <w:rsid w:val="00A943F3"/>
    <w:rsid w:val="00A943FF"/>
    <w:rsid w:val="00A94546"/>
    <w:rsid w:val="00A94674"/>
    <w:rsid w:val="00A94957"/>
    <w:rsid w:val="00A94BBD"/>
    <w:rsid w:val="00A94D3E"/>
    <w:rsid w:val="00A94F3E"/>
    <w:rsid w:val="00A94FEA"/>
    <w:rsid w:val="00A95136"/>
    <w:rsid w:val="00A954BD"/>
    <w:rsid w:val="00A955CF"/>
    <w:rsid w:val="00A95A79"/>
    <w:rsid w:val="00A95A93"/>
    <w:rsid w:val="00A95BBC"/>
    <w:rsid w:val="00A95D1D"/>
    <w:rsid w:val="00A95D84"/>
    <w:rsid w:val="00A9657A"/>
    <w:rsid w:val="00A96663"/>
    <w:rsid w:val="00A967F4"/>
    <w:rsid w:val="00A968D8"/>
    <w:rsid w:val="00A96C7A"/>
    <w:rsid w:val="00A96CCA"/>
    <w:rsid w:val="00A96E3D"/>
    <w:rsid w:val="00A9727E"/>
    <w:rsid w:val="00A9733F"/>
    <w:rsid w:val="00A97373"/>
    <w:rsid w:val="00A97458"/>
    <w:rsid w:val="00A97592"/>
    <w:rsid w:val="00A975B4"/>
    <w:rsid w:val="00A97AB9"/>
    <w:rsid w:val="00A97B19"/>
    <w:rsid w:val="00A97D31"/>
    <w:rsid w:val="00A97EEC"/>
    <w:rsid w:val="00AA0024"/>
    <w:rsid w:val="00AA0076"/>
    <w:rsid w:val="00AA007F"/>
    <w:rsid w:val="00AA00D9"/>
    <w:rsid w:val="00AA02AA"/>
    <w:rsid w:val="00AA049E"/>
    <w:rsid w:val="00AA04D6"/>
    <w:rsid w:val="00AA0E2F"/>
    <w:rsid w:val="00AA0F1F"/>
    <w:rsid w:val="00AA113F"/>
    <w:rsid w:val="00AA12F2"/>
    <w:rsid w:val="00AA13A8"/>
    <w:rsid w:val="00AA1417"/>
    <w:rsid w:val="00AA15A6"/>
    <w:rsid w:val="00AA166D"/>
    <w:rsid w:val="00AA1702"/>
    <w:rsid w:val="00AA17FB"/>
    <w:rsid w:val="00AA19B3"/>
    <w:rsid w:val="00AA1D39"/>
    <w:rsid w:val="00AA1DDE"/>
    <w:rsid w:val="00AA225E"/>
    <w:rsid w:val="00AA2397"/>
    <w:rsid w:val="00AA24BF"/>
    <w:rsid w:val="00AA256E"/>
    <w:rsid w:val="00AA258D"/>
    <w:rsid w:val="00AA25EC"/>
    <w:rsid w:val="00AA26F1"/>
    <w:rsid w:val="00AA271B"/>
    <w:rsid w:val="00AA27AF"/>
    <w:rsid w:val="00AA2B1F"/>
    <w:rsid w:val="00AA2B24"/>
    <w:rsid w:val="00AA2D53"/>
    <w:rsid w:val="00AA3003"/>
    <w:rsid w:val="00AA345F"/>
    <w:rsid w:val="00AA34E5"/>
    <w:rsid w:val="00AA3A05"/>
    <w:rsid w:val="00AA4159"/>
    <w:rsid w:val="00AA43DD"/>
    <w:rsid w:val="00AA44A2"/>
    <w:rsid w:val="00AA45E0"/>
    <w:rsid w:val="00AA4725"/>
    <w:rsid w:val="00AA477D"/>
    <w:rsid w:val="00AA4D5F"/>
    <w:rsid w:val="00AA4E1C"/>
    <w:rsid w:val="00AA5259"/>
    <w:rsid w:val="00AA5771"/>
    <w:rsid w:val="00AA5C51"/>
    <w:rsid w:val="00AA5E85"/>
    <w:rsid w:val="00AA60E6"/>
    <w:rsid w:val="00AA642C"/>
    <w:rsid w:val="00AA664D"/>
    <w:rsid w:val="00AA6972"/>
    <w:rsid w:val="00AA6B3A"/>
    <w:rsid w:val="00AA6BF8"/>
    <w:rsid w:val="00AA6D9A"/>
    <w:rsid w:val="00AA7056"/>
    <w:rsid w:val="00AA7092"/>
    <w:rsid w:val="00AA736C"/>
    <w:rsid w:val="00AA7376"/>
    <w:rsid w:val="00AA774C"/>
    <w:rsid w:val="00AA7BE6"/>
    <w:rsid w:val="00AA7E5D"/>
    <w:rsid w:val="00AA7E6A"/>
    <w:rsid w:val="00AA7FA8"/>
    <w:rsid w:val="00AB0098"/>
    <w:rsid w:val="00AB0099"/>
    <w:rsid w:val="00AB052F"/>
    <w:rsid w:val="00AB05AC"/>
    <w:rsid w:val="00AB08AD"/>
    <w:rsid w:val="00AB0E14"/>
    <w:rsid w:val="00AB0EAC"/>
    <w:rsid w:val="00AB1114"/>
    <w:rsid w:val="00AB1205"/>
    <w:rsid w:val="00AB12EB"/>
    <w:rsid w:val="00AB1444"/>
    <w:rsid w:val="00AB15F3"/>
    <w:rsid w:val="00AB1717"/>
    <w:rsid w:val="00AB182E"/>
    <w:rsid w:val="00AB1CAB"/>
    <w:rsid w:val="00AB1FB4"/>
    <w:rsid w:val="00AB1FB7"/>
    <w:rsid w:val="00AB24CC"/>
    <w:rsid w:val="00AB2948"/>
    <w:rsid w:val="00AB2C57"/>
    <w:rsid w:val="00AB2CB3"/>
    <w:rsid w:val="00AB3071"/>
    <w:rsid w:val="00AB3536"/>
    <w:rsid w:val="00AB3B6F"/>
    <w:rsid w:val="00AB3C8B"/>
    <w:rsid w:val="00AB3D0B"/>
    <w:rsid w:val="00AB3E02"/>
    <w:rsid w:val="00AB40B6"/>
    <w:rsid w:val="00AB4162"/>
    <w:rsid w:val="00AB42B9"/>
    <w:rsid w:val="00AB42C4"/>
    <w:rsid w:val="00AB42E4"/>
    <w:rsid w:val="00AB4310"/>
    <w:rsid w:val="00AB43CE"/>
    <w:rsid w:val="00AB4AB2"/>
    <w:rsid w:val="00AB4CB1"/>
    <w:rsid w:val="00AB4E2E"/>
    <w:rsid w:val="00AB5241"/>
    <w:rsid w:val="00AB561B"/>
    <w:rsid w:val="00AB5833"/>
    <w:rsid w:val="00AB5A6E"/>
    <w:rsid w:val="00AB5EA8"/>
    <w:rsid w:val="00AB6095"/>
    <w:rsid w:val="00AB62C0"/>
    <w:rsid w:val="00AB634C"/>
    <w:rsid w:val="00AB65BF"/>
    <w:rsid w:val="00AB66B2"/>
    <w:rsid w:val="00AB6E3F"/>
    <w:rsid w:val="00AB6F13"/>
    <w:rsid w:val="00AB74CE"/>
    <w:rsid w:val="00AB751B"/>
    <w:rsid w:val="00AB7612"/>
    <w:rsid w:val="00AB7B65"/>
    <w:rsid w:val="00AB7EBB"/>
    <w:rsid w:val="00AB7EF7"/>
    <w:rsid w:val="00AC01FC"/>
    <w:rsid w:val="00AC0337"/>
    <w:rsid w:val="00AC0AB3"/>
    <w:rsid w:val="00AC0DB3"/>
    <w:rsid w:val="00AC1009"/>
    <w:rsid w:val="00AC1222"/>
    <w:rsid w:val="00AC1392"/>
    <w:rsid w:val="00AC1504"/>
    <w:rsid w:val="00AC1641"/>
    <w:rsid w:val="00AC1684"/>
    <w:rsid w:val="00AC169E"/>
    <w:rsid w:val="00AC194C"/>
    <w:rsid w:val="00AC1ACE"/>
    <w:rsid w:val="00AC1D2F"/>
    <w:rsid w:val="00AC1E85"/>
    <w:rsid w:val="00AC1F43"/>
    <w:rsid w:val="00AC2142"/>
    <w:rsid w:val="00AC215B"/>
    <w:rsid w:val="00AC2182"/>
    <w:rsid w:val="00AC2436"/>
    <w:rsid w:val="00AC24A2"/>
    <w:rsid w:val="00AC27BB"/>
    <w:rsid w:val="00AC27C8"/>
    <w:rsid w:val="00AC2C3D"/>
    <w:rsid w:val="00AC2D7A"/>
    <w:rsid w:val="00AC2E19"/>
    <w:rsid w:val="00AC2F4E"/>
    <w:rsid w:val="00AC30A1"/>
    <w:rsid w:val="00AC31BC"/>
    <w:rsid w:val="00AC35C6"/>
    <w:rsid w:val="00AC35FF"/>
    <w:rsid w:val="00AC3649"/>
    <w:rsid w:val="00AC3668"/>
    <w:rsid w:val="00AC383B"/>
    <w:rsid w:val="00AC38AB"/>
    <w:rsid w:val="00AC3988"/>
    <w:rsid w:val="00AC3E77"/>
    <w:rsid w:val="00AC3F01"/>
    <w:rsid w:val="00AC3F20"/>
    <w:rsid w:val="00AC3FED"/>
    <w:rsid w:val="00AC4328"/>
    <w:rsid w:val="00AC4349"/>
    <w:rsid w:val="00AC43A4"/>
    <w:rsid w:val="00AC43C1"/>
    <w:rsid w:val="00AC46D8"/>
    <w:rsid w:val="00AC4851"/>
    <w:rsid w:val="00AC4F47"/>
    <w:rsid w:val="00AC4F55"/>
    <w:rsid w:val="00AC4FEF"/>
    <w:rsid w:val="00AC51A7"/>
    <w:rsid w:val="00AC5455"/>
    <w:rsid w:val="00AC54B0"/>
    <w:rsid w:val="00AC5549"/>
    <w:rsid w:val="00AC5608"/>
    <w:rsid w:val="00AC593B"/>
    <w:rsid w:val="00AC5A72"/>
    <w:rsid w:val="00AC5CD0"/>
    <w:rsid w:val="00AC5DC6"/>
    <w:rsid w:val="00AC5E5A"/>
    <w:rsid w:val="00AC5EF5"/>
    <w:rsid w:val="00AC5FEF"/>
    <w:rsid w:val="00AC63EE"/>
    <w:rsid w:val="00AC6583"/>
    <w:rsid w:val="00AC6787"/>
    <w:rsid w:val="00AC68AF"/>
    <w:rsid w:val="00AC691C"/>
    <w:rsid w:val="00AC6D81"/>
    <w:rsid w:val="00AC6F10"/>
    <w:rsid w:val="00AC7029"/>
    <w:rsid w:val="00AC71D0"/>
    <w:rsid w:val="00AC72EB"/>
    <w:rsid w:val="00AC7872"/>
    <w:rsid w:val="00AC78B6"/>
    <w:rsid w:val="00AC798B"/>
    <w:rsid w:val="00AD0002"/>
    <w:rsid w:val="00AD0190"/>
    <w:rsid w:val="00AD06E1"/>
    <w:rsid w:val="00AD0762"/>
    <w:rsid w:val="00AD0780"/>
    <w:rsid w:val="00AD0AF9"/>
    <w:rsid w:val="00AD0B3D"/>
    <w:rsid w:val="00AD0ED5"/>
    <w:rsid w:val="00AD1102"/>
    <w:rsid w:val="00AD190A"/>
    <w:rsid w:val="00AD19C6"/>
    <w:rsid w:val="00AD1E1B"/>
    <w:rsid w:val="00AD1E3F"/>
    <w:rsid w:val="00AD1F86"/>
    <w:rsid w:val="00AD2320"/>
    <w:rsid w:val="00AD24E4"/>
    <w:rsid w:val="00AD2628"/>
    <w:rsid w:val="00AD270F"/>
    <w:rsid w:val="00AD2A18"/>
    <w:rsid w:val="00AD2D49"/>
    <w:rsid w:val="00AD3124"/>
    <w:rsid w:val="00AD31C7"/>
    <w:rsid w:val="00AD32E7"/>
    <w:rsid w:val="00AD3563"/>
    <w:rsid w:val="00AD3A0B"/>
    <w:rsid w:val="00AD3E6D"/>
    <w:rsid w:val="00AD3EAB"/>
    <w:rsid w:val="00AD40D3"/>
    <w:rsid w:val="00AD415D"/>
    <w:rsid w:val="00AD4301"/>
    <w:rsid w:val="00AD4388"/>
    <w:rsid w:val="00AD45B1"/>
    <w:rsid w:val="00AD4968"/>
    <w:rsid w:val="00AD49B4"/>
    <w:rsid w:val="00AD4BD8"/>
    <w:rsid w:val="00AD4C9C"/>
    <w:rsid w:val="00AD5130"/>
    <w:rsid w:val="00AD519D"/>
    <w:rsid w:val="00AD5388"/>
    <w:rsid w:val="00AD5685"/>
    <w:rsid w:val="00AD586A"/>
    <w:rsid w:val="00AD5EBE"/>
    <w:rsid w:val="00AD5EDA"/>
    <w:rsid w:val="00AD631E"/>
    <w:rsid w:val="00AD6429"/>
    <w:rsid w:val="00AD65E8"/>
    <w:rsid w:val="00AD6752"/>
    <w:rsid w:val="00AD697A"/>
    <w:rsid w:val="00AD69A8"/>
    <w:rsid w:val="00AD6A13"/>
    <w:rsid w:val="00AD6A6B"/>
    <w:rsid w:val="00AD6BBD"/>
    <w:rsid w:val="00AD6C1E"/>
    <w:rsid w:val="00AD6D07"/>
    <w:rsid w:val="00AD6DD4"/>
    <w:rsid w:val="00AD6F09"/>
    <w:rsid w:val="00AD70FE"/>
    <w:rsid w:val="00AD760E"/>
    <w:rsid w:val="00AD769F"/>
    <w:rsid w:val="00AD7993"/>
    <w:rsid w:val="00AD7B1B"/>
    <w:rsid w:val="00AD7E2D"/>
    <w:rsid w:val="00AD7E69"/>
    <w:rsid w:val="00AD7EB8"/>
    <w:rsid w:val="00AE019C"/>
    <w:rsid w:val="00AE01B8"/>
    <w:rsid w:val="00AE024E"/>
    <w:rsid w:val="00AE054F"/>
    <w:rsid w:val="00AE06F7"/>
    <w:rsid w:val="00AE0725"/>
    <w:rsid w:val="00AE074B"/>
    <w:rsid w:val="00AE0A3B"/>
    <w:rsid w:val="00AE0BCE"/>
    <w:rsid w:val="00AE0CBD"/>
    <w:rsid w:val="00AE0CD0"/>
    <w:rsid w:val="00AE1218"/>
    <w:rsid w:val="00AE1396"/>
    <w:rsid w:val="00AE19FB"/>
    <w:rsid w:val="00AE1B4A"/>
    <w:rsid w:val="00AE1C37"/>
    <w:rsid w:val="00AE2136"/>
    <w:rsid w:val="00AE21D1"/>
    <w:rsid w:val="00AE24B7"/>
    <w:rsid w:val="00AE2560"/>
    <w:rsid w:val="00AE25FC"/>
    <w:rsid w:val="00AE2AF9"/>
    <w:rsid w:val="00AE2D8F"/>
    <w:rsid w:val="00AE2E9A"/>
    <w:rsid w:val="00AE3227"/>
    <w:rsid w:val="00AE32F9"/>
    <w:rsid w:val="00AE3309"/>
    <w:rsid w:val="00AE3389"/>
    <w:rsid w:val="00AE34B3"/>
    <w:rsid w:val="00AE37ED"/>
    <w:rsid w:val="00AE3E11"/>
    <w:rsid w:val="00AE40A0"/>
    <w:rsid w:val="00AE40BB"/>
    <w:rsid w:val="00AE416E"/>
    <w:rsid w:val="00AE444F"/>
    <w:rsid w:val="00AE447F"/>
    <w:rsid w:val="00AE4587"/>
    <w:rsid w:val="00AE46C1"/>
    <w:rsid w:val="00AE49C2"/>
    <w:rsid w:val="00AE4D7B"/>
    <w:rsid w:val="00AE4EE0"/>
    <w:rsid w:val="00AE587A"/>
    <w:rsid w:val="00AE5953"/>
    <w:rsid w:val="00AE5C25"/>
    <w:rsid w:val="00AE5D0F"/>
    <w:rsid w:val="00AE5EEB"/>
    <w:rsid w:val="00AE5F6F"/>
    <w:rsid w:val="00AE6143"/>
    <w:rsid w:val="00AE616D"/>
    <w:rsid w:val="00AE6760"/>
    <w:rsid w:val="00AE6885"/>
    <w:rsid w:val="00AE6A9A"/>
    <w:rsid w:val="00AE6B70"/>
    <w:rsid w:val="00AE6E6A"/>
    <w:rsid w:val="00AE72FF"/>
    <w:rsid w:val="00AE780E"/>
    <w:rsid w:val="00AE7815"/>
    <w:rsid w:val="00AE78BD"/>
    <w:rsid w:val="00AE7C5D"/>
    <w:rsid w:val="00AF02AE"/>
    <w:rsid w:val="00AF05B3"/>
    <w:rsid w:val="00AF0680"/>
    <w:rsid w:val="00AF06F0"/>
    <w:rsid w:val="00AF0BF1"/>
    <w:rsid w:val="00AF0C50"/>
    <w:rsid w:val="00AF0E95"/>
    <w:rsid w:val="00AF0ED8"/>
    <w:rsid w:val="00AF10CD"/>
    <w:rsid w:val="00AF10D4"/>
    <w:rsid w:val="00AF11AE"/>
    <w:rsid w:val="00AF1214"/>
    <w:rsid w:val="00AF12A6"/>
    <w:rsid w:val="00AF1595"/>
    <w:rsid w:val="00AF17BB"/>
    <w:rsid w:val="00AF18A6"/>
    <w:rsid w:val="00AF18BB"/>
    <w:rsid w:val="00AF1E2F"/>
    <w:rsid w:val="00AF2028"/>
    <w:rsid w:val="00AF2088"/>
    <w:rsid w:val="00AF21C0"/>
    <w:rsid w:val="00AF293D"/>
    <w:rsid w:val="00AF2955"/>
    <w:rsid w:val="00AF295B"/>
    <w:rsid w:val="00AF2B94"/>
    <w:rsid w:val="00AF2E2F"/>
    <w:rsid w:val="00AF3408"/>
    <w:rsid w:val="00AF345E"/>
    <w:rsid w:val="00AF3A7D"/>
    <w:rsid w:val="00AF3E5A"/>
    <w:rsid w:val="00AF3F58"/>
    <w:rsid w:val="00AF3FB5"/>
    <w:rsid w:val="00AF4349"/>
    <w:rsid w:val="00AF4AD4"/>
    <w:rsid w:val="00AF4B27"/>
    <w:rsid w:val="00AF4CDF"/>
    <w:rsid w:val="00AF4FB8"/>
    <w:rsid w:val="00AF515B"/>
    <w:rsid w:val="00AF567B"/>
    <w:rsid w:val="00AF5929"/>
    <w:rsid w:val="00AF5A01"/>
    <w:rsid w:val="00AF5E6A"/>
    <w:rsid w:val="00AF5F7D"/>
    <w:rsid w:val="00AF5FB3"/>
    <w:rsid w:val="00AF6084"/>
    <w:rsid w:val="00AF61D9"/>
    <w:rsid w:val="00AF6208"/>
    <w:rsid w:val="00AF62D8"/>
    <w:rsid w:val="00AF636E"/>
    <w:rsid w:val="00AF644D"/>
    <w:rsid w:val="00AF64BC"/>
    <w:rsid w:val="00AF6545"/>
    <w:rsid w:val="00AF6B0D"/>
    <w:rsid w:val="00AF6C3B"/>
    <w:rsid w:val="00AF6CC2"/>
    <w:rsid w:val="00AF6D18"/>
    <w:rsid w:val="00AF6D82"/>
    <w:rsid w:val="00AF70EE"/>
    <w:rsid w:val="00AF719C"/>
    <w:rsid w:val="00AF72D6"/>
    <w:rsid w:val="00AF74DA"/>
    <w:rsid w:val="00AF75BB"/>
    <w:rsid w:val="00AF7680"/>
    <w:rsid w:val="00AF76FF"/>
    <w:rsid w:val="00AF7927"/>
    <w:rsid w:val="00AF7C6E"/>
    <w:rsid w:val="00AF7CBC"/>
    <w:rsid w:val="00AF7E09"/>
    <w:rsid w:val="00B0041D"/>
    <w:rsid w:val="00B0043D"/>
    <w:rsid w:val="00B00538"/>
    <w:rsid w:val="00B006C3"/>
    <w:rsid w:val="00B00779"/>
    <w:rsid w:val="00B00971"/>
    <w:rsid w:val="00B00A92"/>
    <w:rsid w:val="00B00BB4"/>
    <w:rsid w:val="00B00EF8"/>
    <w:rsid w:val="00B00F77"/>
    <w:rsid w:val="00B00FCF"/>
    <w:rsid w:val="00B0102F"/>
    <w:rsid w:val="00B015C1"/>
    <w:rsid w:val="00B015F4"/>
    <w:rsid w:val="00B01A02"/>
    <w:rsid w:val="00B01AC0"/>
    <w:rsid w:val="00B01B10"/>
    <w:rsid w:val="00B01BF1"/>
    <w:rsid w:val="00B01DA0"/>
    <w:rsid w:val="00B01DEB"/>
    <w:rsid w:val="00B01EB6"/>
    <w:rsid w:val="00B02298"/>
    <w:rsid w:val="00B024D7"/>
    <w:rsid w:val="00B0258B"/>
    <w:rsid w:val="00B0261F"/>
    <w:rsid w:val="00B02887"/>
    <w:rsid w:val="00B0293E"/>
    <w:rsid w:val="00B02974"/>
    <w:rsid w:val="00B029E2"/>
    <w:rsid w:val="00B02A5E"/>
    <w:rsid w:val="00B03305"/>
    <w:rsid w:val="00B03932"/>
    <w:rsid w:val="00B04291"/>
    <w:rsid w:val="00B04745"/>
    <w:rsid w:val="00B04936"/>
    <w:rsid w:val="00B04A31"/>
    <w:rsid w:val="00B04B86"/>
    <w:rsid w:val="00B04CE8"/>
    <w:rsid w:val="00B04E4F"/>
    <w:rsid w:val="00B04FDD"/>
    <w:rsid w:val="00B050DE"/>
    <w:rsid w:val="00B051B9"/>
    <w:rsid w:val="00B05804"/>
    <w:rsid w:val="00B05907"/>
    <w:rsid w:val="00B05B39"/>
    <w:rsid w:val="00B05C74"/>
    <w:rsid w:val="00B05CE7"/>
    <w:rsid w:val="00B05DB0"/>
    <w:rsid w:val="00B060CC"/>
    <w:rsid w:val="00B06224"/>
    <w:rsid w:val="00B063ED"/>
    <w:rsid w:val="00B06595"/>
    <w:rsid w:val="00B067C4"/>
    <w:rsid w:val="00B06902"/>
    <w:rsid w:val="00B06A24"/>
    <w:rsid w:val="00B06F84"/>
    <w:rsid w:val="00B071C5"/>
    <w:rsid w:val="00B072F4"/>
    <w:rsid w:val="00B073DC"/>
    <w:rsid w:val="00B07888"/>
    <w:rsid w:val="00B07AFA"/>
    <w:rsid w:val="00B07B27"/>
    <w:rsid w:val="00B07C53"/>
    <w:rsid w:val="00B07D32"/>
    <w:rsid w:val="00B10525"/>
    <w:rsid w:val="00B1063B"/>
    <w:rsid w:val="00B1068F"/>
    <w:rsid w:val="00B106D4"/>
    <w:rsid w:val="00B10EB2"/>
    <w:rsid w:val="00B10F4A"/>
    <w:rsid w:val="00B11161"/>
    <w:rsid w:val="00B111FB"/>
    <w:rsid w:val="00B116AC"/>
    <w:rsid w:val="00B11889"/>
    <w:rsid w:val="00B11BC9"/>
    <w:rsid w:val="00B12046"/>
    <w:rsid w:val="00B12073"/>
    <w:rsid w:val="00B12451"/>
    <w:rsid w:val="00B129CE"/>
    <w:rsid w:val="00B12F83"/>
    <w:rsid w:val="00B13151"/>
    <w:rsid w:val="00B13627"/>
    <w:rsid w:val="00B1364A"/>
    <w:rsid w:val="00B1366B"/>
    <w:rsid w:val="00B138F4"/>
    <w:rsid w:val="00B13CF4"/>
    <w:rsid w:val="00B13F26"/>
    <w:rsid w:val="00B14183"/>
    <w:rsid w:val="00B14285"/>
    <w:rsid w:val="00B1462A"/>
    <w:rsid w:val="00B14683"/>
    <w:rsid w:val="00B146F9"/>
    <w:rsid w:val="00B14700"/>
    <w:rsid w:val="00B14B9D"/>
    <w:rsid w:val="00B14C75"/>
    <w:rsid w:val="00B14CC1"/>
    <w:rsid w:val="00B14E1C"/>
    <w:rsid w:val="00B14EB1"/>
    <w:rsid w:val="00B15049"/>
    <w:rsid w:val="00B15093"/>
    <w:rsid w:val="00B15168"/>
    <w:rsid w:val="00B151B7"/>
    <w:rsid w:val="00B15347"/>
    <w:rsid w:val="00B154CE"/>
    <w:rsid w:val="00B15717"/>
    <w:rsid w:val="00B157D7"/>
    <w:rsid w:val="00B15D2F"/>
    <w:rsid w:val="00B16151"/>
    <w:rsid w:val="00B161AB"/>
    <w:rsid w:val="00B162B7"/>
    <w:rsid w:val="00B16376"/>
    <w:rsid w:val="00B164FE"/>
    <w:rsid w:val="00B1692A"/>
    <w:rsid w:val="00B169D1"/>
    <w:rsid w:val="00B16C0B"/>
    <w:rsid w:val="00B16E06"/>
    <w:rsid w:val="00B17183"/>
    <w:rsid w:val="00B171E5"/>
    <w:rsid w:val="00B173ED"/>
    <w:rsid w:val="00B173F2"/>
    <w:rsid w:val="00B17401"/>
    <w:rsid w:val="00B17604"/>
    <w:rsid w:val="00B17638"/>
    <w:rsid w:val="00B17948"/>
    <w:rsid w:val="00B1797E"/>
    <w:rsid w:val="00B17D29"/>
    <w:rsid w:val="00B200F0"/>
    <w:rsid w:val="00B204FB"/>
    <w:rsid w:val="00B20714"/>
    <w:rsid w:val="00B20A25"/>
    <w:rsid w:val="00B20C07"/>
    <w:rsid w:val="00B20F47"/>
    <w:rsid w:val="00B20FB4"/>
    <w:rsid w:val="00B21025"/>
    <w:rsid w:val="00B213A7"/>
    <w:rsid w:val="00B2198D"/>
    <w:rsid w:val="00B2199D"/>
    <w:rsid w:val="00B21AEB"/>
    <w:rsid w:val="00B21B2F"/>
    <w:rsid w:val="00B220F9"/>
    <w:rsid w:val="00B22221"/>
    <w:rsid w:val="00B223F8"/>
    <w:rsid w:val="00B22694"/>
    <w:rsid w:val="00B22764"/>
    <w:rsid w:val="00B22787"/>
    <w:rsid w:val="00B22942"/>
    <w:rsid w:val="00B229AF"/>
    <w:rsid w:val="00B22BB2"/>
    <w:rsid w:val="00B22BBD"/>
    <w:rsid w:val="00B22C4A"/>
    <w:rsid w:val="00B22D85"/>
    <w:rsid w:val="00B22DF2"/>
    <w:rsid w:val="00B22E5E"/>
    <w:rsid w:val="00B23123"/>
    <w:rsid w:val="00B23149"/>
    <w:rsid w:val="00B23164"/>
    <w:rsid w:val="00B23EC0"/>
    <w:rsid w:val="00B23FA4"/>
    <w:rsid w:val="00B241BB"/>
    <w:rsid w:val="00B2421A"/>
    <w:rsid w:val="00B24353"/>
    <w:rsid w:val="00B246A2"/>
    <w:rsid w:val="00B247D6"/>
    <w:rsid w:val="00B24983"/>
    <w:rsid w:val="00B24B4C"/>
    <w:rsid w:val="00B24C42"/>
    <w:rsid w:val="00B24D56"/>
    <w:rsid w:val="00B24D76"/>
    <w:rsid w:val="00B24F50"/>
    <w:rsid w:val="00B25013"/>
    <w:rsid w:val="00B25720"/>
    <w:rsid w:val="00B25A5A"/>
    <w:rsid w:val="00B25A6D"/>
    <w:rsid w:val="00B25E61"/>
    <w:rsid w:val="00B25E7D"/>
    <w:rsid w:val="00B2609A"/>
    <w:rsid w:val="00B2627F"/>
    <w:rsid w:val="00B26370"/>
    <w:rsid w:val="00B26444"/>
    <w:rsid w:val="00B266C5"/>
    <w:rsid w:val="00B26CC7"/>
    <w:rsid w:val="00B26CE6"/>
    <w:rsid w:val="00B26D5F"/>
    <w:rsid w:val="00B27076"/>
    <w:rsid w:val="00B27308"/>
    <w:rsid w:val="00B2733A"/>
    <w:rsid w:val="00B27504"/>
    <w:rsid w:val="00B279CD"/>
    <w:rsid w:val="00B27B34"/>
    <w:rsid w:val="00B27B79"/>
    <w:rsid w:val="00B27C65"/>
    <w:rsid w:val="00B27FEF"/>
    <w:rsid w:val="00B301DE"/>
    <w:rsid w:val="00B3044E"/>
    <w:rsid w:val="00B3047B"/>
    <w:rsid w:val="00B305F0"/>
    <w:rsid w:val="00B309F6"/>
    <w:rsid w:val="00B30CDE"/>
    <w:rsid w:val="00B30E5D"/>
    <w:rsid w:val="00B30F47"/>
    <w:rsid w:val="00B3107F"/>
    <w:rsid w:val="00B31278"/>
    <w:rsid w:val="00B3132A"/>
    <w:rsid w:val="00B31390"/>
    <w:rsid w:val="00B313FF"/>
    <w:rsid w:val="00B3188B"/>
    <w:rsid w:val="00B31A53"/>
    <w:rsid w:val="00B31CC8"/>
    <w:rsid w:val="00B31E61"/>
    <w:rsid w:val="00B3226F"/>
    <w:rsid w:val="00B32312"/>
    <w:rsid w:val="00B3260A"/>
    <w:rsid w:val="00B328C2"/>
    <w:rsid w:val="00B32E35"/>
    <w:rsid w:val="00B32EB8"/>
    <w:rsid w:val="00B33319"/>
    <w:rsid w:val="00B33534"/>
    <w:rsid w:val="00B3357F"/>
    <w:rsid w:val="00B33581"/>
    <w:rsid w:val="00B339B8"/>
    <w:rsid w:val="00B33DFA"/>
    <w:rsid w:val="00B34104"/>
    <w:rsid w:val="00B344A1"/>
    <w:rsid w:val="00B34682"/>
    <w:rsid w:val="00B3477F"/>
    <w:rsid w:val="00B34E83"/>
    <w:rsid w:val="00B34EA3"/>
    <w:rsid w:val="00B34EB3"/>
    <w:rsid w:val="00B3514C"/>
    <w:rsid w:val="00B35164"/>
    <w:rsid w:val="00B3525D"/>
    <w:rsid w:val="00B353B0"/>
    <w:rsid w:val="00B35606"/>
    <w:rsid w:val="00B35BBB"/>
    <w:rsid w:val="00B35EA3"/>
    <w:rsid w:val="00B35F54"/>
    <w:rsid w:val="00B35FAE"/>
    <w:rsid w:val="00B3601A"/>
    <w:rsid w:val="00B360A0"/>
    <w:rsid w:val="00B36192"/>
    <w:rsid w:val="00B3636C"/>
    <w:rsid w:val="00B363D6"/>
    <w:rsid w:val="00B36656"/>
    <w:rsid w:val="00B366F3"/>
    <w:rsid w:val="00B3672B"/>
    <w:rsid w:val="00B367A5"/>
    <w:rsid w:val="00B367C2"/>
    <w:rsid w:val="00B36955"/>
    <w:rsid w:val="00B36A04"/>
    <w:rsid w:val="00B36CB8"/>
    <w:rsid w:val="00B36CF0"/>
    <w:rsid w:val="00B36E79"/>
    <w:rsid w:val="00B36F40"/>
    <w:rsid w:val="00B3744B"/>
    <w:rsid w:val="00B3746A"/>
    <w:rsid w:val="00B374FC"/>
    <w:rsid w:val="00B375FE"/>
    <w:rsid w:val="00B37692"/>
    <w:rsid w:val="00B37777"/>
    <w:rsid w:val="00B377A8"/>
    <w:rsid w:val="00B37860"/>
    <w:rsid w:val="00B37889"/>
    <w:rsid w:val="00B378B9"/>
    <w:rsid w:val="00B3795E"/>
    <w:rsid w:val="00B37A27"/>
    <w:rsid w:val="00B37A92"/>
    <w:rsid w:val="00B37B8A"/>
    <w:rsid w:val="00B37BE1"/>
    <w:rsid w:val="00B37DE2"/>
    <w:rsid w:val="00B37E27"/>
    <w:rsid w:val="00B40119"/>
    <w:rsid w:val="00B402CA"/>
    <w:rsid w:val="00B40376"/>
    <w:rsid w:val="00B403B7"/>
    <w:rsid w:val="00B40824"/>
    <w:rsid w:val="00B40A16"/>
    <w:rsid w:val="00B40B33"/>
    <w:rsid w:val="00B40BBC"/>
    <w:rsid w:val="00B40C85"/>
    <w:rsid w:val="00B41011"/>
    <w:rsid w:val="00B41079"/>
    <w:rsid w:val="00B41433"/>
    <w:rsid w:val="00B41434"/>
    <w:rsid w:val="00B4147F"/>
    <w:rsid w:val="00B41BB3"/>
    <w:rsid w:val="00B41DE6"/>
    <w:rsid w:val="00B41E36"/>
    <w:rsid w:val="00B41F1F"/>
    <w:rsid w:val="00B4202D"/>
    <w:rsid w:val="00B42284"/>
    <w:rsid w:val="00B422E1"/>
    <w:rsid w:val="00B42310"/>
    <w:rsid w:val="00B42469"/>
    <w:rsid w:val="00B42B6C"/>
    <w:rsid w:val="00B42D71"/>
    <w:rsid w:val="00B42E94"/>
    <w:rsid w:val="00B42EC6"/>
    <w:rsid w:val="00B4301A"/>
    <w:rsid w:val="00B432CA"/>
    <w:rsid w:val="00B43381"/>
    <w:rsid w:val="00B43492"/>
    <w:rsid w:val="00B43812"/>
    <w:rsid w:val="00B43AE7"/>
    <w:rsid w:val="00B43D6F"/>
    <w:rsid w:val="00B43DB5"/>
    <w:rsid w:val="00B43E5B"/>
    <w:rsid w:val="00B43E6E"/>
    <w:rsid w:val="00B442C1"/>
    <w:rsid w:val="00B44749"/>
    <w:rsid w:val="00B44A3D"/>
    <w:rsid w:val="00B44D1C"/>
    <w:rsid w:val="00B451D9"/>
    <w:rsid w:val="00B454EE"/>
    <w:rsid w:val="00B4585E"/>
    <w:rsid w:val="00B4586F"/>
    <w:rsid w:val="00B458BF"/>
    <w:rsid w:val="00B45A00"/>
    <w:rsid w:val="00B45C34"/>
    <w:rsid w:val="00B45EE3"/>
    <w:rsid w:val="00B45FAC"/>
    <w:rsid w:val="00B46190"/>
    <w:rsid w:val="00B46191"/>
    <w:rsid w:val="00B46CE1"/>
    <w:rsid w:val="00B46CED"/>
    <w:rsid w:val="00B46D61"/>
    <w:rsid w:val="00B46D96"/>
    <w:rsid w:val="00B4745A"/>
    <w:rsid w:val="00B47473"/>
    <w:rsid w:val="00B47882"/>
    <w:rsid w:val="00B4795A"/>
    <w:rsid w:val="00B479C6"/>
    <w:rsid w:val="00B47C58"/>
    <w:rsid w:val="00B47DFE"/>
    <w:rsid w:val="00B50069"/>
    <w:rsid w:val="00B502C9"/>
    <w:rsid w:val="00B50532"/>
    <w:rsid w:val="00B507FD"/>
    <w:rsid w:val="00B50B35"/>
    <w:rsid w:val="00B50BCD"/>
    <w:rsid w:val="00B50FE6"/>
    <w:rsid w:val="00B5119A"/>
    <w:rsid w:val="00B51732"/>
    <w:rsid w:val="00B518C2"/>
    <w:rsid w:val="00B51BCD"/>
    <w:rsid w:val="00B52386"/>
    <w:rsid w:val="00B52539"/>
    <w:rsid w:val="00B5283A"/>
    <w:rsid w:val="00B5289B"/>
    <w:rsid w:val="00B529A2"/>
    <w:rsid w:val="00B52F77"/>
    <w:rsid w:val="00B53500"/>
    <w:rsid w:val="00B53612"/>
    <w:rsid w:val="00B53A13"/>
    <w:rsid w:val="00B53C3C"/>
    <w:rsid w:val="00B53C98"/>
    <w:rsid w:val="00B53CB3"/>
    <w:rsid w:val="00B53D09"/>
    <w:rsid w:val="00B53E22"/>
    <w:rsid w:val="00B53E55"/>
    <w:rsid w:val="00B5417E"/>
    <w:rsid w:val="00B54282"/>
    <w:rsid w:val="00B543BE"/>
    <w:rsid w:val="00B54939"/>
    <w:rsid w:val="00B54B57"/>
    <w:rsid w:val="00B54D88"/>
    <w:rsid w:val="00B55091"/>
    <w:rsid w:val="00B55299"/>
    <w:rsid w:val="00B552C5"/>
    <w:rsid w:val="00B55449"/>
    <w:rsid w:val="00B556F6"/>
    <w:rsid w:val="00B55E1C"/>
    <w:rsid w:val="00B56041"/>
    <w:rsid w:val="00B56576"/>
    <w:rsid w:val="00B56771"/>
    <w:rsid w:val="00B5697D"/>
    <w:rsid w:val="00B569C5"/>
    <w:rsid w:val="00B56B15"/>
    <w:rsid w:val="00B56CBE"/>
    <w:rsid w:val="00B56ED1"/>
    <w:rsid w:val="00B57382"/>
    <w:rsid w:val="00B57718"/>
    <w:rsid w:val="00B579A6"/>
    <w:rsid w:val="00B57BEF"/>
    <w:rsid w:val="00B57C4F"/>
    <w:rsid w:val="00B57E25"/>
    <w:rsid w:val="00B57F21"/>
    <w:rsid w:val="00B57F95"/>
    <w:rsid w:val="00B60071"/>
    <w:rsid w:val="00B60281"/>
    <w:rsid w:val="00B603BC"/>
    <w:rsid w:val="00B604B6"/>
    <w:rsid w:val="00B60755"/>
    <w:rsid w:val="00B6075E"/>
    <w:rsid w:val="00B6076A"/>
    <w:rsid w:val="00B60A30"/>
    <w:rsid w:val="00B60C83"/>
    <w:rsid w:val="00B60E17"/>
    <w:rsid w:val="00B61DE9"/>
    <w:rsid w:val="00B61E8E"/>
    <w:rsid w:val="00B61FD0"/>
    <w:rsid w:val="00B622A3"/>
    <w:rsid w:val="00B62634"/>
    <w:rsid w:val="00B626E9"/>
    <w:rsid w:val="00B62A3B"/>
    <w:rsid w:val="00B62F18"/>
    <w:rsid w:val="00B63148"/>
    <w:rsid w:val="00B633B0"/>
    <w:rsid w:val="00B634EA"/>
    <w:rsid w:val="00B6356F"/>
    <w:rsid w:val="00B637B2"/>
    <w:rsid w:val="00B63D5B"/>
    <w:rsid w:val="00B6436B"/>
    <w:rsid w:val="00B64A3A"/>
    <w:rsid w:val="00B64A54"/>
    <w:rsid w:val="00B64E77"/>
    <w:rsid w:val="00B64F19"/>
    <w:rsid w:val="00B65382"/>
    <w:rsid w:val="00B655E7"/>
    <w:rsid w:val="00B6587E"/>
    <w:rsid w:val="00B65D2E"/>
    <w:rsid w:val="00B661C7"/>
    <w:rsid w:val="00B6653D"/>
    <w:rsid w:val="00B665DF"/>
    <w:rsid w:val="00B668E7"/>
    <w:rsid w:val="00B66B48"/>
    <w:rsid w:val="00B66DEF"/>
    <w:rsid w:val="00B66F1E"/>
    <w:rsid w:val="00B66F47"/>
    <w:rsid w:val="00B670DE"/>
    <w:rsid w:val="00B675AF"/>
    <w:rsid w:val="00B67B5E"/>
    <w:rsid w:val="00B67D8B"/>
    <w:rsid w:val="00B67E07"/>
    <w:rsid w:val="00B67F73"/>
    <w:rsid w:val="00B701B7"/>
    <w:rsid w:val="00B7036E"/>
    <w:rsid w:val="00B703FD"/>
    <w:rsid w:val="00B7076E"/>
    <w:rsid w:val="00B707CD"/>
    <w:rsid w:val="00B70A50"/>
    <w:rsid w:val="00B70CBB"/>
    <w:rsid w:val="00B70D24"/>
    <w:rsid w:val="00B70DD1"/>
    <w:rsid w:val="00B70F42"/>
    <w:rsid w:val="00B7108F"/>
    <w:rsid w:val="00B711E0"/>
    <w:rsid w:val="00B714C2"/>
    <w:rsid w:val="00B71508"/>
    <w:rsid w:val="00B717CC"/>
    <w:rsid w:val="00B718D1"/>
    <w:rsid w:val="00B71FFE"/>
    <w:rsid w:val="00B72283"/>
    <w:rsid w:val="00B723AE"/>
    <w:rsid w:val="00B72483"/>
    <w:rsid w:val="00B7273C"/>
    <w:rsid w:val="00B72A6F"/>
    <w:rsid w:val="00B72D1C"/>
    <w:rsid w:val="00B72D4E"/>
    <w:rsid w:val="00B72DB5"/>
    <w:rsid w:val="00B73128"/>
    <w:rsid w:val="00B731C4"/>
    <w:rsid w:val="00B73274"/>
    <w:rsid w:val="00B7336B"/>
    <w:rsid w:val="00B73BF9"/>
    <w:rsid w:val="00B73D94"/>
    <w:rsid w:val="00B73E06"/>
    <w:rsid w:val="00B73F86"/>
    <w:rsid w:val="00B7434A"/>
    <w:rsid w:val="00B743BC"/>
    <w:rsid w:val="00B743BD"/>
    <w:rsid w:val="00B7459D"/>
    <w:rsid w:val="00B749A5"/>
    <w:rsid w:val="00B74A7D"/>
    <w:rsid w:val="00B75183"/>
    <w:rsid w:val="00B75214"/>
    <w:rsid w:val="00B75519"/>
    <w:rsid w:val="00B7567A"/>
    <w:rsid w:val="00B757B3"/>
    <w:rsid w:val="00B757E8"/>
    <w:rsid w:val="00B75AA0"/>
    <w:rsid w:val="00B75DD2"/>
    <w:rsid w:val="00B760F1"/>
    <w:rsid w:val="00B7611F"/>
    <w:rsid w:val="00B766C4"/>
    <w:rsid w:val="00B7697D"/>
    <w:rsid w:val="00B76BF5"/>
    <w:rsid w:val="00B76D4E"/>
    <w:rsid w:val="00B770F4"/>
    <w:rsid w:val="00B77222"/>
    <w:rsid w:val="00B7725A"/>
    <w:rsid w:val="00B7773A"/>
    <w:rsid w:val="00B778AB"/>
    <w:rsid w:val="00B778B7"/>
    <w:rsid w:val="00B77A38"/>
    <w:rsid w:val="00B77C8E"/>
    <w:rsid w:val="00B77EFB"/>
    <w:rsid w:val="00B77F6F"/>
    <w:rsid w:val="00B8010F"/>
    <w:rsid w:val="00B80116"/>
    <w:rsid w:val="00B80129"/>
    <w:rsid w:val="00B807BD"/>
    <w:rsid w:val="00B808F4"/>
    <w:rsid w:val="00B80D00"/>
    <w:rsid w:val="00B80D6E"/>
    <w:rsid w:val="00B81695"/>
    <w:rsid w:val="00B81710"/>
    <w:rsid w:val="00B81CF9"/>
    <w:rsid w:val="00B81D97"/>
    <w:rsid w:val="00B81DC0"/>
    <w:rsid w:val="00B81F9D"/>
    <w:rsid w:val="00B821DC"/>
    <w:rsid w:val="00B82255"/>
    <w:rsid w:val="00B8226D"/>
    <w:rsid w:val="00B823CE"/>
    <w:rsid w:val="00B8254E"/>
    <w:rsid w:val="00B82589"/>
    <w:rsid w:val="00B82598"/>
    <w:rsid w:val="00B8261A"/>
    <w:rsid w:val="00B8264B"/>
    <w:rsid w:val="00B82976"/>
    <w:rsid w:val="00B829FE"/>
    <w:rsid w:val="00B82A56"/>
    <w:rsid w:val="00B82AE5"/>
    <w:rsid w:val="00B82F1E"/>
    <w:rsid w:val="00B82F20"/>
    <w:rsid w:val="00B8303D"/>
    <w:rsid w:val="00B830B0"/>
    <w:rsid w:val="00B830C0"/>
    <w:rsid w:val="00B832CB"/>
    <w:rsid w:val="00B833A0"/>
    <w:rsid w:val="00B834FA"/>
    <w:rsid w:val="00B83917"/>
    <w:rsid w:val="00B8397E"/>
    <w:rsid w:val="00B83C72"/>
    <w:rsid w:val="00B83CD5"/>
    <w:rsid w:val="00B83DA1"/>
    <w:rsid w:val="00B83F17"/>
    <w:rsid w:val="00B8408B"/>
    <w:rsid w:val="00B843B5"/>
    <w:rsid w:val="00B8441B"/>
    <w:rsid w:val="00B845E6"/>
    <w:rsid w:val="00B84633"/>
    <w:rsid w:val="00B84793"/>
    <w:rsid w:val="00B84947"/>
    <w:rsid w:val="00B84E23"/>
    <w:rsid w:val="00B85101"/>
    <w:rsid w:val="00B85E17"/>
    <w:rsid w:val="00B85E22"/>
    <w:rsid w:val="00B85FCC"/>
    <w:rsid w:val="00B861A9"/>
    <w:rsid w:val="00B8638C"/>
    <w:rsid w:val="00B866ED"/>
    <w:rsid w:val="00B8690A"/>
    <w:rsid w:val="00B86A09"/>
    <w:rsid w:val="00B86AAD"/>
    <w:rsid w:val="00B8719B"/>
    <w:rsid w:val="00B87266"/>
    <w:rsid w:val="00B87334"/>
    <w:rsid w:val="00B873A3"/>
    <w:rsid w:val="00B8747E"/>
    <w:rsid w:val="00B874D2"/>
    <w:rsid w:val="00B878FB"/>
    <w:rsid w:val="00B87946"/>
    <w:rsid w:val="00B87ACF"/>
    <w:rsid w:val="00B87F1B"/>
    <w:rsid w:val="00B902F5"/>
    <w:rsid w:val="00B903F0"/>
    <w:rsid w:val="00B907D3"/>
    <w:rsid w:val="00B9089E"/>
    <w:rsid w:val="00B908CD"/>
    <w:rsid w:val="00B90915"/>
    <w:rsid w:val="00B90AF8"/>
    <w:rsid w:val="00B90D9E"/>
    <w:rsid w:val="00B9100F"/>
    <w:rsid w:val="00B91124"/>
    <w:rsid w:val="00B914AD"/>
    <w:rsid w:val="00B91543"/>
    <w:rsid w:val="00B9160C"/>
    <w:rsid w:val="00B918FD"/>
    <w:rsid w:val="00B9195D"/>
    <w:rsid w:val="00B919B6"/>
    <w:rsid w:val="00B919CA"/>
    <w:rsid w:val="00B91A70"/>
    <w:rsid w:val="00B91D47"/>
    <w:rsid w:val="00B91D4B"/>
    <w:rsid w:val="00B92214"/>
    <w:rsid w:val="00B92BB7"/>
    <w:rsid w:val="00B92CF8"/>
    <w:rsid w:val="00B93157"/>
    <w:rsid w:val="00B93207"/>
    <w:rsid w:val="00B932A9"/>
    <w:rsid w:val="00B9365D"/>
    <w:rsid w:val="00B93915"/>
    <w:rsid w:val="00B9399A"/>
    <w:rsid w:val="00B93B5F"/>
    <w:rsid w:val="00B93CA0"/>
    <w:rsid w:val="00B93DC4"/>
    <w:rsid w:val="00B941BD"/>
    <w:rsid w:val="00B9426E"/>
    <w:rsid w:val="00B948F4"/>
    <w:rsid w:val="00B94A22"/>
    <w:rsid w:val="00B94EAF"/>
    <w:rsid w:val="00B94F04"/>
    <w:rsid w:val="00B94F24"/>
    <w:rsid w:val="00B95130"/>
    <w:rsid w:val="00B95171"/>
    <w:rsid w:val="00B951AF"/>
    <w:rsid w:val="00B954AB"/>
    <w:rsid w:val="00B95B3F"/>
    <w:rsid w:val="00B95E26"/>
    <w:rsid w:val="00B963AA"/>
    <w:rsid w:val="00B96495"/>
    <w:rsid w:val="00B96715"/>
    <w:rsid w:val="00B96827"/>
    <w:rsid w:val="00B96BF7"/>
    <w:rsid w:val="00B96CC0"/>
    <w:rsid w:val="00B96DEA"/>
    <w:rsid w:val="00B96F17"/>
    <w:rsid w:val="00B970D8"/>
    <w:rsid w:val="00B971F5"/>
    <w:rsid w:val="00B97730"/>
    <w:rsid w:val="00B97916"/>
    <w:rsid w:val="00B97EBF"/>
    <w:rsid w:val="00B97EC7"/>
    <w:rsid w:val="00BA04C3"/>
    <w:rsid w:val="00BA0717"/>
    <w:rsid w:val="00BA073B"/>
    <w:rsid w:val="00BA0BB8"/>
    <w:rsid w:val="00BA0D66"/>
    <w:rsid w:val="00BA0DE0"/>
    <w:rsid w:val="00BA0F24"/>
    <w:rsid w:val="00BA0FD4"/>
    <w:rsid w:val="00BA10B2"/>
    <w:rsid w:val="00BA10D3"/>
    <w:rsid w:val="00BA1457"/>
    <w:rsid w:val="00BA165B"/>
    <w:rsid w:val="00BA16AF"/>
    <w:rsid w:val="00BA16BB"/>
    <w:rsid w:val="00BA178E"/>
    <w:rsid w:val="00BA18D4"/>
    <w:rsid w:val="00BA1A01"/>
    <w:rsid w:val="00BA1B5B"/>
    <w:rsid w:val="00BA1C8E"/>
    <w:rsid w:val="00BA216E"/>
    <w:rsid w:val="00BA2EF4"/>
    <w:rsid w:val="00BA33A5"/>
    <w:rsid w:val="00BA342C"/>
    <w:rsid w:val="00BA3BDB"/>
    <w:rsid w:val="00BA3D4D"/>
    <w:rsid w:val="00BA41C4"/>
    <w:rsid w:val="00BA420B"/>
    <w:rsid w:val="00BA4395"/>
    <w:rsid w:val="00BA43AB"/>
    <w:rsid w:val="00BA456D"/>
    <w:rsid w:val="00BA4879"/>
    <w:rsid w:val="00BA4BAC"/>
    <w:rsid w:val="00BA52F9"/>
    <w:rsid w:val="00BA54F2"/>
    <w:rsid w:val="00BA5AB3"/>
    <w:rsid w:val="00BA5AC4"/>
    <w:rsid w:val="00BA5AE5"/>
    <w:rsid w:val="00BA5B47"/>
    <w:rsid w:val="00BA5DB3"/>
    <w:rsid w:val="00BA5E61"/>
    <w:rsid w:val="00BA6072"/>
    <w:rsid w:val="00BA61C5"/>
    <w:rsid w:val="00BA65B3"/>
    <w:rsid w:val="00BA6707"/>
    <w:rsid w:val="00BA673E"/>
    <w:rsid w:val="00BA678B"/>
    <w:rsid w:val="00BA67E4"/>
    <w:rsid w:val="00BA6965"/>
    <w:rsid w:val="00BA6BA0"/>
    <w:rsid w:val="00BA6C9F"/>
    <w:rsid w:val="00BA6E7E"/>
    <w:rsid w:val="00BA705E"/>
    <w:rsid w:val="00BA7261"/>
    <w:rsid w:val="00BA72AC"/>
    <w:rsid w:val="00BA73A9"/>
    <w:rsid w:val="00BA7512"/>
    <w:rsid w:val="00BA7950"/>
    <w:rsid w:val="00BA7C0C"/>
    <w:rsid w:val="00BA7E87"/>
    <w:rsid w:val="00BA7F86"/>
    <w:rsid w:val="00BA7FAC"/>
    <w:rsid w:val="00BB00A6"/>
    <w:rsid w:val="00BB0161"/>
    <w:rsid w:val="00BB0243"/>
    <w:rsid w:val="00BB0335"/>
    <w:rsid w:val="00BB05C0"/>
    <w:rsid w:val="00BB0756"/>
    <w:rsid w:val="00BB0BB4"/>
    <w:rsid w:val="00BB0D50"/>
    <w:rsid w:val="00BB0F56"/>
    <w:rsid w:val="00BB10DA"/>
    <w:rsid w:val="00BB139A"/>
    <w:rsid w:val="00BB13BF"/>
    <w:rsid w:val="00BB163D"/>
    <w:rsid w:val="00BB17DD"/>
    <w:rsid w:val="00BB192F"/>
    <w:rsid w:val="00BB19F2"/>
    <w:rsid w:val="00BB1D94"/>
    <w:rsid w:val="00BB233E"/>
    <w:rsid w:val="00BB23E1"/>
    <w:rsid w:val="00BB28C3"/>
    <w:rsid w:val="00BB2FCF"/>
    <w:rsid w:val="00BB33A0"/>
    <w:rsid w:val="00BB3405"/>
    <w:rsid w:val="00BB35BB"/>
    <w:rsid w:val="00BB37DE"/>
    <w:rsid w:val="00BB3E4C"/>
    <w:rsid w:val="00BB437B"/>
    <w:rsid w:val="00BB4F92"/>
    <w:rsid w:val="00BB50C8"/>
    <w:rsid w:val="00BB5414"/>
    <w:rsid w:val="00BB57D8"/>
    <w:rsid w:val="00BB59D8"/>
    <w:rsid w:val="00BB5DBB"/>
    <w:rsid w:val="00BB5DBD"/>
    <w:rsid w:val="00BB5E42"/>
    <w:rsid w:val="00BB6175"/>
    <w:rsid w:val="00BB6233"/>
    <w:rsid w:val="00BB6729"/>
    <w:rsid w:val="00BB68AD"/>
    <w:rsid w:val="00BB694C"/>
    <w:rsid w:val="00BB6975"/>
    <w:rsid w:val="00BB6ABA"/>
    <w:rsid w:val="00BB7470"/>
    <w:rsid w:val="00BB78B8"/>
    <w:rsid w:val="00BB7A92"/>
    <w:rsid w:val="00BB7D2B"/>
    <w:rsid w:val="00BC0050"/>
    <w:rsid w:val="00BC0507"/>
    <w:rsid w:val="00BC050F"/>
    <w:rsid w:val="00BC0E70"/>
    <w:rsid w:val="00BC0F0D"/>
    <w:rsid w:val="00BC0FAD"/>
    <w:rsid w:val="00BC1390"/>
    <w:rsid w:val="00BC1C07"/>
    <w:rsid w:val="00BC1CB1"/>
    <w:rsid w:val="00BC1DD7"/>
    <w:rsid w:val="00BC1ED4"/>
    <w:rsid w:val="00BC1FCA"/>
    <w:rsid w:val="00BC2046"/>
    <w:rsid w:val="00BC20A1"/>
    <w:rsid w:val="00BC214E"/>
    <w:rsid w:val="00BC2188"/>
    <w:rsid w:val="00BC2190"/>
    <w:rsid w:val="00BC23EC"/>
    <w:rsid w:val="00BC2820"/>
    <w:rsid w:val="00BC2B78"/>
    <w:rsid w:val="00BC2BDC"/>
    <w:rsid w:val="00BC3308"/>
    <w:rsid w:val="00BC361F"/>
    <w:rsid w:val="00BC3744"/>
    <w:rsid w:val="00BC3851"/>
    <w:rsid w:val="00BC38F8"/>
    <w:rsid w:val="00BC3B8D"/>
    <w:rsid w:val="00BC3EE0"/>
    <w:rsid w:val="00BC3F53"/>
    <w:rsid w:val="00BC3FEA"/>
    <w:rsid w:val="00BC413C"/>
    <w:rsid w:val="00BC430B"/>
    <w:rsid w:val="00BC4581"/>
    <w:rsid w:val="00BC4829"/>
    <w:rsid w:val="00BC4A60"/>
    <w:rsid w:val="00BC4B75"/>
    <w:rsid w:val="00BC4B96"/>
    <w:rsid w:val="00BC4D80"/>
    <w:rsid w:val="00BC5068"/>
    <w:rsid w:val="00BC532E"/>
    <w:rsid w:val="00BC541A"/>
    <w:rsid w:val="00BC609C"/>
    <w:rsid w:val="00BC61EC"/>
    <w:rsid w:val="00BC6204"/>
    <w:rsid w:val="00BC633A"/>
    <w:rsid w:val="00BC6C2A"/>
    <w:rsid w:val="00BC6CB4"/>
    <w:rsid w:val="00BC6FB2"/>
    <w:rsid w:val="00BC702C"/>
    <w:rsid w:val="00BC71E2"/>
    <w:rsid w:val="00BC79FB"/>
    <w:rsid w:val="00BC7A7A"/>
    <w:rsid w:val="00BC7BA0"/>
    <w:rsid w:val="00BC7BBC"/>
    <w:rsid w:val="00BD0123"/>
    <w:rsid w:val="00BD0472"/>
    <w:rsid w:val="00BD058F"/>
    <w:rsid w:val="00BD06A0"/>
    <w:rsid w:val="00BD082D"/>
    <w:rsid w:val="00BD0CC6"/>
    <w:rsid w:val="00BD0F63"/>
    <w:rsid w:val="00BD1288"/>
    <w:rsid w:val="00BD157E"/>
    <w:rsid w:val="00BD1647"/>
    <w:rsid w:val="00BD18CF"/>
    <w:rsid w:val="00BD190E"/>
    <w:rsid w:val="00BD1A2C"/>
    <w:rsid w:val="00BD1AC5"/>
    <w:rsid w:val="00BD1BCD"/>
    <w:rsid w:val="00BD1E59"/>
    <w:rsid w:val="00BD2417"/>
    <w:rsid w:val="00BD2442"/>
    <w:rsid w:val="00BD279F"/>
    <w:rsid w:val="00BD2C06"/>
    <w:rsid w:val="00BD2C09"/>
    <w:rsid w:val="00BD2DB1"/>
    <w:rsid w:val="00BD30A7"/>
    <w:rsid w:val="00BD3393"/>
    <w:rsid w:val="00BD3E05"/>
    <w:rsid w:val="00BD4095"/>
    <w:rsid w:val="00BD40CB"/>
    <w:rsid w:val="00BD40D2"/>
    <w:rsid w:val="00BD42BD"/>
    <w:rsid w:val="00BD45BC"/>
    <w:rsid w:val="00BD4888"/>
    <w:rsid w:val="00BD4D26"/>
    <w:rsid w:val="00BD4E13"/>
    <w:rsid w:val="00BD5232"/>
    <w:rsid w:val="00BD528A"/>
    <w:rsid w:val="00BD53F2"/>
    <w:rsid w:val="00BD55F7"/>
    <w:rsid w:val="00BD5A52"/>
    <w:rsid w:val="00BD5D1E"/>
    <w:rsid w:val="00BD62D0"/>
    <w:rsid w:val="00BD65CD"/>
    <w:rsid w:val="00BD6651"/>
    <w:rsid w:val="00BD6894"/>
    <w:rsid w:val="00BD689B"/>
    <w:rsid w:val="00BD692A"/>
    <w:rsid w:val="00BD69BE"/>
    <w:rsid w:val="00BD69DF"/>
    <w:rsid w:val="00BD6AC0"/>
    <w:rsid w:val="00BD6B0E"/>
    <w:rsid w:val="00BD6E6F"/>
    <w:rsid w:val="00BD6FD7"/>
    <w:rsid w:val="00BD7307"/>
    <w:rsid w:val="00BD7340"/>
    <w:rsid w:val="00BD74E5"/>
    <w:rsid w:val="00BD7722"/>
    <w:rsid w:val="00BD791C"/>
    <w:rsid w:val="00BD7C0C"/>
    <w:rsid w:val="00BD7D51"/>
    <w:rsid w:val="00BD7E87"/>
    <w:rsid w:val="00BD7F5D"/>
    <w:rsid w:val="00BE031D"/>
    <w:rsid w:val="00BE06E7"/>
    <w:rsid w:val="00BE0736"/>
    <w:rsid w:val="00BE092E"/>
    <w:rsid w:val="00BE094E"/>
    <w:rsid w:val="00BE0B07"/>
    <w:rsid w:val="00BE0B5C"/>
    <w:rsid w:val="00BE0BAD"/>
    <w:rsid w:val="00BE0E2A"/>
    <w:rsid w:val="00BE1062"/>
    <w:rsid w:val="00BE1226"/>
    <w:rsid w:val="00BE14BB"/>
    <w:rsid w:val="00BE1EB6"/>
    <w:rsid w:val="00BE2468"/>
    <w:rsid w:val="00BE283E"/>
    <w:rsid w:val="00BE2891"/>
    <w:rsid w:val="00BE2A8F"/>
    <w:rsid w:val="00BE2B3C"/>
    <w:rsid w:val="00BE2B56"/>
    <w:rsid w:val="00BE2C63"/>
    <w:rsid w:val="00BE301C"/>
    <w:rsid w:val="00BE330C"/>
    <w:rsid w:val="00BE3524"/>
    <w:rsid w:val="00BE388B"/>
    <w:rsid w:val="00BE3896"/>
    <w:rsid w:val="00BE3918"/>
    <w:rsid w:val="00BE3E7F"/>
    <w:rsid w:val="00BE3EC7"/>
    <w:rsid w:val="00BE3FDE"/>
    <w:rsid w:val="00BE4038"/>
    <w:rsid w:val="00BE41FD"/>
    <w:rsid w:val="00BE44B2"/>
    <w:rsid w:val="00BE46FE"/>
    <w:rsid w:val="00BE4819"/>
    <w:rsid w:val="00BE4874"/>
    <w:rsid w:val="00BE4885"/>
    <w:rsid w:val="00BE49EA"/>
    <w:rsid w:val="00BE4DE7"/>
    <w:rsid w:val="00BE4F68"/>
    <w:rsid w:val="00BE51B7"/>
    <w:rsid w:val="00BE524D"/>
    <w:rsid w:val="00BE52F7"/>
    <w:rsid w:val="00BE5316"/>
    <w:rsid w:val="00BE5715"/>
    <w:rsid w:val="00BE591A"/>
    <w:rsid w:val="00BE5FC3"/>
    <w:rsid w:val="00BE6037"/>
    <w:rsid w:val="00BE6217"/>
    <w:rsid w:val="00BE6324"/>
    <w:rsid w:val="00BE6469"/>
    <w:rsid w:val="00BE6683"/>
    <w:rsid w:val="00BE699E"/>
    <w:rsid w:val="00BE69B3"/>
    <w:rsid w:val="00BE6A16"/>
    <w:rsid w:val="00BE6B66"/>
    <w:rsid w:val="00BE73D6"/>
    <w:rsid w:val="00BF01E2"/>
    <w:rsid w:val="00BF063B"/>
    <w:rsid w:val="00BF08BC"/>
    <w:rsid w:val="00BF0AB4"/>
    <w:rsid w:val="00BF0CC0"/>
    <w:rsid w:val="00BF0D33"/>
    <w:rsid w:val="00BF0D80"/>
    <w:rsid w:val="00BF1034"/>
    <w:rsid w:val="00BF16A1"/>
    <w:rsid w:val="00BF16B9"/>
    <w:rsid w:val="00BF175D"/>
    <w:rsid w:val="00BF1779"/>
    <w:rsid w:val="00BF177B"/>
    <w:rsid w:val="00BF182F"/>
    <w:rsid w:val="00BF1834"/>
    <w:rsid w:val="00BF1A21"/>
    <w:rsid w:val="00BF1C2D"/>
    <w:rsid w:val="00BF1D0F"/>
    <w:rsid w:val="00BF1D27"/>
    <w:rsid w:val="00BF1DCA"/>
    <w:rsid w:val="00BF1E43"/>
    <w:rsid w:val="00BF1FB4"/>
    <w:rsid w:val="00BF25F4"/>
    <w:rsid w:val="00BF26A7"/>
    <w:rsid w:val="00BF26AD"/>
    <w:rsid w:val="00BF29B0"/>
    <w:rsid w:val="00BF2B52"/>
    <w:rsid w:val="00BF2C41"/>
    <w:rsid w:val="00BF2E60"/>
    <w:rsid w:val="00BF3331"/>
    <w:rsid w:val="00BF34F9"/>
    <w:rsid w:val="00BF35A8"/>
    <w:rsid w:val="00BF3726"/>
    <w:rsid w:val="00BF3FE4"/>
    <w:rsid w:val="00BF4242"/>
    <w:rsid w:val="00BF449B"/>
    <w:rsid w:val="00BF44DD"/>
    <w:rsid w:val="00BF4BA7"/>
    <w:rsid w:val="00BF4BFB"/>
    <w:rsid w:val="00BF4F5B"/>
    <w:rsid w:val="00BF4F86"/>
    <w:rsid w:val="00BF4FAF"/>
    <w:rsid w:val="00BF52DC"/>
    <w:rsid w:val="00BF5317"/>
    <w:rsid w:val="00BF5654"/>
    <w:rsid w:val="00BF5CA7"/>
    <w:rsid w:val="00BF5E7E"/>
    <w:rsid w:val="00BF609A"/>
    <w:rsid w:val="00BF6330"/>
    <w:rsid w:val="00BF6391"/>
    <w:rsid w:val="00BF6441"/>
    <w:rsid w:val="00BF647A"/>
    <w:rsid w:val="00BF6756"/>
    <w:rsid w:val="00BF675E"/>
    <w:rsid w:val="00BF689E"/>
    <w:rsid w:val="00BF69BF"/>
    <w:rsid w:val="00BF6A84"/>
    <w:rsid w:val="00BF6EFE"/>
    <w:rsid w:val="00BF6F3C"/>
    <w:rsid w:val="00BF70A5"/>
    <w:rsid w:val="00BF74EC"/>
    <w:rsid w:val="00BF75A3"/>
    <w:rsid w:val="00BF7884"/>
    <w:rsid w:val="00BF7E3C"/>
    <w:rsid w:val="00BF7E87"/>
    <w:rsid w:val="00C001A5"/>
    <w:rsid w:val="00C001C1"/>
    <w:rsid w:val="00C004D9"/>
    <w:rsid w:val="00C007E5"/>
    <w:rsid w:val="00C008C2"/>
    <w:rsid w:val="00C0094D"/>
    <w:rsid w:val="00C009E9"/>
    <w:rsid w:val="00C00A11"/>
    <w:rsid w:val="00C00B3F"/>
    <w:rsid w:val="00C00B42"/>
    <w:rsid w:val="00C00E41"/>
    <w:rsid w:val="00C01001"/>
    <w:rsid w:val="00C0107A"/>
    <w:rsid w:val="00C01147"/>
    <w:rsid w:val="00C013AD"/>
    <w:rsid w:val="00C0158E"/>
    <w:rsid w:val="00C015AE"/>
    <w:rsid w:val="00C01919"/>
    <w:rsid w:val="00C01A96"/>
    <w:rsid w:val="00C01CD2"/>
    <w:rsid w:val="00C01DE5"/>
    <w:rsid w:val="00C023B8"/>
    <w:rsid w:val="00C02693"/>
    <w:rsid w:val="00C02A9C"/>
    <w:rsid w:val="00C0326C"/>
    <w:rsid w:val="00C03518"/>
    <w:rsid w:val="00C037B1"/>
    <w:rsid w:val="00C0388A"/>
    <w:rsid w:val="00C03DC3"/>
    <w:rsid w:val="00C0404D"/>
    <w:rsid w:val="00C04823"/>
    <w:rsid w:val="00C04B04"/>
    <w:rsid w:val="00C04B6C"/>
    <w:rsid w:val="00C05009"/>
    <w:rsid w:val="00C05534"/>
    <w:rsid w:val="00C05564"/>
    <w:rsid w:val="00C05A26"/>
    <w:rsid w:val="00C05B06"/>
    <w:rsid w:val="00C05E37"/>
    <w:rsid w:val="00C06D99"/>
    <w:rsid w:val="00C07C7D"/>
    <w:rsid w:val="00C07DF6"/>
    <w:rsid w:val="00C100F8"/>
    <w:rsid w:val="00C1039A"/>
    <w:rsid w:val="00C104D6"/>
    <w:rsid w:val="00C105F2"/>
    <w:rsid w:val="00C10641"/>
    <w:rsid w:val="00C107E5"/>
    <w:rsid w:val="00C10A80"/>
    <w:rsid w:val="00C10C46"/>
    <w:rsid w:val="00C10D50"/>
    <w:rsid w:val="00C10DD1"/>
    <w:rsid w:val="00C10FD2"/>
    <w:rsid w:val="00C110BE"/>
    <w:rsid w:val="00C11104"/>
    <w:rsid w:val="00C11140"/>
    <w:rsid w:val="00C1115A"/>
    <w:rsid w:val="00C1131C"/>
    <w:rsid w:val="00C11341"/>
    <w:rsid w:val="00C11390"/>
    <w:rsid w:val="00C1174B"/>
    <w:rsid w:val="00C1189D"/>
    <w:rsid w:val="00C11BEE"/>
    <w:rsid w:val="00C11F90"/>
    <w:rsid w:val="00C12970"/>
    <w:rsid w:val="00C12A14"/>
    <w:rsid w:val="00C12BD5"/>
    <w:rsid w:val="00C12CA5"/>
    <w:rsid w:val="00C12D3A"/>
    <w:rsid w:val="00C132CA"/>
    <w:rsid w:val="00C1357F"/>
    <w:rsid w:val="00C13619"/>
    <w:rsid w:val="00C136AA"/>
    <w:rsid w:val="00C13848"/>
    <w:rsid w:val="00C13876"/>
    <w:rsid w:val="00C139EE"/>
    <w:rsid w:val="00C13A3F"/>
    <w:rsid w:val="00C13BD5"/>
    <w:rsid w:val="00C13DE6"/>
    <w:rsid w:val="00C140BE"/>
    <w:rsid w:val="00C1460E"/>
    <w:rsid w:val="00C1471D"/>
    <w:rsid w:val="00C14D43"/>
    <w:rsid w:val="00C14DBF"/>
    <w:rsid w:val="00C15141"/>
    <w:rsid w:val="00C1536A"/>
    <w:rsid w:val="00C1539E"/>
    <w:rsid w:val="00C1579E"/>
    <w:rsid w:val="00C157F3"/>
    <w:rsid w:val="00C159B5"/>
    <w:rsid w:val="00C15DEC"/>
    <w:rsid w:val="00C15F39"/>
    <w:rsid w:val="00C16016"/>
    <w:rsid w:val="00C164BD"/>
    <w:rsid w:val="00C16A52"/>
    <w:rsid w:val="00C16A89"/>
    <w:rsid w:val="00C16F4D"/>
    <w:rsid w:val="00C16FF8"/>
    <w:rsid w:val="00C173A9"/>
    <w:rsid w:val="00C17568"/>
    <w:rsid w:val="00C177F2"/>
    <w:rsid w:val="00C177FD"/>
    <w:rsid w:val="00C178F4"/>
    <w:rsid w:val="00C179ED"/>
    <w:rsid w:val="00C17B08"/>
    <w:rsid w:val="00C17DEC"/>
    <w:rsid w:val="00C17E69"/>
    <w:rsid w:val="00C17F22"/>
    <w:rsid w:val="00C200E3"/>
    <w:rsid w:val="00C202D3"/>
    <w:rsid w:val="00C20A1B"/>
    <w:rsid w:val="00C20B73"/>
    <w:rsid w:val="00C20FD3"/>
    <w:rsid w:val="00C213A3"/>
    <w:rsid w:val="00C21C26"/>
    <w:rsid w:val="00C21D24"/>
    <w:rsid w:val="00C21DEA"/>
    <w:rsid w:val="00C22D55"/>
    <w:rsid w:val="00C2349D"/>
    <w:rsid w:val="00C2365C"/>
    <w:rsid w:val="00C236EA"/>
    <w:rsid w:val="00C23830"/>
    <w:rsid w:val="00C23B07"/>
    <w:rsid w:val="00C23E5B"/>
    <w:rsid w:val="00C24018"/>
    <w:rsid w:val="00C241D2"/>
    <w:rsid w:val="00C247D3"/>
    <w:rsid w:val="00C24873"/>
    <w:rsid w:val="00C24A78"/>
    <w:rsid w:val="00C24B69"/>
    <w:rsid w:val="00C24E4A"/>
    <w:rsid w:val="00C250B2"/>
    <w:rsid w:val="00C25433"/>
    <w:rsid w:val="00C254B2"/>
    <w:rsid w:val="00C257A6"/>
    <w:rsid w:val="00C25A73"/>
    <w:rsid w:val="00C25AD2"/>
    <w:rsid w:val="00C25B70"/>
    <w:rsid w:val="00C25DA7"/>
    <w:rsid w:val="00C25F08"/>
    <w:rsid w:val="00C26063"/>
    <w:rsid w:val="00C264E5"/>
    <w:rsid w:val="00C266BF"/>
    <w:rsid w:val="00C267D9"/>
    <w:rsid w:val="00C2697F"/>
    <w:rsid w:val="00C26A31"/>
    <w:rsid w:val="00C27046"/>
    <w:rsid w:val="00C2713C"/>
    <w:rsid w:val="00C274F4"/>
    <w:rsid w:val="00C27797"/>
    <w:rsid w:val="00C277C0"/>
    <w:rsid w:val="00C277CF"/>
    <w:rsid w:val="00C27C3F"/>
    <w:rsid w:val="00C300CA"/>
    <w:rsid w:val="00C301DB"/>
    <w:rsid w:val="00C302A0"/>
    <w:rsid w:val="00C302EB"/>
    <w:rsid w:val="00C3061E"/>
    <w:rsid w:val="00C30A85"/>
    <w:rsid w:val="00C30D62"/>
    <w:rsid w:val="00C311FB"/>
    <w:rsid w:val="00C31297"/>
    <w:rsid w:val="00C315A5"/>
    <w:rsid w:val="00C31677"/>
    <w:rsid w:val="00C3167F"/>
    <w:rsid w:val="00C31715"/>
    <w:rsid w:val="00C3190B"/>
    <w:rsid w:val="00C31B66"/>
    <w:rsid w:val="00C31E5A"/>
    <w:rsid w:val="00C3250F"/>
    <w:rsid w:val="00C326C0"/>
    <w:rsid w:val="00C32784"/>
    <w:rsid w:val="00C327A5"/>
    <w:rsid w:val="00C328BE"/>
    <w:rsid w:val="00C3354F"/>
    <w:rsid w:val="00C3367E"/>
    <w:rsid w:val="00C3383C"/>
    <w:rsid w:val="00C3388F"/>
    <w:rsid w:val="00C33CA3"/>
    <w:rsid w:val="00C34132"/>
    <w:rsid w:val="00C34479"/>
    <w:rsid w:val="00C34669"/>
    <w:rsid w:val="00C34B52"/>
    <w:rsid w:val="00C34B7D"/>
    <w:rsid w:val="00C35154"/>
    <w:rsid w:val="00C3517D"/>
    <w:rsid w:val="00C352E7"/>
    <w:rsid w:val="00C353BF"/>
    <w:rsid w:val="00C354E0"/>
    <w:rsid w:val="00C35746"/>
    <w:rsid w:val="00C3595B"/>
    <w:rsid w:val="00C359BC"/>
    <w:rsid w:val="00C35C09"/>
    <w:rsid w:val="00C35D44"/>
    <w:rsid w:val="00C35F59"/>
    <w:rsid w:val="00C35FB4"/>
    <w:rsid w:val="00C363F7"/>
    <w:rsid w:val="00C36936"/>
    <w:rsid w:val="00C36D04"/>
    <w:rsid w:val="00C36DB2"/>
    <w:rsid w:val="00C3723A"/>
    <w:rsid w:val="00C378F9"/>
    <w:rsid w:val="00C379B5"/>
    <w:rsid w:val="00C37B2B"/>
    <w:rsid w:val="00C37C2A"/>
    <w:rsid w:val="00C37CF2"/>
    <w:rsid w:val="00C37D92"/>
    <w:rsid w:val="00C37DC7"/>
    <w:rsid w:val="00C37FDD"/>
    <w:rsid w:val="00C400AD"/>
    <w:rsid w:val="00C40483"/>
    <w:rsid w:val="00C40A2C"/>
    <w:rsid w:val="00C40AEF"/>
    <w:rsid w:val="00C40C33"/>
    <w:rsid w:val="00C40D08"/>
    <w:rsid w:val="00C40D94"/>
    <w:rsid w:val="00C410E2"/>
    <w:rsid w:val="00C412BD"/>
    <w:rsid w:val="00C417A1"/>
    <w:rsid w:val="00C4188A"/>
    <w:rsid w:val="00C4188E"/>
    <w:rsid w:val="00C41BFD"/>
    <w:rsid w:val="00C41F16"/>
    <w:rsid w:val="00C42119"/>
    <w:rsid w:val="00C422D4"/>
    <w:rsid w:val="00C42473"/>
    <w:rsid w:val="00C424A8"/>
    <w:rsid w:val="00C425C4"/>
    <w:rsid w:val="00C42B3E"/>
    <w:rsid w:val="00C42C82"/>
    <w:rsid w:val="00C42EF1"/>
    <w:rsid w:val="00C43014"/>
    <w:rsid w:val="00C43797"/>
    <w:rsid w:val="00C43D34"/>
    <w:rsid w:val="00C43F37"/>
    <w:rsid w:val="00C443AE"/>
    <w:rsid w:val="00C44622"/>
    <w:rsid w:val="00C4464E"/>
    <w:rsid w:val="00C446C2"/>
    <w:rsid w:val="00C44B86"/>
    <w:rsid w:val="00C450D6"/>
    <w:rsid w:val="00C451FC"/>
    <w:rsid w:val="00C45493"/>
    <w:rsid w:val="00C455A0"/>
    <w:rsid w:val="00C4584F"/>
    <w:rsid w:val="00C458B2"/>
    <w:rsid w:val="00C45B71"/>
    <w:rsid w:val="00C45C80"/>
    <w:rsid w:val="00C45FB5"/>
    <w:rsid w:val="00C46580"/>
    <w:rsid w:val="00C46640"/>
    <w:rsid w:val="00C4664C"/>
    <w:rsid w:val="00C46729"/>
    <w:rsid w:val="00C467DB"/>
    <w:rsid w:val="00C46A14"/>
    <w:rsid w:val="00C46EB5"/>
    <w:rsid w:val="00C46F87"/>
    <w:rsid w:val="00C46F96"/>
    <w:rsid w:val="00C4717B"/>
    <w:rsid w:val="00C47627"/>
    <w:rsid w:val="00C47786"/>
    <w:rsid w:val="00C477B6"/>
    <w:rsid w:val="00C478B2"/>
    <w:rsid w:val="00C47989"/>
    <w:rsid w:val="00C47B06"/>
    <w:rsid w:val="00C47F46"/>
    <w:rsid w:val="00C47F51"/>
    <w:rsid w:val="00C5010B"/>
    <w:rsid w:val="00C504D7"/>
    <w:rsid w:val="00C50D21"/>
    <w:rsid w:val="00C50E31"/>
    <w:rsid w:val="00C50EF9"/>
    <w:rsid w:val="00C51136"/>
    <w:rsid w:val="00C516BA"/>
    <w:rsid w:val="00C518DB"/>
    <w:rsid w:val="00C519D6"/>
    <w:rsid w:val="00C51EE8"/>
    <w:rsid w:val="00C51F49"/>
    <w:rsid w:val="00C5212A"/>
    <w:rsid w:val="00C521BC"/>
    <w:rsid w:val="00C52306"/>
    <w:rsid w:val="00C525AC"/>
    <w:rsid w:val="00C52619"/>
    <w:rsid w:val="00C52821"/>
    <w:rsid w:val="00C52ACC"/>
    <w:rsid w:val="00C52C3D"/>
    <w:rsid w:val="00C52C69"/>
    <w:rsid w:val="00C52D05"/>
    <w:rsid w:val="00C5307B"/>
    <w:rsid w:val="00C530AD"/>
    <w:rsid w:val="00C530EC"/>
    <w:rsid w:val="00C531CB"/>
    <w:rsid w:val="00C538FB"/>
    <w:rsid w:val="00C53CEE"/>
    <w:rsid w:val="00C53ED5"/>
    <w:rsid w:val="00C53FC3"/>
    <w:rsid w:val="00C5407B"/>
    <w:rsid w:val="00C54086"/>
    <w:rsid w:val="00C54091"/>
    <w:rsid w:val="00C54162"/>
    <w:rsid w:val="00C545D0"/>
    <w:rsid w:val="00C54BE8"/>
    <w:rsid w:val="00C54C07"/>
    <w:rsid w:val="00C550A1"/>
    <w:rsid w:val="00C553EB"/>
    <w:rsid w:val="00C555A6"/>
    <w:rsid w:val="00C55669"/>
    <w:rsid w:val="00C55741"/>
    <w:rsid w:val="00C5594B"/>
    <w:rsid w:val="00C55B6A"/>
    <w:rsid w:val="00C55C61"/>
    <w:rsid w:val="00C55F1D"/>
    <w:rsid w:val="00C56216"/>
    <w:rsid w:val="00C564B9"/>
    <w:rsid w:val="00C565AA"/>
    <w:rsid w:val="00C56660"/>
    <w:rsid w:val="00C5692D"/>
    <w:rsid w:val="00C56ADD"/>
    <w:rsid w:val="00C56B11"/>
    <w:rsid w:val="00C56B18"/>
    <w:rsid w:val="00C56DE2"/>
    <w:rsid w:val="00C56E19"/>
    <w:rsid w:val="00C56E8E"/>
    <w:rsid w:val="00C57031"/>
    <w:rsid w:val="00C57085"/>
    <w:rsid w:val="00C57281"/>
    <w:rsid w:val="00C5733C"/>
    <w:rsid w:val="00C57375"/>
    <w:rsid w:val="00C5758D"/>
    <w:rsid w:val="00C57C33"/>
    <w:rsid w:val="00C57D64"/>
    <w:rsid w:val="00C57DD1"/>
    <w:rsid w:val="00C57E10"/>
    <w:rsid w:val="00C600DD"/>
    <w:rsid w:val="00C602C9"/>
    <w:rsid w:val="00C6044B"/>
    <w:rsid w:val="00C60489"/>
    <w:rsid w:val="00C609E9"/>
    <w:rsid w:val="00C609EE"/>
    <w:rsid w:val="00C60B56"/>
    <w:rsid w:val="00C60C63"/>
    <w:rsid w:val="00C60EF3"/>
    <w:rsid w:val="00C6129F"/>
    <w:rsid w:val="00C613C5"/>
    <w:rsid w:val="00C61465"/>
    <w:rsid w:val="00C614A0"/>
    <w:rsid w:val="00C6183B"/>
    <w:rsid w:val="00C61F9E"/>
    <w:rsid w:val="00C621F5"/>
    <w:rsid w:val="00C6242A"/>
    <w:rsid w:val="00C625D5"/>
    <w:rsid w:val="00C62A6B"/>
    <w:rsid w:val="00C62CB7"/>
    <w:rsid w:val="00C62D7C"/>
    <w:rsid w:val="00C62F9F"/>
    <w:rsid w:val="00C6304D"/>
    <w:rsid w:val="00C63238"/>
    <w:rsid w:val="00C63943"/>
    <w:rsid w:val="00C639E8"/>
    <w:rsid w:val="00C639FF"/>
    <w:rsid w:val="00C63C9A"/>
    <w:rsid w:val="00C63E11"/>
    <w:rsid w:val="00C63F21"/>
    <w:rsid w:val="00C63F57"/>
    <w:rsid w:val="00C64396"/>
    <w:rsid w:val="00C644F9"/>
    <w:rsid w:val="00C645F1"/>
    <w:rsid w:val="00C6462E"/>
    <w:rsid w:val="00C648AE"/>
    <w:rsid w:val="00C64F73"/>
    <w:rsid w:val="00C65191"/>
    <w:rsid w:val="00C654FC"/>
    <w:rsid w:val="00C6556D"/>
    <w:rsid w:val="00C6562E"/>
    <w:rsid w:val="00C6576B"/>
    <w:rsid w:val="00C657BF"/>
    <w:rsid w:val="00C658F2"/>
    <w:rsid w:val="00C659D8"/>
    <w:rsid w:val="00C65B1C"/>
    <w:rsid w:val="00C65E54"/>
    <w:rsid w:val="00C6656D"/>
    <w:rsid w:val="00C666F1"/>
    <w:rsid w:val="00C6686A"/>
    <w:rsid w:val="00C66A51"/>
    <w:rsid w:val="00C66C6F"/>
    <w:rsid w:val="00C66CD0"/>
    <w:rsid w:val="00C6716D"/>
    <w:rsid w:val="00C671C2"/>
    <w:rsid w:val="00C6736B"/>
    <w:rsid w:val="00C6780F"/>
    <w:rsid w:val="00C678C3"/>
    <w:rsid w:val="00C6796E"/>
    <w:rsid w:val="00C67A9C"/>
    <w:rsid w:val="00C67B54"/>
    <w:rsid w:val="00C67CCE"/>
    <w:rsid w:val="00C67E20"/>
    <w:rsid w:val="00C701A7"/>
    <w:rsid w:val="00C7066D"/>
    <w:rsid w:val="00C70F9E"/>
    <w:rsid w:val="00C710CF"/>
    <w:rsid w:val="00C7118C"/>
    <w:rsid w:val="00C712B3"/>
    <w:rsid w:val="00C712F0"/>
    <w:rsid w:val="00C71451"/>
    <w:rsid w:val="00C715E6"/>
    <w:rsid w:val="00C716AE"/>
    <w:rsid w:val="00C7195D"/>
    <w:rsid w:val="00C721DE"/>
    <w:rsid w:val="00C72621"/>
    <w:rsid w:val="00C7263D"/>
    <w:rsid w:val="00C72B99"/>
    <w:rsid w:val="00C72C9B"/>
    <w:rsid w:val="00C72E17"/>
    <w:rsid w:val="00C7304C"/>
    <w:rsid w:val="00C73211"/>
    <w:rsid w:val="00C73399"/>
    <w:rsid w:val="00C734FE"/>
    <w:rsid w:val="00C735FE"/>
    <w:rsid w:val="00C73D85"/>
    <w:rsid w:val="00C73E22"/>
    <w:rsid w:val="00C73F40"/>
    <w:rsid w:val="00C742CB"/>
    <w:rsid w:val="00C744E3"/>
    <w:rsid w:val="00C74750"/>
    <w:rsid w:val="00C74D02"/>
    <w:rsid w:val="00C74D83"/>
    <w:rsid w:val="00C74EDB"/>
    <w:rsid w:val="00C7520F"/>
    <w:rsid w:val="00C758AA"/>
    <w:rsid w:val="00C75A07"/>
    <w:rsid w:val="00C75A6A"/>
    <w:rsid w:val="00C75AF0"/>
    <w:rsid w:val="00C75BB6"/>
    <w:rsid w:val="00C75C02"/>
    <w:rsid w:val="00C75C65"/>
    <w:rsid w:val="00C75DA7"/>
    <w:rsid w:val="00C761A9"/>
    <w:rsid w:val="00C7642F"/>
    <w:rsid w:val="00C7646C"/>
    <w:rsid w:val="00C7659C"/>
    <w:rsid w:val="00C7676F"/>
    <w:rsid w:val="00C76A92"/>
    <w:rsid w:val="00C76D29"/>
    <w:rsid w:val="00C76D43"/>
    <w:rsid w:val="00C76D95"/>
    <w:rsid w:val="00C77177"/>
    <w:rsid w:val="00C77628"/>
    <w:rsid w:val="00C77B49"/>
    <w:rsid w:val="00C77D3B"/>
    <w:rsid w:val="00C77D9F"/>
    <w:rsid w:val="00C77F7F"/>
    <w:rsid w:val="00C800FD"/>
    <w:rsid w:val="00C801DF"/>
    <w:rsid w:val="00C80462"/>
    <w:rsid w:val="00C80C0C"/>
    <w:rsid w:val="00C80D62"/>
    <w:rsid w:val="00C8117F"/>
    <w:rsid w:val="00C811B1"/>
    <w:rsid w:val="00C81365"/>
    <w:rsid w:val="00C81405"/>
    <w:rsid w:val="00C81808"/>
    <w:rsid w:val="00C818F4"/>
    <w:rsid w:val="00C81B8F"/>
    <w:rsid w:val="00C81CD0"/>
    <w:rsid w:val="00C81E18"/>
    <w:rsid w:val="00C81E99"/>
    <w:rsid w:val="00C8219D"/>
    <w:rsid w:val="00C82221"/>
    <w:rsid w:val="00C822B5"/>
    <w:rsid w:val="00C8296E"/>
    <w:rsid w:val="00C82B5D"/>
    <w:rsid w:val="00C82CE5"/>
    <w:rsid w:val="00C832B0"/>
    <w:rsid w:val="00C8330D"/>
    <w:rsid w:val="00C8349F"/>
    <w:rsid w:val="00C834E7"/>
    <w:rsid w:val="00C8369D"/>
    <w:rsid w:val="00C83834"/>
    <w:rsid w:val="00C8388C"/>
    <w:rsid w:val="00C838F2"/>
    <w:rsid w:val="00C83E36"/>
    <w:rsid w:val="00C83F53"/>
    <w:rsid w:val="00C84212"/>
    <w:rsid w:val="00C84405"/>
    <w:rsid w:val="00C84D0B"/>
    <w:rsid w:val="00C84DE5"/>
    <w:rsid w:val="00C850FD"/>
    <w:rsid w:val="00C852D7"/>
    <w:rsid w:val="00C85440"/>
    <w:rsid w:val="00C8560C"/>
    <w:rsid w:val="00C85CBE"/>
    <w:rsid w:val="00C861C5"/>
    <w:rsid w:val="00C868A4"/>
    <w:rsid w:val="00C869AD"/>
    <w:rsid w:val="00C87395"/>
    <w:rsid w:val="00C87572"/>
    <w:rsid w:val="00C8794A"/>
    <w:rsid w:val="00C879D2"/>
    <w:rsid w:val="00C87A35"/>
    <w:rsid w:val="00C87BE7"/>
    <w:rsid w:val="00C87DFE"/>
    <w:rsid w:val="00C87FD3"/>
    <w:rsid w:val="00C90120"/>
    <w:rsid w:val="00C9020E"/>
    <w:rsid w:val="00C905C4"/>
    <w:rsid w:val="00C90883"/>
    <w:rsid w:val="00C90AB5"/>
    <w:rsid w:val="00C90E3A"/>
    <w:rsid w:val="00C9102F"/>
    <w:rsid w:val="00C91397"/>
    <w:rsid w:val="00C91462"/>
    <w:rsid w:val="00C914C2"/>
    <w:rsid w:val="00C9171B"/>
    <w:rsid w:val="00C918CD"/>
    <w:rsid w:val="00C91D14"/>
    <w:rsid w:val="00C91F6C"/>
    <w:rsid w:val="00C91F81"/>
    <w:rsid w:val="00C921BD"/>
    <w:rsid w:val="00C929DD"/>
    <w:rsid w:val="00C92A64"/>
    <w:rsid w:val="00C92C69"/>
    <w:rsid w:val="00C92F47"/>
    <w:rsid w:val="00C9304D"/>
    <w:rsid w:val="00C93145"/>
    <w:rsid w:val="00C93865"/>
    <w:rsid w:val="00C93D75"/>
    <w:rsid w:val="00C93DB9"/>
    <w:rsid w:val="00C9402E"/>
    <w:rsid w:val="00C940CC"/>
    <w:rsid w:val="00C9417E"/>
    <w:rsid w:val="00C9462E"/>
    <w:rsid w:val="00C949D9"/>
    <w:rsid w:val="00C94D95"/>
    <w:rsid w:val="00C94EFD"/>
    <w:rsid w:val="00C94FA4"/>
    <w:rsid w:val="00C95128"/>
    <w:rsid w:val="00C95408"/>
    <w:rsid w:val="00C954B6"/>
    <w:rsid w:val="00C95747"/>
    <w:rsid w:val="00C95906"/>
    <w:rsid w:val="00C95907"/>
    <w:rsid w:val="00C95A9C"/>
    <w:rsid w:val="00C95B5A"/>
    <w:rsid w:val="00C96020"/>
    <w:rsid w:val="00C96497"/>
    <w:rsid w:val="00C96569"/>
    <w:rsid w:val="00C9695A"/>
    <w:rsid w:val="00C969E8"/>
    <w:rsid w:val="00C96BC7"/>
    <w:rsid w:val="00C96C89"/>
    <w:rsid w:val="00C96DAE"/>
    <w:rsid w:val="00C9732A"/>
    <w:rsid w:val="00C97A6D"/>
    <w:rsid w:val="00C97AA6"/>
    <w:rsid w:val="00C97B90"/>
    <w:rsid w:val="00C97D74"/>
    <w:rsid w:val="00CA0234"/>
    <w:rsid w:val="00CA0246"/>
    <w:rsid w:val="00CA047C"/>
    <w:rsid w:val="00CA06F8"/>
    <w:rsid w:val="00CA09FD"/>
    <w:rsid w:val="00CA0F43"/>
    <w:rsid w:val="00CA1276"/>
    <w:rsid w:val="00CA143E"/>
    <w:rsid w:val="00CA18AF"/>
    <w:rsid w:val="00CA19F8"/>
    <w:rsid w:val="00CA1BC7"/>
    <w:rsid w:val="00CA1E07"/>
    <w:rsid w:val="00CA1EB7"/>
    <w:rsid w:val="00CA1FF2"/>
    <w:rsid w:val="00CA2170"/>
    <w:rsid w:val="00CA2313"/>
    <w:rsid w:val="00CA2757"/>
    <w:rsid w:val="00CA2799"/>
    <w:rsid w:val="00CA2823"/>
    <w:rsid w:val="00CA28A4"/>
    <w:rsid w:val="00CA2920"/>
    <w:rsid w:val="00CA29FD"/>
    <w:rsid w:val="00CA2CD9"/>
    <w:rsid w:val="00CA300A"/>
    <w:rsid w:val="00CA3011"/>
    <w:rsid w:val="00CA32C6"/>
    <w:rsid w:val="00CA34A3"/>
    <w:rsid w:val="00CA39BE"/>
    <w:rsid w:val="00CA3A52"/>
    <w:rsid w:val="00CA3AC1"/>
    <w:rsid w:val="00CA3BCC"/>
    <w:rsid w:val="00CA3DDB"/>
    <w:rsid w:val="00CA3E7C"/>
    <w:rsid w:val="00CA3EE0"/>
    <w:rsid w:val="00CA3EF9"/>
    <w:rsid w:val="00CA3F79"/>
    <w:rsid w:val="00CA4906"/>
    <w:rsid w:val="00CA4ACA"/>
    <w:rsid w:val="00CA4BBF"/>
    <w:rsid w:val="00CA5102"/>
    <w:rsid w:val="00CA531B"/>
    <w:rsid w:val="00CA5347"/>
    <w:rsid w:val="00CA53D6"/>
    <w:rsid w:val="00CA54D4"/>
    <w:rsid w:val="00CA58DC"/>
    <w:rsid w:val="00CA5E40"/>
    <w:rsid w:val="00CA5FA2"/>
    <w:rsid w:val="00CA6019"/>
    <w:rsid w:val="00CA60A9"/>
    <w:rsid w:val="00CA6305"/>
    <w:rsid w:val="00CA66B8"/>
    <w:rsid w:val="00CA688B"/>
    <w:rsid w:val="00CA697C"/>
    <w:rsid w:val="00CA6A3F"/>
    <w:rsid w:val="00CA70BA"/>
    <w:rsid w:val="00CA737E"/>
    <w:rsid w:val="00CA74B0"/>
    <w:rsid w:val="00CA76F3"/>
    <w:rsid w:val="00CA7C39"/>
    <w:rsid w:val="00CA7DB3"/>
    <w:rsid w:val="00CA7E77"/>
    <w:rsid w:val="00CB009F"/>
    <w:rsid w:val="00CB0357"/>
    <w:rsid w:val="00CB06FE"/>
    <w:rsid w:val="00CB074E"/>
    <w:rsid w:val="00CB07D3"/>
    <w:rsid w:val="00CB13BD"/>
    <w:rsid w:val="00CB1404"/>
    <w:rsid w:val="00CB14CB"/>
    <w:rsid w:val="00CB14DD"/>
    <w:rsid w:val="00CB156D"/>
    <w:rsid w:val="00CB1582"/>
    <w:rsid w:val="00CB15A7"/>
    <w:rsid w:val="00CB1E4E"/>
    <w:rsid w:val="00CB1EEB"/>
    <w:rsid w:val="00CB20C3"/>
    <w:rsid w:val="00CB232A"/>
    <w:rsid w:val="00CB23D8"/>
    <w:rsid w:val="00CB2488"/>
    <w:rsid w:val="00CB2C6A"/>
    <w:rsid w:val="00CB2CA8"/>
    <w:rsid w:val="00CB2F6E"/>
    <w:rsid w:val="00CB32CE"/>
    <w:rsid w:val="00CB3454"/>
    <w:rsid w:val="00CB3707"/>
    <w:rsid w:val="00CB39C2"/>
    <w:rsid w:val="00CB3B69"/>
    <w:rsid w:val="00CB3F32"/>
    <w:rsid w:val="00CB4139"/>
    <w:rsid w:val="00CB4149"/>
    <w:rsid w:val="00CB4220"/>
    <w:rsid w:val="00CB4691"/>
    <w:rsid w:val="00CB497B"/>
    <w:rsid w:val="00CB4A5B"/>
    <w:rsid w:val="00CB521E"/>
    <w:rsid w:val="00CB52D4"/>
    <w:rsid w:val="00CB52EF"/>
    <w:rsid w:val="00CB5640"/>
    <w:rsid w:val="00CB5697"/>
    <w:rsid w:val="00CB5787"/>
    <w:rsid w:val="00CB5851"/>
    <w:rsid w:val="00CB5ED7"/>
    <w:rsid w:val="00CB6090"/>
    <w:rsid w:val="00CB64CE"/>
    <w:rsid w:val="00CB6B2B"/>
    <w:rsid w:val="00CB6CFA"/>
    <w:rsid w:val="00CB70F6"/>
    <w:rsid w:val="00CB72B2"/>
    <w:rsid w:val="00CB72D1"/>
    <w:rsid w:val="00CB7596"/>
    <w:rsid w:val="00CB76C8"/>
    <w:rsid w:val="00CB7742"/>
    <w:rsid w:val="00CB7AFD"/>
    <w:rsid w:val="00CB7C37"/>
    <w:rsid w:val="00CB7ED2"/>
    <w:rsid w:val="00CB7F4E"/>
    <w:rsid w:val="00CC0020"/>
    <w:rsid w:val="00CC00E4"/>
    <w:rsid w:val="00CC02D0"/>
    <w:rsid w:val="00CC065F"/>
    <w:rsid w:val="00CC0678"/>
    <w:rsid w:val="00CC0BF7"/>
    <w:rsid w:val="00CC0DDC"/>
    <w:rsid w:val="00CC0EC8"/>
    <w:rsid w:val="00CC0F7D"/>
    <w:rsid w:val="00CC1335"/>
    <w:rsid w:val="00CC1485"/>
    <w:rsid w:val="00CC1BD0"/>
    <w:rsid w:val="00CC1BF5"/>
    <w:rsid w:val="00CC225A"/>
    <w:rsid w:val="00CC23F2"/>
    <w:rsid w:val="00CC2779"/>
    <w:rsid w:val="00CC27EE"/>
    <w:rsid w:val="00CC2809"/>
    <w:rsid w:val="00CC285A"/>
    <w:rsid w:val="00CC2D4B"/>
    <w:rsid w:val="00CC2E49"/>
    <w:rsid w:val="00CC30F0"/>
    <w:rsid w:val="00CC3477"/>
    <w:rsid w:val="00CC34FD"/>
    <w:rsid w:val="00CC350A"/>
    <w:rsid w:val="00CC353F"/>
    <w:rsid w:val="00CC3835"/>
    <w:rsid w:val="00CC3958"/>
    <w:rsid w:val="00CC3D42"/>
    <w:rsid w:val="00CC3EBD"/>
    <w:rsid w:val="00CC40AB"/>
    <w:rsid w:val="00CC4243"/>
    <w:rsid w:val="00CC4960"/>
    <w:rsid w:val="00CC4A86"/>
    <w:rsid w:val="00CC4AA8"/>
    <w:rsid w:val="00CC4FF1"/>
    <w:rsid w:val="00CC510D"/>
    <w:rsid w:val="00CC53E8"/>
    <w:rsid w:val="00CC5495"/>
    <w:rsid w:val="00CC55B6"/>
    <w:rsid w:val="00CC56F6"/>
    <w:rsid w:val="00CC5776"/>
    <w:rsid w:val="00CC57D0"/>
    <w:rsid w:val="00CC5800"/>
    <w:rsid w:val="00CC59E0"/>
    <w:rsid w:val="00CC59F4"/>
    <w:rsid w:val="00CC5D6F"/>
    <w:rsid w:val="00CC60AA"/>
    <w:rsid w:val="00CC61D2"/>
    <w:rsid w:val="00CC6407"/>
    <w:rsid w:val="00CC6465"/>
    <w:rsid w:val="00CC64CA"/>
    <w:rsid w:val="00CC6A6B"/>
    <w:rsid w:val="00CC6BBF"/>
    <w:rsid w:val="00CC6C2D"/>
    <w:rsid w:val="00CC6C5C"/>
    <w:rsid w:val="00CC704E"/>
    <w:rsid w:val="00CC7147"/>
    <w:rsid w:val="00CC73F7"/>
    <w:rsid w:val="00CC7598"/>
    <w:rsid w:val="00CC7611"/>
    <w:rsid w:val="00CC762B"/>
    <w:rsid w:val="00CC77A8"/>
    <w:rsid w:val="00CC792B"/>
    <w:rsid w:val="00CC7944"/>
    <w:rsid w:val="00CC7A3B"/>
    <w:rsid w:val="00CC7EF9"/>
    <w:rsid w:val="00CC7F33"/>
    <w:rsid w:val="00CD0003"/>
    <w:rsid w:val="00CD0348"/>
    <w:rsid w:val="00CD05D8"/>
    <w:rsid w:val="00CD068F"/>
    <w:rsid w:val="00CD0A44"/>
    <w:rsid w:val="00CD0BED"/>
    <w:rsid w:val="00CD0C02"/>
    <w:rsid w:val="00CD0D4B"/>
    <w:rsid w:val="00CD12CF"/>
    <w:rsid w:val="00CD15ED"/>
    <w:rsid w:val="00CD15FE"/>
    <w:rsid w:val="00CD1CE8"/>
    <w:rsid w:val="00CD2162"/>
    <w:rsid w:val="00CD22EC"/>
    <w:rsid w:val="00CD2409"/>
    <w:rsid w:val="00CD25D7"/>
    <w:rsid w:val="00CD2669"/>
    <w:rsid w:val="00CD2756"/>
    <w:rsid w:val="00CD2AD2"/>
    <w:rsid w:val="00CD2FC1"/>
    <w:rsid w:val="00CD3246"/>
    <w:rsid w:val="00CD32B4"/>
    <w:rsid w:val="00CD36C1"/>
    <w:rsid w:val="00CD3764"/>
    <w:rsid w:val="00CD3857"/>
    <w:rsid w:val="00CD38E1"/>
    <w:rsid w:val="00CD39B5"/>
    <w:rsid w:val="00CD3A4C"/>
    <w:rsid w:val="00CD3B44"/>
    <w:rsid w:val="00CD3BC5"/>
    <w:rsid w:val="00CD3BF3"/>
    <w:rsid w:val="00CD3CB9"/>
    <w:rsid w:val="00CD3CBB"/>
    <w:rsid w:val="00CD3D14"/>
    <w:rsid w:val="00CD3D55"/>
    <w:rsid w:val="00CD44B3"/>
    <w:rsid w:val="00CD451B"/>
    <w:rsid w:val="00CD459E"/>
    <w:rsid w:val="00CD4AF0"/>
    <w:rsid w:val="00CD4B33"/>
    <w:rsid w:val="00CD4BDC"/>
    <w:rsid w:val="00CD4D1F"/>
    <w:rsid w:val="00CD4DBA"/>
    <w:rsid w:val="00CD4E86"/>
    <w:rsid w:val="00CD503A"/>
    <w:rsid w:val="00CD51BF"/>
    <w:rsid w:val="00CD5399"/>
    <w:rsid w:val="00CD5635"/>
    <w:rsid w:val="00CD5721"/>
    <w:rsid w:val="00CD6006"/>
    <w:rsid w:val="00CD69C3"/>
    <w:rsid w:val="00CD6D35"/>
    <w:rsid w:val="00CD6D42"/>
    <w:rsid w:val="00CD6F56"/>
    <w:rsid w:val="00CD71A9"/>
    <w:rsid w:val="00CD73DB"/>
    <w:rsid w:val="00CD74FF"/>
    <w:rsid w:val="00CD7D4A"/>
    <w:rsid w:val="00CD7F9A"/>
    <w:rsid w:val="00CE025F"/>
    <w:rsid w:val="00CE02AF"/>
    <w:rsid w:val="00CE03FC"/>
    <w:rsid w:val="00CE0474"/>
    <w:rsid w:val="00CE0507"/>
    <w:rsid w:val="00CE0534"/>
    <w:rsid w:val="00CE05DF"/>
    <w:rsid w:val="00CE061F"/>
    <w:rsid w:val="00CE0666"/>
    <w:rsid w:val="00CE0A92"/>
    <w:rsid w:val="00CE0B71"/>
    <w:rsid w:val="00CE1039"/>
    <w:rsid w:val="00CE12B6"/>
    <w:rsid w:val="00CE12BC"/>
    <w:rsid w:val="00CE1AC4"/>
    <w:rsid w:val="00CE1B00"/>
    <w:rsid w:val="00CE1DE4"/>
    <w:rsid w:val="00CE1F1B"/>
    <w:rsid w:val="00CE2151"/>
    <w:rsid w:val="00CE2160"/>
    <w:rsid w:val="00CE22C8"/>
    <w:rsid w:val="00CE2AE3"/>
    <w:rsid w:val="00CE2AE5"/>
    <w:rsid w:val="00CE2C14"/>
    <w:rsid w:val="00CE2DB9"/>
    <w:rsid w:val="00CE366D"/>
    <w:rsid w:val="00CE37F4"/>
    <w:rsid w:val="00CE3A37"/>
    <w:rsid w:val="00CE3C1B"/>
    <w:rsid w:val="00CE3E5D"/>
    <w:rsid w:val="00CE3EDB"/>
    <w:rsid w:val="00CE40AD"/>
    <w:rsid w:val="00CE4234"/>
    <w:rsid w:val="00CE431F"/>
    <w:rsid w:val="00CE433F"/>
    <w:rsid w:val="00CE452E"/>
    <w:rsid w:val="00CE4890"/>
    <w:rsid w:val="00CE49A9"/>
    <w:rsid w:val="00CE4F14"/>
    <w:rsid w:val="00CE517C"/>
    <w:rsid w:val="00CE5219"/>
    <w:rsid w:val="00CE5D22"/>
    <w:rsid w:val="00CE5EF2"/>
    <w:rsid w:val="00CE6155"/>
    <w:rsid w:val="00CE63C2"/>
    <w:rsid w:val="00CE6604"/>
    <w:rsid w:val="00CE6A02"/>
    <w:rsid w:val="00CE6A98"/>
    <w:rsid w:val="00CE700E"/>
    <w:rsid w:val="00CE718D"/>
    <w:rsid w:val="00CE73BB"/>
    <w:rsid w:val="00CE75A2"/>
    <w:rsid w:val="00CE7D60"/>
    <w:rsid w:val="00CF01BD"/>
    <w:rsid w:val="00CF04AE"/>
    <w:rsid w:val="00CF068A"/>
    <w:rsid w:val="00CF06D9"/>
    <w:rsid w:val="00CF0791"/>
    <w:rsid w:val="00CF0D28"/>
    <w:rsid w:val="00CF0D7D"/>
    <w:rsid w:val="00CF110B"/>
    <w:rsid w:val="00CF1471"/>
    <w:rsid w:val="00CF1559"/>
    <w:rsid w:val="00CF1B8E"/>
    <w:rsid w:val="00CF1BD5"/>
    <w:rsid w:val="00CF2275"/>
    <w:rsid w:val="00CF25FB"/>
    <w:rsid w:val="00CF2660"/>
    <w:rsid w:val="00CF2661"/>
    <w:rsid w:val="00CF29DE"/>
    <w:rsid w:val="00CF2C9E"/>
    <w:rsid w:val="00CF2CB8"/>
    <w:rsid w:val="00CF2D7F"/>
    <w:rsid w:val="00CF2E02"/>
    <w:rsid w:val="00CF3059"/>
    <w:rsid w:val="00CF3125"/>
    <w:rsid w:val="00CF314F"/>
    <w:rsid w:val="00CF376B"/>
    <w:rsid w:val="00CF3940"/>
    <w:rsid w:val="00CF3B5E"/>
    <w:rsid w:val="00CF3D78"/>
    <w:rsid w:val="00CF3E0B"/>
    <w:rsid w:val="00CF40B3"/>
    <w:rsid w:val="00CF40C2"/>
    <w:rsid w:val="00CF4121"/>
    <w:rsid w:val="00CF44CC"/>
    <w:rsid w:val="00CF49C9"/>
    <w:rsid w:val="00CF4AF4"/>
    <w:rsid w:val="00CF4CCA"/>
    <w:rsid w:val="00CF56C5"/>
    <w:rsid w:val="00CF581B"/>
    <w:rsid w:val="00CF5D18"/>
    <w:rsid w:val="00CF5E2E"/>
    <w:rsid w:val="00CF5F35"/>
    <w:rsid w:val="00CF621A"/>
    <w:rsid w:val="00CF6426"/>
    <w:rsid w:val="00CF66BB"/>
    <w:rsid w:val="00CF6E39"/>
    <w:rsid w:val="00CF6E9A"/>
    <w:rsid w:val="00CF6EEB"/>
    <w:rsid w:val="00CF71E9"/>
    <w:rsid w:val="00CF7359"/>
    <w:rsid w:val="00CF7678"/>
    <w:rsid w:val="00CF7720"/>
    <w:rsid w:val="00CF7A85"/>
    <w:rsid w:val="00CF7E42"/>
    <w:rsid w:val="00D000C3"/>
    <w:rsid w:val="00D00407"/>
    <w:rsid w:val="00D00586"/>
    <w:rsid w:val="00D005F4"/>
    <w:rsid w:val="00D005FA"/>
    <w:rsid w:val="00D00846"/>
    <w:rsid w:val="00D00871"/>
    <w:rsid w:val="00D00BB6"/>
    <w:rsid w:val="00D00EC5"/>
    <w:rsid w:val="00D01219"/>
    <w:rsid w:val="00D01684"/>
    <w:rsid w:val="00D01A24"/>
    <w:rsid w:val="00D01B11"/>
    <w:rsid w:val="00D01B6E"/>
    <w:rsid w:val="00D01C6A"/>
    <w:rsid w:val="00D01FD1"/>
    <w:rsid w:val="00D02163"/>
    <w:rsid w:val="00D0257D"/>
    <w:rsid w:val="00D02833"/>
    <w:rsid w:val="00D0285C"/>
    <w:rsid w:val="00D0292C"/>
    <w:rsid w:val="00D02ADA"/>
    <w:rsid w:val="00D02D65"/>
    <w:rsid w:val="00D02F3F"/>
    <w:rsid w:val="00D0329F"/>
    <w:rsid w:val="00D034F8"/>
    <w:rsid w:val="00D03563"/>
    <w:rsid w:val="00D035DF"/>
    <w:rsid w:val="00D036DE"/>
    <w:rsid w:val="00D03944"/>
    <w:rsid w:val="00D03EA6"/>
    <w:rsid w:val="00D041ED"/>
    <w:rsid w:val="00D041F9"/>
    <w:rsid w:val="00D0434E"/>
    <w:rsid w:val="00D043D0"/>
    <w:rsid w:val="00D04703"/>
    <w:rsid w:val="00D048CC"/>
    <w:rsid w:val="00D0498C"/>
    <w:rsid w:val="00D04B09"/>
    <w:rsid w:val="00D04DD7"/>
    <w:rsid w:val="00D04FE1"/>
    <w:rsid w:val="00D04FEE"/>
    <w:rsid w:val="00D05034"/>
    <w:rsid w:val="00D056A0"/>
    <w:rsid w:val="00D05ADB"/>
    <w:rsid w:val="00D05CA7"/>
    <w:rsid w:val="00D05E50"/>
    <w:rsid w:val="00D05FDB"/>
    <w:rsid w:val="00D06147"/>
    <w:rsid w:val="00D0633D"/>
    <w:rsid w:val="00D06375"/>
    <w:rsid w:val="00D06758"/>
    <w:rsid w:val="00D06998"/>
    <w:rsid w:val="00D06B6B"/>
    <w:rsid w:val="00D06F5E"/>
    <w:rsid w:val="00D073C4"/>
    <w:rsid w:val="00D07404"/>
    <w:rsid w:val="00D074BE"/>
    <w:rsid w:val="00D0757B"/>
    <w:rsid w:val="00D075E3"/>
    <w:rsid w:val="00D076FE"/>
    <w:rsid w:val="00D07CA3"/>
    <w:rsid w:val="00D07E14"/>
    <w:rsid w:val="00D10143"/>
    <w:rsid w:val="00D1064D"/>
    <w:rsid w:val="00D10800"/>
    <w:rsid w:val="00D1083F"/>
    <w:rsid w:val="00D10963"/>
    <w:rsid w:val="00D10BD2"/>
    <w:rsid w:val="00D10C9F"/>
    <w:rsid w:val="00D10D2F"/>
    <w:rsid w:val="00D10E6C"/>
    <w:rsid w:val="00D11000"/>
    <w:rsid w:val="00D11279"/>
    <w:rsid w:val="00D1159F"/>
    <w:rsid w:val="00D11A86"/>
    <w:rsid w:val="00D11CD4"/>
    <w:rsid w:val="00D11D53"/>
    <w:rsid w:val="00D121AC"/>
    <w:rsid w:val="00D1232E"/>
    <w:rsid w:val="00D1233C"/>
    <w:rsid w:val="00D123C1"/>
    <w:rsid w:val="00D12C2B"/>
    <w:rsid w:val="00D12C65"/>
    <w:rsid w:val="00D12DAC"/>
    <w:rsid w:val="00D12E13"/>
    <w:rsid w:val="00D12E38"/>
    <w:rsid w:val="00D12E3F"/>
    <w:rsid w:val="00D12F48"/>
    <w:rsid w:val="00D130D0"/>
    <w:rsid w:val="00D13360"/>
    <w:rsid w:val="00D133C8"/>
    <w:rsid w:val="00D134B0"/>
    <w:rsid w:val="00D136BF"/>
    <w:rsid w:val="00D137C0"/>
    <w:rsid w:val="00D139C7"/>
    <w:rsid w:val="00D13AD2"/>
    <w:rsid w:val="00D13AD8"/>
    <w:rsid w:val="00D13B06"/>
    <w:rsid w:val="00D14058"/>
    <w:rsid w:val="00D1436F"/>
    <w:rsid w:val="00D14395"/>
    <w:rsid w:val="00D14408"/>
    <w:rsid w:val="00D14545"/>
    <w:rsid w:val="00D147D5"/>
    <w:rsid w:val="00D14B1D"/>
    <w:rsid w:val="00D14B5A"/>
    <w:rsid w:val="00D14FD0"/>
    <w:rsid w:val="00D1515A"/>
    <w:rsid w:val="00D1520D"/>
    <w:rsid w:val="00D1523C"/>
    <w:rsid w:val="00D1524B"/>
    <w:rsid w:val="00D15452"/>
    <w:rsid w:val="00D154EC"/>
    <w:rsid w:val="00D155BF"/>
    <w:rsid w:val="00D159A2"/>
    <w:rsid w:val="00D15C10"/>
    <w:rsid w:val="00D15DE1"/>
    <w:rsid w:val="00D160C7"/>
    <w:rsid w:val="00D1693F"/>
    <w:rsid w:val="00D16CD0"/>
    <w:rsid w:val="00D1731E"/>
    <w:rsid w:val="00D174D8"/>
    <w:rsid w:val="00D178BE"/>
    <w:rsid w:val="00D179D0"/>
    <w:rsid w:val="00D17A1E"/>
    <w:rsid w:val="00D17AB8"/>
    <w:rsid w:val="00D17B71"/>
    <w:rsid w:val="00D17C5D"/>
    <w:rsid w:val="00D17D92"/>
    <w:rsid w:val="00D20239"/>
    <w:rsid w:val="00D203AE"/>
    <w:rsid w:val="00D20463"/>
    <w:rsid w:val="00D204C9"/>
    <w:rsid w:val="00D205DA"/>
    <w:rsid w:val="00D20A12"/>
    <w:rsid w:val="00D20C3F"/>
    <w:rsid w:val="00D20D7A"/>
    <w:rsid w:val="00D20FD6"/>
    <w:rsid w:val="00D214A5"/>
    <w:rsid w:val="00D21622"/>
    <w:rsid w:val="00D2162A"/>
    <w:rsid w:val="00D2163E"/>
    <w:rsid w:val="00D21684"/>
    <w:rsid w:val="00D216CE"/>
    <w:rsid w:val="00D2182F"/>
    <w:rsid w:val="00D2198A"/>
    <w:rsid w:val="00D21CB7"/>
    <w:rsid w:val="00D220D4"/>
    <w:rsid w:val="00D2272F"/>
    <w:rsid w:val="00D2276C"/>
    <w:rsid w:val="00D22818"/>
    <w:rsid w:val="00D22A0D"/>
    <w:rsid w:val="00D22AFA"/>
    <w:rsid w:val="00D22B72"/>
    <w:rsid w:val="00D22CDB"/>
    <w:rsid w:val="00D22DBC"/>
    <w:rsid w:val="00D23115"/>
    <w:rsid w:val="00D2343F"/>
    <w:rsid w:val="00D234ED"/>
    <w:rsid w:val="00D2357F"/>
    <w:rsid w:val="00D23681"/>
    <w:rsid w:val="00D236A0"/>
    <w:rsid w:val="00D2381F"/>
    <w:rsid w:val="00D23970"/>
    <w:rsid w:val="00D23CEA"/>
    <w:rsid w:val="00D23D33"/>
    <w:rsid w:val="00D23E94"/>
    <w:rsid w:val="00D241C3"/>
    <w:rsid w:val="00D24921"/>
    <w:rsid w:val="00D24A6F"/>
    <w:rsid w:val="00D250BF"/>
    <w:rsid w:val="00D2510D"/>
    <w:rsid w:val="00D25298"/>
    <w:rsid w:val="00D252BA"/>
    <w:rsid w:val="00D252FC"/>
    <w:rsid w:val="00D256DA"/>
    <w:rsid w:val="00D25A97"/>
    <w:rsid w:val="00D25AB1"/>
    <w:rsid w:val="00D25E87"/>
    <w:rsid w:val="00D25EEE"/>
    <w:rsid w:val="00D260CF"/>
    <w:rsid w:val="00D26166"/>
    <w:rsid w:val="00D262DF"/>
    <w:rsid w:val="00D263BB"/>
    <w:rsid w:val="00D263C4"/>
    <w:rsid w:val="00D26437"/>
    <w:rsid w:val="00D265E5"/>
    <w:rsid w:val="00D269CB"/>
    <w:rsid w:val="00D26A6A"/>
    <w:rsid w:val="00D26AF3"/>
    <w:rsid w:val="00D2793D"/>
    <w:rsid w:val="00D27952"/>
    <w:rsid w:val="00D27B74"/>
    <w:rsid w:val="00D27B9A"/>
    <w:rsid w:val="00D27EF5"/>
    <w:rsid w:val="00D27F63"/>
    <w:rsid w:val="00D305C7"/>
    <w:rsid w:val="00D307ED"/>
    <w:rsid w:val="00D30822"/>
    <w:rsid w:val="00D308F8"/>
    <w:rsid w:val="00D30CC4"/>
    <w:rsid w:val="00D30D56"/>
    <w:rsid w:val="00D30D5B"/>
    <w:rsid w:val="00D30D61"/>
    <w:rsid w:val="00D3120A"/>
    <w:rsid w:val="00D31289"/>
    <w:rsid w:val="00D3216D"/>
    <w:rsid w:val="00D32497"/>
    <w:rsid w:val="00D32ED8"/>
    <w:rsid w:val="00D33160"/>
    <w:rsid w:val="00D332DD"/>
    <w:rsid w:val="00D333B5"/>
    <w:rsid w:val="00D33424"/>
    <w:rsid w:val="00D3360E"/>
    <w:rsid w:val="00D3388E"/>
    <w:rsid w:val="00D339EE"/>
    <w:rsid w:val="00D33C30"/>
    <w:rsid w:val="00D33D8A"/>
    <w:rsid w:val="00D349AB"/>
    <w:rsid w:val="00D34D89"/>
    <w:rsid w:val="00D350C3"/>
    <w:rsid w:val="00D353C5"/>
    <w:rsid w:val="00D354E3"/>
    <w:rsid w:val="00D355E0"/>
    <w:rsid w:val="00D357E5"/>
    <w:rsid w:val="00D358D6"/>
    <w:rsid w:val="00D35ABE"/>
    <w:rsid w:val="00D35AFA"/>
    <w:rsid w:val="00D35DC0"/>
    <w:rsid w:val="00D35FE9"/>
    <w:rsid w:val="00D360D7"/>
    <w:rsid w:val="00D361E7"/>
    <w:rsid w:val="00D363C8"/>
    <w:rsid w:val="00D364AF"/>
    <w:rsid w:val="00D36568"/>
    <w:rsid w:val="00D369CD"/>
    <w:rsid w:val="00D36AA8"/>
    <w:rsid w:val="00D36B1A"/>
    <w:rsid w:val="00D36CEF"/>
    <w:rsid w:val="00D36D7B"/>
    <w:rsid w:val="00D370F5"/>
    <w:rsid w:val="00D37175"/>
    <w:rsid w:val="00D373E9"/>
    <w:rsid w:val="00D374D1"/>
    <w:rsid w:val="00D376F5"/>
    <w:rsid w:val="00D37B0E"/>
    <w:rsid w:val="00D37C53"/>
    <w:rsid w:val="00D37DFE"/>
    <w:rsid w:val="00D37E56"/>
    <w:rsid w:val="00D404FA"/>
    <w:rsid w:val="00D407F2"/>
    <w:rsid w:val="00D40B7F"/>
    <w:rsid w:val="00D40C0D"/>
    <w:rsid w:val="00D40C7E"/>
    <w:rsid w:val="00D40F22"/>
    <w:rsid w:val="00D412BA"/>
    <w:rsid w:val="00D41880"/>
    <w:rsid w:val="00D4194E"/>
    <w:rsid w:val="00D41B8F"/>
    <w:rsid w:val="00D41D70"/>
    <w:rsid w:val="00D41F94"/>
    <w:rsid w:val="00D424D2"/>
    <w:rsid w:val="00D42563"/>
    <w:rsid w:val="00D42669"/>
    <w:rsid w:val="00D42C38"/>
    <w:rsid w:val="00D42D00"/>
    <w:rsid w:val="00D42D69"/>
    <w:rsid w:val="00D42E42"/>
    <w:rsid w:val="00D42EBA"/>
    <w:rsid w:val="00D42F0E"/>
    <w:rsid w:val="00D42F3D"/>
    <w:rsid w:val="00D4302C"/>
    <w:rsid w:val="00D432B0"/>
    <w:rsid w:val="00D436F8"/>
    <w:rsid w:val="00D4398B"/>
    <w:rsid w:val="00D43AD9"/>
    <w:rsid w:val="00D43DD3"/>
    <w:rsid w:val="00D44072"/>
    <w:rsid w:val="00D4449F"/>
    <w:rsid w:val="00D444B8"/>
    <w:rsid w:val="00D44646"/>
    <w:rsid w:val="00D44CE4"/>
    <w:rsid w:val="00D450F2"/>
    <w:rsid w:val="00D45677"/>
    <w:rsid w:val="00D45894"/>
    <w:rsid w:val="00D45A73"/>
    <w:rsid w:val="00D45BC7"/>
    <w:rsid w:val="00D45C6C"/>
    <w:rsid w:val="00D45E0B"/>
    <w:rsid w:val="00D46151"/>
    <w:rsid w:val="00D461AE"/>
    <w:rsid w:val="00D461F6"/>
    <w:rsid w:val="00D4648F"/>
    <w:rsid w:val="00D46A8B"/>
    <w:rsid w:val="00D46E38"/>
    <w:rsid w:val="00D46E95"/>
    <w:rsid w:val="00D47443"/>
    <w:rsid w:val="00D474ED"/>
    <w:rsid w:val="00D4766C"/>
    <w:rsid w:val="00D47957"/>
    <w:rsid w:val="00D479B3"/>
    <w:rsid w:val="00D47A7A"/>
    <w:rsid w:val="00D47C55"/>
    <w:rsid w:val="00D47ED2"/>
    <w:rsid w:val="00D47EEF"/>
    <w:rsid w:val="00D5040B"/>
    <w:rsid w:val="00D50670"/>
    <w:rsid w:val="00D507FE"/>
    <w:rsid w:val="00D5086C"/>
    <w:rsid w:val="00D508EA"/>
    <w:rsid w:val="00D50D9A"/>
    <w:rsid w:val="00D50F31"/>
    <w:rsid w:val="00D51127"/>
    <w:rsid w:val="00D51273"/>
    <w:rsid w:val="00D519FA"/>
    <w:rsid w:val="00D51A20"/>
    <w:rsid w:val="00D51C6D"/>
    <w:rsid w:val="00D51DDC"/>
    <w:rsid w:val="00D51E51"/>
    <w:rsid w:val="00D51F96"/>
    <w:rsid w:val="00D52419"/>
    <w:rsid w:val="00D5250E"/>
    <w:rsid w:val="00D528C9"/>
    <w:rsid w:val="00D52C6E"/>
    <w:rsid w:val="00D5301D"/>
    <w:rsid w:val="00D53082"/>
    <w:rsid w:val="00D533C8"/>
    <w:rsid w:val="00D5344C"/>
    <w:rsid w:val="00D534B3"/>
    <w:rsid w:val="00D5373F"/>
    <w:rsid w:val="00D53976"/>
    <w:rsid w:val="00D53D4A"/>
    <w:rsid w:val="00D54170"/>
    <w:rsid w:val="00D542B2"/>
    <w:rsid w:val="00D5467B"/>
    <w:rsid w:val="00D546FE"/>
    <w:rsid w:val="00D54A8C"/>
    <w:rsid w:val="00D54BDD"/>
    <w:rsid w:val="00D54C7D"/>
    <w:rsid w:val="00D54DF2"/>
    <w:rsid w:val="00D54E54"/>
    <w:rsid w:val="00D54E7F"/>
    <w:rsid w:val="00D55001"/>
    <w:rsid w:val="00D55251"/>
    <w:rsid w:val="00D5543D"/>
    <w:rsid w:val="00D55448"/>
    <w:rsid w:val="00D55489"/>
    <w:rsid w:val="00D55719"/>
    <w:rsid w:val="00D55DA6"/>
    <w:rsid w:val="00D55EB8"/>
    <w:rsid w:val="00D55FC2"/>
    <w:rsid w:val="00D56055"/>
    <w:rsid w:val="00D561A1"/>
    <w:rsid w:val="00D5632B"/>
    <w:rsid w:val="00D564B0"/>
    <w:rsid w:val="00D565D2"/>
    <w:rsid w:val="00D568DD"/>
    <w:rsid w:val="00D569BC"/>
    <w:rsid w:val="00D56A5B"/>
    <w:rsid w:val="00D5704E"/>
    <w:rsid w:val="00D5706C"/>
    <w:rsid w:val="00D57171"/>
    <w:rsid w:val="00D5787D"/>
    <w:rsid w:val="00D57935"/>
    <w:rsid w:val="00D579B5"/>
    <w:rsid w:val="00D57A66"/>
    <w:rsid w:val="00D57E15"/>
    <w:rsid w:val="00D57EA4"/>
    <w:rsid w:val="00D57F27"/>
    <w:rsid w:val="00D60044"/>
    <w:rsid w:val="00D6013D"/>
    <w:rsid w:val="00D6028F"/>
    <w:rsid w:val="00D60515"/>
    <w:rsid w:val="00D60591"/>
    <w:rsid w:val="00D607BF"/>
    <w:rsid w:val="00D609E6"/>
    <w:rsid w:val="00D60CB7"/>
    <w:rsid w:val="00D61331"/>
    <w:rsid w:val="00D61475"/>
    <w:rsid w:val="00D617D8"/>
    <w:rsid w:val="00D61DF6"/>
    <w:rsid w:val="00D6205C"/>
    <w:rsid w:val="00D62196"/>
    <w:rsid w:val="00D62262"/>
    <w:rsid w:val="00D62396"/>
    <w:rsid w:val="00D62596"/>
    <w:rsid w:val="00D625EF"/>
    <w:rsid w:val="00D62729"/>
    <w:rsid w:val="00D627A0"/>
    <w:rsid w:val="00D62CA9"/>
    <w:rsid w:val="00D63160"/>
    <w:rsid w:val="00D631D6"/>
    <w:rsid w:val="00D63B21"/>
    <w:rsid w:val="00D63BF8"/>
    <w:rsid w:val="00D63EF0"/>
    <w:rsid w:val="00D63EF4"/>
    <w:rsid w:val="00D6405B"/>
    <w:rsid w:val="00D6432D"/>
    <w:rsid w:val="00D6468B"/>
    <w:rsid w:val="00D64870"/>
    <w:rsid w:val="00D6490C"/>
    <w:rsid w:val="00D6493C"/>
    <w:rsid w:val="00D64C5C"/>
    <w:rsid w:val="00D64F29"/>
    <w:rsid w:val="00D650D3"/>
    <w:rsid w:val="00D6527D"/>
    <w:rsid w:val="00D65304"/>
    <w:rsid w:val="00D65477"/>
    <w:rsid w:val="00D656F5"/>
    <w:rsid w:val="00D657C7"/>
    <w:rsid w:val="00D657DB"/>
    <w:rsid w:val="00D65B4E"/>
    <w:rsid w:val="00D65F02"/>
    <w:rsid w:val="00D65F81"/>
    <w:rsid w:val="00D66278"/>
    <w:rsid w:val="00D664F5"/>
    <w:rsid w:val="00D66FD6"/>
    <w:rsid w:val="00D67249"/>
    <w:rsid w:val="00D67374"/>
    <w:rsid w:val="00D673DD"/>
    <w:rsid w:val="00D67E30"/>
    <w:rsid w:val="00D67E72"/>
    <w:rsid w:val="00D67ED3"/>
    <w:rsid w:val="00D67F4E"/>
    <w:rsid w:val="00D70050"/>
    <w:rsid w:val="00D701B0"/>
    <w:rsid w:val="00D704A6"/>
    <w:rsid w:val="00D70532"/>
    <w:rsid w:val="00D707C5"/>
    <w:rsid w:val="00D708CE"/>
    <w:rsid w:val="00D708DD"/>
    <w:rsid w:val="00D70963"/>
    <w:rsid w:val="00D711CE"/>
    <w:rsid w:val="00D714B8"/>
    <w:rsid w:val="00D718AB"/>
    <w:rsid w:val="00D718EF"/>
    <w:rsid w:val="00D71932"/>
    <w:rsid w:val="00D71A60"/>
    <w:rsid w:val="00D71CE8"/>
    <w:rsid w:val="00D71E36"/>
    <w:rsid w:val="00D71EE4"/>
    <w:rsid w:val="00D72158"/>
    <w:rsid w:val="00D72868"/>
    <w:rsid w:val="00D72880"/>
    <w:rsid w:val="00D72FFA"/>
    <w:rsid w:val="00D7323D"/>
    <w:rsid w:val="00D73305"/>
    <w:rsid w:val="00D73389"/>
    <w:rsid w:val="00D735E2"/>
    <w:rsid w:val="00D73669"/>
    <w:rsid w:val="00D7391F"/>
    <w:rsid w:val="00D73939"/>
    <w:rsid w:val="00D73A09"/>
    <w:rsid w:val="00D73B83"/>
    <w:rsid w:val="00D73C41"/>
    <w:rsid w:val="00D74006"/>
    <w:rsid w:val="00D741A3"/>
    <w:rsid w:val="00D74223"/>
    <w:rsid w:val="00D74331"/>
    <w:rsid w:val="00D7473E"/>
    <w:rsid w:val="00D748F9"/>
    <w:rsid w:val="00D74A65"/>
    <w:rsid w:val="00D74AC3"/>
    <w:rsid w:val="00D74C75"/>
    <w:rsid w:val="00D74C8B"/>
    <w:rsid w:val="00D74DC0"/>
    <w:rsid w:val="00D74F33"/>
    <w:rsid w:val="00D75571"/>
    <w:rsid w:val="00D756C5"/>
    <w:rsid w:val="00D757A3"/>
    <w:rsid w:val="00D75AC5"/>
    <w:rsid w:val="00D75D53"/>
    <w:rsid w:val="00D75D94"/>
    <w:rsid w:val="00D760D1"/>
    <w:rsid w:val="00D76190"/>
    <w:rsid w:val="00D762E2"/>
    <w:rsid w:val="00D763E8"/>
    <w:rsid w:val="00D764CE"/>
    <w:rsid w:val="00D76503"/>
    <w:rsid w:val="00D769A8"/>
    <w:rsid w:val="00D76B45"/>
    <w:rsid w:val="00D76B85"/>
    <w:rsid w:val="00D76C6B"/>
    <w:rsid w:val="00D76CE4"/>
    <w:rsid w:val="00D76D2B"/>
    <w:rsid w:val="00D76EA6"/>
    <w:rsid w:val="00D7710A"/>
    <w:rsid w:val="00D771B0"/>
    <w:rsid w:val="00D77564"/>
    <w:rsid w:val="00D775B4"/>
    <w:rsid w:val="00D775BD"/>
    <w:rsid w:val="00D77BBA"/>
    <w:rsid w:val="00D77C4E"/>
    <w:rsid w:val="00D80564"/>
    <w:rsid w:val="00D8057D"/>
    <w:rsid w:val="00D806BA"/>
    <w:rsid w:val="00D806ED"/>
    <w:rsid w:val="00D808A0"/>
    <w:rsid w:val="00D80A54"/>
    <w:rsid w:val="00D80BD6"/>
    <w:rsid w:val="00D813C0"/>
    <w:rsid w:val="00D814F6"/>
    <w:rsid w:val="00D81583"/>
    <w:rsid w:val="00D81586"/>
    <w:rsid w:val="00D818F6"/>
    <w:rsid w:val="00D818FE"/>
    <w:rsid w:val="00D81961"/>
    <w:rsid w:val="00D819C7"/>
    <w:rsid w:val="00D81B1A"/>
    <w:rsid w:val="00D81CD3"/>
    <w:rsid w:val="00D81D41"/>
    <w:rsid w:val="00D81EBD"/>
    <w:rsid w:val="00D81F9C"/>
    <w:rsid w:val="00D822F3"/>
    <w:rsid w:val="00D82339"/>
    <w:rsid w:val="00D82362"/>
    <w:rsid w:val="00D82446"/>
    <w:rsid w:val="00D824CC"/>
    <w:rsid w:val="00D82761"/>
    <w:rsid w:val="00D82919"/>
    <w:rsid w:val="00D82AD6"/>
    <w:rsid w:val="00D82CDD"/>
    <w:rsid w:val="00D83271"/>
    <w:rsid w:val="00D83695"/>
    <w:rsid w:val="00D837D9"/>
    <w:rsid w:val="00D83881"/>
    <w:rsid w:val="00D83A7E"/>
    <w:rsid w:val="00D83C37"/>
    <w:rsid w:val="00D83C51"/>
    <w:rsid w:val="00D83E74"/>
    <w:rsid w:val="00D83E9D"/>
    <w:rsid w:val="00D83FDC"/>
    <w:rsid w:val="00D8401F"/>
    <w:rsid w:val="00D8427F"/>
    <w:rsid w:val="00D842C3"/>
    <w:rsid w:val="00D84623"/>
    <w:rsid w:val="00D8462A"/>
    <w:rsid w:val="00D8474C"/>
    <w:rsid w:val="00D84866"/>
    <w:rsid w:val="00D84872"/>
    <w:rsid w:val="00D849B0"/>
    <w:rsid w:val="00D849D5"/>
    <w:rsid w:val="00D84AE6"/>
    <w:rsid w:val="00D84B85"/>
    <w:rsid w:val="00D84C0E"/>
    <w:rsid w:val="00D84C22"/>
    <w:rsid w:val="00D84FA1"/>
    <w:rsid w:val="00D850A2"/>
    <w:rsid w:val="00D854AD"/>
    <w:rsid w:val="00D85698"/>
    <w:rsid w:val="00D8569A"/>
    <w:rsid w:val="00D85A35"/>
    <w:rsid w:val="00D85C9C"/>
    <w:rsid w:val="00D85E7A"/>
    <w:rsid w:val="00D86081"/>
    <w:rsid w:val="00D8615C"/>
    <w:rsid w:val="00D8618F"/>
    <w:rsid w:val="00D86335"/>
    <w:rsid w:val="00D8647E"/>
    <w:rsid w:val="00D865BF"/>
    <w:rsid w:val="00D86912"/>
    <w:rsid w:val="00D86BF6"/>
    <w:rsid w:val="00D86DF6"/>
    <w:rsid w:val="00D86F03"/>
    <w:rsid w:val="00D870C0"/>
    <w:rsid w:val="00D87656"/>
    <w:rsid w:val="00D87A0F"/>
    <w:rsid w:val="00D87DBE"/>
    <w:rsid w:val="00D90011"/>
    <w:rsid w:val="00D90548"/>
    <w:rsid w:val="00D90D66"/>
    <w:rsid w:val="00D9103B"/>
    <w:rsid w:val="00D9114A"/>
    <w:rsid w:val="00D91320"/>
    <w:rsid w:val="00D9140A"/>
    <w:rsid w:val="00D914BF"/>
    <w:rsid w:val="00D915E9"/>
    <w:rsid w:val="00D91850"/>
    <w:rsid w:val="00D91909"/>
    <w:rsid w:val="00D91A69"/>
    <w:rsid w:val="00D91C1B"/>
    <w:rsid w:val="00D91C35"/>
    <w:rsid w:val="00D91C3C"/>
    <w:rsid w:val="00D91C5F"/>
    <w:rsid w:val="00D91E61"/>
    <w:rsid w:val="00D91FF9"/>
    <w:rsid w:val="00D9216F"/>
    <w:rsid w:val="00D921BE"/>
    <w:rsid w:val="00D92287"/>
    <w:rsid w:val="00D9273D"/>
    <w:rsid w:val="00D92781"/>
    <w:rsid w:val="00D929B8"/>
    <w:rsid w:val="00D92DDB"/>
    <w:rsid w:val="00D93067"/>
    <w:rsid w:val="00D93071"/>
    <w:rsid w:val="00D932AC"/>
    <w:rsid w:val="00D93A2A"/>
    <w:rsid w:val="00D9440E"/>
    <w:rsid w:val="00D94535"/>
    <w:rsid w:val="00D94599"/>
    <w:rsid w:val="00D9476D"/>
    <w:rsid w:val="00D94E6B"/>
    <w:rsid w:val="00D950F2"/>
    <w:rsid w:val="00D9525F"/>
    <w:rsid w:val="00D952B7"/>
    <w:rsid w:val="00D9530F"/>
    <w:rsid w:val="00D9535F"/>
    <w:rsid w:val="00D95384"/>
    <w:rsid w:val="00D958CC"/>
    <w:rsid w:val="00D95903"/>
    <w:rsid w:val="00D959CC"/>
    <w:rsid w:val="00D959D7"/>
    <w:rsid w:val="00D95A1B"/>
    <w:rsid w:val="00D95EEC"/>
    <w:rsid w:val="00D96090"/>
    <w:rsid w:val="00D9694F"/>
    <w:rsid w:val="00D96A38"/>
    <w:rsid w:val="00D96CED"/>
    <w:rsid w:val="00D96E6B"/>
    <w:rsid w:val="00D97740"/>
    <w:rsid w:val="00D97768"/>
    <w:rsid w:val="00D97B13"/>
    <w:rsid w:val="00D97B15"/>
    <w:rsid w:val="00D97B67"/>
    <w:rsid w:val="00D97BDF"/>
    <w:rsid w:val="00D97F6A"/>
    <w:rsid w:val="00DA005B"/>
    <w:rsid w:val="00DA03CE"/>
    <w:rsid w:val="00DA04E2"/>
    <w:rsid w:val="00DA0792"/>
    <w:rsid w:val="00DA0CD2"/>
    <w:rsid w:val="00DA0E6C"/>
    <w:rsid w:val="00DA17E4"/>
    <w:rsid w:val="00DA1A50"/>
    <w:rsid w:val="00DA1CD6"/>
    <w:rsid w:val="00DA1E50"/>
    <w:rsid w:val="00DA24DE"/>
    <w:rsid w:val="00DA2AEC"/>
    <w:rsid w:val="00DA2C2B"/>
    <w:rsid w:val="00DA2E49"/>
    <w:rsid w:val="00DA2FDD"/>
    <w:rsid w:val="00DA2FFD"/>
    <w:rsid w:val="00DA3164"/>
    <w:rsid w:val="00DA3B09"/>
    <w:rsid w:val="00DA3D7C"/>
    <w:rsid w:val="00DA3DE8"/>
    <w:rsid w:val="00DA3F94"/>
    <w:rsid w:val="00DA41BA"/>
    <w:rsid w:val="00DA430A"/>
    <w:rsid w:val="00DA44F0"/>
    <w:rsid w:val="00DA4521"/>
    <w:rsid w:val="00DA4B4C"/>
    <w:rsid w:val="00DA4FF5"/>
    <w:rsid w:val="00DA4FFF"/>
    <w:rsid w:val="00DA5075"/>
    <w:rsid w:val="00DA55C9"/>
    <w:rsid w:val="00DA564C"/>
    <w:rsid w:val="00DA570B"/>
    <w:rsid w:val="00DA5CBE"/>
    <w:rsid w:val="00DA6242"/>
    <w:rsid w:val="00DA63FB"/>
    <w:rsid w:val="00DA65D2"/>
    <w:rsid w:val="00DA664B"/>
    <w:rsid w:val="00DA66D6"/>
    <w:rsid w:val="00DA69B1"/>
    <w:rsid w:val="00DA6A10"/>
    <w:rsid w:val="00DA6A80"/>
    <w:rsid w:val="00DA6B9D"/>
    <w:rsid w:val="00DA6BD5"/>
    <w:rsid w:val="00DA6C10"/>
    <w:rsid w:val="00DA6F5C"/>
    <w:rsid w:val="00DA71C0"/>
    <w:rsid w:val="00DA7451"/>
    <w:rsid w:val="00DA763C"/>
    <w:rsid w:val="00DA769C"/>
    <w:rsid w:val="00DA7700"/>
    <w:rsid w:val="00DA7735"/>
    <w:rsid w:val="00DB0308"/>
    <w:rsid w:val="00DB0323"/>
    <w:rsid w:val="00DB06C5"/>
    <w:rsid w:val="00DB06CA"/>
    <w:rsid w:val="00DB0961"/>
    <w:rsid w:val="00DB0C3D"/>
    <w:rsid w:val="00DB1045"/>
    <w:rsid w:val="00DB1331"/>
    <w:rsid w:val="00DB137D"/>
    <w:rsid w:val="00DB1474"/>
    <w:rsid w:val="00DB15ED"/>
    <w:rsid w:val="00DB177F"/>
    <w:rsid w:val="00DB1887"/>
    <w:rsid w:val="00DB18BE"/>
    <w:rsid w:val="00DB225C"/>
    <w:rsid w:val="00DB22FE"/>
    <w:rsid w:val="00DB237A"/>
    <w:rsid w:val="00DB274E"/>
    <w:rsid w:val="00DB2D37"/>
    <w:rsid w:val="00DB2F39"/>
    <w:rsid w:val="00DB2F5F"/>
    <w:rsid w:val="00DB3145"/>
    <w:rsid w:val="00DB3408"/>
    <w:rsid w:val="00DB341C"/>
    <w:rsid w:val="00DB35C0"/>
    <w:rsid w:val="00DB367C"/>
    <w:rsid w:val="00DB3866"/>
    <w:rsid w:val="00DB399F"/>
    <w:rsid w:val="00DB3A2C"/>
    <w:rsid w:val="00DB3B2A"/>
    <w:rsid w:val="00DB3BB0"/>
    <w:rsid w:val="00DB3DDB"/>
    <w:rsid w:val="00DB3E24"/>
    <w:rsid w:val="00DB401D"/>
    <w:rsid w:val="00DB43E6"/>
    <w:rsid w:val="00DB4426"/>
    <w:rsid w:val="00DB445C"/>
    <w:rsid w:val="00DB4503"/>
    <w:rsid w:val="00DB472C"/>
    <w:rsid w:val="00DB49EE"/>
    <w:rsid w:val="00DB4A0E"/>
    <w:rsid w:val="00DB50A4"/>
    <w:rsid w:val="00DB522F"/>
    <w:rsid w:val="00DB553B"/>
    <w:rsid w:val="00DB5693"/>
    <w:rsid w:val="00DB575D"/>
    <w:rsid w:val="00DB5CE3"/>
    <w:rsid w:val="00DB5DCD"/>
    <w:rsid w:val="00DB5E1A"/>
    <w:rsid w:val="00DB5F97"/>
    <w:rsid w:val="00DB6567"/>
    <w:rsid w:val="00DB6666"/>
    <w:rsid w:val="00DB70C1"/>
    <w:rsid w:val="00DB758D"/>
    <w:rsid w:val="00DB7D99"/>
    <w:rsid w:val="00DB7DC5"/>
    <w:rsid w:val="00DB7FF7"/>
    <w:rsid w:val="00DC0063"/>
    <w:rsid w:val="00DC0165"/>
    <w:rsid w:val="00DC0236"/>
    <w:rsid w:val="00DC023C"/>
    <w:rsid w:val="00DC0314"/>
    <w:rsid w:val="00DC05E9"/>
    <w:rsid w:val="00DC06BA"/>
    <w:rsid w:val="00DC0717"/>
    <w:rsid w:val="00DC0DEB"/>
    <w:rsid w:val="00DC0E10"/>
    <w:rsid w:val="00DC101A"/>
    <w:rsid w:val="00DC1165"/>
    <w:rsid w:val="00DC15E6"/>
    <w:rsid w:val="00DC1CE8"/>
    <w:rsid w:val="00DC1DAD"/>
    <w:rsid w:val="00DC1E41"/>
    <w:rsid w:val="00DC23E0"/>
    <w:rsid w:val="00DC2429"/>
    <w:rsid w:val="00DC28BA"/>
    <w:rsid w:val="00DC2925"/>
    <w:rsid w:val="00DC299D"/>
    <w:rsid w:val="00DC2D0D"/>
    <w:rsid w:val="00DC2E07"/>
    <w:rsid w:val="00DC2E5A"/>
    <w:rsid w:val="00DC2EC9"/>
    <w:rsid w:val="00DC2FAD"/>
    <w:rsid w:val="00DC2FD7"/>
    <w:rsid w:val="00DC3159"/>
    <w:rsid w:val="00DC331C"/>
    <w:rsid w:val="00DC351E"/>
    <w:rsid w:val="00DC3896"/>
    <w:rsid w:val="00DC3E24"/>
    <w:rsid w:val="00DC3E2C"/>
    <w:rsid w:val="00DC3FDD"/>
    <w:rsid w:val="00DC4034"/>
    <w:rsid w:val="00DC4132"/>
    <w:rsid w:val="00DC4234"/>
    <w:rsid w:val="00DC4615"/>
    <w:rsid w:val="00DC4618"/>
    <w:rsid w:val="00DC4A5C"/>
    <w:rsid w:val="00DC4A8E"/>
    <w:rsid w:val="00DC4AB5"/>
    <w:rsid w:val="00DC4BCA"/>
    <w:rsid w:val="00DC4DCA"/>
    <w:rsid w:val="00DC4FE9"/>
    <w:rsid w:val="00DC51E2"/>
    <w:rsid w:val="00DC5433"/>
    <w:rsid w:val="00DC5634"/>
    <w:rsid w:val="00DC5A3A"/>
    <w:rsid w:val="00DC62F8"/>
    <w:rsid w:val="00DC6841"/>
    <w:rsid w:val="00DC68F3"/>
    <w:rsid w:val="00DC69DD"/>
    <w:rsid w:val="00DC6AA5"/>
    <w:rsid w:val="00DC6BCA"/>
    <w:rsid w:val="00DC7094"/>
    <w:rsid w:val="00DC77E7"/>
    <w:rsid w:val="00DC7A6C"/>
    <w:rsid w:val="00DC7C55"/>
    <w:rsid w:val="00DC7D24"/>
    <w:rsid w:val="00DC7E06"/>
    <w:rsid w:val="00DC7FEB"/>
    <w:rsid w:val="00DD02EB"/>
    <w:rsid w:val="00DD03DB"/>
    <w:rsid w:val="00DD04C2"/>
    <w:rsid w:val="00DD0636"/>
    <w:rsid w:val="00DD0A16"/>
    <w:rsid w:val="00DD0B7C"/>
    <w:rsid w:val="00DD0C00"/>
    <w:rsid w:val="00DD0CAF"/>
    <w:rsid w:val="00DD1037"/>
    <w:rsid w:val="00DD1155"/>
    <w:rsid w:val="00DD126C"/>
    <w:rsid w:val="00DD13EE"/>
    <w:rsid w:val="00DD14DA"/>
    <w:rsid w:val="00DD1547"/>
    <w:rsid w:val="00DD1558"/>
    <w:rsid w:val="00DD187A"/>
    <w:rsid w:val="00DD19E5"/>
    <w:rsid w:val="00DD1AEE"/>
    <w:rsid w:val="00DD1C9B"/>
    <w:rsid w:val="00DD23ED"/>
    <w:rsid w:val="00DD24B3"/>
    <w:rsid w:val="00DD24E8"/>
    <w:rsid w:val="00DD2600"/>
    <w:rsid w:val="00DD2675"/>
    <w:rsid w:val="00DD26FE"/>
    <w:rsid w:val="00DD29AF"/>
    <w:rsid w:val="00DD2A1F"/>
    <w:rsid w:val="00DD2A29"/>
    <w:rsid w:val="00DD2D56"/>
    <w:rsid w:val="00DD3047"/>
    <w:rsid w:val="00DD33EE"/>
    <w:rsid w:val="00DD3517"/>
    <w:rsid w:val="00DD3537"/>
    <w:rsid w:val="00DD37FB"/>
    <w:rsid w:val="00DD3929"/>
    <w:rsid w:val="00DD3DC0"/>
    <w:rsid w:val="00DD3E99"/>
    <w:rsid w:val="00DD46C8"/>
    <w:rsid w:val="00DD47B5"/>
    <w:rsid w:val="00DD4C79"/>
    <w:rsid w:val="00DD5A03"/>
    <w:rsid w:val="00DD5B93"/>
    <w:rsid w:val="00DD6216"/>
    <w:rsid w:val="00DD622B"/>
    <w:rsid w:val="00DD6916"/>
    <w:rsid w:val="00DD698B"/>
    <w:rsid w:val="00DD69C8"/>
    <w:rsid w:val="00DD6A00"/>
    <w:rsid w:val="00DD70F1"/>
    <w:rsid w:val="00DD71CC"/>
    <w:rsid w:val="00DD7740"/>
    <w:rsid w:val="00DD79DA"/>
    <w:rsid w:val="00DD7A52"/>
    <w:rsid w:val="00DD7BBB"/>
    <w:rsid w:val="00DE0282"/>
    <w:rsid w:val="00DE0576"/>
    <w:rsid w:val="00DE05E2"/>
    <w:rsid w:val="00DE080B"/>
    <w:rsid w:val="00DE0A1C"/>
    <w:rsid w:val="00DE0A49"/>
    <w:rsid w:val="00DE0B5D"/>
    <w:rsid w:val="00DE0BAD"/>
    <w:rsid w:val="00DE0D82"/>
    <w:rsid w:val="00DE0E5C"/>
    <w:rsid w:val="00DE1026"/>
    <w:rsid w:val="00DE1193"/>
    <w:rsid w:val="00DE1221"/>
    <w:rsid w:val="00DE1298"/>
    <w:rsid w:val="00DE12E8"/>
    <w:rsid w:val="00DE1354"/>
    <w:rsid w:val="00DE1436"/>
    <w:rsid w:val="00DE1548"/>
    <w:rsid w:val="00DE19A9"/>
    <w:rsid w:val="00DE1D59"/>
    <w:rsid w:val="00DE1DE0"/>
    <w:rsid w:val="00DE2065"/>
    <w:rsid w:val="00DE2076"/>
    <w:rsid w:val="00DE2528"/>
    <w:rsid w:val="00DE28C7"/>
    <w:rsid w:val="00DE2A13"/>
    <w:rsid w:val="00DE2D01"/>
    <w:rsid w:val="00DE2DE4"/>
    <w:rsid w:val="00DE2E47"/>
    <w:rsid w:val="00DE2FC9"/>
    <w:rsid w:val="00DE3597"/>
    <w:rsid w:val="00DE3678"/>
    <w:rsid w:val="00DE36D1"/>
    <w:rsid w:val="00DE375F"/>
    <w:rsid w:val="00DE3935"/>
    <w:rsid w:val="00DE3972"/>
    <w:rsid w:val="00DE3C33"/>
    <w:rsid w:val="00DE3DC2"/>
    <w:rsid w:val="00DE3E56"/>
    <w:rsid w:val="00DE4320"/>
    <w:rsid w:val="00DE445E"/>
    <w:rsid w:val="00DE4904"/>
    <w:rsid w:val="00DE4B61"/>
    <w:rsid w:val="00DE4E99"/>
    <w:rsid w:val="00DE5121"/>
    <w:rsid w:val="00DE543D"/>
    <w:rsid w:val="00DE567D"/>
    <w:rsid w:val="00DE571F"/>
    <w:rsid w:val="00DE584C"/>
    <w:rsid w:val="00DE5B56"/>
    <w:rsid w:val="00DE5CA1"/>
    <w:rsid w:val="00DE5F64"/>
    <w:rsid w:val="00DE6035"/>
    <w:rsid w:val="00DE6181"/>
    <w:rsid w:val="00DE61AD"/>
    <w:rsid w:val="00DE65D8"/>
    <w:rsid w:val="00DE6C4A"/>
    <w:rsid w:val="00DE6D8C"/>
    <w:rsid w:val="00DE6FBD"/>
    <w:rsid w:val="00DE7021"/>
    <w:rsid w:val="00DE706F"/>
    <w:rsid w:val="00DE7186"/>
    <w:rsid w:val="00DE71A5"/>
    <w:rsid w:val="00DE725B"/>
    <w:rsid w:val="00DE733C"/>
    <w:rsid w:val="00DE795B"/>
    <w:rsid w:val="00DE7974"/>
    <w:rsid w:val="00DE7B8C"/>
    <w:rsid w:val="00DF02E7"/>
    <w:rsid w:val="00DF04AD"/>
    <w:rsid w:val="00DF05A7"/>
    <w:rsid w:val="00DF0673"/>
    <w:rsid w:val="00DF0973"/>
    <w:rsid w:val="00DF0D33"/>
    <w:rsid w:val="00DF0E34"/>
    <w:rsid w:val="00DF0F50"/>
    <w:rsid w:val="00DF143D"/>
    <w:rsid w:val="00DF179E"/>
    <w:rsid w:val="00DF1AC6"/>
    <w:rsid w:val="00DF1CA1"/>
    <w:rsid w:val="00DF1D91"/>
    <w:rsid w:val="00DF1E75"/>
    <w:rsid w:val="00DF21B2"/>
    <w:rsid w:val="00DF238B"/>
    <w:rsid w:val="00DF26D0"/>
    <w:rsid w:val="00DF285C"/>
    <w:rsid w:val="00DF2931"/>
    <w:rsid w:val="00DF299B"/>
    <w:rsid w:val="00DF2A02"/>
    <w:rsid w:val="00DF2A8F"/>
    <w:rsid w:val="00DF2CA3"/>
    <w:rsid w:val="00DF2E6B"/>
    <w:rsid w:val="00DF3346"/>
    <w:rsid w:val="00DF334C"/>
    <w:rsid w:val="00DF394B"/>
    <w:rsid w:val="00DF3ADC"/>
    <w:rsid w:val="00DF3C39"/>
    <w:rsid w:val="00DF3C8E"/>
    <w:rsid w:val="00DF3CC0"/>
    <w:rsid w:val="00DF3E7A"/>
    <w:rsid w:val="00DF3E9C"/>
    <w:rsid w:val="00DF3F54"/>
    <w:rsid w:val="00DF3F62"/>
    <w:rsid w:val="00DF40CD"/>
    <w:rsid w:val="00DF4269"/>
    <w:rsid w:val="00DF44E9"/>
    <w:rsid w:val="00DF45C4"/>
    <w:rsid w:val="00DF4CF0"/>
    <w:rsid w:val="00DF512C"/>
    <w:rsid w:val="00DF5197"/>
    <w:rsid w:val="00DF5533"/>
    <w:rsid w:val="00DF553C"/>
    <w:rsid w:val="00DF5982"/>
    <w:rsid w:val="00DF5D5C"/>
    <w:rsid w:val="00DF5DA0"/>
    <w:rsid w:val="00DF5FF7"/>
    <w:rsid w:val="00DF6357"/>
    <w:rsid w:val="00DF6A10"/>
    <w:rsid w:val="00DF6D88"/>
    <w:rsid w:val="00DF6DDB"/>
    <w:rsid w:val="00DF701D"/>
    <w:rsid w:val="00DF7142"/>
    <w:rsid w:val="00DF71DF"/>
    <w:rsid w:val="00DF738E"/>
    <w:rsid w:val="00DF75C0"/>
    <w:rsid w:val="00DF7DA6"/>
    <w:rsid w:val="00DF7E8C"/>
    <w:rsid w:val="00E00075"/>
    <w:rsid w:val="00E000B5"/>
    <w:rsid w:val="00E00720"/>
    <w:rsid w:val="00E00824"/>
    <w:rsid w:val="00E008AF"/>
    <w:rsid w:val="00E00A07"/>
    <w:rsid w:val="00E00BC2"/>
    <w:rsid w:val="00E00CDE"/>
    <w:rsid w:val="00E00D38"/>
    <w:rsid w:val="00E00F24"/>
    <w:rsid w:val="00E00F3E"/>
    <w:rsid w:val="00E01523"/>
    <w:rsid w:val="00E016A0"/>
    <w:rsid w:val="00E016A1"/>
    <w:rsid w:val="00E01FD5"/>
    <w:rsid w:val="00E0218F"/>
    <w:rsid w:val="00E02207"/>
    <w:rsid w:val="00E02354"/>
    <w:rsid w:val="00E02681"/>
    <w:rsid w:val="00E02720"/>
    <w:rsid w:val="00E02871"/>
    <w:rsid w:val="00E028FA"/>
    <w:rsid w:val="00E02981"/>
    <w:rsid w:val="00E02B38"/>
    <w:rsid w:val="00E02D63"/>
    <w:rsid w:val="00E02D84"/>
    <w:rsid w:val="00E03302"/>
    <w:rsid w:val="00E03B04"/>
    <w:rsid w:val="00E04042"/>
    <w:rsid w:val="00E04396"/>
    <w:rsid w:val="00E0454C"/>
    <w:rsid w:val="00E0468C"/>
    <w:rsid w:val="00E046A1"/>
    <w:rsid w:val="00E047F1"/>
    <w:rsid w:val="00E05051"/>
    <w:rsid w:val="00E05184"/>
    <w:rsid w:val="00E051ED"/>
    <w:rsid w:val="00E05602"/>
    <w:rsid w:val="00E057C5"/>
    <w:rsid w:val="00E058A0"/>
    <w:rsid w:val="00E05917"/>
    <w:rsid w:val="00E05A72"/>
    <w:rsid w:val="00E05B6E"/>
    <w:rsid w:val="00E05B86"/>
    <w:rsid w:val="00E05E33"/>
    <w:rsid w:val="00E05EDD"/>
    <w:rsid w:val="00E06051"/>
    <w:rsid w:val="00E06097"/>
    <w:rsid w:val="00E063C1"/>
    <w:rsid w:val="00E063FE"/>
    <w:rsid w:val="00E067F6"/>
    <w:rsid w:val="00E07077"/>
    <w:rsid w:val="00E0745C"/>
    <w:rsid w:val="00E07759"/>
    <w:rsid w:val="00E07A4D"/>
    <w:rsid w:val="00E07A74"/>
    <w:rsid w:val="00E07D92"/>
    <w:rsid w:val="00E10296"/>
    <w:rsid w:val="00E10481"/>
    <w:rsid w:val="00E10502"/>
    <w:rsid w:val="00E1050A"/>
    <w:rsid w:val="00E1053F"/>
    <w:rsid w:val="00E10B34"/>
    <w:rsid w:val="00E10B9E"/>
    <w:rsid w:val="00E10F88"/>
    <w:rsid w:val="00E11198"/>
    <w:rsid w:val="00E11673"/>
    <w:rsid w:val="00E11A32"/>
    <w:rsid w:val="00E11B3D"/>
    <w:rsid w:val="00E11C7E"/>
    <w:rsid w:val="00E11F5A"/>
    <w:rsid w:val="00E120A3"/>
    <w:rsid w:val="00E1214B"/>
    <w:rsid w:val="00E12376"/>
    <w:rsid w:val="00E123C5"/>
    <w:rsid w:val="00E12583"/>
    <w:rsid w:val="00E125FA"/>
    <w:rsid w:val="00E12873"/>
    <w:rsid w:val="00E1295B"/>
    <w:rsid w:val="00E12B84"/>
    <w:rsid w:val="00E12C3D"/>
    <w:rsid w:val="00E12E37"/>
    <w:rsid w:val="00E13394"/>
    <w:rsid w:val="00E13513"/>
    <w:rsid w:val="00E137A0"/>
    <w:rsid w:val="00E13CF2"/>
    <w:rsid w:val="00E13ED2"/>
    <w:rsid w:val="00E13F29"/>
    <w:rsid w:val="00E14433"/>
    <w:rsid w:val="00E149AE"/>
    <w:rsid w:val="00E14B1C"/>
    <w:rsid w:val="00E14C7E"/>
    <w:rsid w:val="00E14F4C"/>
    <w:rsid w:val="00E151DE"/>
    <w:rsid w:val="00E15283"/>
    <w:rsid w:val="00E152DF"/>
    <w:rsid w:val="00E15301"/>
    <w:rsid w:val="00E15350"/>
    <w:rsid w:val="00E153B5"/>
    <w:rsid w:val="00E1559C"/>
    <w:rsid w:val="00E158AA"/>
    <w:rsid w:val="00E1593B"/>
    <w:rsid w:val="00E159A4"/>
    <w:rsid w:val="00E15A6F"/>
    <w:rsid w:val="00E15AF2"/>
    <w:rsid w:val="00E16039"/>
    <w:rsid w:val="00E1606A"/>
    <w:rsid w:val="00E162D0"/>
    <w:rsid w:val="00E165C7"/>
    <w:rsid w:val="00E16734"/>
    <w:rsid w:val="00E1691A"/>
    <w:rsid w:val="00E169EC"/>
    <w:rsid w:val="00E16C94"/>
    <w:rsid w:val="00E16CA3"/>
    <w:rsid w:val="00E16CD8"/>
    <w:rsid w:val="00E16F40"/>
    <w:rsid w:val="00E16F60"/>
    <w:rsid w:val="00E17023"/>
    <w:rsid w:val="00E1725A"/>
    <w:rsid w:val="00E174F7"/>
    <w:rsid w:val="00E175E2"/>
    <w:rsid w:val="00E1783D"/>
    <w:rsid w:val="00E17B24"/>
    <w:rsid w:val="00E17B42"/>
    <w:rsid w:val="00E17BAC"/>
    <w:rsid w:val="00E20094"/>
    <w:rsid w:val="00E20262"/>
    <w:rsid w:val="00E2048E"/>
    <w:rsid w:val="00E204B4"/>
    <w:rsid w:val="00E20630"/>
    <w:rsid w:val="00E207D0"/>
    <w:rsid w:val="00E209F4"/>
    <w:rsid w:val="00E21421"/>
    <w:rsid w:val="00E21A9D"/>
    <w:rsid w:val="00E21B41"/>
    <w:rsid w:val="00E21C30"/>
    <w:rsid w:val="00E21C9E"/>
    <w:rsid w:val="00E21EDA"/>
    <w:rsid w:val="00E21FC3"/>
    <w:rsid w:val="00E22036"/>
    <w:rsid w:val="00E22196"/>
    <w:rsid w:val="00E222D4"/>
    <w:rsid w:val="00E225A1"/>
    <w:rsid w:val="00E2274F"/>
    <w:rsid w:val="00E228E7"/>
    <w:rsid w:val="00E23553"/>
    <w:rsid w:val="00E23687"/>
    <w:rsid w:val="00E238FC"/>
    <w:rsid w:val="00E23CB5"/>
    <w:rsid w:val="00E23CF0"/>
    <w:rsid w:val="00E243BE"/>
    <w:rsid w:val="00E24479"/>
    <w:rsid w:val="00E24EEC"/>
    <w:rsid w:val="00E24F75"/>
    <w:rsid w:val="00E24F9F"/>
    <w:rsid w:val="00E25710"/>
    <w:rsid w:val="00E259A5"/>
    <w:rsid w:val="00E25B84"/>
    <w:rsid w:val="00E25BB7"/>
    <w:rsid w:val="00E25C32"/>
    <w:rsid w:val="00E25D9A"/>
    <w:rsid w:val="00E25F2D"/>
    <w:rsid w:val="00E26046"/>
    <w:rsid w:val="00E26080"/>
    <w:rsid w:val="00E261FE"/>
    <w:rsid w:val="00E2656B"/>
    <w:rsid w:val="00E26850"/>
    <w:rsid w:val="00E2685E"/>
    <w:rsid w:val="00E26A7C"/>
    <w:rsid w:val="00E26EB8"/>
    <w:rsid w:val="00E26FAD"/>
    <w:rsid w:val="00E27090"/>
    <w:rsid w:val="00E270CD"/>
    <w:rsid w:val="00E271CD"/>
    <w:rsid w:val="00E272DD"/>
    <w:rsid w:val="00E27E70"/>
    <w:rsid w:val="00E3009C"/>
    <w:rsid w:val="00E3028F"/>
    <w:rsid w:val="00E3032D"/>
    <w:rsid w:val="00E30459"/>
    <w:rsid w:val="00E304BC"/>
    <w:rsid w:val="00E30602"/>
    <w:rsid w:val="00E30678"/>
    <w:rsid w:val="00E3099C"/>
    <w:rsid w:val="00E30C47"/>
    <w:rsid w:val="00E30F1D"/>
    <w:rsid w:val="00E30F7C"/>
    <w:rsid w:val="00E3102A"/>
    <w:rsid w:val="00E31298"/>
    <w:rsid w:val="00E31324"/>
    <w:rsid w:val="00E314EB"/>
    <w:rsid w:val="00E317E2"/>
    <w:rsid w:val="00E31800"/>
    <w:rsid w:val="00E31AE4"/>
    <w:rsid w:val="00E31B32"/>
    <w:rsid w:val="00E31D24"/>
    <w:rsid w:val="00E31D28"/>
    <w:rsid w:val="00E3217F"/>
    <w:rsid w:val="00E325D2"/>
    <w:rsid w:val="00E328CD"/>
    <w:rsid w:val="00E3293F"/>
    <w:rsid w:val="00E32C6E"/>
    <w:rsid w:val="00E32D14"/>
    <w:rsid w:val="00E32F4D"/>
    <w:rsid w:val="00E330F4"/>
    <w:rsid w:val="00E3331F"/>
    <w:rsid w:val="00E334FA"/>
    <w:rsid w:val="00E33561"/>
    <w:rsid w:val="00E3362B"/>
    <w:rsid w:val="00E33B27"/>
    <w:rsid w:val="00E33D2A"/>
    <w:rsid w:val="00E33DCA"/>
    <w:rsid w:val="00E33E40"/>
    <w:rsid w:val="00E33F49"/>
    <w:rsid w:val="00E3419F"/>
    <w:rsid w:val="00E34373"/>
    <w:rsid w:val="00E343B4"/>
    <w:rsid w:val="00E343FE"/>
    <w:rsid w:val="00E344A6"/>
    <w:rsid w:val="00E34508"/>
    <w:rsid w:val="00E3450E"/>
    <w:rsid w:val="00E34603"/>
    <w:rsid w:val="00E347E4"/>
    <w:rsid w:val="00E34823"/>
    <w:rsid w:val="00E348DD"/>
    <w:rsid w:val="00E34958"/>
    <w:rsid w:val="00E34BDB"/>
    <w:rsid w:val="00E34EDD"/>
    <w:rsid w:val="00E35037"/>
    <w:rsid w:val="00E353C4"/>
    <w:rsid w:val="00E35402"/>
    <w:rsid w:val="00E35919"/>
    <w:rsid w:val="00E359AB"/>
    <w:rsid w:val="00E360D4"/>
    <w:rsid w:val="00E362C3"/>
    <w:rsid w:val="00E36595"/>
    <w:rsid w:val="00E36648"/>
    <w:rsid w:val="00E36B63"/>
    <w:rsid w:val="00E36BFC"/>
    <w:rsid w:val="00E3718E"/>
    <w:rsid w:val="00E3738E"/>
    <w:rsid w:val="00E3759E"/>
    <w:rsid w:val="00E37AC6"/>
    <w:rsid w:val="00E37F4D"/>
    <w:rsid w:val="00E4008A"/>
    <w:rsid w:val="00E400AD"/>
    <w:rsid w:val="00E40370"/>
    <w:rsid w:val="00E403EA"/>
    <w:rsid w:val="00E404D8"/>
    <w:rsid w:val="00E40554"/>
    <w:rsid w:val="00E406F6"/>
    <w:rsid w:val="00E4075B"/>
    <w:rsid w:val="00E40769"/>
    <w:rsid w:val="00E40A37"/>
    <w:rsid w:val="00E40DE3"/>
    <w:rsid w:val="00E41044"/>
    <w:rsid w:val="00E4119C"/>
    <w:rsid w:val="00E41301"/>
    <w:rsid w:val="00E415B2"/>
    <w:rsid w:val="00E41617"/>
    <w:rsid w:val="00E4173F"/>
    <w:rsid w:val="00E41958"/>
    <w:rsid w:val="00E41D15"/>
    <w:rsid w:val="00E420B2"/>
    <w:rsid w:val="00E429C4"/>
    <w:rsid w:val="00E42A6C"/>
    <w:rsid w:val="00E42B84"/>
    <w:rsid w:val="00E42C5E"/>
    <w:rsid w:val="00E42D64"/>
    <w:rsid w:val="00E43131"/>
    <w:rsid w:val="00E4321E"/>
    <w:rsid w:val="00E43408"/>
    <w:rsid w:val="00E4363C"/>
    <w:rsid w:val="00E43732"/>
    <w:rsid w:val="00E439E7"/>
    <w:rsid w:val="00E43E8B"/>
    <w:rsid w:val="00E43EEB"/>
    <w:rsid w:val="00E44219"/>
    <w:rsid w:val="00E442A2"/>
    <w:rsid w:val="00E44606"/>
    <w:rsid w:val="00E4475C"/>
    <w:rsid w:val="00E448CD"/>
    <w:rsid w:val="00E44949"/>
    <w:rsid w:val="00E449AB"/>
    <w:rsid w:val="00E44A63"/>
    <w:rsid w:val="00E44C30"/>
    <w:rsid w:val="00E44C4A"/>
    <w:rsid w:val="00E44D61"/>
    <w:rsid w:val="00E44E33"/>
    <w:rsid w:val="00E44E62"/>
    <w:rsid w:val="00E450D3"/>
    <w:rsid w:val="00E452F5"/>
    <w:rsid w:val="00E456B5"/>
    <w:rsid w:val="00E45852"/>
    <w:rsid w:val="00E4586E"/>
    <w:rsid w:val="00E45F8F"/>
    <w:rsid w:val="00E4607B"/>
    <w:rsid w:val="00E46156"/>
    <w:rsid w:val="00E463C7"/>
    <w:rsid w:val="00E46515"/>
    <w:rsid w:val="00E4693F"/>
    <w:rsid w:val="00E469E2"/>
    <w:rsid w:val="00E46D53"/>
    <w:rsid w:val="00E46DB7"/>
    <w:rsid w:val="00E46EDD"/>
    <w:rsid w:val="00E46EE8"/>
    <w:rsid w:val="00E46F14"/>
    <w:rsid w:val="00E473F3"/>
    <w:rsid w:val="00E4764F"/>
    <w:rsid w:val="00E4798F"/>
    <w:rsid w:val="00E47C09"/>
    <w:rsid w:val="00E47D53"/>
    <w:rsid w:val="00E47DEB"/>
    <w:rsid w:val="00E47E12"/>
    <w:rsid w:val="00E47F0B"/>
    <w:rsid w:val="00E500DC"/>
    <w:rsid w:val="00E500E3"/>
    <w:rsid w:val="00E501A8"/>
    <w:rsid w:val="00E501FC"/>
    <w:rsid w:val="00E502B1"/>
    <w:rsid w:val="00E502CF"/>
    <w:rsid w:val="00E503AC"/>
    <w:rsid w:val="00E509C2"/>
    <w:rsid w:val="00E50A66"/>
    <w:rsid w:val="00E50A9C"/>
    <w:rsid w:val="00E50ADE"/>
    <w:rsid w:val="00E50D04"/>
    <w:rsid w:val="00E50D57"/>
    <w:rsid w:val="00E50E17"/>
    <w:rsid w:val="00E50FD9"/>
    <w:rsid w:val="00E511B8"/>
    <w:rsid w:val="00E512E6"/>
    <w:rsid w:val="00E51339"/>
    <w:rsid w:val="00E51450"/>
    <w:rsid w:val="00E51A3F"/>
    <w:rsid w:val="00E52202"/>
    <w:rsid w:val="00E5230D"/>
    <w:rsid w:val="00E52416"/>
    <w:rsid w:val="00E52429"/>
    <w:rsid w:val="00E52632"/>
    <w:rsid w:val="00E52AA8"/>
    <w:rsid w:val="00E52D53"/>
    <w:rsid w:val="00E52F87"/>
    <w:rsid w:val="00E5315D"/>
    <w:rsid w:val="00E53595"/>
    <w:rsid w:val="00E535EC"/>
    <w:rsid w:val="00E53651"/>
    <w:rsid w:val="00E53923"/>
    <w:rsid w:val="00E53AAE"/>
    <w:rsid w:val="00E53BEA"/>
    <w:rsid w:val="00E53C8F"/>
    <w:rsid w:val="00E53CEF"/>
    <w:rsid w:val="00E53D62"/>
    <w:rsid w:val="00E5438C"/>
    <w:rsid w:val="00E5447D"/>
    <w:rsid w:val="00E5457F"/>
    <w:rsid w:val="00E54812"/>
    <w:rsid w:val="00E54BDD"/>
    <w:rsid w:val="00E5576A"/>
    <w:rsid w:val="00E55941"/>
    <w:rsid w:val="00E55995"/>
    <w:rsid w:val="00E559C3"/>
    <w:rsid w:val="00E55A7D"/>
    <w:rsid w:val="00E55CDD"/>
    <w:rsid w:val="00E56171"/>
    <w:rsid w:val="00E5627F"/>
    <w:rsid w:val="00E5643D"/>
    <w:rsid w:val="00E56509"/>
    <w:rsid w:val="00E56575"/>
    <w:rsid w:val="00E566A6"/>
    <w:rsid w:val="00E569BC"/>
    <w:rsid w:val="00E56FA2"/>
    <w:rsid w:val="00E576AE"/>
    <w:rsid w:val="00E5771C"/>
    <w:rsid w:val="00E57D47"/>
    <w:rsid w:val="00E57E1F"/>
    <w:rsid w:val="00E57F9B"/>
    <w:rsid w:val="00E6008F"/>
    <w:rsid w:val="00E60569"/>
    <w:rsid w:val="00E6077C"/>
    <w:rsid w:val="00E608D7"/>
    <w:rsid w:val="00E60903"/>
    <w:rsid w:val="00E60912"/>
    <w:rsid w:val="00E60A5E"/>
    <w:rsid w:val="00E60C40"/>
    <w:rsid w:val="00E60C6E"/>
    <w:rsid w:val="00E60D9D"/>
    <w:rsid w:val="00E60F5B"/>
    <w:rsid w:val="00E61360"/>
    <w:rsid w:val="00E61825"/>
    <w:rsid w:val="00E618DD"/>
    <w:rsid w:val="00E61A7B"/>
    <w:rsid w:val="00E61B1E"/>
    <w:rsid w:val="00E61BC6"/>
    <w:rsid w:val="00E61BCA"/>
    <w:rsid w:val="00E61F7D"/>
    <w:rsid w:val="00E62087"/>
    <w:rsid w:val="00E6264C"/>
    <w:rsid w:val="00E6296E"/>
    <w:rsid w:val="00E62C5B"/>
    <w:rsid w:val="00E62E24"/>
    <w:rsid w:val="00E63375"/>
    <w:rsid w:val="00E63398"/>
    <w:rsid w:val="00E63577"/>
    <w:rsid w:val="00E635EE"/>
    <w:rsid w:val="00E636AC"/>
    <w:rsid w:val="00E63881"/>
    <w:rsid w:val="00E638B1"/>
    <w:rsid w:val="00E63B08"/>
    <w:rsid w:val="00E63B31"/>
    <w:rsid w:val="00E63C5F"/>
    <w:rsid w:val="00E63CDF"/>
    <w:rsid w:val="00E63E80"/>
    <w:rsid w:val="00E63F6A"/>
    <w:rsid w:val="00E64089"/>
    <w:rsid w:val="00E6422D"/>
    <w:rsid w:val="00E64266"/>
    <w:rsid w:val="00E64494"/>
    <w:rsid w:val="00E647EA"/>
    <w:rsid w:val="00E64B51"/>
    <w:rsid w:val="00E64C23"/>
    <w:rsid w:val="00E64E19"/>
    <w:rsid w:val="00E657C2"/>
    <w:rsid w:val="00E65853"/>
    <w:rsid w:val="00E658C8"/>
    <w:rsid w:val="00E659D6"/>
    <w:rsid w:val="00E65B41"/>
    <w:rsid w:val="00E65DCA"/>
    <w:rsid w:val="00E660E9"/>
    <w:rsid w:val="00E66242"/>
    <w:rsid w:val="00E665C6"/>
    <w:rsid w:val="00E666AD"/>
    <w:rsid w:val="00E66A78"/>
    <w:rsid w:val="00E66C9C"/>
    <w:rsid w:val="00E66E71"/>
    <w:rsid w:val="00E66FC6"/>
    <w:rsid w:val="00E6707C"/>
    <w:rsid w:val="00E67186"/>
    <w:rsid w:val="00E672D8"/>
    <w:rsid w:val="00E673CB"/>
    <w:rsid w:val="00E67ADF"/>
    <w:rsid w:val="00E67C75"/>
    <w:rsid w:val="00E67CBA"/>
    <w:rsid w:val="00E67DF4"/>
    <w:rsid w:val="00E702C0"/>
    <w:rsid w:val="00E70649"/>
    <w:rsid w:val="00E70815"/>
    <w:rsid w:val="00E70981"/>
    <w:rsid w:val="00E70D79"/>
    <w:rsid w:val="00E70DB8"/>
    <w:rsid w:val="00E70E10"/>
    <w:rsid w:val="00E70F0C"/>
    <w:rsid w:val="00E70F26"/>
    <w:rsid w:val="00E71015"/>
    <w:rsid w:val="00E71107"/>
    <w:rsid w:val="00E715CA"/>
    <w:rsid w:val="00E715D8"/>
    <w:rsid w:val="00E71819"/>
    <w:rsid w:val="00E71831"/>
    <w:rsid w:val="00E71966"/>
    <w:rsid w:val="00E71E5E"/>
    <w:rsid w:val="00E71FEC"/>
    <w:rsid w:val="00E7212C"/>
    <w:rsid w:val="00E72143"/>
    <w:rsid w:val="00E721AA"/>
    <w:rsid w:val="00E721C5"/>
    <w:rsid w:val="00E7223C"/>
    <w:rsid w:val="00E72298"/>
    <w:rsid w:val="00E726E7"/>
    <w:rsid w:val="00E72A20"/>
    <w:rsid w:val="00E72DA7"/>
    <w:rsid w:val="00E73189"/>
    <w:rsid w:val="00E73223"/>
    <w:rsid w:val="00E73290"/>
    <w:rsid w:val="00E7360B"/>
    <w:rsid w:val="00E73B13"/>
    <w:rsid w:val="00E73CBF"/>
    <w:rsid w:val="00E73F6A"/>
    <w:rsid w:val="00E74340"/>
    <w:rsid w:val="00E74A49"/>
    <w:rsid w:val="00E74B90"/>
    <w:rsid w:val="00E74B9F"/>
    <w:rsid w:val="00E74ECE"/>
    <w:rsid w:val="00E7509A"/>
    <w:rsid w:val="00E750FE"/>
    <w:rsid w:val="00E7528E"/>
    <w:rsid w:val="00E75312"/>
    <w:rsid w:val="00E753A3"/>
    <w:rsid w:val="00E754C3"/>
    <w:rsid w:val="00E75672"/>
    <w:rsid w:val="00E758ED"/>
    <w:rsid w:val="00E75982"/>
    <w:rsid w:val="00E75A88"/>
    <w:rsid w:val="00E75B3E"/>
    <w:rsid w:val="00E75CAB"/>
    <w:rsid w:val="00E75D02"/>
    <w:rsid w:val="00E75D38"/>
    <w:rsid w:val="00E75DED"/>
    <w:rsid w:val="00E75F85"/>
    <w:rsid w:val="00E760C5"/>
    <w:rsid w:val="00E7643F"/>
    <w:rsid w:val="00E765EB"/>
    <w:rsid w:val="00E76906"/>
    <w:rsid w:val="00E769AC"/>
    <w:rsid w:val="00E769CA"/>
    <w:rsid w:val="00E76ADA"/>
    <w:rsid w:val="00E76C3D"/>
    <w:rsid w:val="00E76C57"/>
    <w:rsid w:val="00E76CCE"/>
    <w:rsid w:val="00E76D53"/>
    <w:rsid w:val="00E77063"/>
    <w:rsid w:val="00E77080"/>
    <w:rsid w:val="00E77736"/>
    <w:rsid w:val="00E778A7"/>
    <w:rsid w:val="00E779B4"/>
    <w:rsid w:val="00E77B48"/>
    <w:rsid w:val="00E77DB7"/>
    <w:rsid w:val="00E77E7E"/>
    <w:rsid w:val="00E77F00"/>
    <w:rsid w:val="00E80870"/>
    <w:rsid w:val="00E80902"/>
    <w:rsid w:val="00E809B8"/>
    <w:rsid w:val="00E80A39"/>
    <w:rsid w:val="00E81235"/>
    <w:rsid w:val="00E81344"/>
    <w:rsid w:val="00E8145D"/>
    <w:rsid w:val="00E816AC"/>
    <w:rsid w:val="00E816E2"/>
    <w:rsid w:val="00E81B10"/>
    <w:rsid w:val="00E81B7D"/>
    <w:rsid w:val="00E81D07"/>
    <w:rsid w:val="00E81EA2"/>
    <w:rsid w:val="00E81FE4"/>
    <w:rsid w:val="00E82348"/>
    <w:rsid w:val="00E82482"/>
    <w:rsid w:val="00E82677"/>
    <w:rsid w:val="00E82694"/>
    <w:rsid w:val="00E829D7"/>
    <w:rsid w:val="00E82B68"/>
    <w:rsid w:val="00E82C1F"/>
    <w:rsid w:val="00E82D89"/>
    <w:rsid w:val="00E82DE4"/>
    <w:rsid w:val="00E82FA5"/>
    <w:rsid w:val="00E830E4"/>
    <w:rsid w:val="00E83262"/>
    <w:rsid w:val="00E83324"/>
    <w:rsid w:val="00E8346D"/>
    <w:rsid w:val="00E83567"/>
    <w:rsid w:val="00E835DE"/>
    <w:rsid w:val="00E83730"/>
    <w:rsid w:val="00E83857"/>
    <w:rsid w:val="00E83A77"/>
    <w:rsid w:val="00E84084"/>
    <w:rsid w:val="00E84188"/>
    <w:rsid w:val="00E84753"/>
    <w:rsid w:val="00E8484D"/>
    <w:rsid w:val="00E84F6B"/>
    <w:rsid w:val="00E85036"/>
    <w:rsid w:val="00E852FE"/>
    <w:rsid w:val="00E854C4"/>
    <w:rsid w:val="00E85640"/>
    <w:rsid w:val="00E858E7"/>
    <w:rsid w:val="00E85B86"/>
    <w:rsid w:val="00E861B3"/>
    <w:rsid w:val="00E861D4"/>
    <w:rsid w:val="00E868D2"/>
    <w:rsid w:val="00E86924"/>
    <w:rsid w:val="00E86A03"/>
    <w:rsid w:val="00E86CF5"/>
    <w:rsid w:val="00E86DF7"/>
    <w:rsid w:val="00E86E65"/>
    <w:rsid w:val="00E872F6"/>
    <w:rsid w:val="00E876CE"/>
    <w:rsid w:val="00E87CA4"/>
    <w:rsid w:val="00E87DA9"/>
    <w:rsid w:val="00E87F29"/>
    <w:rsid w:val="00E87FF4"/>
    <w:rsid w:val="00E902CC"/>
    <w:rsid w:val="00E904AC"/>
    <w:rsid w:val="00E90807"/>
    <w:rsid w:val="00E9093F"/>
    <w:rsid w:val="00E90B70"/>
    <w:rsid w:val="00E90C75"/>
    <w:rsid w:val="00E90EF9"/>
    <w:rsid w:val="00E91010"/>
    <w:rsid w:val="00E910BA"/>
    <w:rsid w:val="00E91560"/>
    <w:rsid w:val="00E91562"/>
    <w:rsid w:val="00E91670"/>
    <w:rsid w:val="00E9179F"/>
    <w:rsid w:val="00E917CC"/>
    <w:rsid w:val="00E917FF"/>
    <w:rsid w:val="00E919D8"/>
    <w:rsid w:val="00E91A8F"/>
    <w:rsid w:val="00E91C15"/>
    <w:rsid w:val="00E91C2C"/>
    <w:rsid w:val="00E91FE3"/>
    <w:rsid w:val="00E922E2"/>
    <w:rsid w:val="00E9247E"/>
    <w:rsid w:val="00E92820"/>
    <w:rsid w:val="00E929A8"/>
    <w:rsid w:val="00E92B18"/>
    <w:rsid w:val="00E92D51"/>
    <w:rsid w:val="00E92DEF"/>
    <w:rsid w:val="00E9358A"/>
    <w:rsid w:val="00E935D9"/>
    <w:rsid w:val="00E939B9"/>
    <w:rsid w:val="00E93B29"/>
    <w:rsid w:val="00E93F38"/>
    <w:rsid w:val="00E94240"/>
    <w:rsid w:val="00E94306"/>
    <w:rsid w:val="00E94E53"/>
    <w:rsid w:val="00E95019"/>
    <w:rsid w:val="00E95B3C"/>
    <w:rsid w:val="00E95C77"/>
    <w:rsid w:val="00E95C98"/>
    <w:rsid w:val="00E95CBD"/>
    <w:rsid w:val="00E96701"/>
    <w:rsid w:val="00E96766"/>
    <w:rsid w:val="00E967D4"/>
    <w:rsid w:val="00E9686A"/>
    <w:rsid w:val="00E969E9"/>
    <w:rsid w:val="00E96EF0"/>
    <w:rsid w:val="00E96F9E"/>
    <w:rsid w:val="00E970CB"/>
    <w:rsid w:val="00E97367"/>
    <w:rsid w:val="00E97528"/>
    <w:rsid w:val="00E975D3"/>
    <w:rsid w:val="00E97B64"/>
    <w:rsid w:val="00E97F5D"/>
    <w:rsid w:val="00EA0008"/>
    <w:rsid w:val="00EA0022"/>
    <w:rsid w:val="00EA012A"/>
    <w:rsid w:val="00EA0404"/>
    <w:rsid w:val="00EA0426"/>
    <w:rsid w:val="00EA092D"/>
    <w:rsid w:val="00EA0AFA"/>
    <w:rsid w:val="00EA0B5F"/>
    <w:rsid w:val="00EA0E81"/>
    <w:rsid w:val="00EA1373"/>
    <w:rsid w:val="00EA140D"/>
    <w:rsid w:val="00EA157F"/>
    <w:rsid w:val="00EA193B"/>
    <w:rsid w:val="00EA1C16"/>
    <w:rsid w:val="00EA1F82"/>
    <w:rsid w:val="00EA236C"/>
    <w:rsid w:val="00EA238B"/>
    <w:rsid w:val="00EA26FC"/>
    <w:rsid w:val="00EA2846"/>
    <w:rsid w:val="00EA2A91"/>
    <w:rsid w:val="00EA2F87"/>
    <w:rsid w:val="00EA3099"/>
    <w:rsid w:val="00EA3187"/>
    <w:rsid w:val="00EA3479"/>
    <w:rsid w:val="00EA35D5"/>
    <w:rsid w:val="00EA363F"/>
    <w:rsid w:val="00EA370E"/>
    <w:rsid w:val="00EA3837"/>
    <w:rsid w:val="00EA3B32"/>
    <w:rsid w:val="00EA3BE6"/>
    <w:rsid w:val="00EA3D52"/>
    <w:rsid w:val="00EA437D"/>
    <w:rsid w:val="00EA443A"/>
    <w:rsid w:val="00EA4456"/>
    <w:rsid w:val="00EA4C43"/>
    <w:rsid w:val="00EA4CB8"/>
    <w:rsid w:val="00EA4D58"/>
    <w:rsid w:val="00EA4FC1"/>
    <w:rsid w:val="00EA511D"/>
    <w:rsid w:val="00EA5425"/>
    <w:rsid w:val="00EA54B2"/>
    <w:rsid w:val="00EA54C8"/>
    <w:rsid w:val="00EA5761"/>
    <w:rsid w:val="00EA5A2C"/>
    <w:rsid w:val="00EA5AEE"/>
    <w:rsid w:val="00EA60F5"/>
    <w:rsid w:val="00EA6113"/>
    <w:rsid w:val="00EA656F"/>
    <w:rsid w:val="00EA6657"/>
    <w:rsid w:val="00EA675E"/>
    <w:rsid w:val="00EA6966"/>
    <w:rsid w:val="00EA6A72"/>
    <w:rsid w:val="00EA6AD7"/>
    <w:rsid w:val="00EA6AF8"/>
    <w:rsid w:val="00EA6E19"/>
    <w:rsid w:val="00EA6E7D"/>
    <w:rsid w:val="00EA707D"/>
    <w:rsid w:val="00EA711D"/>
    <w:rsid w:val="00EA73BD"/>
    <w:rsid w:val="00EA73C8"/>
    <w:rsid w:val="00EA7559"/>
    <w:rsid w:val="00EA75D4"/>
    <w:rsid w:val="00EA77FA"/>
    <w:rsid w:val="00EA7994"/>
    <w:rsid w:val="00EA7BA1"/>
    <w:rsid w:val="00EB006C"/>
    <w:rsid w:val="00EB0095"/>
    <w:rsid w:val="00EB0179"/>
    <w:rsid w:val="00EB029E"/>
    <w:rsid w:val="00EB02AA"/>
    <w:rsid w:val="00EB02D7"/>
    <w:rsid w:val="00EB0322"/>
    <w:rsid w:val="00EB0575"/>
    <w:rsid w:val="00EB0A05"/>
    <w:rsid w:val="00EB0A50"/>
    <w:rsid w:val="00EB0A8C"/>
    <w:rsid w:val="00EB11C4"/>
    <w:rsid w:val="00EB1513"/>
    <w:rsid w:val="00EB15DB"/>
    <w:rsid w:val="00EB1705"/>
    <w:rsid w:val="00EB187B"/>
    <w:rsid w:val="00EB1A47"/>
    <w:rsid w:val="00EB1E78"/>
    <w:rsid w:val="00EB1FF1"/>
    <w:rsid w:val="00EB2203"/>
    <w:rsid w:val="00EB2317"/>
    <w:rsid w:val="00EB2389"/>
    <w:rsid w:val="00EB27CD"/>
    <w:rsid w:val="00EB2853"/>
    <w:rsid w:val="00EB299F"/>
    <w:rsid w:val="00EB2CA8"/>
    <w:rsid w:val="00EB2DD0"/>
    <w:rsid w:val="00EB3029"/>
    <w:rsid w:val="00EB311D"/>
    <w:rsid w:val="00EB3289"/>
    <w:rsid w:val="00EB33B6"/>
    <w:rsid w:val="00EB33CE"/>
    <w:rsid w:val="00EB3511"/>
    <w:rsid w:val="00EB3535"/>
    <w:rsid w:val="00EB366B"/>
    <w:rsid w:val="00EB3762"/>
    <w:rsid w:val="00EB3F20"/>
    <w:rsid w:val="00EB40CB"/>
    <w:rsid w:val="00EB4336"/>
    <w:rsid w:val="00EB4491"/>
    <w:rsid w:val="00EB4534"/>
    <w:rsid w:val="00EB52CB"/>
    <w:rsid w:val="00EB53BF"/>
    <w:rsid w:val="00EB541D"/>
    <w:rsid w:val="00EB54AE"/>
    <w:rsid w:val="00EB54D4"/>
    <w:rsid w:val="00EB5520"/>
    <w:rsid w:val="00EB56C7"/>
    <w:rsid w:val="00EB5803"/>
    <w:rsid w:val="00EB5A01"/>
    <w:rsid w:val="00EB5AE8"/>
    <w:rsid w:val="00EB5B5E"/>
    <w:rsid w:val="00EB5CD9"/>
    <w:rsid w:val="00EB5F84"/>
    <w:rsid w:val="00EB6840"/>
    <w:rsid w:val="00EB6A77"/>
    <w:rsid w:val="00EB6D60"/>
    <w:rsid w:val="00EB6F6C"/>
    <w:rsid w:val="00EB7005"/>
    <w:rsid w:val="00EB72A8"/>
    <w:rsid w:val="00EB75C1"/>
    <w:rsid w:val="00EB7848"/>
    <w:rsid w:val="00EB7897"/>
    <w:rsid w:val="00EB79E9"/>
    <w:rsid w:val="00EB7A58"/>
    <w:rsid w:val="00EB7BB0"/>
    <w:rsid w:val="00EB7D95"/>
    <w:rsid w:val="00EB7D9D"/>
    <w:rsid w:val="00EB7F8B"/>
    <w:rsid w:val="00EC00D6"/>
    <w:rsid w:val="00EC031F"/>
    <w:rsid w:val="00EC0369"/>
    <w:rsid w:val="00EC03F6"/>
    <w:rsid w:val="00EC0816"/>
    <w:rsid w:val="00EC0B21"/>
    <w:rsid w:val="00EC0BD7"/>
    <w:rsid w:val="00EC0CA0"/>
    <w:rsid w:val="00EC0EB5"/>
    <w:rsid w:val="00EC1029"/>
    <w:rsid w:val="00EC116E"/>
    <w:rsid w:val="00EC14E7"/>
    <w:rsid w:val="00EC156B"/>
    <w:rsid w:val="00EC1CED"/>
    <w:rsid w:val="00EC1D37"/>
    <w:rsid w:val="00EC1D5D"/>
    <w:rsid w:val="00EC217A"/>
    <w:rsid w:val="00EC21BD"/>
    <w:rsid w:val="00EC226B"/>
    <w:rsid w:val="00EC22AE"/>
    <w:rsid w:val="00EC22B9"/>
    <w:rsid w:val="00EC2318"/>
    <w:rsid w:val="00EC2457"/>
    <w:rsid w:val="00EC251A"/>
    <w:rsid w:val="00EC2664"/>
    <w:rsid w:val="00EC2A40"/>
    <w:rsid w:val="00EC3015"/>
    <w:rsid w:val="00EC3038"/>
    <w:rsid w:val="00EC324E"/>
    <w:rsid w:val="00EC3473"/>
    <w:rsid w:val="00EC35AC"/>
    <w:rsid w:val="00EC3BD8"/>
    <w:rsid w:val="00EC3D59"/>
    <w:rsid w:val="00EC3F59"/>
    <w:rsid w:val="00EC425F"/>
    <w:rsid w:val="00EC4324"/>
    <w:rsid w:val="00EC4387"/>
    <w:rsid w:val="00EC4532"/>
    <w:rsid w:val="00EC4548"/>
    <w:rsid w:val="00EC45C4"/>
    <w:rsid w:val="00EC48CA"/>
    <w:rsid w:val="00EC4B17"/>
    <w:rsid w:val="00EC4B6B"/>
    <w:rsid w:val="00EC4BAB"/>
    <w:rsid w:val="00EC4D47"/>
    <w:rsid w:val="00EC4E58"/>
    <w:rsid w:val="00EC4FC6"/>
    <w:rsid w:val="00EC503F"/>
    <w:rsid w:val="00EC5271"/>
    <w:rsid w:val="00EC553B"/>
    <w:rsid w:val="00EC59E5"/>
    <w:rsid w:val="00EC5A6D"/>
    <w:rsid w:val="00EC5A79"/>
    <w:rsid w:val="00EC5B68"/>
    <w:rsid w:val="00EC5CC0"/>
    <w:rsid w:val="00EC5E51"/>
    <w:rsid w:val="00EC61C0"/>
    <w:rsid w:val="00EC62C8"/>
    <w:rsid w:val="00EC62DC"/>
    <w:rsid w:val="00EC62F6"/>
    <w:rsid w:val="00EC67C7"/>
    <w:rsid w:val="00EC67F0"/>
    <w:rsid w:val="00EC68DC"/>
    <w:rsid w:val="00EC6941"/>
    <w:rsid w:val="00EC6AB8"/>
    <w:rsid w:val="00EC6F9C"/>
    <w:rsid w:val="00EC7121"/>
    <w:rsid w:val="00EC737A"/>
    <w:rsid w:val="00EC74CE"/>
    <w:rsid w:val="00EC7723"/>
    <w:rsid w:val="00EC7895"/>
    <w:rsid w:val="00EC7A7F"/>
    <w:rsid w:val="00EC7FBD"/>
    <w:rsid w:val="00ED0278"/>
    <w:rsid w:val="00ED0B37"/>
    <w:rsid w:val="00ED154D"/>
    <w:rsid w:val="00ED17CB"/>
    <w:rsid w:val="00ED197B"/>
    <w:rsid w:val="00ED19B3"/>
    <w:rsid w:val="00ED23F8"/>
    <w:rsid w:val="00ED24CA"/>
    <w:rsid w:val="00ED25B0"/>
    <w:rsid w:val="00ED2755"/>
    <w:rsid w:val="00ED2856"/>
    <w:rsid w:val="00ED2944"/>
    <w:rsid w:val="00ED2CB1"/>
    <w:rsid w:val="00ED2E6B"/>
    <w:rsid w:val="00ED2F56"/>
    <w:rsid w:val="00ED33C6"/>
    <w:rsid w:val="00ED3734"/>
    <w:rsid w:val="00ED4100"/>
    <w:rsid w:val="00ED42B7"/>
    <w:rsid w:val="00ED4326"/>
    <w:rsid w:val="00ED44EA"/>
    <w:rsid w:val="00ED470F"/>
    <w:rsid w:val="00ED47FB"/>
    <w:rsid w:val="00ED4B5C"/>
    <w:rsid w:val="00ED4B89"/>
    <w:rsid w:val="00ED4FC7"/>
    <w:rsid w:val="00ED5934"/>
    <w:rsid w:val="00ED5A1A"/>
    <w:rsid w:val="00ED5BEE"/>
    <w:rsid w:val="00ED5E88"/>
    <w:rsid w:val="00ED5FA2"/>
    <w:rsid w:val="00ED6144"/>
    <w:rsid w:val="00ED61F9"/>
    <w:rsid w:val="00ED64A8"/>
    <w:rsid w:val="00ED6BC3"/>
    <w:rsid w:val="00ED6C68"/>
    <w:rsid w:val="00ED6D58"/>
    <w:rsid w:val="00ED6D9D"/>
    <w:rsid w:val="00ED7253"/>
    <w:rsid w:val="00ED73FE"/>
    <w:rsid w:val="00ED741F"/>
    <w:rsid w:val="00ED74A0"/>
    <w:rsid w:val="00ED7650"/>
    <w:rsid w:val="00ED76C5"/>
    <w:rsid w:val="00ED77AF"/>
    <w:rsid w:val="00ED7897"/>
    <w:rsid w:val="00ED7DC8"/>
    <w:rsid w:val="00EE025C"/>
    <w:rsid w:val="00EE02A7"/>
    <w:rsid w:val="00EE0342"/>
    <w:rsid w:val="00EE0859"/>
    <w:rsid w:val="00EE0E78"/>
    <w:rsid w:val="00EE104A"/>
    <w:rsid w:val="00EE1231"/>
    <w:rsid w:val="00EE1398"/>
    <w:rsid w:val="00EE14F3"/>
    <w:rsid w:val="00EE16BB"/>
    <w:rsid w:val="00EE16CE"/>
    <w:rsid w:val="00EE1972"/>
    <w:rsid w:val="00EE1FF6"/>
    <w:rsid w:val="00EE2130"/>
    <w:rsid w:val="00EE2DC3"/>
    <w:rsid w:val="00EE2DEE"/>
    <w:rsid w:val="00EE2E7A"/>
    <w:rsid w:val="00EE347C"/>
    <w:rsid w:val="00EE3536"/>
    <w:rsid w:val="00EE3543"/>
    <w:rsid w:val="00EE3671"/>
    <w:rsid w:val="00EE378C"/>
    <w:rsid w:val="00EE3C28"/>
    <w:rsid w:val="00EE42F5"/>
    <w:rsid w:val="00EE46B8"/>
    <w:rsid w:val="00EE4D58"/>
    <w:rsid w:val="00EE4F51"/>
    <w:rsid w:val="00EE4FFF"/>
    <w:rsid w:val="00EE553E"/>
    <w:rsid w:val="00EE55DE"/>
    <w:rsid w:val="00EE560E"/>
    <w:rsid w:val="00EE5991"/>
    <w:rsid w:val="00EE5C67"/>
    <w:rsid w:val="00EE5FC1"/>
    <w:rsid w:val="00EE5FF1"/>
    <w:rsid w:val="00EE60DA"/>
    <w:rsid w:val="00EE616B"/>
    <w:rsid w:val="00EE61ED"/>
    <w:rsid w:val="00EE6224"/>
    <w:rsid w:val="00EE62B1"/>
    <w:rsid w:val="00EE637B"/>
    <w:rsid w:val="00EE6919"/>
    <w:rsid w:val="00EE6978"/>
    <w:rsid w:val="00EE6A01"/>
    <w:rsid w:val="00EE6B5B"/>
    <w:rsid w:val="00EE6BFB"/>
    <w:rsid w:val="00EE6D13"/>
    <w:rsid w:val="00EE6F5F"/>
    <w:rsid w:val="00EE7142"/>
    <w:rsid w:val="00EE7359"/>
    <w:rsid w:val="00EE7598"/>
    <w:rsid w:val="00EE773A"/>
    <w:rsid w:val="00EE7769"/>
    <w:rsid w:val="00EE799C"/>
    <w:rsid w:val="00EE7A5B"/>
    <w:rsid w:val="00EE7D91"/>
    <w:rsid w:val="00EF0381"/>
    <w:rsid w:val="00EF0477"/>
    <w:rsid w:val="00EF06BC"/>
    <w:rsid w:val="00EF0AD4"/>
    <w:rsid w:val="00EF0E19"/>
    <w:rsid w:val="00EF0E24"/>
    <w:rsid w:val="00EF0E63"/>
    <w:rsid w:val="00EF101E"/>
    <w:rsid w:val="00EF1147"/>
    <w:rsid w:val="00EF12A9"/>
    <w:rsid w:val="00EF152A"/>
    <w:rsid w:val="00EF16F5"/>
    <w:rsid w:val="00EF185B"/>
    <w:rsid w:val="00EF19F6"/>
    <w:rsid w:val="00EF1B0B"/>
    <w:rsid w:val="00EF1F72"/>
    <w:rsid w:val="00EF217E"/>
    <w:rsid w:val="00EF2BCF"/>
    <w:rsid w:val="00EF2CCF"/>
    <w:rsid w:val="00EF2E3A"/>
    <w:rsid w:val="00EF33B6"/>
    <w:rsid w:val="00EF358F"/>
    <w:rsid w:val="00EF37D0"/>
    <w:rsid w:val="00EF3821"/>
    <w:rsid w:val="00EF3937"/>
    <w:rsid w:val="00EF3C71"/>
    <w:rsid w:val="00EF3D9F"/>
    <w:rsid w:val="00EF3EAF"/>
    <w:rsid w:val="00EF3FBB"/>
    <w:rsid w:val="00EF4277"/>
    <w:rsid w:val="00EF427A"/>
    <w:rsid w:val="00EF436C"/>
    <w:rsid w:val="00EF43E0"/>
    <w:rsid w:val="00EF443B"/>
    <w:rsid w:val="00EF4522"/>
    <w:rsid w:val="00EF46F1"/>
    <w:rsid w:val="00EF4AC1"/>
    <w:rsid w:val="00EF4D67"/>
    <w:rsid w:val="00EF4EA7"/>
    <w:rsid w:val="00EF4F14"/>
    <w:rsid w:val="00EF5033"/>
    <w:rsid w:val="00EF50F8"/>
    <w:rsid w:val="00EF5433"/>
    <w:rsid w:val="00EF5A2B"/>
    <w:rsid w:val="00EF5D7F"/>
    <w:rsid w:val="00EF619B"/>
    <w:rsid w:val="00EF6562"/>
    <w:rsid w:val="00EF65E4"/>
    <w:rsid w:val="00EF68E3"/>
    <w:rsid w:val="00EF68F2"/>
    <w:rsid w:val="00EF6E12"/>
    <w:rsid w:val="00EF6F69"/>
    <w:rsid w:val="00EF734A"/>
    <w:rsid w:val="00EF743C"/>
    <w:rsid w:val="00EF7BCC"/>
    <w:rsid w:val="00EF7CE2"/>
    <w:rsid w:val="00EF7D18"/>
    <w:rsid w:val="00EF7DCB"/>
    <w:rsid w:val="00EF7FD1"/>
    <w:rsid w:val="00F000BF"/>
    <w:rsid w:val="00F00273"/>
    <w:rsid w:val="00F002B9"/>
    <w:rsid w:val="00F0066B"/>
    <w:rsid w:val="00F00928"/>
    <w:rsid w:val="00F00C2A"/>
    <w:rsid w:val="00F00FEC"/>
    <w:rsid w:val="00F01145"/>
    <w:rsid w:val="00F011BF"/>
    <w:rsid w:val="00F0137A"/>
    <w:rsid w:val="00F013FA"/>
    <w:rsid w:val="00F015D4"/>
    <w:rsid w:val="00F01C1E"/>
    <w:rsid w:val="00F01D9A"/>
    <w:rsid w:val="00F01FA1"/>
    <w:rsid w:val="00F020BE"/>
    <w:rsid w:val="00F02399"/>
    <w:rsid w:val="00F0256D"/>
    <w:rsid w:val="00F0260B"/>
    <w:rsid w:val="00F0263D"/>
    <w:rsid w:val="00F02891"/>
    <w:rsid w:val="00F02933"/>
    <w:rsid w:val="00F02EB6"/>
    <w:rsid w:val="00F0369A"/>
    <w:rsid w:val="00F0370D"/>
    <w:rsid w:val="00F0379B"/>
    <w:rsid w:val="00F039D2"/>
    <w:rsid w:val="00F03CEB"/>
    <w:rsid w:val="00F03D42"/>
    <w:rsid w:val="00F04269"/>
    <w:rsid w:val="00F04452"/>
    <w:rsid w:val="00F044B1"/>
    <w:rsid w:val="00F04585"/>
    <w:rsid w:val="00F04777"/>
    <w:rsid w:val="00F047EA"/>
    <w:rsid w:val="00F0484A"/>
    <w:rsid w:val="00F048C4"/>
    <w:rsid w:val="00F04AC6"/>
    <w:rsid w:val="00F04BD2"/>
    <w:rsid w:val="00F04DFA"/>
    <w:rsid w:val="00F0531C"/>
    <w:rsid w:val="00F056EA"/>
    <w:rsid w:val="00F057C5"/>
    <w:rsid w:val="00F05A1B"/>
    <w:rsid w:val="00F0631D"/>
    <w:rsid w:val="00F0639E"/>
    <w:rsid w:val="00F063FD"/>
    <w:rsid w:val="00F065F0"/>
    <w:rsid w:val="00F0688E"/>
    <w:rsid w:val="00F07074"/>
    <w:rsid w:val="00F073E5"/>
    <w:rsid w:val="00F073E7"/>
    <w:rsid w:val="00F07778"/>
    <w:rsid w:val="00F07ACD"/>
    <w:rsid w:val="00F07BA5"/>
    <w:rsid w:val="00F07D5F"/>
    <w:rsid w:val="00F07FE6"/>
    <w:rsid w:val="00F1014A"/>
    <w:rsid w:val="00F101AF"/>
    <w:rsid w:val="00F102D5"/>
    <w:rsid w:val="00F10850"/>
    <w:rsid w:val="00F10CB6"/>
    <w:rsid w:val="00F10E1C"/>
    <w:rsid w:val="00F10F89"/>
    <w:rsid w:val="00F10FFA"/>
    <w:rsid w:val="00F111D4"/>
    <w:rsid w:val="00F11265"/>
    <w:rsid w:val="00F11315"/>
    <w:rsid w:val="00F1163A"/>
    <w:rsid w:val="00F117F2"/>
    <w:rsid w:val="00F1190A"/>
    <w:rsid w:val="00F11B19"/>
    <w:rsid w:val="00F11B94"/>
    <w:rsid w:val="00F11F77"/>
    <w:rsid w:val="00F12365"/>
    <w:rsid w:val="00F125EB"/>
    <w:rsid w:val="00F12B9B"/>
    <w:rsid w:val="00F12CB4"/>
    <w:rsid w:val="00F12D87"/>
    <w:rsid w:val="00F12E86"/>
    <w:rsid w:val="00F12EED"/>
    <w:rsid w:val="00F130F0"/>
    <w:rsid w:val="00F1333C"/>
    <w:rsid w:val="00F133E3"/>
    <w:rsid w:val="00F134E4"/>
    <w:rsid w:val="00F1394B"/>
    <w:rsid w:val="00F13AEE"/>
    <w:rsid w:val="00F13B08"/>
    <w:rsid w:val="00F13BBE"/>
    <w:rsid w:val="00F13CA3"/>
    <w:rsid w:val="00F14640"/>
    <w:rsid w:val="00F147C8"/>
    <w:rsid w:val="00F1491C"/>
    <w:rsid w:val="00F1503F"/>
    <w:rsid w:val="00F1518B"/>
    <w:rsid w:val="00F156E1"/>
    <w:rsid w:val="00F1582A"/>
    <w:rsid w:val="00F15870"/>
    <w:rsid w:val="00F158AC"/>
    <w:rsid w:val="00F15930"/>
    <w:rsid w:val="00F1593C"/>
    <w:rsid w:val="00F15946"/>
    <w:rsid w:val="00F159E1"/>
    <w:rsid w:val="00F15BB2"/>
    <w:rsid w:val="00F15C8B"/>
    <w:rsid w:val="00F15E48"/>
    <w:rsid w:val="00F160B0"/>
    <w:rsid w:val="00F160C0"/>
    <w:rsid w:val="00F161DA"/>
    <w:rsid w:val="00F1623E"/>
    <w:rsid w:val="00F164BD"/>
    <w:rsid w:val="00F168D5"/>
    <w:rsid w:val="00F169D5"/>
    <w:rsid w:val="00F1708B"/>
    <w:rsid w:val="00F170D5"/>
    <w:rsid w:val="00F17706"/>
    <w:rsid w:val="00F17834"/>
    <w:rsid w:val="00F178A8"/>
    <w:rsid w:val="00F1793A"/>
    <w:rsid w:val="00F17A0B"/>
    <w:rsid w:val="00F17A67"/>
    <w:rsid w:val="00F17C98"/>
    <w:rsid w:val="00F200BA"/>
    <w:rsid w:val="00F203F4"/>
    <w:rsid w:val="00F206FF"/>
    <w:rsid w:val="00F208D4"/>
    <w:rsid w:val="00F209D7"/>
    <w:rsid w:val="00F20C07"/>
    <w:rsid w:val="00F20C71"/>
    <w:rsid w:val="00F20DF0"/>
    <w:rsid w:val="00F20F64"/>
    <w:rsid w:val="00F21980"/>
    <w:rsid w:val="00F21B91"/>
    <w:rsid w:val="00F21EAB"/>
    <w:rsid w:val="00F21FE7"/>
    <w:rsid w:val="00F220B2"/>
    <w:rsid w:val="00F22317"/>
    <w:rsid w:val="00F22535"/>
    <w:rsid w:val="00F2285B"/>
    <w:rsid w:val="00F22C2E"/>
    <w:rsid w:val="00F23013"/>
    <w:rsid w:val="00F230E9"/>
    <w:rsid w:val="00F234F1"/>
    <w:rsid w:val="00F2356C"/>
    <w:rsid w:val="00F235C1"/>
    <w:rsid w:val="00F2369C"/>
    <w:rsid w:val="00F23738"/>
    <w:rsid w:val="00F23B36"/>
    <w:rsid w:val="00F23DFC"/>
    <w:rsid w:val="00F23F63"/>
    <w:rsid w:val="00F2407C"/>
    <w:rsid w:val="00F2413C"/>
    <w:rsid w:val="00F24156"/>
    <w:rsid w:val="00F244CA"/>
    <w:rsid w:val="00F248B4"/>
    <w:rsid w:val="00F24B25"/>
    <w:rsid w:val="00F24BD0"/>
    <w:rsid w:val="00F24DB7"/>
    <w:rsid w:val="00F24E76"/>
    <w:rsid w:val="00F2543C"/>
    <w:rsid w:val="00F2561E"/>
    <w:rsid w:val="00F2564A"/>
    <w:rsid w:val="00F256E3"/>
    <w:rsid w:val="00F257EA"/>
    <w:rsid w:val="00F25C3C"/>
    <w:rsid w:val="00F25DD9"/>
    <w:rsid w:val="00F260EC"/>
    <w:rsid w:val="00F26342"/>
    <w:rsid w:val="00F26389"/>
    <w:rsid w:val="00F26614"/>
    <w:rsid w:val="00F271EE"/>
    <w:rsid w:val="00F301E2"/>
    <w:rsid w:val="00F30749"/>
    <w:rsid w:val="00F309A5"/>
    <w:rsid w:val="00F30A91"/>
    <w:rsid w:val="00F30F8F"/>
    <w:rsid w:val="00F3153E"/>
    <w:rsid w:val="00F31552"/>
    <w:rsid w:val="00F3166D"/>
    <w:rsid w:val="00F31953"/>
    <w:rsid w:val="00F31DD9"/>
    <w:rsid w:val="00F3220C"/>
    <w:rsid w:val="00F3233B"/>
    <w:rsid w:val="00F3253E"/>
    <w:rsid w:val="00F3274E"/>
    <w:rsid w:val="00F327BE"/>
    <w:rsid w:val="00F32888"/>
    <w:rsid w:val="00F328B0"/>
    <w:rsid w:val="00F32B22"/>
    <w:rsid w:val="00F32BD9"/>
    <w:rsid w:val="00F32C1E"/>
    <w:rsid w:val="00F32F0E"/>
    <w:rsid w:val="00F32F70"/>
    <w:rsid w:val="00F3351A"/>
    <w:rsid w:val="00F3360E"/>
    <w:rsid w:val="00F336D5"/>
    <w:rsid w:val="00F3376E"/>
    <w:rsid w:val="00F337BB"/>
    <w:rsid w:val="00F340A7"/>
    <w:rsid w:val="00F341E7"/>
    <w:rsid w:val="00F3448E"/>
    <w:rsid w:val="00F34593"/>
    <w:rsid w:val="00F3469F"/>
    <w:rsid w:val="00F34A7D"/>
    <w:rsid w:val="00F34AC7"/>
    <w:rsid w:val="00F34CC6"/>
    <w:rsid w:val="00F35014"/>
    <w:rsid w:val="00F351F3"/>
    <w:rsid w:val="00F352B0"/>
    <w:rsid w:val="00F352C8"/>
    <w:rsid w:val="00F356D1"/>
    <w:rsid w:val="00F3570C"/>
    <w:rsid w:val="00F359BC"/>
    <w:rsid w:val="00F35EE8"/>
    <w:rsid w:val="00F35F6F"/>
    <w:rsid w:val="00F35FA7"/>
    <w:rsid w:val="00F35FC1"/>
    <w:rsid w:val="00F360A4"/>
    <w:rsid w:val="00F36318"/>
    <w:rsid w:val="00F36396"/>
    <w:rsid w:val="00F36620"/>
    <w:rsid w:val="00F36EB5"/>
    <w:rsid w:val="00F37157"/>
    <w:rsid w:val="00F37215"/>
    <w:rsid w:val="00F373BB"/>
    <w:rsid w:val="00F400D1"/>
    <w:rsid w:val="00F402D6"/>
    <w:rsid w:val="00F405E2"/>
    <w:rsid w:val="00F40672"/>
    <w:rsid w:val="00F40703"/>
    <w:rsid w:val="00F407E3"/>
    <w:rsid w:val="00F4085E"/>
    <w:rsid w:val="00F40B30"/>
    <w:rsid w:val="00F40BF9"/>
    <w:rsid w:val="00F40C05"/>
    <w:rsid w:val="00F40E17"/>
    <w:rsid w:val="00F41041"/>
    <w:rsid w:val="00F411F2"/>
    <w:rsid w:val="00F41224"/>
    <w:rsid w:val="00F4147B"/>
    <w:rsid w:val="00F414AA"/>
    <w:rsid w:val="00F415D3"/>
    <w:rsid w:val="00F416EB"/>
    <w:rsid w:val="00F4186E"/>
    <w:rsid w:val="00F41ABD"/>
    <w:rsid w:val="00F42211"/>
    <w:rsid w:val="00F4230B"/>
    <w:rsid w:val="00F423E9"/>
    <w:rsid w:val="00F425F8"/>
    <w:rsid w:val="00F42948"/>
    <w:rsid w:val="00F429BF"/>
    <w:rsid w:val="00F43119"/>
    <w:rsid w:val="00F431CA"/>
    <w:rsid w:val="00F43495"/>
    <w:rsid w:val="00F435B3"/>
    <w:rsid w:val="00F43724"/>
    <w:rsid w:val="00F43A59"/>
    <w:rsid w:val="00F43CAB"/>
    <w:rsid w:val="00F43E5C"/>
    <w:rsid w:val="00F43EE0"/>
    <w:rsid w:val="00F43F06"/>
    <w:rsid w:val="00F43F3C"/>
    <w:rsid w:val="00F43F52"/>
    <w:rsid w:val="00F4466C"/>
    <w:rsid w:val="00F45211"/>
    <w:rsid w:val="00F45265"/>
    <w:rsid w:val="00F454A4"/>
    <w:rsid w:val="00F45589"/>
    <w:rsid w:val="00F45713"/>
    <w:rsid w:val="00F45780"/>
    <w:rsid w:val="00F457D7"/>
    <w:rsid w:val="00F45976"/>
    <w:rsid w:val="00F45C68"/>
    <w:rsid w:val="00F45D15"/>
    <w:rsid w:val="00F46386"/>
    <w:rsid w:val="00F4661F"/>
    <w:rsid w:val="00F46888"/>
    <w:rsid w:val="00F46968"/>
    <w:rsid w:val="00F46A82"/>
    <w:rsid w:val="00F46C04"/>
    <w:rsid w:val="00F47147"/>
    <w:rsid w:val="00F47203"/>
    <w:rsid w:val="00F47280"/>
    <w:rsid w:val="00F47C1B"/>
    <w:rsid w:val="00F47D94"/>
    <w:rsid w:val="00F47F3D"/>
    <w:rsid w:val="00F50694"/>
    <w:rsid w:val="00F50816"/>
    <w:rsid w:val="00F509E9"/>
    <w:rsid w:val="00F50EAC"/>
    <w:rsid w:val="00F50FE4"/>
    <w:rsid w:val="00F5101E"/>
    <w:rsid w:val="00F5110A"/>
    <w:rsid w:val="00F511ED"/>
    <w:rsid w:val="00F514B6"/>
    <w:rsid w:val="00F517DF"/>
    <w:rsid w:val="00F51892"/>
    <w:rsid w:val="00F51C6D"/>
    <w:rsid w:val="00F51CEC"/>
    <w:rsid w:val="00F51E17"/>
    <w:rsid w:val="00F5208F"/>
    <w:rsid w:val="00F522A9"/>
    <w:rsid w:val="00F522DB"/>
    <w:rsid w:val="00F524BD"/>
    <w:rsid w:val="00F5255E"/>
    <w:rsid w:val="00F52FBB"/>
    <w:rsid w:val="00F52FD3"/>
    <w:rsid w:val="00F532E5"/>
    <w:rsid w:val="00F53381"/>
    <w:rsid w:val="00F5339F"/>
    <w:rsid w:val="00F53538"/>
    <w:rsid w:val="00F535F2"/>
    <w:rsid w:val="00F539CC"/>
    <w:rsid w:val="00F53A41"/>
    <w:rsid w:val="00F53D48"/>
    <w:rsid w:val="00F53ED1"/>
    <w:rsid w:val="00F53F63"/>
    <w:rsid w:val="00F53FB8"/>
    <w:rsid w:val="00F540D1"/>
    <w:rsid w:val="00F5419B"/>
    <w:rsid w:val="00F54371"/>
    <w:rsid w:val="00F547C3"/>
    <w:rsid w:val="00F548F3"/>
    <w:rsid w:val="00F54E50"/>
    <w:rsid w:val="00F5502A"/>
    <w:rsid w:val="00F550A1"/>
    <w:rsid w:val="00F553AA"/>
    <w:rsid w:val="00F554C9"/>
    <w:rsid w:val="00F556EF"/>
    <w:rsid w:val="00F557F2"/>
    <w:rsid w:val="00F55D85"/>
    <w:rsid w:val="00F55F42"/>
    <w:rsid w:val="00F56129"/>
    <w:rsid w:val="00F5612B"/>
    <w:rsid w:val="00F561F4"/>
    <w:rsid w:val="00F561FB"/>
    <w:rsid w:val="00F56309"/>
    <w:rsid w:val="00F5677D"/>
    <w:rsid w:val="00F56994"/>
    <w:rsid w:val="00F56B10"/>
    <w:rsid w:val="00F56B9B"/>
    <w:rsid w:val="00F56DBC"/>
    <w:rsid w:val="00F57094"/>
    <w:rsid w:val="00F57279"/>
    <w:rsid w:val="00F57417"/>
    <w:rsid w:val="00F57658"/>
    <w:rsid w:val="00F57663"/>
    <w:rsid w:val="00F57C40"/>
    <w:rsid w:val="00F6002C"/>
    <w:rsid w:val="00F600D2"/>
    <w:rsid w:val="00F603B7"/>
    <w:rsid w:val="00F60428"/>
    <w:rsid w:val="00F613A2"/>
    <w:rsid w:val="00F613D5"/>
    <w:rsid w:val="00F6160E"/>
    <w:rsid w:val="00F617B3"/>
    <w:rsid w:val="00F61C4D"/>
    <w:rsid w:val="00F61CDB"/>
    <w:rsid w:val="00F620CE"/>
    <w:rsid w:val="00F62751"/>
    <w:rsid w:val="00F62CF3"/>
    <w:rsid w:val="00F62DE1"/>
    <w:rsid w:val="00F62EF5"/>
    <w:rsid w:val="00F62F55"/>
    <w:rsid w:val="00F62FC0"/>
    <w:rsid w:val="00F63162"/>
    <w:rsid w:val="00F631EC"/>
    <w:rsid w:val="00F6328A"/>
    <w:rsid w:val="00F63494"/>
    <w:rsid w:val="00F63F02"/>
    <w:rsid w:val="00F645BE"/>
    <w:rsid w:val="00F646D0"/>
    <w:rsid w:val="00F647BC"/>
    <w:rsid w:val="00F64AB6"/>
    <w:rsid w:val="00F64AC7"/>
    <w:rsid w:val="00F64D37"/>
    <w:rsid w:val="00F653C2"/>
    <w:rsid w:val="00F6555B"/>
    <w:rsid w:val="00F65616"/>
    <w:rsid w:val="00F657C7"/>
    <w:rsid w:val="00F65812"/>
    <w:rsid w:val="00F65E11"/>
    <w:rsid w:val="00F65EEB"/>
    <w:rsid w:val="00F65EFE"/>
    <w:rsid w:val="00F66065"/>
    <w:rsid w:val="00F6612B"/>
    <w:rsid w:val="00F66376"/>
    <w:rsid w:val="00F6639C"/>
    <w:rsid w:val="00F66501"/>
    <w:rsid w:val="00F66542"/>
    <w:rsid w:val="00F66C7C"/>
    <w:rsid w:val="00F66CEE"/>
    <w:rsid w:val="00F66ECF"/>
    <w:rsid w:val="00F67079"/>
    <w:rsid w:val="00F67281"/>
    <w:rsid w:val="00F672A2"/>
    <w:rsid w:val="00F67591"/>
    <w:rsid w:val="00F676AC"/>
    <w:rsid w:val="00F676B0"/>
    <w:rsid w:val="00F678B3"/>
    <w:rsid w:val="00F67B2E"/>
    <w:rsid w:val="00F67BB6"/>
    <w:rsid w:val="00F67C6B"/>
    <w:rsid w:val="00F67FEE"/>
    <w:rsid w:val="00F71161"/>
    <w:rsid w:val="00F714E8"/>
    <w:rsid w:val="00F7169F"/>
    <w:rsid w:val="00F71D9C"/>
    <w:rsid w:val="00F7204F"/>
    <w:rsid w:val="00F72097"/>
    <w:rsid w:val="00F72A28"/>
    <w:rsid w:val="00F72B42"/>
    <w:rsid w:val="00F730D3"/>
    <w:rsid w:val="00F73182"/>
    <w:rsid w:val="00F733EA"/>
    <w:rsid w:val="00F7386F"/>
    <w:rsid w:val="00F73B88"/>
    <w:rsid w:val="00F73BB0"/>
    <w:rsid w:val="00F742AC"/>
    <w:rsid w:val="00F7431A"/>
    <w:rsid w:val="00F7451B"/>
    <w:rsid w:val="00F74C90"/>
    <w:rsid w:val="00F74CC8"/>
    <w:rsid w:val="00F7520C"/>
    <w:rsid w:val="00F75277"/>
    <w:rsid w:val="00F7559C"/>
    <w:rsid w:val="00F75BC2"/>
    <w:rsid w:val="00F75C25"/>
    <w:rsid w:val="00F75F03"/>
    <w:rsid w:val="00F762D6"/>
    <w:rsid w:val="00F763CA"/>
    <w:rsid w:val="00F76554"/>
    <w:rsid w:val="00F766A8"/>
    <w:rsid w:val="00F76B63"/>
    <w:rsid w:val="00F76BEC"/>
    <w:rsid w:val="00F76D12"/>
    <w:rsid w:val="00F76E95"/>
    <w:rsid w:val="00F76EF2"/>
    <w:rsid w:val="00F7719B"/>
    <w:rsid w:val="00F771C4"/>
    <w:rsid w:val="00F774DB"/>
    <w:rsid w:val="00F77678"/>
    <w:rsid w:val="00F7778C"/>
    <w:rsid w:val="00F7781D"/>
    <w:rsid w:val="00F77B71"/>
    <w:rsid w:val="00F77E07"/>
    <w:rsid w:val="00F8014B"/>
    <w:rsid w:val="00F8041C"/>
    <w:rsid w:val="00F8043B"/>
    <w:rsid w:val="00F8055A"/>
    <w:rsid w:val="00F806AD"/>
    <w:rsid w:val="00F807E6"/>
    <w:rsid w:val="00F80820"/>
    <w:rsid w:val="00F80DB7"/>
    <w:rsid w:val="00F80FEC"/>
    <w:rsid w:val="00F81005"/>
    <w:rsid w:val="00F81183"/>
    <w:rsid w:val="00F81590"/>
    <w:rsid w:val="00F8181A"/>
    <w:rsid w:val="00F8186E"/>
    <w:rsid w:val="00F81A8A"/>
    <w:rsid w:val="00F81DF7"/>
    <w:rsid w:val="00F81E18"/>
    <w:rsid w:val="00F81F9C"/>
    <w:rsid w:val="00F821B2"/>
    <w:rsid w:val="00F82437"/>
    <w:rsid w:val="00F824AE"/>
    <w:rsid w:val="00F82552"/>
    <w:rsid w:val="00F8283D"/>
    <w:rsid w:val="00F8292F"/>
    <w:rsid w:val="00F82AA3"/>
    <w:rsid w:val="00F82B3F"/>
    <w:rsid w:val="00F836CB"/>
    <w:rsid w:val="00F83FA3"/>
    <w:rsid w:val="00F843AE"/>
    <w:rsid w:val="00F847D7"/>
    <w:rsid w:val="00F84DA3"/>
    <w:rsid w:val="00F850F5"/>
    <w:rsid w:val="00F851F4"/>
    <w:rsid w:val="00F852A7"/>
    <w:rsid w:val="00F853CC"/>
    <w:rsid w:val="00F85592"/>
    <w:rsid w:val="00F85775"/>
    <w:rsid w:val="00F85862"/>
    <w:rsid w:val="00F85AFC"/>
    <w:rsid w:val="00F85B54"/>
    <w:rsid w:val="00F85FBC"/>
    <w:rsid w:val="00F8614F"/>
    <w:rsid w:val="00F861B3"/>
    <w:rsid w:val="00F8663F"/>
    <w:rsid w:val="00F866B6"/>
    <w:rsid w:val="00F86AF2"/>
    <w:rsid w:val="00F86B1B"/>
    <w:rsid w:val="00F86D55"/>
    <w:rsid w:val="00F87291"/>
    <w:rsid w:val="00F87368"/>
    <w:rsid w:val="00F87483"/>
    <w:rsid w:val="00F8756D"/>
    <w:rsid w:val="00F878C4"/>
    <w:rsid w:val="00F87A26"/>
    <w:rsid w:val="00F87CD4"/>
    <w:rsid w:val="00F87D15"/>
    <w:rsid w:val="00F87D18"/>
    <w:rsid w:val="00F87E2D"/>
    <w:rsid w:val="00F90208"/>
    <w:rsid w:val="00F903AE"/>
    <w:rsid w:val="00F90725"/>
    <w:rsid w:val="00F907C8"/>
    <w:rsid w:val="00F90B3C"/>
    <w:rsid w:val="00F90B7D"/>
    <w:rsid w:val="00F91A7A"/>
    <w:rsid w:val="00F91CA0"/>
    <w:rsid w:val="00F91FE3"/>
    <w:rsid w:val="00F921CC"/>
    <w:rsid w:val="00F92237"/>
    <w:rsid w:val="00F923B9"/>
    <w:rsid w:val="00F927F5"/>
    <w:rsid w:val="00F92875"/>
    <w:rsid w:val="00F92922"/>
    <w:rsid w:val="00F929C8"/>
    <w:rsid w:val="00F92A8D"/>
    <w:rsid w:val="00F92B81"/>
    <w:rsid w:val="00F92C37"/>
    <w:rsid w:val="00F931F3"/>
    <w:rsid w:val="00F93308"/>
    <w:rsid w:val="00F935F8"/>
    <w:rsid w:val="00F9362F"/>
    <w:rsid w:val="00F9390E"/>
    <w:rsid w:val="00F93980"/>
    <w:rsid w:val="00F93B07"/>
    <w:rsid w:val="00F93C8B"/>
    <w:rsid w:val="00F941A0"/>
    <w:rsid w:val="00F943A3"/>
    <w:rsid w:val="00F946D8"/>
    <w:rsid w:val="00F9474A"/>
    <w:rsid w:val="00F94817"/>
    <w:rsid w:val="00F9495D"/>
    <w:rsid w:val="00F949BA"/>
    <w:rsid w:val="00F94A0D"/>
    <w:rsid w:val="00F94C67"/>
    <w:rsid w:val="00F94DAD"/>
    <w:rsid w:val="00F94E12"/>
    <w:rsid w:val="00F9509D"/>
    <w:rsid w:val="00F95104"/>
    <w:rsid w:val="00F9518B"/>
    <w:rsid w:val="00F95757"/>
    <w:rsid w:val="00F959FE"/>
    <w:rsid w:val="00F95AB3"/>
    <w:rsid w:val="00F95AD0"/>
    <w:rsid w:val="00F95DA9"/>
    <w:rsid w:val="00F961CB"/>
    <w:rsid w:val="00F96386"/>
    <w:rsid w:val="00F966D7"/>
    <w:rsid w:val="00F96E4E"/>
    <w:rsid w:val="00F96E65"/>
    <w:rsid w:val="00F9731D"/>
    <w:rsid w:val="00F9743C"/>
    <w:rsid w:val="00F974E5"/>
    <w:rsid w:val="00F97677"/>
    <w:rsid w:val="00F9777C"/>
    <w:rsid w:val="00F97A7D"/>
    <w:rsid w:val="00F97CAE"/>
    <w:rsid w:val="00F97D19"/>
    <w:rsid w:val="00FA0239"/>
    <w:rsid w:val="00FA0366"/>
    <w:rsid w:val="00FA05BF"/>
    <w:rsid w:val="00FA0ACD"/>
    <w:rsid w:val="00FA0D06"/>
    <w:rsid w:val="00FA0D35"/>
    <w:rsid w:val="00FA1354"/>
    <w:rsid w:val="00FA1576"/>
    <w:rsid w:val="00FA1954"/>
    <w:rsid w:val="00FA19A0"/>
    <w:rsid w:val="00FA1AF8"/>
    <w:rsid w:val="00FA1DE5"/>
    <w:rsid w:val="00FA220B"/>
    <w:rsid w:val="00FA2368"/>
    <w:rsid w:val="00FA2391"/>
    <w:rsid w:val="00FA2781"/>
    <w:rsid w:val="00FA278F"/>
    <w:rsid w:val="00FA27C3"/>
    <w:rsid w:val="00FA291B"/>
    <w:rsid w:val="00FA2924"/>
    <w:rsid w:val="00FA2A50"/>
    <w:rsid w:val="00FA2C4C"/>
    <w:rsid w:val="00FA2FB2"/>
    <w:rsid w:val="00FA2FC5"/>
    <w:rsid w:val="00FA3049"/>
    <w:rsid w:val="00FA304F"/>
    <w:rsid w:val="00FA38AC"/>
    <w:rsid w:val="00FA3988"/>
    <w:rsid w:val="00FA3989"/>
    <w:rsid w:val="00FA3AD0"/>
    <w:rsid w:val="00FA3F74"/>
    <w:rsid w:val="00FA41F5"/>
    <w:rsid w:val="00FA4271"/>
    <w:rsid w:val="00FA4990"/>
    <w:rsid w:val="00FA4A9D"/>
    <w:rsid w:val="00FA4BBB"/>
    <w:rsid w:val="00FA4C69"/>
    <w:rsid w:val="00FA4EA7"/>
    <w:rsid w:val="00FA50D0"/>
    <w:rsid w:val="00FA51BE"/>
    <w:rsid w:val="00FA5413"/>
    <w:rsid w:val="00FA5555"/>
    <w:rsid w:val="00FA5A0E"/>
    <w:rsid w:val="00FA5ADE"/>
    <w:rsid w:val="00FA5C95"/>
    <w:rsid w:val="00FA61CB"/>
    <w:rsid w:val="00FA61D7"/>
    <w:rsid w:val="00FA659E"/>
    <w:rsid w:val="00FA65C0"/>
    <w:rsid w:val="00FA65DC"/>
    <w:rsid w:val="00FA65E0"/>
    <w:rsid w:val="00FA6701"/>
    <w:rsid w:val="00FA69BE"/>
    <w:rsid w:val="00FA6A75"/>
    <w:rsid w:val="00FA6B49"/>
    <w:rsid w:val="00FA6D6C"/>
    <w:rsid w:val="00FA6F97"/>
    <w:rsid w:val="00FA71C9"/>
    <w:rsid w:val="00FA71E9"/>
    <w:rsid w:val="00FA7374"/>
    <w:rsid w:val="00FA7B6B"/>
    <w:rsid w:val="00FA7F23"/>
    <w:rsid w:val="00FB009B"/>
    <w:rsid w:val="00FB0236"/>
    <w:rsid w:val="00FB0350"/>
    <w:rsid w:val="00FB039F"/>
    <w:rsid w:val="00FB046D"/>
    <w:rsid w:val="00FB0505"/>
    <w:rsid w:val="00FB06AA"/>
    <w:rsid w:val="00FB06F4"/>
    <w:rsid w:val="00FB077B"/>
    <w:rsid w:val="00FB0B5D"/>
    <w:rsid w:val="00FB10C5"/>
    <w:rsid w:val="00FB10F5"/>
    <w:rsid w:val="00FB1179"/>
    <w:rsid w:val="00FB12B0"/>
    <w:rsid w:val="00FB1A25"/>
    <w:rsid w:val="00FB1AD2"/>
    <w:rsid w:val="00FB1D82"/>
    <w:rsid w:val="00FB203A"/>
    <w:rsid w:val="00FB21B0"/>
    <w:rsid w:val="00FB221C"/>
    <w:rsid w:val="00FB2843"/>
    <w:rsid w:val="00FB292B"/>
    <w:rsid w:val="00FB2ACE"/>
    <w:rsid w:val="00FB2CEC"/>
    <w:rsid w:val="00FB2D8A"/>
    <w:rsid w:val="00FB2EEA"/>
    <w:rsid w:val="00FB35D6"/>
    <w:rsid w:val="00FB364C"/>
    <w:rsid w:val="00FB3AD4"/>
    <w:rsid w:val="00FB3E4C"/>
    <w:rsid w:val="00FB3F89"/>
    <w:rsid w:val="00FB405F"/>
    <w:rsid w:val="00FB408C"/>
    <w:rsid w:val="00FB4197"/>
    <w:rsid w:val="00FB420B"/>
    <w:rsid w:val="00FB483E"/>
    <w:rsid w:val="00FB4D7B"/>
    <w:rsid w:val="00FB5317"/>
    <w:rsid w:val="00FB55C0"/>
    <w:rsid w:val="00FB56CD"/>
    <w:rsid w:val="00FB59BC"/>
    <w:rsid w:val="00FB5F21"/>
    <w:rsid w:val="00FB5F2A"/>
    <w:rsid w:val="00FB5F7F"/>
    <w:rsid w:val="00FB602D"/>
    <w:rsid w:val="00FB60EC"/>
    <w:rsid w:val="00FB6904"/>
    <w:rsid w:val="00FB6B27"/>
    <w:rsid w:val="00FB6E6C"/>
    <w:rsid w:val="00FB7075"/>
    <w:rsid w:val="00FB72FB"/>
    <w:rsid w:val="00FB743C"/>
    <w:rsid w:val="00FB7899"/>
    <w:rsid w:val="00FB7E11"/>
    <w:rsid w:val="00FB7F7D"/>
    <w:rsid w:val="00FC0028"/>
    <w:rsid w:val="00FC011C"/>
    <w:rsid w:val="00FC03CA"/>
    <w:rsid w:val="00FC07B3"/>
    <w:rsid w:val="00FC08C7"/>
    <w:rsid w:val="00FC0A0E"/>
    <w:rsid w:val="00FC0C0E"/>
    <w:rsid w:val="00FC0D17"/>
    <w:rsid w:val="00FC1060"/>
    <w:rsid w:val="00FC1433"/>
    <w:rsid w:val="00FC1661"/>
    <w:rsid w:val="00FC1763"/>
    <w:rsid w:val="00FC1AEB"/>
    <w:rsid w:val="00FC2075"/>
    <w:rsid w:val="00FC20DE"/>
    <w:rsid w:val="00FC2298"/>
    <w:rsid w:val="00FC22AC"/>
    <w:rsid w:val="00FC23CA"/>
    <w:rsid w:val="00FC24A0"/>
    <w:rsid w:val="00FC25A1"/>
    <w:rsid w:val="00FC27CE"/>
    <w:rsid w:val="00FC294D"/>
    <w:rsid w:val="00FC29A3"/>
    <w:rsid w:val="00FC2B1C"/>
    <w:rsid w:val="00FC2CFC"/>
    <w:rsid w:val="00FC2E83"/>
    <w:rsid w:val="00FC2EA2"/>
    <w:rsid w:val="00FC3134"/>
    <w:rsid w:val="00FC31E1"/>
    <w:rsid w:val="00FC32D6"/>
    <w:rsid w:val="00FC33F6"/>
    <w:rsid w:val="00FC37E5"/>
    <w:rsid w:val="00FC38EE"/>
    <w:rsid w:val="00FC391A"/>
    <w:rsid w:val="00FC3B22"/>
    <w:rsid w:val="00FC3DA2"/>
    <w:rsid w:val="00FC3E71"/>
    <w:rsid w:val="00FC3FAB"/>
    <w:rsid w:val="00FC408F"/>
    <w:rsid w:val="00FC421E"/>
    <w:rsid w:val="00FC4249"/>
    <w:rsid w:val="00FC444C"/>
    <w:rsid w:val="00FC480D"/>
    <w:rsid w:val="00FC48D5"/>
    <w:rsid w:val="00FC5133"/>
    <w:rsid w:val="00FC5209"/>
    <w:rsid w:val="00FC52C1"/>
    <w:rsid w:val="00FC52E1"/>
    <w:rsid w:val="00FC5619"/>
    <w:rsid w:val="00FC57B7"/>
    <w:rsid w:val="00FC57CB"/>
    <w:rsid w:val="00FC5E52"/>
    <w:rsid w:val="00FC606E"/>
    <w:rsid w:val="00FC619B"/>
    <w:rsid w:val="00FC61BF"/>
    <w:rsid w:val="00FC65C5"/>
    <w:rsid w:val="00FC676F"/>
    <w:rsid w:val="00FC6780"/>
    <w:rsid w:val="00FC67F0"/>
    <w:rsid w:val="00FC6B0E"/>
    <w:rsid w:val="00FC6B9A"/>
    <w:rsid w:val="00FC7071"/>
    <w:rsid w:val="00FC72DD"/>
    <w:rsid w:val="00FC73A9"/>
    <w:rsid w:val="00FC73FC"/>
    <w:rsid w:val="00FC76DD"/>
    <w:rsid w:val="00FC78B8"/>
    <w:rsid w:val="00FC7A60"/>
    <w:rsid w:val="00FC7E42"/>
    <w:rsid w:val="00FD007F"/>
    <w:rsid w:val="00FD0213"/>
    <w:rsid w:val="00FD0437"/>
    <w:rsid w:val="00FD04DA"/>
    <w:rsid w:val="00FD06E7"/>
    <w:rsid w:val="00FD086E"/>
    <w:rsid w:val="00FD08B0"/>
    <w:rsid w:val="00FD098D"/>
    <w:rsid w:val="00FD0A06"/>
    <w:rsid w:val="00FD0A0C"/>
    <w:rsid w:val="00FD0C99"/>
    <w:rsid w:val="00FD10B4"/>
    <w:rsid w:val="00FD10C1"/>
    <w:rsid w:val="00FD142D"/>
    <w:rsid w:val="00FD14CC"/>
    <w:rsid w:val="00FD15DD"/>
    <w:rsid w:val="00FD15ED"/>
    <w:rsid w:val="00FD1A76"/>
    <w:rsid w:val="00FD2043"/>
    <w:rsid w:val="00FD2319"/>
    <w:rsid w:val="00FD2352"/>
    <w:rsid w:val="00FD24B5"/>
    <w:rsid w:val="00FD26F2"/>
    <w:rsid w:val="00FD2BC3"/>
    <w:rsid w:val="00FD2CCC"/>
    <w:rsid w:val="00FD2D08"/>
    <w:rsid w:val="00FD31E2"/>
    <w:rsid w:val="00FD32D6"/>
    <w:rsid w:val="00FD361B"/>
    <w:rsid w:val="00FD373B"/>
    <w:rsid w:val="00FD39CC"/>
    <w:rsid w:val="00FD39E0"/>
    <w:rsid w:val="00FD39EE"/>
    <w:rsid w:val="00FD3C31"/>
    <w:rsid w:val="00FD4358"/>
    <w:rsid w:val="00FD47D0"/>
    <w:rsid w:val="00FD4865"/>
    <w:rsid w:val="00FD494D"/>
    <w:rsid w:val="00FD49EF"/>
    <w:rsid w:val="00FD4A9A"/>
    <w:rsid w:val="00FD4E92"/>
    <w:rsid w:val="00FD4EBD"/>
    <w:rsid w:val="00FD501A"/>
    <w:rsid w:val="00FD53B1"/>
    <w:rsid w:val="00FD566A"/>
    <w:rsid w:val="00FD59A6"/>
    <w:rsid w:val="00FD5AF1"/>
    <w:rsid w:val="00FD5F30"/>
    <w:rsid w:val="00FD6097"/>
    <w:rsid w:val="00FD611F"/>
    <w:rsid w:val="00FD6599"/>
    <w:rsid w:val="00FD6A7D"/>
    <w:rsid w:val="00FD6AB5"/>
    <w:rsid w:val="00FD6D9A"/>
    <w:rsid w:val="00FD6FDF"/>
    <w:rsid w:val="00FD701A"/>
    <w:rsid w:val="00FD71D1"/>
    <w:rsid w:val="00FD73CE"/>
    <w:rsid w:val="00FD7A30"/>
    <w:rsid w:val="00FD7A75"/>
    <w:rsid w:val="00FD7C96"/>
    <w:rsid w:val="00FD7D5F"/>
    <w:rsid w:val="00FD7E2A"/>
    <w:rsid w:val="00FE04F9"/>
    <w:rsid w:val="00FE05A5"/>
    <w:rsid w:val="00FE0A1C"/>
    <w:rsid w:val="00FE0C24"/>
    <w:rsid w:val="00FE0D41"/>
    <w:rsid w:val="00FE0DFF"/>
    <w:rsid w:val="00FE0F60"/>
    <w:rsid w:val="00FE1498"/>
    <w:rsid w:val="00FE158F"/>
    <w:rsid w:val="00FE18CC"/>
    <w:rsid w:val="00FE1A8B"/>
    <w:rsid w:val="00FE1D86"/>
    <w:rsid w:val="00FE1F6A"/>
    <w:rsid w:val="00FE2198"/>
    <w:rsid w:val="00FE21DA"/>
    <w:rsid w:val="00FE299E"/>
    <w:rsid w:val="00FE2A7D"/>
    <w:rsid w:val="00FE3173"/>
    <w:rsid w:val="00FE341F"/>
    <w:rsid w:val="00FE37A4"/>
    <w:rsid w:val="00FE37F4"/>
    <w:rsid w:val="00FE3D08"/>
    <w:rsid w:val="00FE3E23"/>
    <w:rsid w:val="00FE406F"/>
    <w:rsid w:val="00FE40C8"/>
    <w:rsid w:val="00FE43B0"/>
    <w:rsid w:val="00FE4499"/>
    <w:rsid w:val="00FE45B4"/>
    <w:rsid w:val="00FE4AE8"/>
    <w:rsid w:val="00FE4B6D"/>
    <w:rsid w:val="00FE4C3D"/>
    <w:rsid w:val="00FE4F00"/>
    <w:rsid w:val="00FE51D7"/>
    <w:rsid w:val="00FE57C2"/>
    <w:rsid w:val="00FE588F"/>
    <w:rsid w:val="00FE5933"/>
    <w:rsid w:val="00FE5AE4"/>
    <w:rsid w:val="00FE5B0B"/>
    <w:rsid w:val="00FE5B30"/>
    <w:rsid w:val="00FE5CFB"/>
    <w:rsid w:val="00FE5DD7"/>
    <w:rsid w:val="00FE5FFE"/>
    <w:rsid w:val="00FE650B"/>
    <w:rsid w:val="00FE6613"/>
    <w:rsid w:val="00FE674F"/>
    <w:rsid w:val="00FE68B8"/>
    <w:rsid w:val="00FE6B99"/>
    <w:rsid w:val="00FE6D50"/>
    <w:rsid w:val="00FE6F6E"/>
    <w:rsid w:val="00FE6F8C"/>
    <w:rsid w:val="00FE7487"/>
    <w:rsid w:val="00FE77CE"/>
    <w:rsid w:val="00FE7977"/>
    <w:rsid w:val="00FE7B31"/>
    <w:rsid w:val="00FE7E6F"/>
    <w:rsid w:val="00FE7E9B"/>
    <w:rsid w:val="00FF0086"/>
    <w:rsid w:val="00FF02C5"/>
    <w:rsid w:val="00FF0322"/>
    <w:rsid w:val="00FF0387"/>
    <w:rsid w:val="00FF05C3"/>
    <w:rsid w:val="00FF05EF"/>
    <w:rsid w:val="00FF0778"/>
    <w:rsid w:val="00FF0D47"/>
    <w:rsid w:val="00FF0E4E"/>
    <w:rsid w:val="00FF0EA6"/>
    <w:rsid w:val="00FF0EC6"/>
    <w:rsid w:val="00FF14CF"/>
    <w:rsid w:val="00FF17D1"/>
    <w:rsid w:val="00FF1B39"/>
    <w:rsid w:val="00FF1C61"/>
    <w:rsid w:val="00FF1DAA"/>
    <w:rsid w:val="00FF1E99"/>
    <w:rsid w:val="00FF200C"/>
    <w:rsid w:val="00FF22E9"/>
    <w:rsid w:val="00FF231D"/>
    <w:rsid w:val="00FF2348"/>
    <w:rsid w:val="00FF2688"/>
    <w:rsid w:val="00FF28A9"/>
    <w:rsid w:val="00FF2A3D"/>
    <w:rsid w:val="00FF2F3A"/>
    <w:rsid w:val="00FF3041"/>
    <w:rsid w:val="00FF35D2"/>
    <w:rsid w:val="00FF36D2"/>
    <w:rsid w:val="00FF3B55"/>
    <w:rsid w:val="00FF3CDA"/>
    <w:rsid w:val="00FF3FE5"/>
    <w:rsid w:val="00FF44C6"/>
    <w:rsid w:val="00FF4616"/>
    <w:rsid w:val="00FF4672"/>
    <w:rsid w:val="00FF4BD3"/>
    <w:rsid w:val="00FF509F"/>
    <w:rsid w:val="00FF5145"/>
    <w:rsid w:val="00FF567F"/>
    <w:rsid w:val="00FF59CF"/>
    <w:rsid w:val="00FF5A6E"/>
    <w:rsid w:val="00FF5B65"/>
    <w:rsid w:val="00FF5BF2"/>
    <w:rsid w:val="00FF6042"/>
    <w:rsid w:val="00FF6082"/>
    <w:rsid w:val="00FF60A6"/>
    <w:rsid w:val="00FF616E"/>
    <w:rsid w:val="00FF6232"/>
    <w:rsid w:val="00FF63BE"/>
    <w:rsid w:val="00FF645E"/>
    <w:rsid w:val="00FF6A21"/>
    <w:rsid w:val="00FF6D1F"/>
    <w:rsid w:val="00FF7074"/>
    <w:rsid w:val="00FF7095"/>
    <w:rsid w:val="00FF7716"/>
    <w:rsid w:val="00FF77E8"/>
    <w:rsid w:val="00FF7D4C"/>
    <w:rsid w:val="00FF7F4B"/>
    <w:rsid w:val="011F06FF"/>
    <w:rsid w:val="0125081B"/>
    <w:rsid w:val="012E6521"/>
    <w:rsid w:val="01311896"/>
    <w:rsid w:val="013744EF"/>
    <w:rsid w:val="01411EB1"/>
    <w:rsid w:val="014923C4"/>
    <w:rsid w:val="015628B5"/>
    <w:rsid w:val="01566CF1"/>
    <w:rsid w:val="015A5599"/>
    <w:rsid w:val="015A6BF2"/>
    <w:rsid w:val="017E403E"/>
    <w:rsid w:val="01973FA3"/>
    <w:rsid w:val="01A17032"/>
    <w:rsid w:val="01AA0AA6"/>
    <w:rsid w:val="01B30AEA"/>
    <w:rsid w:val="01BB6261"/>
    <w:rsid w:val="01BC0BF2"/>
    <w:rsid w:val="01D15DF3"/>
    <w:rsid w:val="01D86702"/>
    <w:rsid w:val="01E73502"/>
    <w:rsid w:val="01EC6164"/>
    <w:rsid w:val="01F37186"/>
    <w:rsid w:val="01F44C06"/>
    <w:rsid w:val="01F73933"/>
    <w:rsid w:val="01FF60CE"/>
    <w:rsid w:val="02103662"/>
    <w:rsid w:val="02144679"/>
    <w:rsid w:val="02251595"/>
    <w:rsid w:val="022E07BD"/>
    <w:rsid w:val="022E77C5"/>
    <w:rsid w:val="0237024C"/>
    <w:rsid w:val="02396955"/>
    <w:rsid w:val="023C1D5E"/>
    <w:rsid w:val="02410487"/>
    <w:rsid w:val="02514D91"/>
    <w:rsid w:val="02623F47"/>
    <w:rsid w:val="026244D5"/>
    <w:rsid w:val="02690FFC"/>
    <w:rsid w:val="026F0BF1"/>
    <w:rsid w:val="02724CD3"/>
    <w:rsid w:val="02851BBA"/>
    <w:rsid w:val="0288723B"/>
    <w:rsid w:val="02A42305"/>
    <w:rsid w:val="02B13B47"/>
    <w:rsid w:val="02BC79CF"/>
    <w:rsid w:val="02DA4EC4"/>
    <w:rsid w:val="02FC4BD4"/>
    <w:rsid w:val="0302228E"/>
    <w:rsid w:val="03110FA4"/>
    <w:rsid w:val="03171DBD"/>
    <w:rsid w:val="0333007A"/>
    <w:rsid w:val="03330741"/>
    <w:rsid w:val="03386CBB"/>
    <w:rsid w:val="033E7915"/>
    <w:rsid w:val="03462E54"/>
    <w:rsid w:val="03626230"/>
    <w:rsid w:val="03751B1E"/>
    <w:rsid w:val="03857BB2"/>
    <w:rsid w:val="03882A14"/>
    <w:rsid w:val="039456BA"/>
    <w:rsid w:val="03945DD7"/>
    <w:rsid w:val="03A37319"/>
    <w:rsid w:val="03AF6CCF"/>
    <w:rsid w:val="03B05FEF"/>
    <w:rsid w:val="03BC0DD8"/>
    <w:rsid w:val="03C12745"/>
    <w:rsid w:val="03C44323"/>
    <w:rsid w:val="03CE30EF"/>
    <w:rsid w:val="03D83431"/>
    <w:rsid w:val="03DA3CBF"/>
    <w:rsid w:val="03DD3F4A"/>
    <w:rsid w:val="03E22064"/>
    <w:rsid w:val="03EE0B8D"/>
    <w:rsid w:val="03F5410F"/>
    <w:rsid w:val="040107A3"/>
    <w:rsid w:val="040A3545"/>
    <w:rsid w:val="040D6E3B"/>
    <w:rsid w:val="04112CE7"/>
    <w:rsid w:val="0413544E"/>
    <w:rsid w:val="041961AF"/>
    <w:rsid w:val="041D3CCF"/>
    <w:rsid w:val="04357499"/>
    <w:rsid w:val="043E7D64"/>
    <w:rsid w:val="044E73F3"/>
    <w:rsid w:val="044F7059"/>
    <w:rsid w:val="04522A20"/>
    <w:rsid w:val="045818FD"/>
    <w:rsid w:val="04606421"/>
    <w:rsid w:val="046866CA"/>
    <w:rsid w:val="04716BAF"/>
    <w:rsid w:val="04767DE0"/>
    <w:rsid w:val="04797AEC"/>
    <w:rsid w:val="0483309B"/>
    <w:rsid w:val="04880A36"/>
    <w:rsid w:val="0489190A"/>
    <w:rsid w:val="04895B84"/>
    <w:rsid w:val="048B6125"/>
    <w:rsid w:val="04921D05"/>
    <w:rsid w:val="049A776D"/>
    <w:rsid w:val="049F3447"/>
    <w:rsid w:val="04A477D1"/>
    <w:rsid w:val="04A63575"/>
    <w:rsid w:val="04A65F0E"/>
    <w:rsid w:val="04A92FE6"/>
    <w:rsid w:val="04B02CE5"/>
    <w:rsid w:val="04B91E3D"/>
    <w:rsid w:val="04BD2736"/>
    <w:rsid w:val="04BE57FE"/>
    <w:rsid w:val="04BF142C"/>
    <w:rsid w:val="04D3138C"/>
    <w:rsid w:val="04D93010"/>
    <w:rsid w:val="04EC1207"/>
    <w:rsid w:val="04FB66E4"/>
    <w:rsid w:val="0500676A"/>
    <w:rsid w:val="0501241B"/>
    <w:rsid w:val="050A20C7"/>
    <w:rsid w:val="051E7BA1"/>
    <w:rsid w:val="052342E4"/>
    <w:rsid w:val="05242E7C"/>
    <w:rsid w:val="052877C5"/>
    <w:rsid w:val="052B12AA"/>
    <w:rsid w:val="052E6336"/>
    <w:rsid w:val="052F618C"/>
    <w:rsid w:val="053F463F"/>
    <w:rsid w:val="054B6D6A"/>
    <w:rsid w:val="0556572B"/>
    <w:rsid w:val="055D7D46"/>
    <w:rsid w:val="055F2823"/>
    <w:rsid w:val="05625900"/>
    <w:rsid w:val="05683382"/>
    <w:rsid w:val="057211A1"/>
    <w:rsid w:val="057466EA"/>
    <w:rsid w:val="05795250"/>
    <w:rsid w:val="05897B86"/>
    <w:rsid w:val="058B0572"/>
    <w:rsid w:val="059845E1"/>
    <w:rsid w:val="05BE580D"/>
    <w:rsid w:val="05C01BAA"/>
    <w:rsid w:val="05C41647"/>
    <w:rsid w:val="05CB6411"/>
    <w:rsid w:val="05CE369A"/>
    <w:rsid w:val="05EC7CDE"/>
    <w:rsid w:val="05EF1CDD"/>
    <w:rsid w:val="05F97BE8"/>
    <w:rsid w:val="06134145"/>
    <w:rsid w:val="062B2FCF"/>
    <w:rsid w:val="062F5ECE"/>
    <w:rsid w:val="0636065E"/>
    <w:rsid w:val="0641740B"/>
    <w:rsid w:val="064905CA"/>
    <w:rsid w:val="06497C58"/>
    <w:rsid w:val="064A3800"/>
    <w:rsid w:val="064B44DC"/>
    <w:rsid w:val="06624E3E"/>
    <w:rsid w:val="06625CDE"/>
    <w:rsid w:val="06807B11"/>
    <w:rsid w:val="069778EC"/>
    <w:rsid w:val="06AA19DC"/>
    <w:rsid w:val="06B50941"/>
    <w:rsid w:val="06CA1A17"/>
    <w:rsid w:val="06CB08DF"/>
    <w:rsid w:val="06CE2EC2"/>
    <w:rsid w:val="06D422A3"/>
    <w:rsid w:val="06EC230B"/>
    <w:rsid w:val="06F171B8"/>
    <w:rsid w:val="06F20647"/>
    <w:rsid w:val="07003C30"/>
    <w:rsid w:val="07021BE7"/>
    <w:rsid w:val="07051E33"/>
    <w:rsid w:val="070F2A06"/>
    <w:rsid w:val="071328C5"/>
    <w:rsid w:val="072E63B5"/>
    <w:rsid w:val="07304167"/>
    <w:rsid w:val="073801B9"/>
    <w:rsid w:val="073908BB"/>
    <w:rsid w:val="074A179D"/>
    <w:rsid w:val="075063FE"/>
    <w:rsid w:val="07515599"/>
    <w:rsid w:val="07515BEC"/>
    <w:rsid w:val="075A0BA3"/>
    <w:rsid w:val="075E74FE"/>
    <w:rsid w:val="077F1A9D"/>
    <w:rsid w:val="07835F17"/>
    <w:rsid w:val="078713F5"/>
    <w:rsid w:val="07990DB3"/>
    <w:rsid w:val="079C3DB0"/>
    <w:rsid w:val="07B55946"/>
    <w:rsid w:val="07B76128"/>
    <w:rsid w:val="07C1425D"/>
    <w:rsid w:val="07C5679B"/>
    <w:rsid w:val="07CA43E5"/>
    <w:rsid w:val="07DD3269"/>
    <w:rsid w:val="07E054F3"/>
    <w:rsid w:val="07EB74BF"/>
    <w:rsid w:val="07EE1CB1"/>
    <w:rsid w:val="07F22AC1"/>
    <w:rsid w:val="08064E5A"/>
    <w:rsid w:val="0808226A"/>
    <w:rsid w:val="080A724E"/>
    <w:rsid w:val="081D15D2"/>
    <w:rsid w:val="081E2881"/>
    <w:rsid w:val="081E674E"/>
    <w:rsid w:val="08226EB3"/>
    <w:rsid w:val="082A73CF"/>
    <w:rsid w:val="08504CBD"/>
    <w:rsid w:val="086A2F44"/>
    <w:rsid w:val="086D1155"/>
    <w:rsid w:val="086E3203"/>
    <w:rsid w:val="087A5BC0"/>
    <w:rsid w:val="087A6C3F"/>
    <w:rsid w:val="087C5445"/>
    <w:rsid w:val="087F06F3"/>
    <w:rsid w:val="08810BC0"/>
    <w:rsid w:val="0888763F"/>
    <w:rsid w:val="089C0BB9"/>
    <w:rsid w:val="08A1134C"/>
    <w:rsid w:val="08A76BEB"/>
    <w:rsid w:val="08AD4EFF"/>
    <w:rsid w:val="08B22694"/>
    <w:rsid w:val="08BD6D9F"/>
    <w:rsid w:val="08C254BD"/>
    <w:rsid w:val="08C90015"/>
    <w:rsid w:val="08CB0C49"/>
    <w:rsid w:val="08DE057B"/>
    <w:rsid w:val="08E22AF4"/>
    <w:rsid w:val="08EC36BC"/>
    <w:rsid w:val="08F02CAA"/>
    <w:rsid w:val="08F14E93"/>
    <w:rsid w:val="08F74932"/>
    <w:rsid w:val="08FF4F3E"/>
    <w:rsid w:val="08FF51EC"/>
    <w:rsid w:val="090D47B4"/>
    <w:rsid w:val="09213B89"/>
    <w:rsid w:val="09264CED"/>
    <w:rsid w:val="0929363E"/>
    <w:rsid w:val="092B098E"/>
    <w:rsid w:val="092E0D76"/>
    <w:rsid w:val="0934029E"/>
    <w:rsid w:val="095200EA"/>
    <w:rsid w:val="09526972"/>
    <w:rsid w:val="09622841"/>
    <w:rsid w:val="099E2A80"/>
    <w:rsid w:val="09B93634"/>
    <w:rsid w:val="09C27985"/>
    <w:rsid w:val="09CD36D8"/>
    <w:rsid w:val="09D5353F"/>
    <w:rsid w:val="09D77FA1"/>
    <w:rsid w:val="09D95478"/>
    <w:rsid w:val="09E318D1"/>
    <w:rsid w:val="09E65DBA"/>
    <w:rsid w:val="09F44CE8"/>
    <w:rsid w:val="0A0C1BE4"/>
    <w:rsid w:val="0A2B4A49"/>
    <w:rsid w:val="0A3C4CF9"/>
    <w:rsid w:val="0A4853D3"/>
    <w:rsid w:val="0A5D5CC0"/>
    <w:rsid w:val="0A5E458C"/>
    <w:rsid w:val="0A69651C"/>
    <w:rsid w:val="0A7304E8"/>
    <w:rsid w:val="0A767F1E"/>
    <w:rsid w:val="0A7719AB"/>
    <w:rsid w:val="0A850470"/>
    <w:rsid w:val="0A9368E1"/>
    <w:rsid w:val="0A957AF3"/>
    <w:rsid w:val="0AA354ED"/>
    <w:rsid w:val="0AB76D1D"/>
    <w:rsid w:val="0AD258A2"/>
    <w:rsid w:val="0AD635FF"/>
    <w:rsid w:val="0ADA4B56"/>
    <w:rsid w:val="0AF4068E"/>
    <w:rsid w:val="0AF62DC6"/>
    <w:rsid w:val="0B281332"/>
    <w:rsid w:val="0B2B5060"/>
    <w:rsid w:val="0B2F3CD9"/>
    <w:rsid w:val="0B2F7D38"/>
    <w:rsid w:val="0B416906"/>
    <w:rsid w:val="0B472E61"/>
    <w:rsid w:val="0B47613B"/>
    <w:rsid w:val="0B4962D4"/>
    <w:rsid w:val="0B4D5726"/>
    <w:rsid w:val="0B51307F"/>
    <w:rsid w:val="0B515F0F"/>
    <w:rsid w:val="0B7B5194"/>
    <w:rsid w:val="0B8D67D8"/>
    <w:rsid w:val="0B940BB4"/>
    <w:rsid w:val="0B971150"/>
    <w:rsid w:val="0B9C4AC4"/>
    <w:rsid w:val="0BB21E2C"/>
    <w:rsid w:val="0BBA24B6"/>
    <w:rsid w:val="0BBF5B0F"/>
    <w:rsid w:val="0BDD32AF"/>
    <w:rsid w:val="0BE90CDD"/>
    <w:rsid w:val="0BEA0FD4"/>
    <w:rsid w:val="0C0A59B5"/>
    <w:rsid w:val="0C1871C2"/>
    <w:rsid w:val="0C1C072F"/>
    <w:rsid w:val="0C1C5697"/>
    <w:rsid w:val="0C266484"/>
    <w:rsid w:val="0C287D03"/>
    <w:rsid w:val="0C2A0B13"/>
    <w:rsid w:val="0C2B5C37"/>
    <w:rsid w:val="0C4473B5"/>
    <w:rsid w:val="0C476802"/>
    <w:rsid w:val="0C5270D9"/>
    <w:rsid w:val="0C535BE1"/>
    <w:rsid w:val="0C5779A3"/>
    <w:rsid w:val="0C5B0853"/>
    <w:rsid w:val="0C5E759A"/>
    <w:rsid w:val="0C5F5255"/>
    <w:rsid w:val="0C6F7C44"/>
    <w:rsid w:val="0C710755"/>
    <w:rsid w:val="0C7967F1"/>
    <w:rsid w:val="0C7C4856"/>
    <w:rsid w:val="0C7D51A8"/>
    <w:rsid w:val="0C8C0093"/>
    <w:rsid w:val="0C8F5EB7"/>
    <w:rsid w:val="0C957304"/>
    <w:rsid w:val="0C9917A3"/>
    <w:rsid w:val="0C9D1929"/>
    <w:rsid w:val="0CA07653"/>
    <w:rsid w:val="0CA61E9E"/>
    <w:rsid w:val="0CA911B3"/>
    <w:rsid w:val="0CAB6257"/>
    <w:rsid w:val="0CBB6389"/>
    <w:rsid w:val="0CBC184C"/>
    <w:rsid w:val="0CC74F67"/>
    <w:rsid w:val="0CDB4E90"/>
    <w:rsid w:val="0CE70687"/>
    <w:rsid w:val="0CF8197D"/>
    <w:rsid w:val="0CFE77E0"/>
    <w:rsid w:val="0D0305FD"/>
    <w:rsid w:val="0D041C84"/>
    <w:rsid w:val="0D085EE6"/>
    <w:rsid w:val="0D111553"/>
    <w:rsid w:val="0D167233"/>
    <w:rsid w:val="0D192191"/>
    <w:rsid w:val="0D23090D"/>
    <w:rsid w:val="0D24782E"/>
    <w:rsid w:val="0D483FE7"/>
    <w:rsid w:val="0D583202"/>
    <w:rsid w:val="0D5A7E2F"/>
    <w:rsid w:val="0D5F0397"/>
    <w:rsid w:val="0D657970"/>
    <w:rsid w:val="0D6E7252"/>
    <w:rsid w:val="0D717C25"/>
    <w:rsid w:val="0D8821D0"/>
    <w:rsid w:val="0D9D6352"/>
    <w:rsid w:val="0DA502D0"/>
    <w:rsid w:val="0DAA1ADE"/>
    <w:rsid w:val="0DAB352E"/>
    <w:rsid w:val="0DAC452C"/>
    <w:rsid w:val="0DAD046E"/>
    <w:rsid w:val="0DB35E2A"/>
    <w:rsid w:val="0DBD33AB"/>
    <w:rsid w:val="0DBE75AC"/>
    <w:rsid w:val="0DC0229B"/>
    <w:rsid w:val="0DC06178"/>
    <w:rsid w:val="0DC17038"/>
    <w:rsid w:val="0DC85978"/>
    <w:rsid w:val="0DC9118D"/>
    <w:rsid w:val="0DD15E25"/>
    <w:rsid w:val="0DDE4919"/>
    <w:rsid w:val="0DE6006A"/>
    <w:rsid w:val="0DEE1C09"/>
    <w:rsid w:val="0DEF47B9"/>
    <w:rsid w:val="0DFC0CD7"/>
    <w:rsid w:val="0E015458"/>
    <w:rsid w:val="0E074D1B"/>
    <w:rsid w:val="0E0E1ED9"/>
    <w:rsid w:val="0E111EDA"/>
    <w:rsid w:val="0E14722D"/>
    <w:rsid w:val="0E236A59"/>
    <w:rsid w:val="0E3672F4"/>
    <w:rsid w:val="0E5170EF"/>
    <w:rsid w:val="0E57448D"/>
    <w:rsid w:val="0E5B3EC2"/>
    <w:rsid w:val="0E5F45DC"/>
    <w:rsid w:val="0E6C427E"/>
    <w:rsid w:val="0E6E0F49"/>
    <w:rsid w:val="0E70200F"/>
    <w:rsid w:val="0E7E2644"/>
    <w:rsid w:val="0E7E7DE6"/>
    <w:rsid w:val="0E9A455A"/>
    <w:rsid w:val="0E9B5198"/>
    <w:rsid w:val="0EA231D6"/>
    <w:rsid w:val="0EA94108"/>
    <w:rsid w:val="0EA96373"/>
    <w:rsid w:val="0EAC0833"/>
    <w:rsid w:val="0EAD29C4"/>
    <w:rsid w:val="0EBC177D"/>
    <w:rsid w:val="0EBC7598"/>
    <w:rsid w:val="0EBD6080"/>
    <w:rsid w:val="0EC27DDB"/>
    <w:rsid w:val="0EC639F0"/>
    <w:rsid w:val="0ECA4F21"/>
    <w:rsid w:val="0ECF51E6"/>
    <w:rsid w:val="0ECF6D65"/>
    <w:rsid w:val="0EDC059B"/>
    <w:rsid w:val="0EE2645D"/>
    <w:rsid w:val="0EF144BC"/>
    <w:rsid w:val="0F087221"/>
    <w:rsid w:val="0F097D58"/>
    <w:rsid w:val="0F0A4873"/>
    <w:rsid w:val="0F144DE7"/>
    <w:rsid w:val="0F1723E5"/>
    <w:rsid w:val="0F1A03D3"/>
    <w:rsid w:val="0F27271D"/>
    <w:rsid w:val="0F316AA2"/>
    <w:rsid w:val="0F411A6E"/>
    <w:rsid w:val="0F491338"/>
    <w:rsid w:val="0F4E736A"/>
    <w:rsid w:val="0F510793"/>
    <w:rsid w:val="0F570480"/>
    <w:rsid w:val="0F5953BA"/>
    <w:rsid w:val="0F5F6FAC"/>
    <w:rsid w:val="0F62162F"/>
    <w:rsid w:val="0F662714"/>
    <w:rsid w:val="0F6C1B0D"/>
    <w:rsid w:val="0F712E6D"/>
    <w:rsid w:val="0F994D20"/>
    <w:rsid w:val="0F9B2193"/>
    <w:rsid w:val="0FB32536"/>
    <w:rsid w:val="0FB6290A"/>
    <w:rsid w:val="0FB836EE"/>
    <w:rsid w:val="0FB85A6F"/>
    <w:rsid w:val="0FBA70D6"/>
    <w:rsid w:val="0FC93488"/>
    <w:rsid w:val="0FDD5643"/>
    <w:rsid w:val="0FED27F0"/>
    <w:rsid w:val="0FF03CF1"/>
    <w:rsid w:val="0FF2494D"/>
    <w:rsid w:val="0FF9482D"/>
    <w:rsid w:val="10072029"/>
    <w:rsid w:val="101C44B9"/>
    <w:rsid w:val="101F1F94"/>
    <w:rsid w:val="102164D0"/>
    <w:rsid w:val="10382146"/>
    <w:rsid w:val="10480257"/>
    <w:rsid w:val="104C1469"/>
    <w:rsid w:val="104D346C"/>
    <w:rsid w:val="10581ADC"/>
    <w:rsid w:val="105D690B"/>
    <w:rsid w:val="105F1B2F"/>
    <w:rsid w:val="1065140C"/>
    <w:rsid w:val="107477BA"/>
    <w:rsid w:val="1076071E"/>
    <w:rsid w:val="10790735"/>
    <w:rsid w:val="10897B5C"/>
    <w:rsid w:val="108D03FB"/>
    <w:rsid w:val="1093167E"/>
    <w:rsid w:val="1094160C"/>
    <w:rsid w:val="109772D9"/>
    <w:rsid w:val="109C0B72"/>
    <w:rsid w:val="10AC34C3"/>
    <w:rsid w:val="10B10471"/>
    <w:rsid w:val="10B54A01"/>
    <w:rsid w:val="10BD47CC"/>
    <w:rsid w:val="10CB3485"/>
    <w:rsid w:val="10E60BFB"/>
    <w:rsid w:val="10F46820"/>
    <w:rsid w:val="11037474"/>
    <w:rsid w:val="110378B2"/>
    <w:rsid w:val="11201A9B"/>
    <w:rsid w:val="11241FC9"/>
    <w:rsid w:val="112512DE"/>
    <w:rsid w:val="112C724A"/>
    <w:rsid w:val="1137462E"/>
    <w:rsid w:val="113E66F9"/>
    <w:rsid w:val="114110F7"/>
    <w:rsid w:val="11597B93"/>
    <w:rsid w:val="115B4A60"/>
    <w:rsid w:val="115D6A16"/>
    <w:rsid w:val="115E17C9"/>
    <w:rsid w:val="11630723"/>
    <w:rsid w:val="11767903"/>
    <w:rsid w:val="119C2D41"/>
    <w:rsid w:val="11A56D2C"/>
    <w:rsid w:val="11A707DA"/>
    <w:rsid w:val="11C865FC"/>
    <w:rsid w:val="11D12CE1"/>
    <w:rsid w:val="11DB28F0"/>
    <w:rsid w:val="11DD708D"/>
    <w:rsid w:val="11E7388E"/>
    <w:rsid w:val="11F21EBA"/>
    <w:rsid w:val="11F930E5"/>
    <w:rsid w:val="11FB1F20"/>
    <w:rsid w:val="12057A2A"/>
    <w:rsid w:val="1213755C"/>
    <w:rsid w:val="12154445"/>
    <w:rsid w:val="12231088"/>
    <w:rsid w:val="122F3A70"/>
    <w:rsid w:val="12481512"/>
    <w:rsid w:val="12522894"/>
    <w:rsid w:val="127451CA"/>
    <w:rsid w:val="12790B93"/>
    <w:rsid w:val="12831D93"/>
    <w:rsid w:val="12866863"/>
    <w:rsid w:val="12A373B3"/>
    <w:rsid w:val="12A71183"/>
    <w:rsid w:val="12AA6F50"/>
    <w:rsid w:val="12CC1F33"/>
    <w:rsid w:val="12EF6A3C"/>
    <w:rsid w:val="13022227"/>
    <w:rsid w:val="13075068"/>
    <w:rsid w:val="13105708"/>
    <w:rsid w:val="13141A50"/>
    <w:rsid w:val="133320AC"/>
    <w:rsid w:val="133E7D7A"/>
    <w:rsid w:val="13624A98"/>
    <w:rsid w:val="13636534"/>
    <w:rsid w:val="13652392"/>
    <w:rsid w:val="136B006A"/>
    <w:rsid w:val="136D1248"/>
    <w:rsid w:val="13A60E76"/>
    <w:rsid w:val="13A84B2D"/>
    <w:rsid w:val="13AB15C9"/>
    <w:rsid w:val="13CF431F"/>
    <w:rsid w:val="13CF7332"/>
    <w:rsid w:val="13D27EFF"/>
    <w:rsid w:val="13DA4E9E"/>
    <w:rsid w:val="13F177F1"/>
    <w:rsid w:val="14085372"/>
    <w:rsid w:val="14086421"/>
    <w:rsid w:val="141B4A55"/>
    <w:rsid w:val="1426195F"/>
    <w:rsid w:val="14354E5A"/>
    <w:rsid w:val="143C6C6F"/>
    <w:rsid w:val="14433E94"/>
    <w:rsid w:val="14461357"/>
    <w:rsid w:val="144A7BBE"/>
    <w:rsid w:val="144D07CE"/>
    <w:rsid w:val="1451230F"/>
    <w:rsid w:val="14603CD3"/>
    <w:rsid w:val="146D5FFC"/>
    <w:rsid w:val="147501E7"/>
    <w:rsid w:val="147D3F19"/>
    <w:rsid w:val="148D23DF"/>
    <w:rsid w:val="148F6B15"/>
    <w:rsid w:val="14AF6506"/>
    <w:rsid w:val="14B5288D"/>
    <w:rsid w:val="14B63E86"/>
    <w:rsid w:val="14B952F1"/>
    <w:rsid w:val="14C46A80"/>
    <w:rsid w:val="14E578E4"/>
    <w:rsid w:val="14EB1939"/>
    <w:rsid w:val="14ED4C0B"/>
    <w:rsid w:val="150457DE"/>
    <w:rsid w:val="150D78F3"/>
    <w:rsid w:val="151C1E67"/>
    <w:rsid w:val="15293E72"/>
    <w:rsid w:val="15297916"/>
    <w:rsid w:val="154046C3"/>
    <w:rsid w:val="156E6CD1"/>
    <w:rsid w:val="15763642"/>
    <w:rsid w:val="15767A8F"/>
    <w:rsid w:val="15856F6A"/>
    <w:rsid w:val="15872D8D"/>
    <w:rsid w:val="15890249"/>
    <w:rsid w:val="158929A7"/>
    <w:rsid w:val="158F1096"/>
    <w:rsid w:val="159C3D25"/>
    <w:rsid w:val="15A808C2"/>
    <w:rsid w:val="15AB0ABD"/>
    <w:rsid w:val="15AE5BD4"/>
    <w:rsid w:val="15BA09EF"/>
    <w:rsid w:val="15CA2E2F"/>
    <w:rsid w:val="15D76280"/>
    <w:rsid w:val="15DA529C"/>
    <w:rsid w:val="15E307CC"/>
    <w:rsid w:val="15EA1938"/>
    <w:rsid w:val="15F74B9E"/>
    <w:rsid w:val="15FF61CD"/>
    <w:rsid w:val="16142ECD"/>
    <w:rsid w:val="161D1E94"/>
    <w:rsid w:val="16223D6A"/>
    <w:rsid w:val="162F0A5C"/>
    <w:rsid w:val="163E06B3"/>
    <w:rsid w:val="1653448F"/>
    <w:rsid w:val="165E0CD7"/>
    <w:rsid w:val="165F0F58"/>
    <w:rsid w:val="167D455D"/>
    <w:rsid w:val="1693009A"/>
    <w:rsid w:val="16956F66"/>
    <w:rsid w:val="16957F82"/>
    <w:rsid w:val="16A03C94"/>
    <w:rsid w:val="16A06F8D"/>
    <w:rsid w:val="16A169FC"/>
    <w:rsid w:val="16A54681"/>
    <w:rsid w:val="16A81BAD"/>
    <w:rsid w:val="16AA5F67"/>
    <w:rsid w:val="16B8181C"/>
    <w:rsid w:val="16B867FA"/>
    <w:rsid w:val="16BE4A1B"/>
    <w:rsid w:val="16CC0CF8"/>
    <w:rsid w:val="16CD031F"/>
    <w:rsid w:val="16D17074"/>
    <w:rsid w:val="16D6057D"/>
    <w:rsid w:val="16D8640E"/>
    <w:rsid w:val="16DB14A0"/>
    <w:rsid w:val="16EB5658"/>
    <w:rsid w:val="16F80416"/>
    <w:rsid w:val="17125468"/>
    <w:rsid w:val="17137C92"/>
    <w:rsid w:val="171F01EC"/>
    <w:rsid w:val="172C4833"/>
    <w:rsid w:val="174C4692"/>
    <w:rsid w:val="175900AD"/>
    <w:rsid w:val="178F00E6"/>
    <w:rsid w:val="179C673E"/>
    <w:rsid w:val="17A64775"/>
    <w:rsid w:val="17BB1801"/>
    <w:rsid w:val="17C144B6"/>
    <w:rsid w:val="17C7452C"/>
    <w:rsid w:val="17CA7349"/>
    <w:rsid w:val="17DC0102"/>
    <w:rsid w:val="17DC3E18"/>
    <w:rsid w:val="17EE0FFF"/>
    <w:rsid w:val="17FB4C34"/>
    <w:rsid w:val="17FD15DB"/>
    <w:rsid w:val="18051404"/>
    <w:rsid w:val="18051428"/>
    <w:rsid w:val="18065F87"/>
    <w:rsid w:val="18104FB4"/>
    <w:rsid w:val="181E4663"/>
    <w:rsid w:val="182117A9"/>
    <w:rsid w:val="182834D7"/>
    <w:rsid w:val="1828632C"/>
    <w:rsid w:val="182D0E80"/>
    <w:rsid w:val="182E1746"/>
    <w:rsid w:val="18311AD1"/>
    <w:rsid w:val="18396830"/>
    <w:rsid w:val="183D32F5"/>
    <w:rsid w:val="18572C2A"/>
    <w:rsid w:val="18621077"/>
    <w:rsid w:val="189A3174"/>
    <w:rsid w:val="18A43BAF"/>
    <w:rsid w:val="18A80440"/>
    <w:rsid w:val="18B45273"/>
    <w:rsid w:val="18C0207C"/>
    <w:rsid w:val="18C72BD0"/>
    <w:rsid w:val="18CD43D2"/>
    <w:rsid w:val="18D105C0"/>
    <w:rsid w:val="18DB30FE"/>
    <w:rsid w:val="18DD336B"/>
    <w:rsid w:val="18E3034D"/>
    <w:rsid w:val="18EA6E59"/>
    <w:rsid w:val="18ED1D96"/>
    <w:rsid w:val="18FB0D5B"/>
    <w:rsid w:val="18FE228A"/>
    <w:rsid w:val="1902033B"/>
    <w:rsid w:val="1904352D"/>
    <w:rsid w:val="1906126E"/>
    <w:rsid w:val="190E7F37"/>
    <w:rsid w:val="1916059A"/>
    <w:rsid w:val="19182C26"/>
    <w:rsid w:val="19396245"/>
    <w:rsid w:val="194205CE"/>
    <w:rsid w:val="19467322"/>
    <w:rsid w:val="194E6923"/>
    <w:rsid w:val="19521B52"/>
    <w:rsid w:val="196416A3"/>
    <w:rsid w:val="19686B3A"/>
    <w:rsid w:val="198309FC"/>
    <w:rsid w:val="19997B03"/>
    <w:rsid w:val="19B4619D"/>
    <w:rsid w:val="19C051B8"/>
    <w:rsid w:val="19C94D6E"/>
    <w:rsid w:val="19CD3DE0"/>
    <w:rsid w:val="19D64927"/>
    <w:rsid w:val="19E34CDF"/>
    <w:rsid w:val="19E74881"/>
    <w:rsid w:val="19E941B7"/>
    <w:rsid w:val="19F07EEA"/>
    <w:rsid w:val="19FF7D70"/>
    <w:rsid w:val="1A051214"/>
    <w:rsid w:val="1A1B0D64"/>
    <w:rsid w:val="1A42048D"/>
    <w:rsid w:val="1A484AC8"/>
    <w:rsid w:val="1A4A4F61"/>
    <w:rsid w:val="1A4B3704"/>
    <w:rsid w:val="1A4B7A80"/>
    <w:rsid w:val="1A620042"/>
    <w:rsid w:val="1A642D1E"/>
    <w:rsid w:val="1A67556E"/>
    <w:rsid w:val="1A7B38B3"/>
    <w:rsid w:val="1A7F0F5F"/>
    <w:rsid w:val="1A841209"/>
    <w:rsid w:val="1A850E09"/>
    <w:rsid w:val="1A8C4303"/>
    <w:rsid w:val="1A9E371E"/>
    <w:rsid w:val="1AA12328"/>
    <w:rsid w:val="1AAE7014"/>
    <w:rsid w:val="1AB218EC"/>
    <w:rsid w:val="1AB42A59"/>
    <w:rsid w:val="1ABA7C9A"/>
    <w:rsid w:val="1ABF0119"/>
    <w:rsid w:val="1ABF1606"/>
    <w:rsid w:val="1AC80443"/>
    <w:rsid w:val="1AF31D8C"/>
    <w:rsid w:val="1AF57B95"/>
    <w:rsid w:val="1AFB64F8"/>
    <w:rsid w:val="1B421461"/>
    <w:rsid w:val="1B472681"/>
    <w:rsid w:val="1B827F47"/>
    <w:rsid w:val="1B832BD5"/>
    <w:rsid w:val="1B852C45"/>
    <w:rsid w:val="1B872D39"/>
    <w:rsid w:val="1B8D689B"/>
    <w:rsid w:val="1B8E1212"/>
    <w:rsid w:val="1B9D61E0"/>
    <w:rsid w:val="1BAB67A2"/>
    <w:rsid w:val="1BD0378D"/>
    <w:rsid w:val="1BDA2B1E"/>
    <w:rsid w:val="1BF276F2"/>
    <w:rsid w:val="1BF70DC7"/>
    <w:rsid w:val="1BF94EFA"/>
    <w:rsid w:val="1BFB7FC5"/>
    <w:rsid w:val="1BFE4DC1"/>
    <w:rsid w:val="1C176F26"/>
    <w:rsid w:val="1C260DC9"/>
    <w:rsid w:val="1C294F49"/>
    <w:rsid w:val="1C301853"/>
    <w:rsid w:val="1C430426"/>
    <w:rsid w:val="1C4621D4"/>
    <w:rsid w:val="1C64466E"/>
    <w:rsid w:val="1C9C429F"/>
    <w:rsid w:val="1C9E44BE"/>
    <w:rsid w:val="1CB2004B"/>
    <w:rsid w:val="1CB70574"/>
    <w:rsid w:val="1CB8642E"/>
    <w:rsid w:val="1CBB1803"/>
    <w:rsid w:val="1CD82116"/>
    <w:rsid w:val="1CD913CD"/>
    <w:rsid w:val="1CE60DBB"/>
    <w:rsid w:val="1CFA01DB"/>
    <w:rsid w:val="1D0238AC"/>
    <w:rsid w:val="1D042333"/>
    <w:rsid w:val="1D0527EB"/>
    <w:rsid w:val="1D076964"/>
    <w:rsid w:val="1D233C51"/>
    <w:rsid w:val="1D2B2413"/>
    <w:rsid w:val="1D34668D"/>
    <w:rsid w:val="1D425D4A"/>
    <w:rsid w:val="1D476A7D"/>
    <w:rsid w:val="1D491DF7"/>
    <w:rsid w:val="1D4D6555"/>
    <w:rsid w:val="1D676DFF"/>
    <w:rsid w:val="1D69361A"/>
    <w:rsid w:val="1D6B4AE5"/>
    <w:rsid w:val="1D6B6D6D"/>
    <w:rsid w:val="1D6F61BC"/>
    <w:rsid w:val="1D7B2AEF"/>
    <w:rsid w:val="1D8B27EA"/>
    <w:rsid w:val="1D903C5E"/>
    <w:rsid w:val="1D921ACA"/>
    <w:rsid w:val="1D9E2DC1"/>
    <w:rsid w:val="1DA11254"/>
    <w:rsid w:val="1DA80652"/>
    <w:rsid w:val="1DA813C1"/>
    <w:rsid w:val="1DAF6AC7"/>
    <w:rsid w:val="1DBD1EDF"/>
    <w:rsid w:val="1DCE2AF1"/>
    <w:rsid w:val="1DCF194A"/>
    <w:rsid w:val="1DD73BC5"/>
    <w:rsid w:val="1DE101B2"/>
    <w:rsid w:val="1DEC688C"/>
    <w:rsid w:val="1DFA6265"/>
    <w:rsid w:val="1E054DA9"/>
    <w:rsid w:val="1E063310"/>
    <w:rsid w:val="1E0B673C"/>
    <w:rsid w:val="1E1C6754"/>
    <w:rsid w:val="1E39438D"/>
    <w:rsid w:val="1E4059FB"/>
    <w:rsid w:val="1E4819E2"/>
    <w:rsid w:val="1E4E3DA0"/>
    <w:rsid w:val="1E5E409E"/>
    <w:rsid w:val="1E616DED"/>
    <w:rsid w:val="1E634760"/>
    <w:rsid w:val="1E637B92"/>
    <w:rsid w:val="1E780506"/>
    <w:rsid w:val="1E8C4B26"/>
    <w:rsid w:val="1EA50C38"/>
    <w:rsid w:val="1EAA7896"/>
    <w:rsid w:val="1EB467C7"/>
    <w:rsid w:val="1EC970CF"/>
    <w:rsid w:val="1ED05120"/>
    <w:rsid w:val="1ED1755F"/>
    <w:rsid w:val="1EF14EBF"/>
    <w:rsid w:val="1EF150B6"/>
    <w:rsid w:val="1F0406A1"/>
    <w:rsid w:val="1F0634E5"/>
    <w:rsid w:val="1F0A6F0B"/>
    <w:rsid w:val="1F155FD1"/>
    <w:rsid w:val="1F244A20"/>
    <w:rsid w:val="1F27244D"/>
    <w:rsid w:val="1F3216FE"/>
    <w:rsid w:val="1F33184E"/>
    <w:rsid w:val="1F381A87"/>
    <w:rsid w:val="1F4557B2"/>
    <w:rsid w:val="1F5B025B"/>
    <w:rsid w:val="1F5F28FC"/>
    <w:rsid w:val="1F606389"/>
    <w:rsid w:val="1F6549FC"/>
    <w:rsid w:val="1F6F145F"/>
    <w:rsid w:val="1F753EED"/>
    <w:rsid w:val="1F774E8B"/>
    <w:rsid w:val="1F7D1908"/>
    <w:rsid w:val="1F801BD1"/>
    <w:rsid w:val="1F8E7D8D"/>
    <w:rsid w:val="1F9F115B"/>
    <w:rsid w:val="1FAA5E5D"/>
    <w:rsid w:val="1FB3512E"/>
    <w:rsid w:val="1FB47802"/>
    <w:rsid w:val="1FB84530"/>
    <w:rsid w:val="1FD14E1D"/>
    <w:rsid w:val="1FE07990"/>
    <w:rsid w:val="1FE14907"/>
    <w:rsid w:val="1FE275CD"/>
    <w:rsid w:val="1FEE3C90"/>
    <w:rsid w:val="1FF57F45"/>
    <w:rsid w:val="20223374"/>
    <w:rsid w:val="204212C9"/>
    <w:rsid w:val="20691F32"/>
    <w:rsid w:val="206C59FE"/>
    <w:rsid w:val="20724FDD"/>
    <w:rsid w:val="20880E23"/>
    <w:rsid w:val="208B7305"/>
    <w:rsid w:val="20A107CE"/>
    <w:rsid w:val="20A35908"/>
    <w:rsid w:val="20A533C4"/>
    <w:rsid w:val="20AA0634"/>
    <w:rsid w:val="20AB082E"/>
    <w:rsid w:val="20C00EB9"/>
    <w:rsid w:val="20CC2CB7"/>
    <w:rsid w:val="20F66676"/>
    <w:rsid w:val="20FA05F5"/>
    <w:rsid w:val="20FA1EF1"/>
    <w:rsid w:val="211179B5"/>
    <w:rsid w:val="211F531E"/>
    <w:rsid w:val="21220EA8"/>
    <w:rsid w:val="212B4F33"/>
    <w:rsid w:val="212D2FEF"/>
    <w:rsid w:val="212E32B3"/>
    <w:rsid w:val="21670F47"/>
    <w:rsid w:val="216A1392"/>
    <w:rsid w:val="217219D0"/>
    <w:rsid w:val="21736409"/>
    <w:rsid w:val="21783882"/>
    <w:rsid w:val="218C05CF"/>
    <w:rsid w:val="218F4325"/>
    <w:rsid w:val="21986C2C"/>
    <w:rsid w:val="21AA3D66"/>
    <w:rsid w:val="21B66FA3"/>
    <w:rsid w:val="21D85F6E"/>
    <w:rsid w:val="21DF5B33"/>
    <w:rsid w:val="21F4456E"/>
    <w:rsid w:val="21F64145"/>
    <w:rsid w:val="21F776D4"/>
    <w:rsid w:val="21FB2260"/>
    <w:rsid w:val="220A09CC"/>
    <w:rsid w:val="220F18F3"/>
    <w:rsid w:val="22135B75"/>
    <w:rsid w:val="221F549A"/>
    <w:rsid w:val="2226687E"/>
    <w:rsid w:val="2232332E"/>
    <w:rsid w:val="2235013D"/>
    <w:rsid w:val="2241755E"/>
    <w:rsid w:val="224C6AD9"/>
    <w:rsid w:val="224D10E1"/>
    <w:rsid w:val="225C104E"/>
    <w:rsid w:val="22657E48"/>
    <w:rsid w:val="226E7553"/>
    <w:rsid w:val="22792602"/>
    <w:rsid w:val="227C5E42"/>
    <w:rsid w:val="22804F3A"/>
    <w:rsid w:val="228806C2"/>
    <w:rsid w:val="228F2EB3"/>
    <w:rsid w:val="229E2420"/>
    <w:rsid w:val="22A74C9F"/>
    <w:rsid w:val="22A81AEB"/>
    <w:rsid w:val="22AA373D"/>
    <w:rsid w:val="22AF4CF6"/>
    <w:rsid w:val="22B2150C"/>
    <w:rsid w:val="22B4701C"/>
    <w:rsid w:val="22B82001"/>
    <w:rsid w:val="22C11609"/>
    <w:rsid w:val="22CC121B"/>
    <w:rsid w:val="22DE1832"/>
    <w:rsid w:val="22E128CF"/>
    <w:rsid w:val="22F05015"/>
    <w:rsid w:val="22F65707"/>
    <w:rsid w:val="23191F62"/>
    <w:rsid w:val="23201F0D"/>
    <w:rsid w:val="23235A5C"/>
    <w:rsid w:val="23245408"/>
    <w:rsid w:val="235B7303"/>
    <w:rsid w:val="236D3D6D"/>
    <w:rsid w:val="236F533A"/>
    <w:rsid w:val="239133C0"/>
    <w:rsid w:val="23A065AA"/>
    <w:rsid w:val="23A91455"/>
    <w:rsid w:val="23AA588B"/>
    <w:rsid w:val="23B6284D"/>
    <w:rsid w:val="23BF637F"/>
    <w:rsid w:val="23CE74D7"/>
    <w:rsid w:val="23D87FDC"/>
    <w:rsid w:val="23E22645"/>
    <w:rsid w:val="24061968"/>
    <w:rsid w:val="240F0E18"/>
    <w:rsid w:val="242D3346"/>
    <w:rsid w:val="24376C0A"/>
    <w:rsid w:val="243E259A"/>
    <w:rsid w:val="244D76CF"/>
    <w:rsid w:val="244D7864"/>
    <w:rsid w:val="245237D2"/>
    <w:rsid w:val="24657233"/>
    <w:rsid w:val="246832E9"/>
    <w:rsid w:val="24A269AF"/>
    <w:rsid w:val="24AC2B67"/>
    <w:rsid w:val="24B00705"/>
    <w:rsid w:val="24B97E13"/>
    <w:rsid w:val="24BB19B7"/>
    <w:rsid w:val="24CB0A25"/>
    <w:rsid w:val="24D664BA"/>
    <w:rsid w:val="24DC510E"/>
    <w:rsid w:val="24E06B71"/>
    <w:rsid w:val="24E92C73"/>
    <w:rsid w:val="24EE1653"/>
    <w:rsid w:val="24F840D1"/>
    <w:rsid w:val="24F91841"/>
    <w:rsid w:val="2505061B"/>
    <w:rsid w:val="25051798"/>
    <w:rsid w:val="250A4535"/>
    <w:rsid w:val="251779D1"/>
    <w:rsid w:val="251C2DBA"/>
    <w:rsid w:val="253045F7"/>
    <w:rsid w:val="25313E26"/>
    <w:rsid w:val="25387234"/>
    <w:rsid w:val="25391169"/>
    <w:rsid w:val="25395BE0"/>
    <w:rsid w:val="254400AC"/>
    <w:rsid w:val="254454DB"/>
    <w:rsid w:val="25471117"/>
    <w:rsid w:val="25586D53"/>
    <w:rsid w:val="255E1360"/>
    <w:rsid w:val="255F67C7"/>
    <w:rsid w:val="25606BB4"/>
    <w:rsid w:val="25614A8F"/>
    <w:rsid w:val="25665D3C"/>
    <w:rsid w:val="25670E98"/>
    <w:rsid w:val="25781DFA"/>
    <w:rsid w:val="258701F3"/>
    <w:rsid w:val="2588527A"/>
    <w:rsid w:val="259927FA"/>
    <w:rsid w:val="25A621AB"/>
    <w:rsid w:val="25B72B05"/>
    <w:rsid w:val="25B8654A"/>
    <w:rsid w:val="25DB5050"/>
    <w:rsid w:val="25F97EE8"/>
    <w:rsid w:val="25FA29BF"/>
    <w:rsid w:val="261228D1"/>
    <w:rsid w:val="261A1731"/>
    <w:rsid w:val="261C7FEE"/>
    <w:rsid w:val="26241132"/>
    <w:rsid w:val="262619CA"/>
    <w:rsid w:val="262D60CC"/>
    <w:rsid w:val="263E13B4"/>
    <w:rsid w:val="263F0B17"/>
    <w:rsid w:val="264712DE"/>
    <w:rsid w:val="26472644"/>
    <w:rsid w:val="26564B23"/>
    <w:rsid w:val="265C058F"/>
    <w:rsid w:val="266609A1"/>
    <w:rsid w:val="2676323B"/>
    <w:rsid w:val="26800699"/>
    <w:rsid w:val="26817AC5"/>
    <w:rsid w:val="268D08CC"/>
    <w:rsid w:val="268D56F7"/>
    <w:rsid w:val="269821A4"/>
    <w:rsid w:val="269A73E4"/>
    <w:rsid w:val="269B0052"/>
    <w:rsid w:val="26A121F9"/>
    <w:rsid w:val="26A40061"/>
    <w:rsid w:val="26A46B6B"/>
    <w:rsid w:val="26A6731E"/>
    <w:rsid w:val="26AB603F"/>
    <w:rsid w:val="26B920DD"/>
    <w:rsid w:val="26C040D6"/>
    <w:rsid w:val="26CA42D5"/>
    <w:rsid w:val="26CB18CB"/>
    <w:rsid w:val="26CD27CC"/>
    <w:rsid w:val="26D37E3A"/>
    <w:rsid w:val="26E84081"/>
    <w:rsid w:val="26EB04AC"/>
    <w:rsid w:val="26F41C47"/>
    <w:rsid w:val="271A3374"/>
    <w:rsid w:val="271C44A3"/>
    <w:rsid w:val="27390CE7"/>
    <w:rsid w:val="274012C3"/>
    <w:rsid w:val="274B78D5"/>
    <w:rsid w:val="276D44DE"/>
    <w:rsid w:val="276D7FB8"/>
    <w:rsid w:val="276E4FBA"/>
    <w:rsid w:val="277A4DF0"/>
    <w:rsid w:val="27803722"/>
    <w:rsid w:val="27821B29"/>
    <w:rsid w:val="278A3BA0"/>
    <w:rsid w:val="279D5457"/>
    <w:rsid w:val="279F61D3"/>
    <w:rsid w:val="27C30AEF"/>
    <w:rsid w:val="27C534CE"/>
    <w:rsid w:val="27D626EF"/>
    <w:rsid w:val="27D75F23"/>
    <w:rsid w:val="27DC33A5"/>
    <w:rsid w:val="27F02EA7"/>
    <w:rsid w:val="27F3092C"/>
    <w:rsid w:val="27F71036"/>
    <w:rsid w:val="28034546"/>
    <w:rsid w:val="280445CA"/>
    <w:rsid w:val="280754E9"/>
    <w:rsid w:val="28122C57"/>
    <w:rsid w:val="28127664"/>
    <w:rsid w:val="281D6955"/>
    <w:rsid w:val="282264DA"/>
    <w:rsid w:val="28262C40"/>
    <w:rsid w:val="28291451"/>
    <w:rsid w:val="282B09BA"/>
    <w:rsid w:val="282C481D"/>
    <w:rsid w:val="28432BAE"/>
    <w:rsid w:val="28516F34"/>
    <w:rsid w:val="28556782"/>
    <w:rsid w:val="285E2FC4"/>
    <w:rsid w:val="286058C7"/>
    <w:rsid w:val="28610B8D"/>
    <w:rsid w:val="287C7762"/>
    <w:rsid w:val="28960B2E"/>
    <w:rsid w:val="289E18D2"/>
    <w:rsid w:val="28A245FF"/>
    <w:rsid w:val="28A2630A"/>
    <w:rsid w:val="28A503E2"/>
    <w:rsid w:val="28B716A6"/>
    <w:rsid w:val="28BC2AD1"/>
    <w:rsid w:val="28BC7944"/>
    <w:rsid w:val="28DF16CE"/>
    <w:rsid w:val="28EC0874"/>
    <w:rsid w:val="28F859E4"/>
    <w:rsid w:val="290A351B"/>
    <w:rsid w:val="290C6F19"/>
    <w:rsid w:val="291A31A2"/>
    <w:rsid w:val="292B67F9"/>
    <w:rsid w:val="293732F2"/>
    <w:rsid w:val="293B7213"/>
    <w:rsid w:val="29410C0F"/>
    <w:rsid w:val="29481B7A"/>
    <w:rsid w:val="294961CB"/>
    <w:rsid w:val="29496BE6"/>
    <w:rsid w:val="29512D96"/>
    <w:rsid w:val="29580677"/>
    <w:rsid w:val="295E1DF3"/>
    <w:rsid w:val="295F2248"/>
    <w:rsid w:val="2968714F"/>
    <w:rsid w:val="29757710"/>
    <w:rsid w:val="29812B4F"/>
    <w:rsid w:val="299F2D6C"/>
    <w:rsid w:val="29A76A71"/>
    <w:rsid w:val="29B72612"/>
    <w:rsid w:val="29BF2ACD"/>
    <w:rsid w:val="29D46DFA"/>
    <w:rsid w:val="29D7708C"/>
    <w:rsid w:val="2A031E40"/>
    <w:rsid w:val="2A05566A"/>
    <w:rsid w:val="2A11122F"/>
    <w:rsid w:val="2A135463"/>
    <w:rsid w:val="2A1D6523"/>
    <w:rsid w:val="2A1E6EBF"/>
    <w:rsid w:val="2A255FF9"/>
    <w:rsid w:val="2A2E1512"/>
    <w:rsid w:val="2A3029DD"/>
    <w:rsid w:val="2A45155C"/>
    <w:rsid w:val="2A490495"/>
    <w:rsid w:val="2A5A01D2"/>
    <w:rsid w:val="2A5C3294"/>
    <w:rsid w:val="2A631166"/>
    <w:rsid w:val="2A6A2E0D"/>
    <w:rsid w:val="2A743BF9"/>
    <w:rsid w:val="2A7E0AE8"/>
    <w:rsid w:val="2A8A2EA9"/>
    <w:rsid w:val="2A9A4C27"/>
    <w:rsid w:val="2A9B2494"/>
    <w:rsid w:val="2A9F7333"/>
    <w:rsid w:val="2AB25D57"/>
    <w:rsid w:val="2ABA11E1"/>
    <w:rsid w:val="2AC8246B"/>
    <w:rsid w:val="2AD51D16"/>
    <w:rsid w:val="2AE22D0C"/>
    <w:rsid w:val="2AEA56CA"/>
    <w:rsid w:val="2AF13FCB"/>
    <w:rsid w:val="2B0712F0"/>
    <w:rsid w:val="2B074FFF"/>
    <w:rsid w:val="2B150B8F"/>
    <w:rsid w:val="2B2C755B"/>
    <w:rsid w:val="2B3230AD"/>
    <w:rsid w:val="2B363B98"/>
    <w:rsid w:val="2B3B1A8D"/>
    <w:rsid w:val="2B59204E"/>
    <w:rsid w:val="2B5B0BA6"/>
    <w:rsid w:val="2B6F6991"/>
    <w:rsid w:val="2B946E31"/>
    <w:rsid w:val="2B9C56A1"/>
    <w:rsid w:val="2BB43026"/>
    <w:rsid w:val="2BC14FCD"/>
    <w:rsid w:val="2BCC0021"/>
    <w:rsid w:val="2BD67361"/>
    <w:rsid w:val="2BE63734"/>
    <w:rsid w:val="2BE932F4"/>
    <w:rsid w:val="2BF37442"/>
    <w:rsid w:val="2BFA2E83"/>
    <w:rsid w:val="2BFD17C6"/>
    <w:rsid w:val="2C054010"/>
    <w:rsid w:val="2C1369AF"/>
    <w:rsid w:val="2C1A03D7"/>
    <w:rsid w:val="2C1C6B7E"/>
    <w:rsid w:val="2C236CFA"/>
    <w:rsid w:val="2C2F5B8A"/>
    <w:rsid w:val="2C2F702F"/>
    <w:rsid w:val="2C3C0060"/>
    <w:rsid w:val="2C3F64A4"/>
    <w:rsid w:val="2C570EBA"/>
    <w:rsid w:val="2C58095B"/>
    <w:rsid w:val="2C6C1343"/>
    <w:rsid w:val="2C7905C6"/>
    <w:rsid w:val="2C7A2104"/>
    <w:rsid w:val="2C847729"/>
    <w:rsid w:val="2C8C4C63"/>
    <w:rsid w:val="2CC67A50"/>
    <w:rsid w:val="2CCD47D5"/>
    <w:rsid w:val="2CCD74A0"/>
    <w:rsid w:val="2CCE3C9E"/>
    <w:rsid w:val="2CE53C96"/>
    <w:rsid w:val="2CEF4563"/>
    <w:rsid w:val="2CF269D8"/>
    <w:rsid w:val="2D1038CF"/>
    <w:rsid w:val="2D1833BD"/>
    <w:rsid w:val="2D2B0EB6"/>
    <w:rsid w:val="2D2E43B5"/>
    <w:rsid w:val="2D330F3C"/>
    <w:rsid w:val="2D39751C"/>
    <w:rsid w:val="2D42071D"/>
    <w:rsid w:val="2D496C39"/>
    <w:rsid w:val="2D4C6C16"/>
    <w:rsid w:val="2D500062"/>
    <w:rsid w:val="2D5C1D4B"/>
    <w:rsid w:val="2D5F6982"/>
    <w:rsid w:val="2D72435B"/>
    <w:rsid w:val="2D8C447B"/>
    <w:rsid w:val="2D9D2DE8"/>
    <w:rsid w:val="2DA37452"/>
    <w:rsid w:val="2DA5503C"/>
    <w:rsid w:val="2DA8759A"/>
    <w:rsid w:val="2DAC19C5"/>
    <w:rsid w:val="2DB416E3"/>
    <w:rsid w:val="2DB67E9E"/>
    <w:rsid w:val="2DE806A9"/>
    <w:rsid w:val="2E0308B7"/>
    <w:rsid w:val="2E1329E7"/>
    <w:rsid w:val="2E18046A"/>
    <w:rsid w:val="2E2748D1"/>
    <w:rsid w:val="2E357E3B"/>
    <w:rsid w:val="2E4342F0"/>
    <w:rsid w:val="2E46235C"/>
    <w:rsid w:val="2E4D11BB"/>
    <w:rsid w:val="2E4E288B"/>
    <w:rsid w:val="2E5230AC"/>
    <w:rsid w:val="2E547BE7"/>
    <w:rsid w:val="2E5767A6"/>
    <w:rsid w:val="2E5C38A3"/>
    <w:rsid w:val="2E6616C0"/>
    <w:rsid w:val="2E6E04E6"/>
    <w:rsid w:val="2E7220F7"/>
    <w:rsid w:val="2E886450"/>
    <w:rsid w:val="2E9110D5"/>
    <w:rsid w:val="2E91166E"/>
    <w:rsid w:val="2E9A4B33"/>
    <w:rsid w:val="2EA1613A"/>
    <w:rsid w:val="2EA22FCC"/>
    <w:rsid w:val="2EA232A1"/>
    <w:rsid w:val="2EA57FFE"/>
    <w:rsid w:val="2EAE0417"/>
    <w:rsid w:val="2EAF5C02"/>
    <w:rsid w:val="2EB042A9"/>
    <w:rsid w:val="2EB73018"/>
    <w:rsid w:val="2EC25493"/>
    <w:rsid w:val="2ECB12A2"/>
    <w:rsid w:val="2ED577FE"/>
    <w:rsid w:val="2EDE67D0"/>
    <w:rsid w:val="2EDF468D"/>
    <w:rsid w:val="2EE63DE8"/>
    <w:rsid w:val="2EF359B3"/>
    <w:rsid w:val="2EF42D00"/>
    <w:rsid w:val="2EFF7689"/>
    <w:rsid w:val="2F04248D"/>
    <w:rsid w:val="2F0C6EF8"/>
    <w:rsid w:val="2F206036"/>
    <w:rsid w:val="2F227981"/>
    <w:rsid w:val="2F4608C4"/>
    <w:rsid w:val="2F46374A"/>
    <w:rsid w:val="2F502367"/>
    <w:rsid w:val="2F531F44"/>
    <w:rsid w:val="2F595C81"/>
    <w:rsid w:val="2F63596C"/>
    <w:rsid w:val="2F701CDB"/>
    <w:rsid w:val="2F7A0366"/>
    <w:rsid w:val="2F85439E"/>
    <w:rsid w:val="2F8F0B61"/>
    <w:rsid w:val="2F961508"/>
    <w:rsid w:val="2F994D27"/>
    <w:rsid w:val="2FA151B1"/>
    <w:rsid w:val="2FAD02A0"/>
    <w:rsid w:val="2FAF168E"/>
    <w:rsid w:val="2FB467B9"/>
    <w:rsid w:val="2FC13239"/>
    <w:rsid w:val="2FC1662D"/>
    <w:rsid w:val="2FC57F88"/>
    <w:rsid w:val="2FC8718D"/>
    <w:rsid w:val="2FCF74CA"/>
    <w:rsid w:val="2FD30A35"/>
    <w:rsid w:val="2FDE7960"/>
    <w:rsid w:val="2FEB6407"/>
    <w:rsid w:val="2FF60806"/>
    <w:rsid w:val="2FF81099"/>
    <w:rsid w:val="2FFB36C2"/>
    <w:rsid w:val="2FFE2950"/>
    <w:rsid w:val="300D13A1"/>
    <w:rsid w:val="3010462A"/>
    <w:rsid w:val="302D483B"/>
    <w:rsid w:val="302E2675"/>
    <w:rsid w:val="3037581B"/>
    <w:rsid w:val="30442A73"/>
    <w:rsid w:val="305318CE"/>
    <w:rsid w:val="30552BA0"/>
    <w:rsid w:val="30677A5E"/>
    <w:rsid w:val="307A5CEF"/>
    <w:rsid w:val="30956621"/>
    <w:rsid w:val="309D03FD"/>
    <w:rsid w:val="309D60BA"/>
    <w:rsid w:val="30A93714"/>
    <w:rsid w:val="30BF6012"/>
    <w:rsid w:val="30C221B3"/>
    <w:rsid w:val="30C26BA0"/>
    <w:rsid w:val="30C939B8"/>
    <w:rsid w:val="30D306AC"/>
    <w:rsid w:val="30DC083F"/>
    <w:rsid w:val="30DC27E4"/>
    <w:rsid w:val="30E4092B"/>
    <w:rsid w:val="30E91148"/>
    <w:rsid w:val="30F62280"/>
    <w:rsid w:val="30F81BFD"/>
    <w:rsid w:val="31060D5D"/>
    <w:rsid w:val="310E34F2"/>
    <w:rsid w:val="3118700C"/>
    <w:rsid w:val="311E49A1"/>
    <w:rsid w:val="311E5CF6"/>
    <w:rsid w:val="31233EB3"/>
    <w:rsid w:val="312F397C"/>
    <w:rsid w:val="313D7DB7"/>
    <w:rsid w:val="314931ED"/>
    <w:rsid w:val="315509A5"/>
    <w:rsid w:val="315B67DF"/>
    <w:rsid w:val="3165228D"/>
    <w:rsid w:val="3170740B"/>
    <w:rsid w:val="318457A3"/>
    <w:rsid w:val="319678C3"/>
    <w:rsid w:val="319F458F"/>
    <w:rsid w:val="31A84481"/>
    <w:rsid w:val="31B847B7"/>
    <w:rsid w:val="31BF604C"/>
    <w:rsid w:val="31C06FF7"/>
    <w:rsid w:val="31C80DA3"/>
    <w:rsid w:val="31DD4A70"/>
    <w:rsid w:val="31E2164B"/>
    <w:rsid w:val="31F30D61"/>
    <w:rsid w:val="32147A13"/>
    <w:rsid w:val="32187CAD"/>
    <w:rsid w:val="3227130A"/>
    <w:rsid w:val="322F6007"/>
    <w:rsid w:val="32377A5A"/>
    <w:rsid w:val="32592DAB"/>
    <w:rsid w:val="325B79F1"/>
    <w:rsid w:val="32665390"/>
    <w:rsid w:val="32672CE7"/>
    <w:rsid w:val="328A38CD"/>
    <w:rsid w:val="32923C4A"/>
    <w:rsid w:val="32984D96"/>
    <w:rsid w:val="32A7703F"/>
    <w:rsid w:val="32B169B6"/>
    <w:rsid w:val="32C56EE9"/>
    <w:rsid w:val="32C77113"/>
    <w:rsid w:val="32D176AC"/>
    <w:rsid w:val="32F03CE2"/>
    <w:rsid w:val="33040612"/>
    <w:rsid w:val="33043AED"/>
    <w:rsid w:val="330C67CC"/>
    <w:rsid w:val="330D587D"/>
    <w:rsid w:val="3310115A"/>
    <w:rsid w:val="331607FF"/>
    <w:rsid w:val="33295CC8"/>
    <w:rsid w:val="332A0D5F"/>
    <w:rsid w:val="332B6A45"/>
    <w:rsid w:val="333030C0"/>
    <w:rsid w:val="334002E0"/>
    <w:rsid w:val="33410FAB"/>
    <w:rsid w:val="334255DA"/>
    <w:rsid w:val="3349082B"/>
    <w:rsid w:val="334E7642"/>
    <w:rsid w:val="3360266E"/>
    <w:rsid w:val="3367205C"/>
    <w:rsid w:val="33673D72"/>
    <w:rsid w:val="3380493E"/>
    <w:rsid w:val="338636E2"/>
    <w:rsid w:val="33917B22"/>
    <w:rsid w:val="33964874"/>
    <w:rsid w:val="33986AB8"/>
    <w:rsid w:val="33B46E18"/>
    <w:rsid w:val="33C26B24"/>
    <w:rsid w:val="33C66DD0"/>
    <w:rsid w:val="33CC3A60"/>
    <w:rsid w:val="33D07F9C"/>
    <w:rsid w:val="33DC6A32"/>
    <w:rsid w:val="33EB315D"/>
    <w:rsid w:val="33EF105C"/>
    <w:rsid w:val="33EF182E"/>
    <w:rsid w:val="33F268B2"/>
    <w:rsid w:val="33FC360E"/>
    <w:rsid w:val="33FC7224"/>
    <w:rsid w:val="33FE74CD"/>
    <w:rsid w:val="340149A4"/>
    <w:rsid w:val="34044488"/>
    <w:rsid w:val="34153143"/>
    <w:rsid w:val="342776A8"/>
    <w:rsid w:val="342A1447"/>
    <w:rsid w:val="3440148B"/>
    <w:rsid w:val="34597FC1"/>
    <w:rsid w:val="345C38D9"/>
    <w:rsid w:val="346748DC"/>
    <w:rsid w:val="34695475"/>
    <w:rsid w:val="34790C15"/>
    <w:rsid w:val="347C62E2"/>
    <w:rsid w:val="349920BB"/>
    <w:rsid w:val="34A631C3"/>
    <w:rsid w:val="34A700B4"/>
    <w:rsid w:val="34AB4555"/>
    <w:rsid w:val="34B34069"/>
    <w:rsid w:val="34B96716"/>
    <w:rsid w:val="34BA4DD5"/>
    <w:rsid w:val="34C00833"/>
    <w:rsid w:val="34C11F48"/>
    <w:rsid w:val="34C93C17"/>
    <w:rsid w:val="34CA66A5"/>
    <w:rsid w:val="34DD03C1"/>
    <w:rsid w:val="34E75340"/>
    <w:rsid w:val="34ED2FCA"/>
    <w:rsid w:val="34F55BB4"/>
    <w:rsid w:val="34F9674D"/>
    <w:rsid w:val="34FC3ED2"/>
    <w:rsid w:val="35016FA5"/>
    <w:rsid w:val="35022BCA"/>
    <w:rsid w:val="350349B4"/>
    <w:rsid w:val="350F03E8"/>
    <w:rsid w:val="35173D9D"/>
    <w:rsid w:val="352918BC"/>
    <w:rsid w:val="352B0BD8"/>
    <w:rsid w:val="353F2D2C"/>
    <w:rsid w:val="35424DDC"/>
    <w:rsid w:val="35607F18"/>
    <w:rsid w:val="35690D31"/>
    <w:rsid w:val="357032A5"/>
    <w:rsid w:val="357337D0"/>
    <w:rsid w:val="358A7360"/>
    <w:rsid w:val="358D5399"/>
    <w:rsid w:val="359B4B7D"/>
    <w:rsid w:val="35B03B4F"/>
    <w:rsid w:val="35C758F3"/>
    <w:rsid w:val="35D258B7"/>
    <w:rsid w:val="35E765DF"/>
    <w:rsid w:val="36005E62"/>
    <w:rsid w:val="36015C40"/>
    <w:rsid w:val="36023347"/>
    <w:rsid w:val="36060CA5"/>
    <w:rsid w:val="36361854"/>
    <w:rsid w:val="3647426E"/>
    <w:rsid w:val="364B2A1A"/>
    <w:rsid w:val="36533249"/>
    <w:rsid w:val="36565F77"/>
    <w:rsid w:val="36582BBB"/>
    <w:rsid w:val="365A72D8"/>
    <w:rsid w:val="365C2F52"/>
    <w:rsid w:val="36656B74"/>
    <w:rsid w:val="366B7BE6"/>
    <w:rsid w:val="367776DD"/>
    <w:rsid w:val="367E5B9D"/>
    <w:rsid w:val="36817CDF"/>
    <w:rsid w:val="36833133"/>
    <w:rsid w:val="3684314A"/>
    <w:rsid w:val="36876D42"/>
    <w:rsid w:val="368B6501"/>
    <w:rsid w:val="36911C3F"/>
    <w:rsid w:val="36944834"/>
    <w:rsid w:val="369B3D48"/>
    <w:rsid w:val="36AB1334"/>
    <w:rsid w:val="36B505D5"/>
    <w:rsid w:val="36BB4B70"/>
    <w:rsid w:val="36C33DE7"/>
    <w:rsid w:val="36D00256"/>
    <w:rsid w:val="36D469DE"/>
    <w:rsid w:val="36DB6E2C"/>
    <w:rsid w:val="36DB776D"/>
    <w:rsid w:val="36EE1473"/>
    <w:rsid w:val="36F7087D"/>
    <w:rsid w:val="36F81D46"/>
    <w:rsid w:val="36FB64AC"/>
    <w:rsid w:val="370C4951"/>
    <w:rsid w:val="37153A81"/>
    <w:rsid w:val="371E39A6"/>
    <w:rsid w:val="37233B96"/>
    <w:rsid w:val="372E3883"/>
    <w:rsid w:val="373158FA"/>
    <w:rsid w:val="373A5630"/>
    <w:rsid w:val="3741614B"/>
    <w:rsid w:val="37475230"/>
    <w:rsid w:val="374A387E"/>
    <w:rsid w:val="375648FF"/>
    <w:rsid w:val="375660B3"/>
    <w:rsid w:val="375B5043"/>
    <w:rsid w:val="377E6E67"/>
    <w:rsid w:val="37A02BC3"/>
    <w:rsid w:val="37A879B8"/>
    <w:rsid w:val="37A93E37"/>
    <w:rsid w:val="37AE195D"/>
    <w:rsid w:val="37B7144B"/>
    <w:rsid w:val="37B744BF"/>
    <w:rsid w:val="37BD5610"/>
    <w:rsid w:val="37D86059"/>
    <w:rsid w:val="37E41FC9"/>
    <w:rsid w:val="37E87DF2"/>
    <w:rsid w:val="37F215C2"/>
    <w:rsid w:val="380F2094"/>
    <w:rsid w:val="381A2656"/>
    <w:rsid w:val="381C4B71"/>
    <w:rsid w:val="381D3A5A"/>
    <w:rsid w:val="38373CF5"/>
    <w:rsid w:val="384274DF"/>
    <w:rsid w:val="384407DB"/>
    <w:rsid w:val="384704FB"/>
    <w:rsid w:val="384A2A99"/>
    <w:rsid w:val="38562CA4"/>
    <w:rsid w:val="385F3533"/>
    <w:rsid w:val="38682BAB"/>
    <w:rsid w:val="386E6FBD"/>
    <w:rsid w:val="387039D7"/>
    <w:rsid w:val="387040BD"/>
    <w:rsid w:val="387762B7"/>
    <w:rsid w:val="387B294C"/>
    <w:rsid w:val="387C3D32"/>
    <w:rsid w:val="387F5D43"/>
    <w:rsid w:val="3883440C"/>
    <w:rsid w:val="388A56AA"/>
    <w:rsid w:val="38A558CE"/>
    <w:rsid w:val="38A7574A"/>
    <w:rsid w:val="38BC051D"/>
    <w:rsid w:val="38C000ED"/>
    <w:rsid w:val="38C110F4"/>
    <w:rsid w:val="38CC425B"/>
    <w:rsid w:val="38D808F4"/>
    <w:rsid w:val="38E766F8"/>
    <w:rsid w:val="38EA134F"/>
    <w:rsid w:val="38EF14E9"/>
    <w:rsid w:val="38F0506E"/>
    <w:rsid w:val="38F64EE3"/>
    <w:rsid w:val="38FB7C8C"/>
    <w:rsid w:val="39093D1D"/>
    <w:rsid w:val="392113BC"/>
    <w:rsid w:val="392D4A74"/>
    <w:rsid w:val="39373E97"/>
    <w:rsid w:val="39387E92"/>
    <w:rsid w:val="393E331D"/>
    <w:rsid w:val="3945025E"/>
    <w:rsid w:val="3955568E"/>
    <w:rsid w:val="395C0851"/>
    <w:rsid w:val="395C1EBD"/>
    <w:rsid w:val="395C4D8B"/>
    <w:rsid w:val="3960467B"/>
    <w:rsid w:val="396727EC"/>
    <w:rsid w:val="39932AEC"/>
    <w:rsid w:val="39972486"/>
    <w:rsid w:val="39991ECA"/>
    <w:rsid w:val="399E55FB"/>
    <w:rsid w:val="39B65D7F"/>
    <w:rsid w:val="39CD5949"/>
    <w:rsid w:val="39D23866"/>
    <w:rsid w:val="39DD01FC"/>
    <w:rsid w:val="39E21386"/>
    <w:rsid w:val="39E23070"/>
    <w:rsid w:val="39EE3F4F"/>
    <w:rsid w:val="39F40059"/>
    <w:rsid w:val="3A086BFA"/>
    <w:rsid w:val="3A0B6598"/>
    <w:rsid w:val="3A2245F0"/>
    <w:rsid w:val="3A3008FF"/>
    <w:rsid w:val="3A6D4D8A"/>
    <w:rsid w:val="3A6E6AA0"/>
    <w:rsid w:val="3A6F7EAC"/>
    <w:rsid w:val="3A747314"/>
    <w:rsid w:val="3A795AB4"/>
    <w:rsid w:val="3A845B4B"/>
    <w:rsid w:val="3A905D70"/>
    <w:rsid w:val="3A943526"/>
    <w:rsid w:val="3A98433E"/>
    <w:rsid w:val="3A9D40CF"/>
    <w:rsid w:val="3AA86C21"/>
    <w:rsid w:val="3ACD5025"/>
    <w:rsid w:val="3AD67C7F"/>
    <w:rsid w:val="3AE86085"/>
    <w:rsid w:val="3AEE1520"/>
    <w:rsid w:val="3AEF5E76"/>
    <w:rsid w:val="3AF500BE"/>
    <w:rsid w:val="3AFD2A8E"/>
    <w:rsid w:val="3AFE49DF"/>
    <w:rsid w:val="3B07043D"/>
    <w:rsid w:val="3B0C32D1"/>
    <w:rsid w:val="3B310AA1"/>
    <w:rsid w:val="3B3F5CF3"/>
    <w:rsid w:val="3B434044"/>
    <w:rsid w:val="3B650DDD"/>
    <w:rsid w:val="3B657515"/>
    <w:rsid w:val="3B683071"/>
    <w:rsid w:val="3B766627"/>
    <w:rsid w:val="3B853398"/>
    <w:rsid w:val="3B941574"/>
    <w:rsid w:val="3B945515"/>
    <w:rsid w:val="3B972A00"/>
    <w:rsid w:val="3BA975E2"/>
    <w:rsid w:val="3BB33B68"/>
    <w:rsid w:val="3BBB6B41"/>
    <w:rsid w:val="3BC23542"/>
    <w:rsid w:val="3BC87A52"/>
    <w:rsid w:val="3BCD6DE6"/>
    <w:rsid w:val="3BD01BF7"/>
    <w:rsid w:val="3BE14CD5"/>
    <w:rsid w:val="3C0A00A3"/>
    <w:rsid w:val="3C1109F9"/>
    <w:rsid w:val="3C281C82"/>
    <w:rsid w:val="3C2D6C3A"/>
    <w:rsid w:val="3C2E4172"/>
    <w:rsid w:val="3C33497C"/>
    <w:rsid w:val="3C402BC6"/>
    <w:rsid w:val="3C460263"/>
    <w:rsid w:val="3C4B6C4F"/>
    <w:rsid w:val="3C512A82"/>
    <w:rsid w:val="3C5B4E06"/>
    <w:rsid w:val="3C60461E"/>
    <w:rsid w:val="3C6A669C"/>
    <w:rsid w:val="3C6C4CCB"/>
    <w:rsid w:val="3C7055F6"/>
    <w:rsid w:val="3C837AAF"/>
    <w:rsid w:val="3C882995"/>
    <w:rsid w:val="3CA165DF"/>
    <w:rsid w:val="3CA51C65"/>
    <w:rsid w:val="3CA9742D"/>
    <w:rsid w:val="3CAC6119"/>
    <w:rsid w:val="3CEE69A9"/>
    <w:rsid w:val="3CF62C93"/>
    <w:rsid w:val="3CFE375C"/>
    <w:rsid w:val="3D0947B3"/>
    <w:rsid w:val="3D0A0DD9"/>
    <w:rsid w:val="3D152205"/>
    <w:rsid w:val="3D2855DC"/>
    <w:rsid w:val="3D3212DC"/>
    <w:rsid w:val="3D330C72"/>
    <w:rsid w:val="3D391D93"/>
    <w:rsid w:val="3D3B58EE"/>
    <w:rsid w:val="3D4B21C6"/>
    <w:rsid w:val="3D4E4923"/>
    <w:rsid w:val="3D50682F"/>
    <w:rsid w:val="3D56459C"/>
    <w:rsid w:val="3D6C30BC"/>
    <w:rsid w:val="3D701D48"/>
    <w:rsid w:val="3D7B0C7B"/>
    <w:rsid w:val="3D932880"/>
    <w:rsid w:val="3D9A202D"/>
    <w:rsid w:val="3DA25E25"/>
    <w:rsid w:val="3DB154FD"/>
    <w:rsid w:val="3DB27657"/>
    <w:rsid w:val="3DC44487"/>
    <w:rsid w:val="3DCA3876"/>
    <w:rsid w:val="3DCA4019"/>
    <w:rsid w:val="3DD42936"/>
    <w:rsid w:val="3DDF04AE"/>
    <w:rsid w:val="3DDF4386"/>
    <w:rsid w:val="3DDF5321"/>
    <w:rsid w:val="3DEF5EEA"/>
    <w:rsid w:val="3DF00ED6"/>
    <w:rsid w:val="3DF60345"/>
    <w:rsid w:val="3E296D8A"/>
    <w:rsid w:val="3E2F629F"/>
    <w:rsid w:val="3E34660E"/>
    <w:rsid w:val="3E3863AB"/>
    <w:rsid w:val="3E3F4F9C"/>
    <w:rsid w:val="3E427B0F"/>
    <w:rsid w:val="3E465128"/>
    <w:rsid w:val="3E5B0A2A"/>
    <w:rsid w:val="3E66018A"/>
    <w:rsid w:val="3E6830AA"/>
    <w:rsid w:val="3E6B24A5"/>
    <w:rsid w:val="3E8A6E7C"/>
    <w:rsid w:val="3E95432B"/>
    <w:rsid w:val="3E97343C"/>
    <w:rsid w:val="3EAD77C6"/>
    <w:rsid w:val="3EBE5E9B"/>
    <w:rsid w:val="3EC51DD8"/>
    <w:rsid w:val="3EC93471"/>
    <w:rsid w:val="3EDF0634"/>
    <w:rsid w:val="3EE52DE2"/>
    <w:rsid w:val="3EE945EC"/>
    <w:rsid w:val="3EED4B27"/>
    <w:rsid w:val="3EEE14FB"/>
    <w:rsid w:val="3EF05D56"/>
    <w:rsid w:val="3EF24BB1"/>
    <w:rsid w:val="3EFA6FB0"/>
    <w:rsid w:val="3F115E50"/>
    <w:rsid w:val="3F38740C"/>
    <w:rsid w:val="3F3B0446"/>
    <w:rsid w:val="3F3F09C0"/>
    <w:rsid w:val="3F413928"/>
    <w:rsid w:val="3F4C49E4"/>
    <w:rsid w:val="3F4D6A1A"/>
    <w:rsid w:val="3F4F1101"/>
    <w:rsid w:val="3F530523"/>
    <w:rsid w:val="3F5E035C"/>
    <w:rsid w:val="3F5F0856"/>
    <w:rsid w:val="3F6306D8"/>
    <w:rsid w:val="3F6B2416"/>
    <w:rsid w:val="3F746E87"/>
    <w:rsid w:val="3F7C4338"/>
    <w:rsid w:val="3F9E6477"/>
    <w:rsid w:val="3FA012C2"/>
    <w:rsid w:val="3FB9479E"/>
    <w:rsid w:val="3FD3630F"/>
    <w:rsid w:val="3FE1126B"/>
    <w:rsid w:val="3FE5444F"/>
    <w:rsid w:val="3FE57F97"/>
    <w:rsid w:val="3FEE1206"/>
    <w:rsid w:val="40066B7F"/>
    <w:rsid w:val="401774AC"/>
    <w:rsid w:val="401A347F"/>
    <w:rsid w:val="401C307C"/>
    <w:rsid w:val="40351968"/>
    <w:rsid w:val="40390C2D"/>
    <w:rsid w:val="403D5BE4"/>
    <w:rsid w:val="403E09A3"/>
    <w:rsid w:val="40427E67"/>
    <w:rsid w:val="4056566A"/>
    <w:rsid w:val="405C6F09"/>
    <w:rsid w:val="405F79D1"/>
    <w:rsid w:val="40682136"/>
    <w:rsid w:val="4068222C"/>
    <w:rsid w:val="406B1352"/>
    <w:rsid w:val="406C65CF"/>
    <w:rsid w:val="407F36A5"/>
    <w:rsid w:val="40875B7E"/>
    <w:rsid w:val="409E5351"/>
    <w:rsid w:val="40A81086"/>
    <w:rsid w:val="40AD6126"/>
    <w:rsid w:val="40B055D4"/>
    <w:rsid w:val="40B23C59"/>
    <w:rsid w:val="40B42D66"/>
    <w:rsid w:val="40BB757A"/>
    <w:rsid w:val="40C1451B"/>
    <w:rsid w:val="40C2513E"/>
    <w:rsid w:val="40C73817"/>
    <w:rsid w:val="40D8270E"/>
    <w:rsid w:val="40DD3A03"/>
    <w:rsid w:val="40E86CAE"/>
    <w:rsid w:val="40E97339"/>
    <w:rsid w:val="40EA502B"/>
    <w:rsid w:val="40EA7D8D"/>
    <w:rsid w:val="40FB1966"/>
    <w:rsid w:val="411442CF"/>
    <w:rsid w:val="411801A8"/>
    <w:rsid w:val="411B0435"/>
    <w:rsid w:val="412A09BE"/>
    <w:rsid w:val="413762A4"/>
    <w:rsid w:val="414264EC"/>
    <w:rsid w:val="4144331E"/>
    <w:rsid w:val="414A6ABB"/>
    <w:rsid w:val="41515F64"/>
    <w:rsid w:val="41565FC6"/>
    <w:rsid w:val="4157703D"/>
    <w:rsid w:val="415A633C"/>
    <w:rsid w:val="415E76D6"/>
    <w:rsid w:val="41722335"/>
    <w:rsid w:val="418B1B11"/>
    <w:rsid w:val="419234F2"/>
    <w:rsid w:val="41934EB9"/>
    <w:rsid w:val="4198230E"/>
    <w:rsid w:val="41990185"/>
    <w:rsid w:val="419A0E3F"/>
    <w:rsid w:val="419C5866"/>
    <w:rsid w:val="41AB55CA"/>
    <w:rsid w:val="41B94A5F"/>
    <w:rsid w:val="41CC7E08"/>
    <w:rsid w:val="41CE4FAE"/>
    <w:rsid w:val="41D8182D"/>
    <w:rsid w:val="41DF433E"/>
    <w:rsid w:val="41E237A9"/>
    <w:rsid w:val="41E268A9"/>
    <w:rsid w:val="41E43AA6"/>
    <w:rsid w:val="420B031B"/>
    <w:rsid w:val="420B53D5"/>
    <w:rsid w:val="420E67AC"/>
    <w:rsid w:val="42114C31"/>
    <w:rsid w:val="421228B6"/>
    <w:rsid w:val="42131BDA"/>
    <w:rsid w:val="42193936"/>
    <w:rsid w:val="42290433"/>
    <w:rsid w:val="422E1D4D"/>
    <w:rsid w:val="42323E5C"/>
    <w:rsid w:val="42365AEB"/>
    <w:rsid w:val="423A3D80"/>
    <w:rsid w:val="42433C58"/>
    <w:rsid w:val="42497F98"/>
    <w:rsid w:val="424E2B2D"/>
    <w:rsid w:val="4253509D"/>
    <w:rsid w:val="425762E6"/>
    <w:rsid w:val="426837D6"/>
    <w:rsid w:val="42832836"/>
    <w:rsid w:val="42943969"/>
    <w:rsid w:val="429B443E"/>
    <w:rsid w:val="42A74B2C"/>
    <w:rsid w:val="42B7293D"/>
    <w:rsid w:val="42BB5F77"/>
    <w:rsid w:val="42C3546C"/>
    <w:rsid w:val="42DF1A21"/>
    <w:rsid w:val="42E60D27"/>
    <w:rsid w:val="42EE45C9"/>
    <w:rsid w:val="42F53BD8"/>
    <w:rsid w:val="42FE2D29"/>
    <w:rsid w:val="430045D3"/>
    <w:rsid w:val="430B1B6B"/>
    <w:rsid w:val="432453CA"/>
    <w:rsid w:val="432E3EBB"/>
    <w:rsid w:val="434062F2"/>
    <w:rsid w:val="43417050"/>
    <w:rsid w:val="435971CA"/>
    <w:rsid w:val="436027AB"/>
    <w:rsid w:val="43617B9F"/>
    <w:rsid w:val="4362139E"/>
    <w:rsid w:val="43625050"/>
    <w:rsid w:val="436805C3"/>
    <w:rsid w:val="436B30F2"/>
    <w:rsid w:val="43706E6E"/>
    <w:rsid w:val="43795B9A"/>
    <w:rsid w:val="43860D7D"/>
    <w:rsid w:val="438A56CD"/>
    <w:rsid w:val="43A11864"/>
    <w:rsid w:val="43B16344"/>
    <w:rsid w:val="43B82A09"/>
    <w:rsid w:val="43C02C55"/>
    <w:rsid w:val="43C409C6"/>
    <w:rsid w:val="43D5123F"/>
    <w:rsid w:val="43D95E54"/>
    <w:rsid w:val="43ED61E8"/>
    <w:rsid w:val="43F96D63"/>
    <w:rsid w:val="43FA052E"/>
    <w:rsid w:val="44210A4A"/>
    <w:rsid w:val="44283783"/>
    <w:rsid w:val="44285F3B"/>
    <w:rsid w:val="443316B2"/>
    <w:rsid w:val="44395F4C"/>
    <w:rsid w:val="444820BD"/>
    <w:rsid w:val="444F3369"/>
    <w:rsid w:val="445110CE"/>
    <w:rsid w:val="445708A6"/>
    <w:rsid w:val="4466528D"/>
    <w:rsid w:val="447452FF"/>
    <w:rsid w:val="44890851"/>
    <w:rsid w:val="44944F65"/>
    <w:rsid w:val="449B4AB7"/>
    <w:rsid w:val="44A96900"/>
    <w:rsid w:val="44BC1240"/>
    <w:rsid w:val="44BF39A4"/>
    <w:rsid w:val="44C21253"/>
    <w:rsid w:val="44CF696B"/>
    <w:rsid w:val="44D717BC"/>
    <w:rsid w:val="44DC7D85"/>
    <w:rsid w:val="44DE5043"/>
    <w:rsid w:val="44F30E72"/>
    <w:rsid w:val="45042B3C"/>
    <w:rsid w:val="450F041C"/>
    <w:rsid w:val="45110B70"/>
    <w:rsid w:val="45131AD8"/>
    <w:rsid w:val="45171495"/>
    <w:rsid w:val="45275B57"/>
    <w:rsid w:val="45292E29"/>
    <w:rsid w:val="452C381C"/>
    <w:rsid w:val="45446630"/>
    <w:rsid w:val="454B281A"/>
    <w:rsid w:val="454E06EE"/>
    <w:rsid w:val="455A77D7"/>
    <w:rsid w:val="455B4DD4"/>
    <w:rsid w:val="455D1680"/>
    <w:rsid w:val="456A789D"/>
    <w:rsid w:val="45711C4C"/>
    <w:rsid w:val="457D0FC3"/>
    <w:rsid w:val="45910BFF"/>
    <w:rsid w:val="45943BAB"/>
    <w:rsid w:val="459C2041"/>
    <w:rsid w:val="45A034BB"/>
    <w:rsid w:val="45A51F98"/>
    <w:rsid w:val="45AB281D"/>
    <w:rsid w:val="45AF58DD"/>
    <w:rsid w:val="45C64C7E"/>
    <w:rsid w:val="45CE3629"/>
    <w:rsid w:val="45E66AF3"/>
    <w:rsid w:val="45E95929"/>
    <w:rsid w:val="460370B6"/>
    <w:rsid w:val="4604715A"/>
    <w:rsid w:val="46085C92"/>
    <w:rsid w:val="46346974"/>
    <w:rsid w:val="464600A0"/>
    <w:rsid w:val="464C2255"/>
    <w:rsid w:val="466045B7"/>
    <w:rsid w:val="46652963"/>
    <w:rsid w:val="46684B67"/>
    <w:rsid w:val="467527BB"/>
    <w:rsid w:val="467542F2"/>
    <w:rsid w:val="46773F83"/>
    <w:rsid w:val="468B0ACA"/>
    <w:rsid w:val="468E5900"/>
    <w:rsid w:val="46AF65A1"/>
    <w:rsid w:val="46B04D24"/>
    <w:rsid w:val="46C33C0E"/>
    <w:rsid w:val="46C72C73"/>
    <w:rsid w:val="46CA46F5"/>
    <w:rsid w:val="46CC0FBC"/>
    <w:rsid w:val="46CD414B"/>
    <w:rsid w:val="46DA71A4"/>
    <w:rsid w:val="46DF6B40"/>
    <w:rsid w:val="46E57790"/>
    <w:rsid w:val="46E61941"/>
    <w:rsid w:val="46E83D8F"/>
    <w:rsid w:val="46E973DC"/>
    <w:rsid w:val="46EE36D2"/>
    <w:rsid w:val="46FD46C8"/>
    <w:rsid w:val="47007866"/>
    <w:rsid w:val="470372C3"/>
    <w:rsid w:val="4711313F"/>
    <w:rsid w:val="47202DE5"/>
    <w:rsid w:val="47291485"/>
    <w:rsid w:val="472F39DF"/>
    <w:rsid w:val="47330044"/>
    <w:rsid w:val="47384723"/>
    <w:rsid w:val="473C6B8E"/>
    <w:rsid w:val="47465CCA"/>
    <w:rsid w:val="476358E7"/>
    <w:rsid w:val="47685279"/>
    <w:rsid w:val="477D76AA"/>
    <w:rsid w:val="47825078"/>
    <w:rsid w:val="47891642"/>
    <w:rsid w:val="4796039A"/>
    <w:rsid w:val="47BB1334"/>
    <w:rsid w:val="47BD3188"/>
    <w:rsid w:val="47C52F09"/>
    <w:rsid w:val="47CB66AF"/>
    <w:rsid w:val="47D83541"/>
    <w:rsid w:val="47D93CB8"/>
    <w:rsid w:val="47E461B3"/>
    <w:rsid w:val="47FC17AD"/>
    <w:rsid w:val="480B40C9"/>
    <w:rsid w:val="48134604"/>
    <w:rsid w:val="48195801"/>
    <w:rsid w:val="48265A31"/>
    <w:rsid w:val="48296779"/>
    <w:rsid w:val="483106A1"/>
    <w:rsid w:val="48396A9F"/>
    <w:rsid w:val="48400C3E"/>
    <w:rsid w:val="485F4C88"/>
    <w:rsid w:val="48614EA6"/>
    <w:rsid w:val="48627BD1"/>
    <w:rsid w:val="486B2F11"/>
    <w:rsid w:val="48880C6F"/>
    <w:rsid w:val="488D3016"/>
    <w:rsid w:val="48903C90"/>
    <w:rsid w:val="48986C28"/>
    <w:rsid w:val="48A12128"/>
    <w:rsid w:val="48AB56F7"/>
    <w:rsid w:val="48AB7048"/>
    <w:rsid w:val="48BD1D7A"/>
    <w:rsid w:val="48BE1CD5"/>
    <w:rsid w:val="48CC4613"/>
    <w:rsid w:val="48CD2699"/>
    <w:rsid w:val="48DB0E0F"/>
    <w:rsid w:val="48E7469B"/>
    <w:rsid w:val="48F0016C"/>
    <w:rsid w:val="48F53EA5"/>
    <w:rsid w:val="48F855F3"/>
    <w:rsid w:val="48FD3567"/>
    <w:rsid w:val="490C4AD7"/>
    <w:rsid w:val="490E3C08"/>
    <w:rsid w:val="491A0359"/>
    <w:rsid w:val="49206153"/>
    <w:rsid w:val="492C53D8"/>
    <w:rsid w:val="492E29F6"/>
    <w:rsid w:val="493B3904"/>
    <w:rsid w:val="494362B5"/>
    <w:rsid w:val="49680068"/>
    <w:rsid w:val="497043B0"/>
    <w:rsid w:val="49836928"/>
    <w:rsid w:val="498601F8"/>
    <w:rsid w:val="498957B4"/>
    <w:rsid w:val="498967E6"/>
    <w:rsid w:val="499A0F94"/>
    <w:rsid w:val="499A585C"/>
    <w:rsid w:val="499A7DE8"/>
    <w:rsid w:val="499B288B"/>
    <w:rsid w:val="49AA28EC"/>
    <w:rsid w:val="49B02A9B"/>
    <w:rsid w:val="49EC7530"/>
    <w:rsid w:val="49F2588B"/>
    <w:rsid w:val="49F64EA1"/>
    <w:rsid w:val="4A0844AE"/>
    <w:rsid w:val="4A0B2BE5"/>
    <w:rsid w:val="4A113DC0"/>
    <w:rsid w:val="4A1737D8"/>
    <w:rsid w:val="4A18598C"/>
    <w:rsid w:val="4A3A0FEA"/>
    <w:rsid w:val="4A53351B"/>
    <w:rsid w:val="4A701A9B"/>
    <w:rsid w:val="4A7C45A3"/>
    <w:rsid w:val="4A8348EF"/>
    <w:rsid w:val="4A856112"/>
    <w:rsid w:val="4A9674A9"/>
    <w:rsid w:val="4A9E6A3B"/>
    <w:rsid w:val="4AAB5CB9"/>
    <w:rsid w:val="4AAB783D"/>
    <w:rsid w:val="4AB66DF0"/>
    <w:rsid w:val="4AB9459F"/>
    <w:rsid w:val="4ABC5B9E"/>
    <w:rsid w:val="4ACF214C"/>
    <w:rsid w:val="4AD66A05"/>
    <w:rsid w:val="4AEA62C2"/>
    <w:rsid w:val="4AF03447"/>
    <w:rsid w:val="4AF0719F"/>
    <w:rsid w:val="4AFA7BA0"/>
    <w:rsid w:val="4AFD50A6"/>
    <w:rsid w:val="4AFE04C6"/>
    <w:rsid w:val="4B023312"/>
    <w:rsid w:val="4B0C39B8"/>
    <w:rsid w:val="4B0C7CFC"/>
    <w:rsid w:val="4B15685D"/>
    <w:rsid w:val="4B1D4152"/>
    <w:rsid w:val="4B2C3AFA"/>
    <w:rsid w:val="4B3F47D5"/>
    <w:rsid w:val="4B442C60"/>
    <w:rsid w:val="4B4A4386"/>
    <w:rsid w:val="4B506F91"/>
    <w:rsid w:val="4B5169FB"/>
    <w:rsid w:val="4B527260"/>
    <w:rsid w:val="4B5D273F"/>
    <w:rsid w:val="4B5F69B9"/>
    <w:rsid w:val="4B6028AF"/>
    <w:rsid w:val="4B61502A"/>
    <w:rsid w:val="4B6222B7"/>
    <w:rsid w:val="4B722838"/>
    <w:rsid w:val="4B7C2BD9"/>
    <w:rsid w:val="4B7E79C5"/>
    <w:rsid w:val="4B8E7E5F"/>
    <w:rsid w:val="4B981D18"/>
    <w:rsid w:val="4B9D4BA6"/>
    <w:rsid w:val="4BA37625"/>
    <w:rsid w:val="4BB5665E"/>
    <w:rsid w:val="4BB94EBF"/>
    <w:rsid w:val="4BB95E50"/>
    <w:rsid w:val="4BBC208E"/>
    <w:rsid w:val="4BC74E9F"/>
    <w:rsid w:val="4BDC6CFF"/>
    <w:rsid w:val="4BEA5061"/>
    <w:rsid w:val="4BFA2172"/>
    <w:rsid w:val="4C010C30"/>
    <w:rsid w:val="4C0C3234"/>
    <w:rsid w:val="4C345394"/>
    <w:rsid w:val="4C3540CC"/>
    <w:rsid w:val="4C394242"/>
    <w:rsid w:val="4C524784"/>
    <w:rsid w:val="4C5A5C8A"/>
    <w:rsid w:val="4C5B252C"/>
    <w:rsid w:val="4C611440"/>
    <w:rsid w:val="4C643BC1"/>
    <w:rsid w:val="4C652C80"/>
    <w:rsid w:val="4C793F14"/>
    <w:rsid w:val="4C8C42EB"/>
    <w:rsid w:val="4C8C6EC6"/>
    <w:rsid w:val="4CBA508D"/>
    <w:rsid w:val="4CCF1E93"/>
    <w:rsid w:val="4CD34DAB"/>
    <w:rsid w:val="4CF3258D"/>
    <w:rsid w:val="4CF90B4E"/>
    <w:rsid w:val="4D0711AF"/>
    <w:rsid w:val="4D0F30D7"/>
    <w:rsid w:val="4D117B53"/>
    <w:rsid w:val="4D153567"/>
    <w:rsid w:val="4D1C7E02"/>
    <w:rsid w:val="4D403A2F"/>
    <w:rsid w:val="4D450B70"/>
    <w:rsid w:val="4D674BED"/>
    <w:rsid w:val="4D694838"/>
    <w:rsid w:val="4D6A1B94"/>
    <w:rsid w:val="4D7F6051"/>
    <w:rsid w:val="4D887057"/>
    <w:rsid w:val="4D8F5814"/>
    <w:rsid w:val="4D9D0EE2"/>
    <w:rsid w:val="4D9E369B"/>
    <w:rsid w:val="4D9E4967"/>
    <w:rsid w:val="4DA00C52"/>
    <w:rsid w:val="4DB11293"/>
    <w:rsid w:val="4DBF44BD"/>
    <w:rsid w:val="4DC27D47"/>
    <w:rsid w:val="4DC94845"/>
    <w:rsid w:val="4DD9073B"/>
    <w:rsid w:val="4DEC40E3"/>
    <w:rsid w:val="4DEF608C"/>
    <w:rsid w:val="4DF00974"/>
    <w:rsid w:val="4DF2258F"/>
    <w:rsid w:val="4DF51AB7"/>
    <w:rsid w:val="4E074D21"/>
    <w:rsid w:val="4E1521B9"/>
    <w:rsid w:val="4E1F49AB"/>
    <w:rsid w:val="4E440C68"/>
    <w:rsid w:val="4E4D5D66"/>
    <w:rsid w:val="4E4E0756"/>
    <w:rsid w:val="4E553852"/>
    <w:rsid w:val="4E5D5A40"/>
    <w:rsid w:val="4E67237D"/>
    <w:rsid w:val="4E69375B"/>
    <w:rsid w:val="4E6F5534"/>
    <w:rsid w:val="4E826A6A"/>
    <w:rsid w:val="4E84453D"/>
    <w:rsid w:val="4E8A3768"/>
    <w:rsid w:val="4E8B6879"/>
    <w:rsid w:val="4E936446"/>
    <w:rsid w:val="4E940434"/>
    <w:rsid w:val="4E955B8D"/>
    <w:rsid w:val="4EA916A1"/>
    <w:rsid w:val="4EA94D9D"/>
    <w:rsid w:val="4EBE0FA4"/>
    <w:rsid w:val="4EC060A2"/>
    <w:rsid w:val="4EC06CCC"/>
    <w:rsid w:val="4ECA0B20"/>
    <w:rsid w:val="4ECC4A50"/>
    <w:rsid w:val="4ED44B84"/>
    <w:rsid w:val="4EE615F1"/>
    <w:rsid w:val="4EEE4AC7"/>
    <w:rsid w:val="4EF22C69"/>
    <w:rsid w:val="4F076764"/>
    <w:rsid w:val="4F1C4A85"/>
    <w:rsid w:val="4F314378"/>
    <w:rsid w:val="4F3D3F7F"/>
    <w:rsid w:val="4F481DCE"/>
    <w:rsid w:val="4F4E5BE0"/>
    <w:rsid w:val="4F5173BF"/>
    <w:rsid w:val="4F732DBE"/>
    <w:rsid w:val="4F7C3404"/>
    <w:rsid w:val="4F7F0242"/>
    <w:rsid w:val="4F8056D1"/>
    <w:rsid w:val="4F8D7104"/>
    <w:rsid w:val="4F94214C"/>
    <w:rsid w:val="4F97502C"/>
    <w:rsid w:val="4FA945C2"/>
    <w:rsid w:val="4FB63ED2"/>
    <w:rsid w:val="4FB8732E"/>
    <w:rsid w:val="4FBA4D98"/>
    <w:rsid w:val="4FC9529F"/>
    <w:rsid w:val="4FCD4219"/>
    <w:rsid w:val="4FD7447F"/>
    <w:rsid w:val="4FE84863"/>
    <w:rsid w:val="4FEE1A32"/>
    <w:rsid w:val="4FFA5B62"/>
    <w:rsid w:val="4FFD0BD8"/>
    <w:rsid w:val="5009203E"/>
    <w:rsid w:val="500E42EC"/>
    <w:rsid w:val="50136FF6"/>
    <w:rsid w:val="50162C18"/>
    <w:rsid w:val="50234D7F"/>
    <w:rsid w:val="50274725"/>
    <w:rsid w:val="50284E07"/>
    <w:rsid w:val="502F1DB6"/>
    <w:rsid w:val="503921CB"/>
    <w:rsid w:val="503A79B4"/>
    <w:rsid w:val="5041391B"/>
    <w:rsid w:val="50435C3D"/>
    <w:rsid w:val="5045239B"/>
    <w:rsid w:val="50455F09"/>
    <w:rsid w:val="5047025A"/>
    <w:rsid w:val="504B6823"/>
    <w:rsid w:val="504E29C0"/>
    <w:rsid w:val="5050279C"/>
    <w:rsid w:val="50523EA7"/>
    <w:rsid w:val="50542E77"/>
    <w:rsid w:val="505E70CB"/>
    <w:rsid w:val="506020DA"/>
    <w:rsid w:val="506626E1"/>
    <w:rsid w:val="50682466"/>
    <w:rsid w:val="506B75C5"/>
    <w:rsid w:val="50772C51"/>
    <w:rsid w:val="507742E3"/>
    <w:rsid w:val="50822789"/>
    <w:rsid w:val="508A6F67"/>
    <w:rsid w:val="50914869"/>
    <w:rsid w:val="50954E09"/>
    <w:rsid w:val="509771E8"/>
    <w:rsid w:val="50A37A9F"/>
    <w:rsid w:val="50A966B8"/>
    <w:rsid w:val="50B270D1"/>
    <w:rsid w:val="50B86739"/>
    <w:rsid w:val="50BD321B"/>
    <w:rsid w:val="50BF3C2E"/>
    <w:rsid w:val="50C52198"/>
    <w:rsid w:val="50D61AA1"/>
    <w:rsid w:val="50DA117D"/>
    <w:rsid w:val="50DF4DF6"/>
    <w:rsid w:val="50E43CB2"/>
    <w:rsid w:val="50E726B9"/>
    <w:rsid w:val="50F879F2"/>
    <w:rsid w:val="50FC78D3"/>
    <w:rsid w:val="51010B53"/>
    <w:rsid w:val="51021C4C"/>
    <w:rsid w:val="51070DA1"/>
    <w:rsid w:val="51084C8D"/>
    <w:rsid w:val="51132552"/>
    <w:rsid w:val="5118745A"/>
    <w:rsid w:val="5133416B"/>
    <w:rsid w:val="513F6422"/>
    <w:rsid w:val="514A6D74"/>
    <w:rsid w:val="5154353F"/>
    <w:rsid w:val="5157183B"/>
    <w:rsid w:val="51681069"/>
    <w:rsid w:val="51683AF7"/>
    <w:rsid w:val="516913C1"/>
    <w:rsid w:val="516F38E4"/>
    <w:rsid w:val="51707DA1"/>
    <w:rsid w:val="517161A0"/>
    <w:rsid w:val="51982510"/>
    <w:rsid w:val="519A056E"/>
    <w:rsid w:val="519A3314"/>
    <w:rsid w:val="51A0148E"/>
    <w:rsid w:val="51A6261D"/>
    <w:rsid w:val="51AA57E8"/>
    <w:rsid w:val="51B02447"/>
    <w:rsid w:val="51B93A0E"/>
    <w:rsid w:val="51BF6C43"/>
    <w:rsid w:val="51CA5BCB"/>
    <w:rsid w:val="51D163C6"/>
    <w:rsid w:val="51FA0388"/>
    <w:rsid w:val="520654D1"/>
    <w:rsid w:val="520F5A07"/>
    <w:rsid w:val="52212B32"/>
    <w:rsid w:val="5222287A"/>
    <w:rsid w:val="52240C56"/>
    <w:rsid w:val="5226247B"/>
    <w:rsid w:val="5227759B"/>
    <w:rsid w:val="522F55B9"/>
    <w:rsid w:val="52310C23"/>
    <w:rsid w:val="523861E3"/>
    <w:rsid w:val="524009B7"/>
    <w:rsid w:val="52636172"/>
    <w:rsid w:val="527F24A1"/>
    <w:rsid w:val="52895747"/>
    <w:rsid w:val="528A2878"/>
    <w:rsid w:val="528E6808"/>
    <w:rsid w:val="52970864"/>
    <w:rsid w:val="529B5467"/>
    <w:rsid w:val="52A80C33"/>
    <w:rsid w:val="52B55FAA"/>
    <w:rsid w:val="52B576D5"/>
    <w:rsid w:val="52C829F9"/>
    <w:rsid w:val="52C8740A"/>
    <w:rsid w:val="52C95595"/>
    <w:rsid w:val="52D1423F"/>
    <w:rsid w:val="52D71225"/>
    <w:rsid w:val="52DB0ACC"/>
    <w:rsid w:val="52E01449"/>
    <w:rsid w:val="52F01383"/>
    <w:rsid w:val="52F72230"/>
    <w:rsid w:val="52F75E0B"/>
    <w:rsid w:val="52F9104C"/>
    <w:rsid w:val="52F9784D"/>
    <w:rsid w:val="52FA248F"/>
    <w:rsid w:val="52FD5985"/>
    <w:rsid w:val="53021CBC"/>
    <w:rsid w:val="53306108"/>
    <w:rsid w:val="533204EC"/>
    <w:rsid w:val="534463FA"/>
    <w:rsid w:val="534941B2"/>
    <w:rsid w:val="535109AE"/>
    <w:rsid w:val="53544DCE"/>
    <w:rsid w:val="53563E1A"/>
    <w:rsid w:val="5358118F"/>
    <w:rsid w:val="536C50DB"/>
    <w:rsid w:val="536D6F49"/>
    <w:rsid w:val="5371077F"/>
    <w:rsid w:val="53756A09"/>
    <w:rsid w:val="537B51ED"/>
    <w:rsid w:val="53830AB4"/>
    <w:rsid w:val="53901D47"/>
    <w:rsid w:val="53951456"/>
    <w:rsid w:val="53AB074C"/>
    <w:rsid w:val="53AF564D"/>
    <w:rsid w:val="53D21B24"/>
    <w:rsid w:val="54070319"/>
    <w:rsid w:val="54210A2E"/>
    <w:rsid w:val="54250F78"/>
    <w:rsid w:val="54257DA2"/>
    <w:rsid w:val="542C616D"/>
    <w:rsid w:val="542D656F"/>
    <w:rsid w:val="543B2D81"/>
    <w:rsid w:val="543C5804"/>
    <w:rsid w:val="543E076E"/>
    <w:rsid w:val="54490167"/>
    <w:rsid w:val="545B420C"/>
    <w:rsid w:val="545D728A"/>
    <w:rsid w:val="545F2F30"/>
    <w:rsid w:val="5463309C"/>
    <w:rsid w:val="546B0A77"/>
    <w:rsid w:val="548B43BF"/>
    <w:rsid w:val="549016B5"/>
    <w:rsid w:val="54A25F54"/>
    <w:rsid w:val="54A923C7"/>
    <w:rsid w:val="54B65BA7"/>
    <w:rsid w:val="54C61625"/>
    <w:rsid w:val="54EA6F5A"/>
    <w:rsid w:val="54FF14F8"/>
    <w:rsid w:val="55066C61"/>
    <w:rsid w:val="551D2FE1"/>
    <w:rsid w:val="553D7881"/>
    <w:rsid w:val="554537DB"/>
    <w:rsid w:val="554B1443"/>
    <w:rsid w:val="55543FE7"/>
    <w:rsid w:val="55687A6F"/>
    <w:rsid w:val="55697F74"/>
    <w:rsid w:val="557B1A82"/>
    <w:rsid w:val="55863F21"/>
    <w:rsid w:val="558A7457"/>
    <w:rsid w:val="55987E22"/>
    <w:rsid w:val="55A21B84"/>
    <w:rsid w:val="55B36360"/>
    <w:rsid w:val="55BB4DF6"/>
    <w:rsid w:val="55C679E9"/>
    <w:rsid w:val="55E06BA9"/>
    <w:rsid w:val="55EC7126"/>
    <w:rsid w:val="55F041DC"/>
    <w:rsid w:val="55FD5EFD"/>
    <w:rsid w:val="560D3FD0"/>
    <w:rsid w:val="5616465D"/>
    <w:rsid w:val="5618714F"/>
    <w:rsid w:val="56207B84"/>
    <w:rsid w:val="56321930"/>
    <w:rsid w:val="5643071C"/>
    <w:rsid w:val="564E0AAA"/>
    <w:rsid w:val="5666063C"/>
    <w:rsid w:val="56676DAD"/>
    <w:rsid w:val="567B4CBF"/>
    <w:rsid w:val="568E16D8"/>
    <w:rsid w:val="569B72C0"/>
    <w:rsid w:val="56A5438B"/>
    <w:rsid w:val="56A54518"/>
    <w:rsid w:val="56AF02E1"/>
    <w:rsid w:val="56B46718"/>
    <w:rsid w:val="56B607B4"/>
    <w:rsid w:val="56BC4F84"/>
    <w:rsid w:val="56E41DDE"/>
    <w:rsid w:val="56E77C81"/>
    <w:rsid w:val="56F7778F"/>
    <w:rsid w:val="56F95F4D"/>
    <w:rsid w:val="57044AFF"/>
    <w:rsid w:val="570D5278"/>
    <w:rsid w:val="57206CA1"/>
    <w:rsid w:val="572B42A6"/>
    <w:rsid w:val="572D4870"/>
    <w:rsid w:val="57301EA3"/>
    <w:rsid w:val="573A58F9"/>
    <w:rsid w:val="574F50F5"/>
    <w:rsid w:val="57531C5B"/>
    <w:rsid w:val="575D2941"/>
    <w:rsid w:val="57680E6C"/>
    <w:rsid w:val="57840F0D"/>
    <w:rsid w:val="578F69EC"/>
    <w:rsid w:val="57A8777A"/>
    <w:rsid w:val="57AC1E55"/>
    <w:rsid w:val="57B21A7A"/>
    <w:rsid w:val="57B639D2"/>
    <w:rsid w:val="57C01AB7"/>
    <w:rsid w:val="57C038DC"/>
    <w:rsid w:val="57C73C88"/>
    <w:rsid w:val="57D215B7"/>
    <w:rsid w:val="57F73A30"/>
    <w:rsid w:val="57FD533A"/>
    <w:rsid w:val="580016E0"/>
    <w:rsid w:val="58021339"/>
    <w:rsid w:val="58110DF1"/>
    <w:rsid w:val="58131062"/>
    <w:rsid w:val="581F03A3"/>
    <w:rsid w:val="581F4BE1"/>
    <w:rsid w:val="582348FC"/>
    <w:rsid w:val="583035A8"/>
    <w:rsid w:val="58394192"/>
    <w:rsid w:val="584117D4"/>
    <w:rsid w:val="5846131A"/>
    <w:rsid w:val="584A1A1B"/>
    <w:rsid w:val="584B26BF"/>
    <w:rsid w:val="58525CDE"/>
    <w:rsid w:val="5864526C"/>
    <w:rsid w:val="586A7B4E"/>
    <w:rsid w:val="586C4C0C"/>
    <w:rsid w:val="586F1AB9"/>
    <w:rsid w:val="586F5995"/>
    <w:rsid w:val="58780261"/>
    <w:rsid w:val="587F7A05"/>
    <w:rsid w:val="588119B2"/>
    <w:rsid w:val="58840C13"/>
    <w:rsid w:val="588F3952"/>
    <w:rsid w:val="5896757E"/>
    <w:rsid w:val="589765D4"/>
    <w:rsid w:val="58996CDB"/>
    <w:rsid w:val="58AC20A9"/>
    <w:rsid w:val="58B25755"/>
    <w:rsid w:val="58C4215D"/>
    <w:rsid w:val="58CC7475"/>
    <w:rsid w:val="58D356B3"/>
    <w:rsid w:val="58D83736"/>
    <w:rsid w:val="58D839BB"/>
    <w:rsid w:val="58ED5696"/>
    <w:rsid w:val="59011930"/>
    <w:rsid w:val="59183529"/>
    <w:rsid w:val="59196881"/>
    <w:rsid w:val="59245736"/>
    <w:rsid w:val="5925518D"/>
    <w:rsid w:val="592D6793"/>
    <w:rsid w:val="592F0781"/>
    <w:rsid w:val="5938125A"/>
    <w:rsid w:val="593D25EC"/>
    <w:rsid w:val="59421F7C"/>
    <w:rsid w:val="59430B43"/>
    <w:rsid w:val="594372E8"/>
    <w:rsid w:val="59477A46"/>
    <w:rsid w:val="594B4363"/>
    <w:rsid w:val="595065FC"/>
    <w:rsid w:val="595621A7"/>
    <w:rsid w:val="595F06A5"/>
    <w:rsid w:val="596A40C0"/>
    <w:rsid w:val="596D55B8"/>
    <w:rsid w:val="597005C1"/>
    <w:rsid w:val="597245B2"/>
    <w:rsid w:val="59742559"/>
    <w:rsid w:val="59790BC1"/>
    <w:rsid w:val="597E2608"/>
    <w:rsid w:val="5985214A"/>
    <w:rsid w:val="598A4639"/>
    <w:rsid w:val="598F1989"/>
    <w:rsid w:val="59923135"/>
    <w:rsid w:val="59924C19"/>
    <w:rsid w:val="59975E58"/>
    <w:rsid w:val="59A002D6"/>
    <w:rsid w:val="59A0225F"/>
    <w:rsid w:val="59BC0429"/>
    <w:rsid w:val="59C31A02"/>
    <w:rsid w:val="59CE4C29"/>
    <w:rsid w:val="59D82572"/>
    <w:rsid w:val="59D86EA1"/>
    <w:rsid w:val="59F76E21"/>
    <w:rsid w:val="5A0F1ECF"/>
    <w:rsid w:val="5A156C5D"/>
    <w:rsid w:val="5A234CD4"/>
    <w:rsid w:val="5A314E0B"/>
    <w:rsid w:val="5A374C15"/>
    <w:rsid w:val="5A412324"/>
    <w:rsid w:val="5A42561A"/>
    <w:rsid w:val="5A4E1FD4"/>
    <w:rsid w:val="5A4F4FDC"/>
    <w:rsid w:val="5A527348"/>
    <w:rsid w:val="5A73146D"/>
    <w:rsid w:val="5A762F3C"/>
    <w:rsid w:val="5A7F4FA1"/>
    <w:rsid w:val="5A872D29"/>
    <w:rsid w:val="5A996B1B"/>
    <w:rsid w:val="5A9F1352"/>
    <w:rsid w:val="5AAA1764"/>
    <w:rsid w:val="5AAA30B4"/>
    <w:rsid w:val="5AAE22DD"/>
    <w:rsid w:val="5ACE70F3"/>
    <w:rsid w:val="5AE56511"/>
    <w:rsid w:val="5AEA6832"/>
    <w:rsid w:val="5AFB2D2A"/>
    <w:rsid w:val="5AFD0E30"/>
    <w:rsid w:val="5B0A2014"/>
    <w:rsid w:val="5B0F2DB2"/>
    <w:rsid w:val="5B1350D2"/>
    <w:rsid w:val="5B137566"/>
    <w:rsid w:val="5B175589"/>
    <w:rsid w:val="5B1F3D9A"/>
    <w:rsid w:val="5B29782D"/>
    <w:rsid w:val="5B3834A3"/>
    <w:rsid w:val="5B3A233C"/>
    <w:rsid w:val="5B6331A0"/>
    <w:rsid w:val="5B6F69FD"/>
    <w:rsid w:val="5B8833E5"/>
    <w:rsid w:val="5BA03697"/>
    <w:rsid w:val="5BC45C98"/>
    <w:rsid w:val="5BD736D3"/>
    <w:rsid w:val="5BD81FD6"/>
    <w:rsid w:val="5BDD6741"/>
    <w:rsid w:val="5BE8425F"/>
    <w:rsid w:val="5C063248"/>
    <w:rsid w:val="5C133589"/>
    <w:rsid w:val="5C18421C"/>
    <w:rsid w:val="5C1A755D"/>
    <w:rsid w:val="5C270D98"/>
    <w:rsid w:val="5C293CB8"/>
    <w:rsid w:val="5C2D337D"/>
    <w:rsid w:val="5C30064E"/>
    <w:rsid w:val="5C5E23E6"/>
    <w:rsid w:val="5C600E5D"/>
    <w:rsid w:val="5C827789"/>
    <w:rsid w:val="5C8745F1"/>
    <w:rsid w:val="5C880713"/>
    <w:rsid w:val="5C8C66C2"/>
    <w:rsid w:val="5C8E0657"/>
    <w:rsid w:val="5C911456"/>
    <w:rsid w:val="5C9B5FC8"/>
    <w:rsid w:val="5C9F21F4"/>
    <w:rsid w:val="5CB82239"/>
    <w:rsid w:val="5CBA0D6F"/>
    <w:rsid w:val="5CC06C20"/>
    <w:rsid w:val="5CC66C9D"/>
    <w:rsid w:val="5CCD4E0E"/>
    <w:rsid w:val="5CD93AAF"/>
    <w:rsid w:val="5CE4367A"/>
    <w:rsid w:val="5CE67753"/>
    <w:rsid w:val="5CEA7BF0"/>
    <w:rsid w:val="5CEB0297"/>
    <w:rsid w:val="5CEE30F4"/>
    <w:rsid w:val="5D033DBF"/>
    <w:rsid w:val="5D0E0CDD"/>
    <w:rsid w:val="5D0E6B7A"/>
    <w:rsid w:val="5D100B61"/>
    <w:rsid w:val="5D2F70A5"/>
    <w:rsid w:val="5D331FC4"/>
    <w:rsid w:val="5D350254"/>
    <w:rsid w:val="5D4F4ED5"/>
    <w:rsid w:val="5D5516CB"/>
    <w:rsid w:val="5D565CB0"/>
    <w:rsid w:val="5D5D6F6B"/>
    <w:rsid w:val="5D6F12A6"/>
    <w:rsid w:val="5D747210"/>
    <w:rsid w:val="5D764F0F"/>
    <w:rsid w:val="5D7B0FF5"/>
    <w:rsid w:val="5D842CF4"/>
    <w:rsid w:val="5D847029"/>
    <w:rsid w:val="5D8B25AB"/>
    <w:rsid w:val="5D9317BB"/>
    <w:rsid w:val="5DA0509D"/>
    <w:rsid w:val="5DA3152F"/>
    <w:rsid w:val="5DAA4074"/>
    <w:rsid w:val="5DAE0963"/>
    <w:rsid w:val="5DB76D71"/>
    <w:rsid w:val="5DBF1851"/>
    <w:rsid w:val="5DC30C63"/>
    <w:rsid w:val="5DCD72E0"/>
    <w:rsid w:val="5DDC0950"/>
    <w:rsid w:val="5DDC3725"/>
    <w:rsid w:val="5DDD1055"/>
    <w:rsid w:val="5DDE2F4B"/>
    <w:rsid w:val="5DE609CD"/>
    <w:rsid w:val="5DEC3191"/>
    <w:rsid w:val="5E011C7A"/>
    <w:rsid w:val="5E11138D"/>
    <w:rsid w:val="5E1758F9"/>
    <w:rsid w:val="5E1A12C6"/>
    <w:rsid w:val="5E2C4352"/>
    <w:rsid w:val="5E3166C0"/>
    <w:rsid w:val="5E3231B9"/>
    <w:rsid w:val="5E326EB0"/>
    <w:rsid w:val="5E34400C"/>
    <w:rsid w:val="5E391B0B"/>
    <w:rsid w:val="5E3A6662"/>
    <w:rsid w:val="5E3C04D6"/>
    <w:rsid w:val="5E3C1339"/>
    <w:rsid w:val="5E4578A8"/>
    <w:rsid w:val="5E4737B3"/>
    <w:rsid w:val="5E4C29F0"/>
    <w:rsid w:val="5E4C6CB6"/>
    <w:rsid w:val="5E520061"/>
    <w:rsid w:val="5E5248FE"/>
    <w:rsid w:val="5E524AE9"/>
    <w:rsid w:val="5E614A1E"/>
    <w:rsid w:val="5E685948"/>
    <w:rsid w:val="5E6C27D8"/>
    <w:rsid w:val="5E783A19"/>
    <w:rsid w:val="5E7B579D"/>
    <w:rsid w:val="5E7D7012"/>
    <w:rsid w:val="5E8A52A4"/>
    <w:rsid w:val="5E8C59B9"/>
    <w:rsid w:val="5E990B85"/>
    <w:rsid w:val="5E9963FC"/>
    <w:rsid w:val="5EA22780"/>
    <w:rsid w:val="5EA92B20"/>
    <w:rsid w:val="5EAE3903"/>
    <w:rsid w:val="5EB5103A"/>
    <w:rsid w:val="5ED35318"/>
    <w:rsid w:val="5ED92F48"/>
    <w:rsid w:val="5EF44B86"/>
    <w:rsid w:val="5F08125E"/>
    <w:rsid w:val="5F1362FD"/>
    <w:rsid w:val="5F1A0680"/>
    <w:rsid w:val="5F247B38"/>
    <w:rsid w:val="5F2950AD"/>
    <w:rsid w:val="5F2C3543"/>
    <w:rsid w:val="5F2C684C"/>
    <w:rsid w:val="5F333854"/>
    <w:rsid w:val="5F38515B"/>
    <w:rsid w:val="5F397EA4"/>
    <w:rsid w:val="5F3C76D2"/>
    <w:rsid w:val="5F3F5634"/>
    <w:rsid w:val="5F456CB5"/>
    <w:rsid w:val="5F465E97"/>
    <w:rsid w:val="5F494C1E"/>
    <w:rsid w:val="5F4A50F5"/>
    <w:rsid w:val="5F4C41CA"/>
    <w:rsid w:val="5F545F16"/>
    <w:rsid w:val="5F571E69"/>
    <w:rsid w:val="5F5F581F"/>
    <w:rsid w:val="5F6204FB"/>
    <w:rsid w:val="5F7230EF"/>
    <w:rsid w:val="5F76537B"/>
    <w:rsid w:val="5F902633"/>
    <w:rsid w:val="5F9B69E0"/>
    <w:rsid w:val="5FAD14D0"/>
    <w:rsid w:val="5FB87142"/>
    <w:rsid w:val="5FC550D3"/>
    <w:rsid w:val="5FC87CC3"/>
    <w:rsid w:val="5FD27E1B"/>
    <w:rsid w:val="5FD64331"/>
    <w:rsid w:val="5FDD27DF"/>
    <w:rsid w:val="5FE62C45"/>
    <w:rsid w:val="5FED3B38"/>
    <w:rsid w:val="5FEF7E62"/>
    <w:rsid w:val="5FF632A4"/>
    <w:rsid w:val="600A4D74"/>
    <w:rsid w:val="600D1B5F"/>
    <w:rsid w:val="60122D87"/>
    <w:rsid w:val="602244AE"/>
    <w:rsid w:val="602712B7"/>
    <w:rsid w:val="602727D2"/>
    <w:rsid w:val="6028507E"/>
    <w:rsid w:val="602C5223"/>
    <w:rsid w:val="60314337"/>
    <w:rsid w:val="603151F1"/>
    <w:rsid w:val="60380950"/>
    <w:rsid w:val="60412D92"/>
    <w:rsid w:val="605F73A1"/>
    <w:rsid w:val="60852A91"/>
    <w:rsid w:val="608D392F"/>
    <w:rsid w:val="60AB5991"/>
    <w:rsid w:val="60B57F52"/>
    <w:rsid w:val="60E1614B"/>
    <w:rsid w:val="60EB40ED"/>
    <w:rsid w:val="60EC6CAC"/>
    <w:rsid w:val="60F10653"/>
    <w:rsid w:val="60F15019"/>
    <w:rsid w:val="60F61CE8"/>
    <w:rsid w:val="60FD21FA"/>
    <w:rsid w:val="61044BF8"/>
    <w:rsid w:val="610653EA"/>
    <w:rsid w:val="610C00B0"/>
    <w:rsid w:val="6113414D"/>
    <w:rsid w:val="611C4B13"/>
    <w:rsid w:val="612432FF"/>
    <w:rsid w:val="612D09FA"/>
    <w:rsid w:val="613E5BD6"/>
    <w:rsid w:val="61496591"/>
    <w:rsid w:val="615B14A9"/>
    <w:rsid w:val="61633F72"/>
    <w:rsid w:val="61673A3A"/>
    <w:rsid w:val="616A5B00"/>
    <w:rsid w:val="617328B1"/>
    <w:rsid w:val="617C7B65"/>
    <w:rsid w:val="619202A8"/>
    <w:rsid w:val="61943A1F"/>
    <w:rsid w:val="619A3C1D"/>
    <w:rsid w:val="61BF5F74"/>
    <w:rsid w:val="61C45A06"/>
    <w:rsid w:val="61CA071B"/>
    <w:rsid w:val="61D023D3"/>
    <w:rsid w:val="61D77F1C"/>
    <w:rsid w:val="61E72507"/>
    <w:rsid w:val="61F1467E"/>
    <w:rsid w:val="61FE0BC3"/>
    <w:rsid w:val="6208655E"/>
    <w:rsid w:val="620A19ED"/>
    <w:rsid w:val="620A79DC"/>
    <w:rsid w:val="6211694E"/>
    <w:rsid w:val="62126CB6"/>
    <w:rsid w:val="62141A24"/>
    <w:rsid w:val="622A3FA2"/>
    <w:rsid w:val="623B3B0B"/>
    <w:rsid w:val="62407A90"/>
    <w:rsid w:val="62513AEA"/>
    <w:rsid w:val="625C7558"/>
    <w:rsid w:val="62645992"/>
    <w:rsid w:val="627143BA"/>
    <w:rsid w:val="627B53C6"/>
    <w:rsid w:val="62815A59"/>
    <w:rsid w:val="62857864"/>
    <w:rsid w:val="62892F29"/>
    <w:rsid w:val="629253C6"/>
    <w:rsid w:val="62B43D9F"/>
    <w:rsid w:val="62BD628B"/>
    <w:rsid w:val="62C91D8F"/>
    <w:rsid w:val="62DD2CE8"/>
    <w:rsid w:val="62E25CAE"/>
    <w:rsid w:val="62E85150"/>
    <w:rsid w:val="62F11A54"/>
    <w:rsid w:val="630516A1"/>
    <w:rsid w:val="630C2D3D"/>
    <w:rsid w:val="630C7DB9"/>
    <w:rsid w:val="631564EE"/>
    <w:rsid w:val="631603D8"/>
    <w:rsid w:val="63183524"/>
    <w:rsid w:val="632E735F"/>
    <w:rsid w:val="632F251E"/>
    <w:rsid w:val="63440CFF"/>
    <w:rsid w:val="634957D2"/>
    <w:rsid w:val="634A4EA8"/>
    <w:rsid w:val="636636B1"/>
    <w:rsid w:val="636948A1"/>
    <w:rsid w:val="636B42E8"/>
    <w:rsid w:val="6376573F"/>
    <w:rsid w:val="6398248F"/>
    <w:rsid w:val="63991E9C"/>
    <w:rsid w:val="63B47DA2"/>
    <w:rsid w:val="63C91C27"/>
    <w:rsid w:val="63CE6878"/>
    <w:rsid w:val="63D212E9"/>
    <w:rsid w:val="63DA7AFD"/>
    <w:rsid w:val="63DD3A42"/>
    <w:rsid w:val="63F306B2"/>
    <w:rsid w:val="64054AA4"/>
    <w:rsid w:val="640C1C4E"/>
    <w:rsid w:val="641E1C2B"/>
    <w:rsid w:val="64247F16"/>
    <w:rsid w:val="64253744"/>
    <w:rsid w:val="64277FD9"/>
    <w:rsid w:val="642C5224"/>
    <w:rsid w:val="643439BC"/>
    <w:rsid w:val="644E15FC"/>
    <w:rsid w:val="644F04FE"/>
    <w:rsid w:val="64501BE9"/>
    <w:rsid w:val="64636B87"/>
    <w:rsid w:val="646B5C59"/>
    <w:rsid w:val="64753474"/>
    <w:rsid w:val="648D7F01"/>
    <w:rsid w:val="64993BBE"/>
    <w:rsid w:val="64B84C82"/>
    <w:rsid w:val="64C073FD"/>
    <w:rsid w:val="64CB6F8B"/>
    <w:rsid w:val="64CF3B91"/>
    <w:rsid w:val="64DB6367"/>
    <w:rsid w:val="64E11614"/>
    <w:rsid w:val="64E15CBE"/>
    <w:rsid w:val="64F12A10"/>
    <w:rsid w:val="64F25402"/>
    <w:rsid w:val="64FC5C67"/>
    <w:rsid w:val="64FE470D"/>
    <w:rsid w:val="6504216B"/>
    <w:rsid w:val="65126FA4"/>
    <w:rsid w:val="65220C0E"/>
    <w:rsid w:val="652A4F28"/>
    <w:rsid w:val="65567832"/>
    <w:rsid w:val="656469F8"/>
    <w:rsid w:val="65712267"/>
    <w:rsid w:val="658275DD"/>
    <w:rsid w:val="65856191"/>
    <w:rsid w:val="658734F4"/>
    <w:rsid w:val="6591231D"/>
    <w:rsid w:val="65941552"/>
    <w:rsid w:val="65A32291"/>
    <w:rsid w:val="65A75EA0"/>
    <w:rsid w:val="65AA79BE"/>
    <w:rsid w:val="65B16636"/>
    <w:rsid w:val="65C02046"/>
    <w:rsid w:val="65CB7B68"/>
    <w:rsid w:val="65D7450B"/>
    <w:rsid w:val="65E53D6A"/>
    <w:rsid w:val="65E923B5"/>
    <w:rsid w:val="65F45B9F"/>
    <w:rsid w:val="65FC723F"/>
    <w:rsid w:val="660C2B36"/>
    <w:rsid w:val="66102A6E"/>
    <w:rsid w:val="66105CB5"/>
    <w:rsid w:val="662E41E4"/>
    <w:rsid w:val="66312F5B"/>
    <w:rsid w:val="66317F94"/>
    <w:rsid w:val="66363F1A"/>
    <w:rsid w:val="66387537"/>
    <w:rsid w:val="663B2462"/>
    <w:rsid w:val="664408FD"/>
    <w:rsid w:val="664605C6"/>
    <w:rsid w:val="664E0089"/>
    <w:rsid w:val="6650348C"/>
    <w:rsid w:val="665455E2"/>
    <w:rsid w:val="66580DFB"/>
    <w:rsid w:val="665F3E59"/>
    <w:rsid w:val="666E360C"/>
    <w:rsid w:val="667C239C"/>
    <w:rsid w:val="667C6D25"/>
    <w:rsid w:val="668E3300"/>
    <w:rsid w:val="669063E1"/>
    <w:rsid w:val="669770C6"/>
    <w:rsid w:val="66B2161D"/>
    <w:rsid w:val="66B3402B"/>
    <w:rsid w:val="66B530E9"/>
    <w:rsid w:val="66B91585"/>
    <w:rsid w:val="66C65A61"/>
    <w:rsid w:val="66CB0C90"/>
    <w:rsid w:val="66D173B2"/>
    <w:rsid w:val="66D8773E"/>
    <w:rsid w:val="66D973F5"/>
    <w:rsid w:val="66DC679F"/>
    <w:rsid w:val="66F2151F"/>
    <w:rsid w:val="66F56984"/>
    <w:rsid w:val="66F62B4E"/>
    <w:rsid w:val="66F751CB"/>
    <w:rsid w:val="66FD61AA"/>
    <w:rsid w:val="670D661D"/>
    <w:rsid w:val="67157E0B"/>
    <w:rsid w:val="6718582A"/>
    <w:rsid w:val="672A36F8"/>
    <w:rsid w:val="672A5A82"/>
    <w:rsid w:val="67371899"/>
    <w:rsid w:val="673B0E0A"/>
    <w:rsid w:val="6761154F"/>
    <w:rsid w:val="67837060"/>
    <w:rsid w:val="678F2F22"/>
    <w:rsid w:val="679844D5"/>
    <w:rsid w:val="67A54EAB"/>
    <w:rsid w:val="67A55670"/>
    <w:rsid w:val="67A949DE"/>
    <w:rsid w:val="67C10E8D"/>
    <w:rsid w:val="67C760CD"/>
    <w:rsid w:val="67CD70CD"/>
    <w:rsid w:val="67D11B39"/>
    <w:rsid w:val="67D17791"/>
    <w:rsid w:val="67D36B9C"/>
    <w:rsid w:val="67E52121"/>
    <w:rsid w:val="67E83962"/>
    <w:rsid w:val="67E90BD5"/>
    <w:rsid w:val="67EE7974"/>
    <w:rsid w:val="67F04261"/>
    <w:rsid w:val="67F066C8"/>
    <w:rsid w:val="67FE0910"/>
    <w:rsid w:val="680D1A3A"/>
    <w:rsid w:val="68121EA8"/>
    <w:rsid w:val="68165C38"/>
    <w:rsid w:val="681A153A"/>
    <w:rsid w:val="68236ECB"/>
    <w:rsid w:val="68250AFA"/>
    <w:rsid w:val="68257B54"/>
    <w:rsid w:val="682A1FE5"/>
    <w:rsid w:val="68366C9F"/>
    <w:rsid w:val="68431409"/>
    <w:rsid w:val="684A0141"/>
    <w:rsid w:val="684C095A"/>
    <w:rsid w:val="68544A43"/>
    <w:rsid w:val="685F61EF"/>
    <w:rsid w:val="68607AC4"/>
    <w:rsid w:val="68662E29"/>
    <w:rsid w:val="687312A4"/>
    <w:rsid w:val="68790054"/>
    <w:rsid w:val="687D270F"/>
    <w:rsid w:val="68842EAD"/>
    <w:rsid w:val="688836BC"/>
    <w:rsid w:val="688C1338"/>
    <w:rsid w:val="689C3125"/>
    <w:rsid w:val="689E5855"/>
    <w:rsid w:val="68A3110E"/>
    <w:rsid w:val="68A41F24"/>
    <w:rsid w:val="68A51462"/>
    <w:rsid w:val="68A57E79"/>
    <w:rsid w:val="68AF13B9"/>
    <w:rsid w:val="68C42708"/>
    <w:rsid w:val="68D6086A"/>
    <w:rsid w:val="68DB6E09"/>
    <w:rsid w:val="68F344E1"/>
    <w:rsid w:val="68FC51F7"/>
    <w:rsid w:val="691001F5"/>
    <w:rsid w:val="691339BA"/>
    <w:rsid w:val="691B3E59"/>
    <w:rsid w:val="691B3E64"/>
    <w:rsid w:val="69230530"/>
    <w:rsid w:val="693E34E0"/>
    <w:rsid w:val="69591120"/>
    <w:rsid w:val="695913C0"/>
    <w:rsid w:val="696776EC"/>
    <w:rsid w:val="696F1150"/>
    <w:rsid w:val="697F13ED"/>
    <w:rsid w:val="69973348"/>
    <w:rsid w:val="699F62E0"/>
    <w:rsid w:val="69A32B5F"/>
    <w:rsid w:val="69A37470"/>
    <w:rsid w:val="69A41017"/>
    <w:rsid w:val="69AB2700"/>
    <w:rsid w:val="69AD7D9B"/>
    <w:rsid w:val="69B25D85"/>
    <w:rsid w:val="69CF0296"/>
    <w:rsid w:val="69D55FBF"/>
    <w:rsid w:val="69D94102"/>
    <w:rsid w:val="69D95700"/>
    <w:rsid w:val="69DF76FD"/>
    <w:rsid w:val="69F44C70"/>
    <w:rsid w:val="69F94E5F"/>
    <w:rsid w:val="69FC2F12"/>
    <w:rsid w:val="6A2758E4"/>
    <w:rsid w:val="6A283218"/>
    <w:rsid w:val="6A29255E"/>
    <w:rsid w:val="6A321F06"/>
    <w:rsid w:val="6A3633EA"/>
    <w:rsid w:val="6A3C17EB"/>
    <w:rsid w:val="6A4B56B2"/>
    <w:rsid w:val="6A4F7008"/>
    <w:rsid w:val="6A625330"/>
    <w:rsid w:val="6A651548"/>
    <w:rsid w:val="6A696FCD"/>
    <w:rsid w:val="6A6B6EBC"/>
    <w:rsid w:val="6A816896"/>
    <w:rsid w:val="6A866993"/>
    <w:rsid w:val="6A8F38C7"/>
    <w:rsid w:val="6A8F44C8"/>
    <w:rsid w:val="6A9D42E1"/>
    <w:rsid w:val="6A9D565B"/>
    <w:rsid w:val="6AA27630"/>
    <w:rsid w:val="6AAA1CDE"/>
    <w:rsid w:val="6AAF4F57"/>
    <w:rsid w:val="6AB4618A"/>
    <w:rsid w:val="6AB9003D"/>
    <w:rsid w:val="6ABE6891"/>
    <w:rsid w:val="6AD126CF"/>
    <w:rsid w:val="6AD8244C"/>
    <w:rsid w:val="6AE70916"/>
    <w:rsid w:val="6AED0741"/>
    <w:rsid w:val="6AED40FC"/>
    <w:rsid w:val="6AF213A8"/>
    <w:rsid w:val="6AFA0097"/>
    <w:rsid w:val="6B0A3492"/>
    <w:rsid w:val="6B0C6BDC"/>
    <w:rsid w:val="6B1141E1"/>
    <w:rsid w:val="6B274629"/>
    <w:rsid w:val="6B3E1554"/>
    <w:rsid w:val="6B411558"/>
    <w:rsid w:val="6B4A42FB"/>
    <w:rsid w:val="6B4C6ADC"/>
    <w:rsid w:val="6B4F7B74"/>
    <w:rsid w:val="6B651548"/>
    <w:rsid w:val="6B7A7347"/>
    <w:rsid w:val="6B8578D1"/>
    <w:rsid w:val="6B9E17A4"/>
    <w:rsid w:val="6BA70610"/>
    <w:rsid w:val="6BAF4F91"/>
    <w:rsid w:val="6BD4276A"/>
    <w:rsid w:val="6BE55DE5"/>
    <w:rsid w:val="6BF2784C"/>
    <w:rsid w:val="6C027A58"/>
    <w:rsid w:val="6C081DD9"/>
    <w:rsid w:val="6C0A02D5"/>
    <w:rsid w:val="6C1314E9"/>
    <w:rsid w:val="6C3C4A09"/>
    <w:rsid w:val="6C470AF3"/>
    <w:rsid w:val="6C581369"/>
    <w:rsid w:val="6C6519AC"/>
    <w:rsid w:val="6C717302"/>
    <w:rsid w:val="6C843EE9"/>
    <w:rsid w:val="6C8D306F"/>
    <w:rsid w:val="6C8E2BD1"/>
    <w:rsid w:val="6C910258"/>
    <w:rsid w:val="6C962E61"/>
    <w:rsid w:val="6CA067D4"/>
    <w:rsid w:val="6CA14665"/>
    <w:rsid w:val="6CA34975"/>
    <w:rsid w:val="6CC2746A"/>
    <w:rsid w:val="6CC67597"/>
    <w:rsid w:val="6CCE1E7C"/>
    <w:rsid w:val="6CE72D4F"/>
    <w:rsid w:val="6CEC4558"/>
    <w:rsid w:val="6CF13AE1"/>
    <w:rsid w:val="6CF53374"/>
    <w:rsid w:val="6CF82380"/>
    <w:rsid w:val="6CFA272A"/>
    <w:rsid w:val="6CFA6835"/>
    <w:rsid w:val="6D03338C"/>
    <w:rsid w:val="6D070086"/>
    <w:rsid w:val="6D08719B"/>
    <w:rsid w:val="6D0D1829"/>
    <w:rsid w:val="6D124E76"/>
    <w:rsid w:val="6D205BF1"/>
    <w:rsid w:val="6D206AF3"/>
    <w:rsid w:val="6D2148F3"/>
    <w:rsid w:val="6D2B1FFE"/>
    <w:rsid w:val="6D2C66F5"/>
    <w:rsid w:val="6D3C4D58"/>
    <w:rsid w:val="6D4471CC"/>
    <w:rsid w:val="6D525F66"/>
    <w:rsid w:val="6D5933AC"/>
    <w:rsid w:val="6D594EB7"/>
    <w:rsid w:val="6D5B7557"/>
    <w:rsid w:val="6D6346BD"/>
    <w:rsid w:val="6D6B3ABA"/>
    <w:rsid w:val="6D722F49"/>
    <w:rsid w:val="6D7512D4"/>
    <w:rsid w:val="6D7531CE"/>
    <w:rsid w:val="6D7B0194"/>
    <w:rsid w:val="6D7F1C5D"/>
    <w:rsid w:val="6D8815D6"/>
    <w:rsid w:val="6D902C0B"/>
    <w:rsid w:val="6D906324"/>
    <w:rsid w:val="6D9309CB"/>
    <w:rsid w:val="6DA458B4"/>
    <w:rsid w:val="6DC63F19"/>
    <w:rsid w:val="6DCE1A28"/>
    <w:rsid w:val="6DCF33BF"/>
    <w:rsid w:val="6DD61791"/>
    <w:rsid w:val="6DE04FEE"/>
    <w:rsid w:val="6DE4041C"/>
    <w:rsid w:val="6DE61D88"/>
    <w:rsid w:val="6DED29AF"/>
    <w:rsid w:val="6DED3A12"/>
    <w:rsid w:val="6E0A62D0"/>
    <w:rsid w:val="6E0D19E7"/>
    <w:rsid w:val="6E166098"/>
    <w:rsid w:val="6E295D69"/>
    <w:rsid w:val="6E324046"/>
    <w:rsid w:val="6E336089"/>
    <w:rsid w:val="6E3969AC"/>
    <w:rsid w:val="6E4E0578"/>
    <w:rsid w:val="6E531908"/>
    <w:rsid w:val="6E582BD3"/>
    <w:rsid w:val="6E5E3C99"/>
    <w:rsid w:val="6E681490"/>
    <w:rsid w:val="6E6D18AB"/>
    <w:rsid w:val="6E944254"/>
    <w:rsid w:val="6E972F8F"/>
    <w:rsid w:val="6EA31C16"/>
    <w:rsid w:val="6EA43FBA"/>
    <w:rsid w:val="6EA86C77"/>
    <w:rsid w:val="6EB1348C"/>
    <w:rsid w:val="6EBF24D2"/>
    <w:rsid w:val="6EC11735"/>
    <w:rsid w:val="6ECE1264"/>
    <w:rsid w:val="6EF23F72"/>
    <w:rsid w:val="6EF35089"/>
    <w:rsid w:val="6EF9543A"/>
    <w:rsid w:val="6EFC4C36"/>
    <w:rsid w:val="6F007339"/>
    <w:rsid w:val="6F026747"/>
    <w:rsid w:val="6F0E6766"/>
    <w:rsid w:val="6F206153"/>
    <w:rsid w:val="6F283001"/>
    <w:rsid w:val="6F2B61B9"/>
    <w:rsid w:val="6F565197"/>
    <w:rsid w:val="6F5B2ECB"/>
    <w:rsid w:val="6F5E0317"/>
    <w:rsid w:val="6F8078B1"/>
    <w:rsid w:val="6F892BEF"/>
    <w:rsid w:val="6F94618A"/>
    <w:rsid w:val="6F9C2BC1"/>
    <w:rsid w:val="6FB260C6"/>
    <w:rsid w:val="6FBB48BD"/>
    <w:rsid w:val="6FC41C61"/>
    <w:rsid w:val="6FC85CD7"/>
    <w:rsid w:val="6FD861E2"/>
    <w:rsid w:val="6FDB7C96"/>
    <w:rsid w:val="6FE55210"/>
    <w:rsid w:val="6FE67BF0"/>
    <w:rsid w:val="6FEE1181"/>
    <w:rsid w:val="700F2A64"/>
    <w:rsid w:val="70163585"/>
    <w:rsid w:val="701B4B91"/>
    <w:rsid w:val="70210EB8"/>
    <w:rsid w:val="70392A5F"/>
    <w:rsid w:val="705B7029"/>
    <w:rsid w:val="70736BF4"/>
    <w:rsid w:val="707F4B1B"/>
    <w:rsid w:val="7080480F"/>
    <w:rsid w:val="709B1935"/>
    <w:rsid w:val="70A77564"/>
    <w:rsid w:val="70C57184"/>
    <w:rsid w:val="70CA1D13"/>
    <w:rsid w:val="70CE29C9"/>
    <w:rsid w:val="70CE487E"/>
    <w:rsid w:val="70D727A7"/>
    <w:rsid w:val="70E93008"/>
    <w:rsid w:val="70E94319"/>
    <w:rsid w:val="70F839D9"/>
    <w:rsid w:val="710F0447"/>
    <w:rsid w:val="71152910"/>
    <w:rsid w:val="711D2857"/>
    <w:rsid w:val="71206218"/>
    <w:rsid w:val="7125475A"/>
    <w:rsid w:val="712D3E3D"/>
    <w:rsid w:val="71381544"/>
    <w:rsid w:val="713A2912"/>
    <w:rsid w:val="71412C72"/>
    <w:rsid w:val="71425730"/>
    <w:rsid w:val="7143080C"/>
    <w:rsid w:val="714C3488"/>
    <w:rsid w:val="7151166C"/>
    <w:rsid w:val="71562D26"/>
    <w:rsid w:val="71572A6A"/>
    <w:rsid w:val="71616E14"/>
    <w:rsid w:val="71754E7B"/>
    <w:rsid w:val="719F1998"/>
    <w:rsid w:val="71AB259D"/>
    <w:rsid w:val="71B65111"/>
    <w:rsid w:val="71BC2CB3"/>
    <w:rsid w:val="71C235C9"/>
    <w:rsid w:val="71C86FA7"/>
    <w:rsid w:val="71D42F90"/>
    <w:rsid w:val="71D608F8"/>
    <w:rsid w:val="71D63099"/>
    <w:rsid w:val="71DA1597"/>
    <w:rsid w:val="71DE3CAF"/>
    <w:rsid w:val="71E33DF4"/>
    <w:rsid w:val="71EE2861"/>
    <w:rsid w:val="71FB7B89"/>
    <w:rsid w:val="721A03D1"/>
    <w:rsid w:val="72201FAC"/>
    <w:rsid w:val="72227363"/>
    <w:rsid w:val="7232344E"/>
    <w:rsid w:val="723D6750"/>
    <w:rsid w:val="724B4329"/>
    <w:rsid w:val="724B47CE"/>
    <w:rsid w:val="7261234C"/>
    <w:rsid w:val="726C61E6"/>
    <w:rsid w:val="72740E2B"/>
    <w:rsid w:val="727C22ED"/>
    <w:rsid w:val="727E4933"/>
    <w:rsid w:val="72822EE4"/>
    <w:rsid w:val="72860C74"/>
    <w:rsid w:val="728B1E67"/>
    <w:rsid w:val="728F5E43"/>
    <w:rsid w:val="72C60AD7"/>
    <w:rsid w:val="72C80683"/>
    <w:rsid w:val="72C862AE"/>
    <w:rsid w:val="72CC0C51"/>
    <w:rsid w:val="72DA0A0A"/>
    <w:rsid w:val="72DC4BD5"/>
    <w:rsid w:val="72FE4C4C"/>
    <w:rsid w:val="73015FCC"/>
    <w:rsid w:val="730E2971"/>
    <w:rsid w:val="73136D8C"/>
    <w:rsid w:val="73144637"/>
    <w:rsid w:val="732430CA"/>
    <w:rsid w:val="732C4834"/>
    <w:rsid w:val="73354206"/>
    <w:rsid w:val="733B0B54"/>
    <w:rsid w:val="734E1BAE"/>
    <w:rsid w:val="73531850"/>
    <w:rsid w:val="73690F0F"/>
    <w:rsid w:val="73707234"/>
    <w:rsid w:val="73791DD9"/>
    <w:rsid w:val="73815A9F"/>
    <w:rsid w:val="738B4020"/>
    <w:rsid w:val="73A225D9"/>
    <w:rsid w:val="73A92548"/>
    <w:rsid w:val="73B04D5E"/>
    <w:rsid w:val="73E64C87"/>
    <w:rsid w:val="73F41B7A"/>
    <w:rsid w:val="73FC12FA"/>
    <w:rsid w:val="74127464"/>
    <w:rsid w:val="741E3589"/>
    <w:rsid w:val="74280278"/>
    <w:rsid w:val="74295E87"/>
    <w:rsid w:val="742C6F34"/>
    <w:rsid w:val="743D5C6A"/>
    <w:rsid w:val="744F548D"/>
    <w:rsid w:val="7456001F"/>
    <w:rsid w:val="74690AFF"/>
    <w:rsid w:val="747E2730"/>
    <w:rsid w:val="747E3FE8"/>
    <w:rsid w:val="7487114D"/>
    <w:rsid w:val="74925F05"/>
    <w:rsid w:val="749C4C3E"/>
    <w:rsid w:val="74AB4F2B"/>
    <w:rsid w:val="74B91A39"/>
    <w:rsid w:val="74BD0511"/>
    <w:rsid w:val="74BD0948"/>
    <w:rsid w:val="74BD415B"/>
    <w:rsid w:val="74C41378"/>
    <w:rsid w:val="74CD6E92"/>
    <w:rsid w:val="74E255A1"/>
    <w:rsid w:val="74EB47A8"/>
    <w:rsid w:val="74F36F43"/>
    <w:rsid w:val="74F658C6"/>
    <w:rsid w:val="74FB55D7"/>
    <w:rsid w:val="75003ED1"/>
    <w:rsid w:val="75083655"/>
    <w:rsid w:val="750972DF"/>
    <w:rsid w:val="750B074B"/>
    <w:rsid w:val="75137537"/>
    <w:rsid w:val="75146E31"/>
    <w:rsid w:val="75152BDB"/>
    <w:rsid w:val="75200206"/>
    <w:rsid w:val="7524068C"/>
    <w:rsid w:val="752A6C9B"/>
    <w:rsid w:val="75355BF6"/>
    <w:rsid w:val="753A05C3"/>
    <w:rsid w:val="756A35A9"/>
    <w:rsid w:val="75727AC1"/>
    <w:rsid w:val="758725A8"/>
    <w:rsid w:val="7596443E"/>
    <w:rsid w:val="759B4A59"/>
    <w:rsid w:val="759F7958"/>
    <w:rsid w:val="75A62751"/>
    <w:rsid w:val="75DF0572"/>
    <w:rsid w:val="75E37160"/>
    <w:rsid w:val="75E7559E"/>
    <w:rsid w:val="75F57454"/>
    <w:rsid w:val="75F86B4F"/>
    <w:rsid w:val="75FA68DE"/>
    <w:rsid w:val="76002360"/>
    <w:rsid w:val="76031436"/>
    <w:rsid w:val="760A4DD4"/>
    <w:rsid w:val="76146CD0"/>
    <w:rsid w:val="7616563F"/>
    <w:rsid w:val="761D0BBF"/>
    <w:rsid w:val="76216FCA"/>
    <w:rsid w:val="76286FCB"/>
    <w:rsid w:val="76365E0D"/>
    <w:rsid w:val="763F5794"/>
    <w:rsid w:val="763F7B0F"/>
    <w:rsid w:val="76604593"/>
    <w:rsid w:val="76704785"/>
    <w:rsid w:val="769C762A"/>
    <w:rsid w:val="769D65E1"/>
    <w:rsid w:val="76A67F59"/>
    <w:rsid w:val="76A92761"/>
    <w:rsid w:val="76C05FB7"/>
    <w:rsid w:val="76CB18AF"/>
    <w:rsid w:val="76E47046"/>
    <w:rsid w:val="76EB75C8"/>
    <w:rsid w:val="76F24F83"/>
    <w:rsid w:val="7710670B"/>
    <w:rsid w:val="77134451"/>
    <w:rsid w:val="7714280A"/>
    <w:rsid w:val="771925E7"/>
    <w:rsid w:val="771A5BE5"/>
    <w:rsid w:val="7722179D"/>
    <w:rsid w:val="77327C29"/>
    <w:rsid w:val="77360511"/>
    <w:rsid w:val="773A11D8"/>
    <w:rsid w:val="774B4A4C"/>
    <w:rsid w:val="774F41B6"/>
    <w:rsid w:val="776202E0"/>
    <w:rsid w:val="777256B8"/>
    <w:rsid w:val="777269D1"/>
    <w:rsid w:val="7779189C"/>
    <w:rsid w:val="777A1AB9"/>
    <w:rsid w:val="777C758C"/>
    <w:rsid w:val="7783440C"/>
    <w:rsid w:val="77892B78"/>
    <w:rsid w:val="779054CE"/>
    <w:rsid w:val="77A0292B"/>
    <w:rsid w:val="77B01995"/>
    <w:rsid w:val="77B47CC7"/>
    <w:rsid w:val="77C93D95"/>
    <w:rsid w:val="77D957E9"/>
    <w:rsid w:val="77DC2ED9"/>
    <w:rsid w:val="77E32D0A"/>
    <w:rsid w:val="77FC3E7A"/>
    <w:rsid w:val="77FF7A24"/>
    <w:rsid w:val="7810509B"/>
    <w:rsid w:val="7819040B"/>
    <w:rsid w:val="782143E6"/>
    <w:rsid w:val="78226C6C"/>
    <w:rsid w:val="782772D3"/>
    <w:rsid w:val="782E5C8E"/>
    <w:rsid w:val="783064E5"/>
    <w:rsid w:val="78484BD6"/>
    <w:rsid w:val="784B4865"/>
    <w:rsid w:val="78584A46"/>
    <w:rsid w:val="787036E9"/>
    <w:rsid w:val="787D2729"/>
    <w:rsid w:val="787D7270"/>
    <w:rsid w:val="78890299"/>
    <w:rsid w:val="788D135E"/>
    <w:rsid w:val="78953A32"/>
    <w:rsid w:val="78A45A62"/>
    <w:rsid w:val="78AC5677"/>
    <w:rsid w:val="78B12665"/>
    <w:rsid w:val="78B71A4E"/>
    <w:rsid w:val="78B94A29"/>
    <w:rsid w:val="78BD376F"/>
    <w:rsid w:val="78CA50A2"/>
    <w:rsid w:val="78CD0487"/>
    <w:rsid w:val="78CD0894"/>
    <w:rsid w:val="78D2175A"/>
    <w:rsid w:val="78DF39D2"/>
    <w:rsid w:val="78EA1F45"/>
    <w:rsid w:val="78EB1DAF"/>
    <w:rsid w:val="78F82B6B"/>
    <w:rsid w:val="78FD4424"/>
    <w:rsid w:val="790319DD"/>
    <w:rsid w:val="7917316A"/>
    <w:rsid w:val="79207C59"/>
    <w:rsid w:val="792660ED"/>
    <w:rsid w:val="79360263"/>
    <w:rsid w:val="793657AB"/>
    <w:rsid w:val="79385730"/>
    <w:rsid w:val="793876CD"/>
    <w:rsid w:val="79426957"/>
    <w:rsid w:val="794B4236"/>
    <w:rsid w:val="794E2799"/>
    <w:rsid w:val="79595F48"/>
    <w:rsid w:val="795C7568"/>
    <w:rsid w:val="795F5F14"/>
    <w:rsid w:val="798C0CC1"/>
    <w:rsid w:val="79970491"/>
    <w:rsid w:val="79983EE6"/>
    <w:rsid w:val="799F29C7"/>
    <w:rsid w:val="79AB14B5"/>
    <w:rsid w:val="79AB3C65"/>
    <w:rsid w:val="79AC51C4"/>
    <w:rsid w:val="79B006E0"/>
    <w:rsid w:val="79B53B07"/>
    <w:rsid w:val="79BB73C6"/>
    <w:rsid w:val="79BD7C85"/>
    <w:rsid w:val="79BF0F9F"/>
    <w:rsid w:val="79C5424F"/>
    <w:rsid w:val="79DB6825"/>
    <w:rsid w:val="79DE21F4"/>
    <w:rsid w:val="79E647A5"/>
    <w:rsid w:val="79E6520B"/>
    <w:rsid w:val="79F3572A"/>
    <w:rsid w:val="79FA71BD"/>
    <w:rsid w:val="7A044FF5"/>
    <w:rsid w:val="7A07146D"/>
    <w:rsid w:val="7A0E0F11"/>
    <w:rsid w:val="7A1169BD"/>
    <w:rsid w:val="7A204BCB"/>
    <w:rsid w:val="7A222384"/>
    <w:rsid w:val="7A23626F"/>
    <w:rsid w:val="7A29659D"/>
    <w:rsid w:val="7A373686"/>
    <w:rsid w:val="7A3D268F"/>
    <w:rsid w:val="7A4A5F51"/>
    <w:rsid w:val="7A4B2015"/>
    <w:rsid w:val="7A4F152D"/>
    <w:rsid w:val="7A531549"/>
    <w:rsid w:val="7A5A09B2"/>
    <w:rsid w:val="7A5A7F88"/>
    <w:rsid w:val="7A695555"/>
    <w:rsid w:val="7A6A032F"/>
    <w:rsid w:val="7A6E7ADF"/>
    <w:rsid w:val="7A7579D5"/>
    <w:rsid w:val="7A764D90"/>
    <w:rsid w:val="7A785048"/>
    <w:rsid w:val="7A8A5EC2"/>
    <w:rsid w:val="7A8F1E84"/>
    <w:rsid w:val="7A973568"/>
    <w:rsid w:val="7AA269EC"/>
    <w:rsid w:val="7AB60D3E"/>
    <w:rsid w:val="7AB80EC2"/>
    <w:rsid w:val="7AC122F7"/>
    <w:rsid w:val="7AC54888"/>
    <w:rsid w:val="7AD25705"/>
    <w:rsid w:val="7AD56DB8"/>
    <w:rsid w:val="7ADA2FE8"/>
    <w:rsid w:val="7ADA6685"/>
    <w:rsid w:val="7ADA7A8F"/>
    <w:rsid w:val="7ADE7980"/>
    <w:rsid w:val="7AE57EA9"/>
    <w:rsid w:val="7AF27F90"/>
    <w:rsid w:val="7B036D22"/>
    <w:rsid w:val="7B115A7B"/>
    <w:rsid w:val="7B134578"/>
    <w:rsid w:val="7B204D8A"/>
    <w:rsid w:val="7B244D0C"/>
    <w:rsid w:val="7B306A0F"/>
    <w:rsid w:val="7B441779"/>
    <w:rsid w:val="7B4600D4"/>
    <w:rsid w:val="7B53482C"/>
    <w:rsid w:val="7B606693"/>
    <w:rsid w:val="7B665366"/>
    <w:rsid w:val="7B7E1A6B"/>
    <w:rsid w:val="7B8D0F0A"/>
    <w:rsid w:val="7B9353E0"/>
    <w:rsid w:val="7B9759AB"/>
    <w:rsid w:val="7B9A7959"/>
    <w:rsid w:val="7BA21F65"/>
    <w:rsid w:val="7BA346BD"/>
    <w:rsid w:val="7BA85A45"/>
    <w:rsid w:val="7BB51D21"/>
    <w:rsid w:val="7BB54387"/>
    <w:rsid w:val="7BC03948"/>
    <w:rsid w:val="7BC42CC0"/>
    <w:rsid w:val="7BCE7C8D"/>
    <w:rsid w:val="7BD057F3"/>
    <w:rsid w:val="7BE56856"/>
    <w:rsid w:val="7BE67006"/>
    <w:rsid w:val="7BF31ACD"/>
    <w:rsid w:val="7BF35171"/>
    <w:rsid w:val="7BFD20EF"/>
    <w:rsid w:val="7C094FE4"/>
    <w:rsid w:val="7C114720"/>
    <w:rsid w:val="7C233C72"/>
    <w:rsid w:val="7C315AA7"/>
    <w:rsid w:val="7C444EF2"/>
    <w:rsid w:val="7C45635F"/>
    <w:rsid w:val="7C48228B"/>
    <w:rsid w:val="7C6737C9"/>
    <w:rsid w:val="7C737610"/>
    <w:rsid w:val="7C801F81"/>
    <w:rsid w:val="7C88521A"/>
    <w:rsid w:val="7C9B7341"/>
    <w:rsid w:val="7C9E1AB0"/>
    <w:rsid w:val="7CB172B2"/>
    <w:rsid w:val="7CB43911"/>
    <w:rsid w:val="7CB6041B"/>
    <w:rsid w:val="7CB8122C"/>
    <w:rsid w:val="7CC178A1"/>
    <w:rsid w:val="7CC905BD"/>
    <w:rsid w:val="7CD17869"/>
    <w:rsid w:val="7CEF1D63"/>
    <w:rsid w:val="7CFD24DD"/>
    <w:rsid w:val="7CFD4C2F"/>
    <w:rsid w:val="7D0026A9"/>
    <w:rsid w:val="7D2426AF"/>
    <w:rsid w:val="7D2A022D"/>
    <w:rsid w:val="7D2B79DA"/>
    <w:rsid w:val="7D362081"/>
    <w:rsid w:val="7D5329C3"/>
    <w:rsid w:val="7D5E7B65"/>
    <w:rsid w:val="7D6505D3"/>
    <w:rsid w:val="7D7B3CF3"/>
    <w:rsid w:val="7D875675"/>
    <w:rsid w:val="7D8A0E87"/>
    <w:rsid w:val="7D9069D4"/>
    <w:rsid w:val="7DAA18A5"/>
    <w:rsid w:val="7DAB43B9"/>
    <w:rsid w:val="7DCC1C72"/>
    <w:rsid w:val="7DCE2F2E"/>
    <w:rsid w:val="7DD92EAF"/>
    <w:rsid w:val="7DEB6787"/>
    <w:rsid w:val="7DF43798"/>
    <w:rsid w:val="7DF8545D"/>
    <w:rsid w:val="7DFC264F"/>
    <w:rsid w:val="7E143539"/>
    <w:rsid w:val="7E1E6D48"/>
    <w:rsid w:val="7E22396E"/>
    <w:rsid w:val="7E2E24F9"/>
    <w:rsid w:val="7E582DC3"/>
    <w:rsid w:val="7E58479E"/>
    <w:rsid w:val="7E5D2CD9"/>
    <w:rsid w:val="7E68765B"/>
    <w:rsid w:val="7E6D5293"/>
    <w:rsid w:val="7E7829C6"/>
    <w:rsid w:val="7E830842"/>
    <w:rsid w:val="7E853ED4"/>
    <w:rsid w:val="7E8903FF"/>
    <w:rsid w:val="7E8A117E"/>
    <w:rsid w:val="7E8B44E8"/>
    <w:rsid w:val="7E8C674D"/>
    <w:rsid w:val="7E8D3E28"/>
    <w:rsid w:val="7EA5582D"/>
    <w:rsid w:val="7EAC7FEE"/>
    <w:rsid w:val="7EB95459"/>
    <w:rsid w:val="7ECD28FC"/>
    <w:rsid w:val="7ECF5255"/>
    <w:rsid w:val="7ED13316"/>
    <w:rsid w:val="7EDF7174"/>
    <w:rsid w:val="7F0025AF"/>
    <w:rsid w:val="7F0354C6"/>
    <w:rsid w:val="7F2274C2"/>
    <w:rsid w:val="7F384F47"/>
    <w:rsid w:val="7F3B045D"/>
    <w:rsid w:val="7F3F0D86"/>
    <w:rsid w:val="7F45113D"/>
    <w:rsid w:val="7F483209"/>
    <w:rsid w:val="7F5001D5"/>
    <w:rsid w:val="7F544954"/>
    <w:rsid w:val="7F6141A2"/>
    <w:rsid w:val="7F72755A"/>
    <w:rsid w:val="7F775033"/>
    <w:rsid w:val="7F98682C"/>
    <w:rsid w:val="7FA431EA"/>
    <w:rsid w:val="7FB2378F"/>
    <w:rsid w:val="7FB62DB5"/>
    <w:rsid w:val="7FC136B3"/>
    <w:rsid w:val="7FC6250D"/>
    <w:rsid w:val="7FD46B37"/>
    <w:rsid w:val="7FD5298A"/>
    <w:rsid w:val="7FEA540B"/>
    <w:rsid w:val="7FEC5953"/>
    <w:rsid w:val="7FFF53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name="footnote text"/>
    <w:lsdException w:qFormat="1" w:unhideWhenUsed="0" w:uiPriority="99"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spacing w:line="360" w:lineRule="auto"/>
      <w:jc w:val="center"/>
      <w:outlineLvl w:val="0"/>
    </w:pPr>
    <w:rPr>
      <w:b/>
      <w:bCs/>
      <w:sz w:val="24"/>
    </w:rPr>
  </w:style>
  <w:style w:type="paragraph" w:styleId="4">
    <w:name w:val="heading 2"/>
    <w:basedOn w:val="1"/>
    <w:next w:val="1"/>
    <w:qFormat/>
    <w:uiPriority w:val="0"/>
    <w:pPr>
      <w:keepNext/>
      <w:spacing w:line="360" w:lineRule="auto"/>
      <w:jc w:val="center"/>
      <w:outlineLvl w:val="1"/>
    </w:pPr>
    <w:rPr>
      <w:sz w:val="28"/>
    </w:rPr>
  </w:style>
  <w:style w:type="paragraph" w:styleId="5">
    <w:name w:val="heading 3"/>
    <w:basedOn w:val="1"/>
    <w:next w:val="1"/>
    <w:link w:val="66"/>
    <w:qFormat/>
    <w:uiPriority w:val="0"/>
    <w:pPr>
      <w:keepNext/>
      <w:keepLines/>
      <w:spacing w:before="260" w:after="260" w:line="416" w:lineRule="auto"/>
      <w:outlineLvl w:val="2"/>
    </w:pPr>
    <w:rPr>
      <w:rFonts w:ascii="宋体"/>
      <w:b/>
      <w:bCs/>
      <w:sz w:val="32"/>
      <w:szCs w:val="32"/>
    </w:rPr>
  </w:style>
  <w:style w:type="paragraph" w:styleId="6">
    <w:name w:val="heading 4"/>
    <w:basedOn w:val="1"/>
    <w:next w:val="1"/>
    <w:link w:val="73"/>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6"/>
    <w:basedOn w:val="1"/>
    <w:next w:val="1"/>
    <w:qFormat/>
    <w:uiPriority w:val="0"/>
    <w:pPr>
      <w:keepNext/>
      <w:keepLines/>
      <w:spacing w:before="50" w:beforeLines="50" w:afterLines="0" w:line="240" w:lineRule="auto"/>
      <w:ind w:firstLine="0" w:firstLineChars="0"/>
      <w:jc w:val="center"/>
      <w:outlineLvl w:val="5"/>
    </w:pPr>
    <w:rPr>
      <w:rFonts w:ascii="Times New Roman" w:hAnsi="Times New Roman"/>
      <w:b/>
      <w:bCs/>
      <w:sz w:val="21"/>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1"/>
    <w:next w:val="1"/>
    <w:qFormat/>
    <w:uiPriority w:val="0"/>
    <w:pPr>
      <w:spacing w:after="120"/>
      <w:ind w:left="420" w:leftChars="200" w:firstLine="420"/>
    </w:pPr>
  </w:style>
  <w:style w:type="paragraph" w:styleId="8">
    <w:name w:val="Normal Indent"/>
    <w:basedOn w:val="1"/>
    <w:link w:val="49"/>
    <w:qFormat/>
    <w:uiPriority w:val="0"/>
    <w:pPr>
      <w:widowControl/>
      <w:ind w:firstLine="420"/>
      <w:jc w:val="left"/>
    </w:pPr>
    <w:rPr>
      <w:kern w:val="0"/>
      <w:sz w:val="24"/>
      <w:szCs w:val="20"/>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Document Map"/>
    <w:basedOn w:val="1"/>
    <w:link w:val="59"/>
    <w:qFormat/>
    <w:uiPriority w:val="0"/>
    <w:rPr>
      <w:rFonts w:ascii="宋体"/>
      <w:sz w:val="18"/>
      <w:szCs w:val="18"/>
    </w:rPr>
  </w:style>
  <w:style w:type="paragraph" w:styleId="11">
    <w:name w:val="annotation text"/>
    <w:basedOn w:val="1"/>
    <w:link w:val="60"/>
    <w:semiHidden/>
    <w:qFormat/>
    <w:uiPriority w:val="99"/>
    <w:pPr>
      <w:widowControl/>
      <w:jc w:val="left"/>
    </w:pPr>
    <w:rPr>
      <w:kern w:val="0"/>
      <w:sz w:val="24"/>
      <w:szCs w:val="20"/>
    </w:rPr>
  </w:style>
  <w:style w:type="paragraph" w:styleId="12">
    <w:name w:val="Body Text 3"/>
    <w:basedOn w:val="1"/>
    <w:qFormat/>
    <w:uiPriority w:val="0"/>
    <w:rPr>
      <w:sz w:val="30"/>
      <w:szCs w:val="20"/>
    </w:rPr>
  </w:style>
  <w:style w:type="paragraph" w:styleId="13">
    <w:name w:val="Body Text"/>
    <w:basedOn w:val="1"/>
    <w:link w:val="80"/>
    <w:qFormat/>
    <w:uiPriority w:val="0"/>
    <w:pPr>
      <w:spacing w:afterLines="50"/>
    </w:pPr>
    <w:rPr>
      <w:sz w:val="28"/>
      <w:szCs w:val="20"/>
    </w:rPr>
  </w:style>
  <w:style w:type="paragraph" w:styleId="14">
    <w:name w:val="Body Text Indent"/>
    <w:basedOn w:val="1"/>
    <w:link w:val="81"/>
    <w:qFormat/>
    <w:uiPriority w:val="0"/>
    <w:pPr>
      <w:spacing w:line="360" w:lineRule="auto"/>
      <w:ind w:firstLine="561"/>
    </w:pPr>
    <w:rPr>
      <w:rFonts w:eastAsia="楷体_GB2312"/>
      <w:sz w:val="24"/>
    </w:rPr>
  </w:style>
  <w:style w:type="paragraph" w:styleId="15">
    <w:name w:val="Block Text"/>
    <w:basedOn w:val="1"/>
    <w:qFormat/>
    <w:uiPriority w:val="0"/>
    <w:pPr>
      <w:ind w:left="176" w:right="232"/>
    </w:pPr>
    <w:rPr>
      <w:rFonts w:ascii="楷体_GB2312" w:eastAsia="楷体_GB2312"/>
      <w:sz w:val="28"/>
    </w:rPr>
  </w:style>
  <w:style w:type="paragraph" w:styleId="16">
    <w:name w:val="Plain Text"/>
    <w:basedOn w:val="1"/>
    <w:link w:val="53"/>
    <w:qFormat/>
    <w:uiPriority w:val="99"/>
    <w:rPr>
      <w:rFonts w:ascii="宋体" w:hAnsi="Courier New"/>
      <w:szCs w:val="20"/>
    </w:rPr>
  </w:style>
  <w:style w:type="paragraph" w:styleId="17">
    <w:name w:val="Date"/>
    <w:basedOn w:val="1"/>
    <w:next w:val="1"/>
    <w:link w:val="55"/>
    <w:qFormat/>
    <w:uiPriority w:val="0"/>
    <w:pPr>
      <w:adjustRightInd w:val="0"/>
      <w:textAlignment w:val="baseline"/>
    </w:pPr>
    <w:rPr>
      <w:rFonts w:eastAsia="仿宋_GB2312"/>
      <w:kern w:val="0"/>
      <w:sz w:val="24"/>
      <w:szCs w:val="20"/>
    </w:rPr>
  </w:style>
  <w:style w:type="paragraph" w:styleId="18">
    <w:name w:val="Body Text Indent 2"/>
    <w:basedOn w:val="1"/>
    <w:qFormat/>
    <w:uiPriority w:val="0"/>
    <w:pPr>
      <w:ind w:firstLine="446" w:firstLineChars="186"/>
    </w:pPr>
    <w:rPr>
      <w:sz w:val="24"/>
      <w:szCs w:val="20"/>
    </w:rPr>
  </w:style>
  <w:style w:type="paragraph" w:styleId="19">
    <w:name w:val="Balloon Text"/>
    <w:basedOn w:val="1"/>
    <w:link w:val="62"/>
    <w:qFormat/>
    <w:uiPriority w:val="0"/>
    <w:rPr>
      <w:sz w:val="18"/>
      <w:szCs w:val="18"/>
    </w:rPr>
  </w:style>
  <w:style w:type="paragraph" w:styleId="20">
    <w:name w:val="footer"/>
    <w:basedOn w:val="1"/>
    <w:link w:val="67"/>
    <w:qFormat/>
    <w:uiPriority w:val="0"/>
    <w:pPr>
      <w:tabs>
        <w:tab w:val="center" w:pos="4153"/>
        <w:tab w:val="right" w:pos="8306"/>
      </w:tabs>
      <w:snapToGrid w:val="0"/>
      <w:jc w:val="left"/>
    </w:pPr>
    <w:rPr>
      <w:sz w:val="18"/>
      <w:szCs w:val="20"/>
    </w:rPr>
  </w:style>
  <w:style w:type="paragraph" w:styleId="21">
    <w:name w:val="header"/>
    <w:basedOn w:val="1"/>
    <w:link w:val="70"/>
    <w:qFormat/>
    <w:uiPriority w:val="0"/>
    <w:pPr>
      <w:pBdr>
        <w:bottom w:val="single" w:color="auto" w:sz="6" w:space="1"/>
      </w:pBdr>
      <w:tabs>
        <w:tab w:val="center" w:pos="4153"/>
        <w:tab w:val="right" w:pos="8306"/>
      </w:tabs>
      <w:snapToGrid w:val="0"/>
      <w:jc w:val="center"/>
    </w:pPr>
    <w:rPr>
      <w:sz w:val="18"/>
      <w:szCs w:val="20"/>
    </w:rPr>
  </w:style>
  <w:style w:type="paragraph" w:styleId="22">
    <w:name w:val="index heading"/>
    <w:basedOn w:val="1"/>
    <w:next w:val="23"/>
    <w:qFormat/>
    <w:uiPriority w:val="0"/>
    <w:rPr>
      <w:rFonts w:ascii="Cambria" w:hAnsi="Cambria" w:eastAsia="宋体" w:cs="Times New Roman"/>
      <w:b/>
      <w:bCs/>
    </w:rPr>
  </w:style>
  <w:style w:type="paragraph" w:styleId="23">
    <w:name w:val="index 1"/>
    <w:basedOn w:val="1"/>
    <w:next w:val="1"/>
    <w:semiHidden/>
    <w:qFormat/>
    <w:uiPriority w:val="0"/>
    <w:pPr>
      <w:spacing w:before="156" w:beforeLines="50" w:after="100"/>
      <w:jc w:val="center"/>
    </w:pPr>
    <w:rPr>
      <w:rFonts w:ascii="宋体" w:hAnsi="宋体"/>
      <w:b/>
      <w:bCs/>
      <w:sz w:val="24"/>
      <w:szCs w:val="24"/>
    </w:rPr>
  </w:style>
  <w:style w:type="paragraph" w:styleId="24">
    <w:name w:val="List"/>
    <w:basedOn w:val="1"/>
    <w:qFormat/>
    <w:uiPriority w:val="0"/>
    <w:pPr>
      <w:snapToGrid w:val="0"/>
    </w:pPr>
    <w:rPr>
      <w:szCs w:val="21"/>
    </w:rPr>
  </w:style>
  <w:style w:type="paragraph" w:styleId="25">
    <w:name w:val="footnote text"/>
    <w:basedOn w:val="1"/>
    <w:semiHidden/>
    <w:qFormat/>
    <w:uiPriority w:val="0"/>
    <w:pPr>
      <w:snapToGrid w:val="0"/>
      <w:jc w:val="left"/>
    </w:pPr>
    <w:rPr>
      <w:sz w:val="18"/>
      <w:szCs w:val="18"/>
    </w:rPr>
  </w:style>
  <w:style w:type="paragraph" w:styleId="26">
    <w:name w:val="Body Text Indent 3"/>
    <w:basedOn w:val="1"/>
    <w:qFormat/>
    <w:uiPriority w:val="0"/>
    <w:pPr>
      <w:spacing w:line="400" w:lineRule="exact"/>
      <w:ind w:firstLine="721"/>
    </w:pPr>
    <w:rPr>
      <w:sz w:val="18"/>
      <w:szCs w:val="20"/>
    </w:rPr>
  </w:style>
  <w:style w:type="paragraph" w:styleId="27">
    <w:name w:val="Body Text 2"/>
    <w:basedOn w:val="1"/>
    <w:link w:val="94"/>
    <w:qFormat/>
    <w:uiPriority w:val="0"/>
    <w:pPr>
      <w:spacing w:after="120" w:line="480" w:lineRule="auto"/>
    </w:pPr>
    <w:rPr>
      <w:szCs w:val="20"/>
    </w:rPr>
  </w:style>
  <w:style w:type="paragraph" w:styleId="28">
    <w:name w:val="HTML Preformatted"/>
    <w:basedOn w:val="1"/>
    <w:link w:val="9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jc w:val="left"/>
    </w:pPr>
    <w:rPr>
      <w:rFonts w:ascii="宋体" w:hAnsi="宋体" w:cs="宋体"/>
      <w:kern w:val="0"/>
      <w:szCs w:val="21"/>
    </w:rPr>
  </w:style>
  <w:style w:type="paragraph" w:styleId="29">
    <w:name w:val="Normal (Web)"/>
    <w:basedOn w:val="1"/>
    <w:qFormat/>
    <w:uiPriority w:val="99"/>
    <w:pPr>
      <w:widowControl/>
      <w:spacing w:before="100" w:beforeAutospacing="1" w:after="100" w:afterAutospacing="1"/>
      <w:jc w:val="left"/>
    </w:pPr>
    <w:rPr>
      <w:rFonts w:ascii="宋体" w:hAnsi="宋体" w:cs="宋体"/>
      <w:kern w:val="0"/>
      <w:sz w:val="18"/>
      <w:szCs w:val="18"/>
    </w:rPr>
  </w:style>
  <w:style w:type="paragraph" w:styleId="30">
    <w:name w:val="annotation subject"/>
    <w:basedOn w:val="11"/>
    <w:next w:val="11"/>
    <w:link w:val="61"/>
    <w:qFormat/>
    <w:uiPriority w:val="0"/>
    <w:pPr>
      <w:widowControl w:val="0"/>
    </w:pPr>
    <w:rPr>
      <w:b/>
      <w:bCs/>
      <w:kern w:val="2"/>
      <w:sz w:val="21"/>
      <w:szCs w:val="24"/>
    </w:rPr>
  </w:style>
  <w:style w:type="table" w:styleId="32">
    <w:name w:val="Table Grid"/>
    <w:basedOn w:val="3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4">
    <w:name w:val="page number"/>
    <w:basedOn w:val="33"/>
    <w:qFormat/>
    <w:uiPriority w:val="0"/>
  </w:style>
  <w:style w:type="character" w:styleId="35">
    <w:name w:val="Hyperlink"/>
    <w:basedOn w:val="33"/>
    <w:qFormat/>
    <w:uiPriority w:val="0"/>
    <w:rPr>
      <w:color w:val="0000FF"/>
      <w:u w:val="single"/>
    </w:rPr>
  </w:style>
  <w:style w:type="character" w:styleId="36">
    <w:name w:val="annotation reference"/>
    <w:basedOn w:val="33"/>
    <w:qFormat/>
    <w:uiPriority w:val="0"/>
    <w:rPr>
      <w:sz w:val="21"/>
      <w:szCs w:val="21"/>
    </w:rPr>
  </w:style>
  <w:style w:type="character" w:styleId="37">
    <w:name w:val="footnote reference"/>
    <w:basedOn w:val="33"/>
    <w:semiHidden/>
    <w:qFormat/>
    <w:uiPriority w:val="0"/>
    <w:rPr>
      <w:vertAlign w:val="superscript"/>
    </w:rPr>
  </w:style>
  <w:style w:type="paragraph" w:customStyle="1" w:styleId="38">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9">
    <w:name w:val="样式1"/>
    <w:basedOn w:val="1"/>
    <w:qFormat/>
    <w:uiPriority w:val="0"/>
    <w:pPr>
      <w:jc w:val="center"/>
    </w:pPr>
    <w:rPr>
      <w:bCs/>
      <w:sz w:val="48"/>
    </w:rPr>
  </w:style>
  <w:style w:type="paragraph" w:customStyle="1" w:styleId="40">
    <w:name w:val="Char Char Char Char"/>
    <w:basedOn w:val="1"/>
    <w:qFormat/>
    <w:uiPriority w:val="0"/>
    <w:pPr>
      <w:snapToGrid w:val="0"/>
      <w:spacing w:line="360" w:lineRule="auto"/>
      <w:ind w:firstLine="200" w:firstLineChars="200"/>
    </w:pPr>
    <w:rPr>
      <w:rFonts w:eastAsia="仿宋_GB2312"/>
      <w:sz w:val="24"/>
    </w:rPr>
  </w:style>
  <w:style w:type="paragraph" w:customStyle="1" w:styleId="41">
    <w:name w:val="默认段落字体 Para Char Char Char Char"/>
    <w:basedOn w:val="1"/>
    <w:qFormat/>
    <w:uiPriority w:val="0"/>
    <w:rPr>
      <w:sz w:val="24"/>
    </w:rPr>
  </w:style>
  <w:style w:type="paragraph" w:customStyle="1" w:styleId="42">
    <w:name w:val="表"/>
    <w:basedOn w:val="1"/>
    <w:qFormat/>
    <w:uiPriority w:val="0"/>
    <w:pPr>
      <w:snapToGrid w:val="0"/>
      <w:jc w:val="center"/>
    </w:pPr>
    <w:rPr>
      <w:spacing w:val="2"/>
      <w:szCs w:val="20"/>
    </w:rPr>
  </w:style>
  <w:style w:type="paragraph" w:customStyle="1" w:styleId="43">
    <w:name w:val="表格标题"/>
    <w:basedOn w:val="1"/>
    <w:qFormat/>
    <w:uiPriority w:val="0"/>
    <w:pPr>
      <w:spacing w:line="360" w:lineRule="auto"/>
      <w:ind w:firstLine="2797" w:firstLineChars="1161"/>
      <w:outlineLvl w:val="0"/>
    </w:pPr>
    <w:rPr>
      <w:rFonts w:hAnsi="宋体"/>
      <w:b/>
      <w:bCs/>
      <w:sz w:val="24"/>
      <w:szCs w:val="32"/>
    </w:rPr>
  </w:style>
  <w:style w:type="paragraph" w:customStyle="1" w:styleId="44">
    <w:name w:val="Char1"/>
    <w:basedOn w:val="1"/>
    <w:qFormat/>
    <w:uiPriority w:val="0"/>
    <w:pPr>
      <w:spacing w:line="360" w:lineRule="auto"/>
      <w:ind w:firstLine="200" w:firstLineChars="200"/>
    </w:pPr>
    <w:rPr>
      <w:szCs w:val="20"/>
    </w:rPr>
  </w:style>
  <w:style w:type="paragraph" w:customStyle="1" w:styleId="45">
    <w:name w:val="报告书正文"/>
    <w:link w:val="46"/>
    <w:qFormat/>
    <w:uiPriority w:val="0"/>
    <w:pPr>
      <w:spacing w:line="360" w:lineRule="auto"/>
      <w:ind w:firstLine="539"/>
    </w:pPr>
    <w:rPr>
      <w:rFonts w:ascii="Times New Roman" w:hAnsi="Times New Roman" w:eastAsia="宋体" w:cs="Times New Roman"/>
      <w:kern w:val="2"/>
      <w:sz w:val="24"/>
      <w:szCs w:val="24"/>
      <w:lang w:val="en-US" w:eastAsia="zh-CN" w:bidi="ar-SA"/>
    </w:rPr>
  </w:style>
  <w:style w:type="character" w:customStyle="1" w:styleId="46">
    <w:name w:val="报告书正文 Char"/>
    <w:basedOn w:val="33"/>
    <w:link w:val="45"/>
    <w:qFormat/>
    <w:uiPriority w:val="0"/>
    <w:rPr>
      <w:kern w:val="2"/>
      <w:sz w:val="24"/>
      <w:szCs w:val="24"/>
      <w:lang w:val="en-US" w:eastAsia="zh-CN" w:bidi="ar-SA"/>
    </w:rPr>
  </w:style>
  <w:style w:type="paragraph" w:customStyle="1" w:styleId="47">
    <w:name w:val="表 头"/>
    <w:basedOn w:val="1"/>
    <w:qFormat/>
    <w:uiPriority w:val="0"/>
    <w:pPr>
      <w:adjustRightInd w:val="0"/>
      <w:spacing w:before="120" w:after="120" w:line="360" w:lineRule="atLeast"/>
      <w:jc w:val="center"/>
    </w:pPr>
    <w:rPr>
      <w:rFonts w:eastAsia="黑体"/>
      <w:spacing w:val="10"/>
      <w:kern w:val="0"/>
      <w:sz w:val="24"/>
      <w:szCs w:val="20"/>
    </w:rPr>
  </w:style>
  <w:style w:type="paragraph" w:customStyle="1" w:styleId="48">
    <w:name w:val="段落1"/>
    <w:basedOn w:val="1"/>
    <w:qFormat/>
    <w:uiPriority w:val="0"/>
    <w:pPr>
      <w:spacing w:line="480" w:lineRule="exact"/>
      <w:ind w:firstLine="584" w:firstLineChars="200"/>
    </w:pPr>
    <w:rPr>
      <w:spacing w:val="6"/>
      <w:sz w:val="28"/>
    </w:rPr>
  </w:style>
  <w:style w:type="character" w:customStyle="1" w:styleId="49">
    <w:name w:val="正文缩进 Char"/>
    <w:basedOn w:val="33"/>
    <w:link w:val="8"/>
    <w:qFormat/>
    <w:locked/>
    <w:uiPriority w:val="0"/>
    <w:rPr>
      <w:sz w:val="24"/>
    </w:rPr>
  </w:style>
  <w:style w:type="paragraph" w:customStyle="1" w:styleId="50">
    <w:name w:val="Char Char Char1 Char Char Char Char Char Char Char Char Char Char Char Char Char Char Char Char Char Char Char"/>
    <w:basedOn w:val="1"/>
    <w:qFormat/>
    <w:uiPriority w:val="0"/>
    <w:pPr>
      <w:spacing w:line="360" w:lineRule="auto"/>
      <w:ind w:firstLine="200" w:firstLineChars="200"/>
    </w:pPr>
    <w:rPr>
      <w:rFonts w:ascii="宋体" w:hAnsi="宋体" w:cs="宋体"/>
      <w:sz w:val="20"/>
    </w:rPr>
  </w:style>
  <w:style w:type="character" w:customStyle="1" w:styleId="51">
    <w:name w:val="apple-style-span"/>
    <w:basedOn w:val="33"/>
    <w:qFormat/>
    <w:uiPriority w:val="0"/>
  </w:style>
  <w:style w:type="character" w:customStyle="1" w:styleId="52">
    <w:name w:val="apple-converted-space"/>
    <w:basedOn w:val="33"/>
    <w:qFormat/>
    <w:uiPriority w:val="0"/>
  </w:style>
  <w:style w:type="character" w:customStyle="1" w:styleId="53">
    <w:name w:val="纯文本 Char"/>
    <w:basedOn w:val="33"/>
    <w:link w:val="16"/>
    <w:qFormat/>
    <w:uiPriority w:val="99"/>
    <w:rPr>
      <w:rFonts w:ascii="宋体" w:hAnsi="Courier New"/>
      <w:kern w:val="2"/>
      <w:sz w:val="21"/>
    </w:rPr>
  </w:style>
  <w:style w:type="paragraph" w:customStyle="1" w:styleId="54">
    <w:name w:val="Char Char Char Char Char Char Char"/>
    <w:basedOn w:val="1"/>
    <w:qFormat/>
    <w:uiPriority w:val="0"/>
  </w:style>
  <w:style w:type="character" w:customStyle="1" w:styleId="55">
    <w:name w:val="日期 Char"/>
    <w:basedOn w:val="33"/>
    <w:link w:val="17"/>
    <w:qFormat/>
    <w:uiPriority w:val="0"/>
    <w:rPr>
      <w:rFonts w:eastAsia="仿宋_GB2312"/>
      <w:sz w:val="24"/>
    </w:rPr>
  </w:style>
  <w:style w:type="character" w:customStyle="1" w:styleId="56">
    <w:name w:val="日期 Char1"/>
    <w:basedOn w:val="33"/>
    <w:qFormat/>
    <w:uiPriority w:val="0"/>
    <w:rPr>
      <w:kern w:val="2"/>
      <w:sz w:val="21"/>
      <w:szCs w:val="24"/>
    </w:rPr>
  </w:style>
  <w:style w:type="paragraph" w:customStyle="1" w:styleId="57">
    <w:name w:val="标准正文"/>
    <w:basedOn w:val="1"/>
    <w:qFormat/>
    <w:uiPriority w:val="0"/>
    <w:pPr>
      <w:adjustRightInd w:val="0"/>
      <w:spacing w:line="460" w:lineRule="atLeast"/>
      <w:ind w:firstLine="567"/>
      <w:jc w:val="left"/>
    </w:pPr>
    <w:rPr>
      <w:kern w:val="28"/>
      <w:sz w:val="28"/>
      <w:szCs w:val="20"/>
    </w:rPr>
  </w:style>
  <w:style w:type="paragraph" w:customStyle="1" w:styleId="58">
    <w:name w:val="Char1 Char Char Char"/>
    <w:basedOn w:val="9"/>
    <w:qFormat/>
    <w:uiPriority w:val="0"/>
    <w:pPr>
      <w:shd w:val="clear" w:color="auto" w:fill="000080"/>
      <w:spacing w:before="0" w:after="0"/>
    </w:pPr>
    <w:rPr>
      <w:rFonts w:ascii="Tahoma" w:hAnsi="Tahoma" w:eastAsia="仿宋_GB2312" w:cs="Times New Roman"/>
    </w:rPr>
  </w:style>
  <w:style w:type="character" w:customStyle="1" w:styleId="59">
    <w:name w:val="文档结构图 Char"/>
    <w:basedOn w:val="33"/>
    <w:link w:val="10"/>
    <w:qFormat/>
    <w:uiPriority w:val="0"/>
    <w:rPr>
      <w:rFonts w:ascii="宋体"/>
      <w:kern w:val="2"/>
      <w:sz w:val="18"/>
      <w:szCs w:val="18"/>
    </w:rPr>
  </w:style>
  <w:style w:type="character" w:customStyle="1" w:styleId="60">
    <w:name w:val="批注文字 Char"/>
    <w:basedOn w:val="33"/>
    <w:link w:val="11"/>
    <w:semiHidden/>
    <w:qFormat/>
    <w:uiPriority w:val="99"/>
    <w:rPr>
      <w:sz w:val="24"/>
    </w:rPr>
  </w:style>
  <w:style w:type="character" w:customStyle="1" w:styleId="61">
    <w:name w:val="批注主题 Char"/>
    <w:basedOn w:val="60"/>
    <w:link w:val="30"/>
    <w:qFormat/>
    <w:uiPriority w:val="0"/>
    <w:rPr>
      <w:sz w:val="24"/>
    </w:rPr>
  </w:style>
  <w:style w:type="character" w:customStyle="1" w:styleId="62">
    <w:name w:val="批注框文本 Char"/>
    <w:basedOn w:val="33"/>
    <w:link w:val="19"/>
    <w:qFormat/>
    <w:uiPriority w:val="0"/>
    <w:rPr>
      <w:kern w:val="2"/>
      <w:sz w:val="18"/>
      <w:szCs w:val="18"/>
    </w:rPr>
  </w:style>
  <w:style w:type="paragraph" w:customStyle="1" w:styleId="63">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64">
    <w:name w:val="条题"/>
    <w:basedOn w:val="1"/>
    <w:qFormat/>
    <w:uiPriority w:val="0"/>
    <w:pPr>
      <w:numPr>
        <w:ilvl w:val="0"/>
        <w:numId w:val="1"/>
      </w:numPr>
      <w:adjustRightInd w:val="0"/>
      <w:snapToGrid w:val="0"/>
      <w:spacing w:beforeLines="20" w:afterLines="20"/>
      <w:ind w:left="0" w:firstLine="602" w:firstLineChars="200"/>
      <w:outlineLvl w:val="2"/>
    </w:pPr>
    <w:rPr>
      <w:rFonts w:ascii="楷体_GB2312" w:hAnsi="楷体" w:eastAsia="楷体_GB2312"/>
      <w:b/>
      <w:bCs/>
      <w:sz w:val="30"/>
      <w:szCs w:val="30"/>
    </w:rPr>
  </w:style>
  <w:style w:type="character" w:customStyle="1" w:styleId="65">
    <w:name w:val="标题 3 Char"/>
    <w:basedOn w:val="33"/>
    <w:semiHidden/>
    <w:qFormat/>
    <w:uiPriority w:val="0"/>
    <w:rPr>
      <w:b/>
      <w:bCs/>
      <w:kern w:val="2"/>
      <w:sz w:val="32"/>
      <w:szCs w:val="32"/>
    </w:rPr>
  </w:style>
  <w:style w:type="character" w:customStyle="1" w:styleId="66">
    <w:name w:val="标题 3 Char1"/>
    <w:link w:val="5"/>
    <w:qFormat/>
    <w:uiPriority w:val="0"/>
    <w:rPr>
      <w:rFonts w:ascii="宋体"/>
      <w:b/>
      <w:bCs/>
      <w:kern w:val="2"/>
      <w:sz w:val="32"/>
      <w:szCs w:val="32"/>
    </w:rPr>
  </w:style>
  <w:style w:type="character" w:customStyle="1" w:styleId="67">
    <w:name w:val="页脚 Char"/>
    <w:basedOn w:val="33"/>
    <w:link w:val="20"/>
    <w:qFormat/>
    <w:uiPriority w:val="99"/>
    <w:rPr>
      <w:kern w:val="2"/>
      <w:sz w:val="18"/>
    </w:rPr>
  </w:style>
  <w:style w:type="character" w:customStyle="1" w:styleId="68">
    <w:name w:val="3正文 Char Char"/>
    <w:link w:val="69"/>
    <w:qFormat/>
    <w:locked/>
    <w:uiPriority w:val="0"/>
    <w:rPr>
      <w:kern w:val="2"/>
      <w:sz w:val="24"/>
      <w:szCs w:val="24"/>
    </w:rPr>
  </w:style>
  <w:style w:type="paragraph" w:customStyle="1" w:styleId="69">
    <w:name w:val="3正文"/>
    <w:link w:val="68"/>
    <w:qFormat/>
    <w:uiPriority w:val="0"/>
    <w:pPr>
      <w:widowControl w:val="0"/>
      <w:spacing w:line="520" w:lineRule="exact"/>
      <w:ind w:firstLine="200" w:firstLineChars="200"/>
      <w:jc w:val="both"/>
    </w:pPr>
    <w:rPr>
      <w:rFonts w:ascii="Times New Roman" w:hAnsi="Times New Roman" w:eastAsia="宋体" w:cs="Times New Roman"/>
      <w:kern w:val="2"/>
      <w:sz w:val="24"/>
      <w:szCs w:val="24"/>
      <w:lang w:val="en-US" w:eastAsia="zh-CN" w:bidi="ar-SA"/>
    </w:rPr>
  </w:style>
  <w:style w:type="character" w:customStyle="1" w:styleId="70">
    <w:name w:val="页眉 Char"/>
    <w:basedOn w:val="33"/>
    <w:link w:val="21"/>
    <w:qFormat/>
    <w:uiPriority w:val="0"/>
    <w:rPr>
      <w:kern w:val="2"/>
      <w:sz w:val="18"/>
    </w:rPr>
  </w:style>
  <w:style w:type="paragraph" w:customStyle="1" w:styleId="71">
    <w:name w:val="Char Char1 Char"/>
    <w:basedOn w:val="1"/>
    <w:qFormat/>
    <w:uiPriority w:val="0"/>
    <w:pPr>
      <w:spacing w:line="360" w:lineRule="auto"/>
      <w:ind w:firstLine="200" w:firstLineChars="200"/>
    </w:pPr>
    <w:rPr>
      <w:rFonts w:ascii="宋体" w:hAnsi="宋体" w:cs="宋体"/>
      <w:sz w:val="24"/>
    </w:rPr>
  </w:style>
  <w:style w:type="paragraph" w:customStyle="1" w:styleId="72">
    <w:name w:val="reader-word-layer"/>
    <w:basedOn w:val="1"/>
    <w:qFormat/>
    <w:uiPriority w:val="0"/>
    <w:pPr>
      <w:widowControl/>
      <w:spacing w:before="100" w:beforeAutospacing="1" w:after="100" w:afterAutospacing="1"/>
      <w:jc w:val="left"/>
    </w:pPr>
    <w:rPr>
      <w:rFonts w:ascii="宋体" w:hAnsi="宋体" w:cs="宋体"/>
      <w:kern w:val="0"/>
      <w:sz w:val="24"/>
    </w:rPr>
  </w:style>
  <w:style w:type="character" w:customStyle="1" w:styleId="73">
    <w:name w:val="标题 4 Char"/>
    <w:basedOn w:val="33"/>
    <w:link w:val="6"/>
    <w:semiHidden/>
    <w:qFormat/>
    <w:uiPriority w:val="0"/>
    <w:rPr>
      <w:rFonts w:asciiTheme="majorHAnsi" w:hAnsiTheme="majorHAnsi" w:eastAsiaTheme="majorEastAsia" w:cstheme="majorBidi"/>
      <w:b/>
      <w:bCs/>
      <w:kern w:val="2"/>
      <w:sz w:val="28"/>
      <w:szCs w:val="28"/>
    </w:rPr>
  </w:style>
  <w:style w:type="paragraph" w:customStyle="1" w:styleId="74">
    <w:name w:val="样式 标题 4款标题1.1.1.1h4H4Fab-4T5PIM 4Ref Heading 1rh1Headin...1"/>
    <w:basedOn w:val="6"/>
    <w:qFormat/>
    <w:uiPriority w:val="0"/>
    <w:pPr>
      <w:spacing w:before="0" w:after="0" w:line="360" w:lineRule="auto"/>
    </w:pPr>
    <w:rPr>
      <w:rFonts w:ascii="Times New Roman" w:hAnsi="Times New Roman" w:eastAsia="宋体" w:cs="宋体"/>
      <w:b w:val="0"/>
      <w:bCs w:val="0"/>
      <w:sz w:val="24"/>
      <w:szCs w:val="20"/>
    </w:rPr>
  </w:style>
  <w:style w:type="paragraph" w:customStyle="1" w:styleId="75">
    <w:name w:val="样式 标题 4款标题1.1.1.1h4H4Fab-4T5PIM 4Ref Heading 1rh1Headin...2"/>
    <w:basedOn w:val="6"/>
    <w:link w:val="76"/>
    <w:qFormat/>
    <w:uiPriority w:val="0"/>
    <w:rPr>
      <w:rFonts w:ascii="Times New Roman" w:hAnsi="Times New Roman" w:eastAsia="宋体" w:cs="Times New Roman"/>
      <w:b w:val="0"/>
      <w:bCs w:val="0"/>
      <w:sz w:val="24"/>
    </w:rPr>
  </w:style>
  <w:style w:type="character" w:customStyle="1" w:styleId="76">
    <w:name w:val="样式 标题 4款标题1.1.1.1h4H4Fab-4T5PIM 4Ref Heading 1rh1Headin...2 Char"/>
    <w:basedOn w:val="33"/>
    <w:link w:val="75"/>
    <w:qFormat/>
    <w:uiPriority w:val="0"/>
    <w:rPr>
      <w:kern w:val="2"/>
      <w:sz w:val="24"/>
      <w:szCs w:val="28"/>
    </w:rPr>
  </w:style>
  <w:style w:type="paragraph" w:customStyle="1" w:styleId="77">
    <w:name w:val="样式 首行缩进:  1.27 厘米"/>
    <w:basedOn w:val="1"/>
    <w:qFormat/>
    <w:uiPriority w:val="0"/>
    <w:pPr>
      <w:ind w:firstLine="567"/>
    </w:pPr>
    <w:rPr>
      <w:rFonts w:cs="宋体"/>
      <w:sz w:val="28"/>
      <w:szCs w:val="28"/>
    </w:rPr>
  </w:style>
  <w:style w:type="character" w:styleId="78">
    <w:name w:val="Placeholder Text"/>
    <w:basedOn w:val="33"/>
    <w:unhideWhenUsed/>
    <w:qFormat/>
    <w:uiPriority w:val="99"/>
    <w:rPr>
      <w:color w:val="808080"/>
    </w:rPr>
  </w:style>
  <w:style w:type="character" w:customStyle="1" w:styleId="79">
    <w:name w:val="正文缩进 Char1"/>
    <w:basedOn w:val="33"/>
    <w:qFormat/>
    <w:locked/>
    <w:uiPriority w:val="0"/>
    <w:rPr>
      <w:sz w:val="24"/>
    </w:rPr>
  </w:style>
  <w:style w:type="character" w:customStyle="1" w:styleId="80">
    <w:name w:val="正文文本 Char"/>
    <w:basedOn w:val="33"/>
    <w:link w:val="13"/>
    <w:qFormat/>
    <w:uiPriority w:val="0"/>
    <w:rPr>
      <w:kern w:val="2"/>
      <w:sz w:val="28"/>
    </w:rPr>
  </w:style>
  <w:style w:type="character" w:customStyle="1" w:styleId="81">
    <w:name w:val="正文文本缩进 Char"/>
    <w:basedOn w:val="33"/>
    <w:link w:val="14"/>
    <w:qFormat/>
    <w:uiPriority w:val="0"/>
    <w:rPr>
      <w:rFonts w:eastAsia="楷体_GB2312"/>
      <w:kern w:val="2"/>
      <w:sz w:val="24"/>
      <w:szCs w:val="24"/>
    </w:rPr>
  </w:style>
  <w:style w:type="paragraph" w:customStyle="1" w:styleId="82">
    <w:name w:val="Table Paragraph"/>
    <w:basedOn w:val="1"/>
    <w:qFormat/>
    <w:uiPriority w:val="1"/>
    <w:pPr>
      <w:widowControl/>
      <w:jc w:val="left"/>
    </w:pPr>
    <w:rPr>
      <w:rFonts w:ascii="Calibri" w:hAnsi="Calibri" w:cs="宋体"/>
      <w:kern w:val="0"/>
      <w:sz w:val="22"/>
      <w:szCs w:val="22"/>
    </w:rPr>
  </w:style>
  <w:style w:type="paragraph" w:styleId="83">
    <w:name w:val="List Paragraph"/>
    <w:basedOn w:val="1"/>
    <w:unhideWhenUsed/>
    <w:qFormat/>
    <w:uiPriority w:val="34"/>
    <w:pPr>
      <w:ind w:firstLine="420" w:firstLineChars="200"/>
    </w:pPr>
  </w:style>
  <w:style w:type="character" w:customStyle="1" w:styleId="84">
    <w:name w:val="正文1 Char"/>
    <w:basedOn w:val="33"/>
    <w:link w:val="85"/>
    <w:qFormat/>
    <w:uiPriority w:val="0"/>
    <w:rPr>
      <w:rFonts w:eastAsia="仿宋_GB2312"/>
      <w:kern w:val="2"/>
      <w:sz w:val="28"/>
    </w:rPr>
  </w:style>
  <w:style w:type="paragraph" w:customStyle="1" w:styleId="85">
    <w:name w:val="正文1"/>
    <w:basedOn w:val="1"/>
    <w:link w:val="84"/>
    <w:qFormat/>
    <w:uiPriority w:val="0"/>
    <w:pPr>
      <w:adjustRightInd w:val="0"/>
      <w:snapToGrid w:val="0"/>
      <w:spacing w:line="500" w:lineRule="atLeast"/>
      <w:ind w:firstLine="567"/>
    </w:pPr>
    <w:rPr>
      <w:rFonts w:eastAsia="仿宋_GB2312"/>
      <w:sz w:val="28"/>
      <w:szCs w:val="20"/>
    </w:rPr>
  </w:style>
  <w:style w:type="character" w:customStyle="1" w:styleId="86">
    <w:name w:val="标题1"/>
    <w:basedOn w:val="33"/>
    <w:qFormat/>
    <w:uiPriority w:val="0"/>
  </w:style>
  <w:style w:type="character" w:customStyle="1" w:styleId="87">
    <w:name w:val="普通文字 Char Char1"/>
    <w:basedOn w:val="33"/>
    <w:qFormat/>
    <w:uiPriority w:val="0"/>
    <w:rPr>
      <w:rFonts w:ascii="宋体" w:hAnsi="Courier New" w:eastAsia="宋体"/>
      <w:kern w:val="2"/>
      <w:lang w:val="en-US" w:eastAsia="zh-CN" w:bidi="ar-SA"/>
    </w:rPr>
  </w:style>
  <w:style w:type="character" w:customStyle="1" w:styleId="88">
    <w:name w:val="纯文本 Char1"/>
    <w:basedOn w:val="33"/>
    <w:qFormat/>
    <w:uiPriority w:val="0"/>
    <w:rPr>
      <w:rFonts w:ascii="仿宋_GB2312" w:hAnsi="仿宋_GB2312" w:cs="仿宋_GB2312"/>
      <w:kern w:val="2"/>
      <w:sz w:val="21"/>
      <w:szCs w:val="21"/>
    </w:rPr>
  </w:style>
  <w:style w:type="paragraph" w:customStyle="1" w:styleId="89">
    <w:name w:val="表格文字"/>
    <w:basedOn w:val="1"/>
    <w:qFormat/>
    <w:uiPriority w:val="0"/>
    <w:pPr>
      <w:autoSpaceDE w:val="0"/>
      <w:autoSpaceDN w:val="0"/>
      <w:adjustRightInd w:val="0"/>
      <w:spacing w:before="60" w:after="60"/>
      <w:jc w:val="center"/>
      <w:textAlignment w:val="bottom"/>
    </w:pPr>
    <w:rPr>
      <w:rFonts w:eastAsia="黑体"/>
      <w:kern w:val="0"/>
      <w:sz w:val="24"/>
      <w:szCs w:val="20"/>
    </w:rPr>
  </w:style>
  <w:style w:type="paragraph" w:customStyle="1" w:styleId="90">
    <w:name w:val="表格文字2"/>
    <w:basedOn w:val="89"/>
    <w:qFormat/>
    <w:uiPriority w:val="0"/>
    <w:pPr>
      <w:autoSpaceDE/>
      <w:autoSpaceDN/>
      <w:spacing w:after="0"/>
      <w:textAlignment w:val="baseline"/>
    </w:pPr>
    <w:rPr>
      <w:rFonts w:ascii="仿宋_GB2312" w:eastAsia="仿宋_GB2312"/>
    </w:rPr>
  </w:style>
  <w:style w:type="character" w:customStyle="1" w:styleId="91">
    <w:name w:val="HTML 预设格式 Char"/>
    <w:basedOn w:val="33"/>
    <w:link w:val="28"/>
    <w:qFormat/>
    <w:uiPriority w:val="99"/>
    <w:rPr>
      <w:rFonts w:ascii="宋体" w:hAnsi="宋体" w:cs="宋体"/>
      <w:sz w:val="21"/>
      <w:szCs w:val="21"/>
    </w:rPr>
  </w:style>
  <w:style w:type="paragraph" w:customStyle="1" w:styleId="92">
    <w:name w:val="reader-word-layer reader-word-s32-8 reader-word-s32-16"/>
    <w:basedOn w:val="1"/>
    <w:qFormat/>
    <w:uiPriority w:val="0"/>
    <w:pPr>
      <w:widowControl/>
      <w:spacing w:before="100" w:beforeAutospacing="1" w:after="100" w:afterAutospacing="1"/>
      <w:jc w:val="left"/>
    </w:pPr>
    <w:rPr>
      <w:rFonts w:ascii="宋体" w:hAnsi="宋体" w:cs="宋体"/>
      <w:kern w:val="0"/>
      <w:sz w:val="24"/>
    </w:rPr>
  </w:style>
  <w:style w:type="paragraph" w:customStyle="1" w:styleId="93">
    <w:name w:val="样式 a + 非加粗 首行缩进:  2 字符"/>
    <w:basedOn w:val="1"/>
    <w:qFormat/>
    <w:uiPriority w:val="0"/>
    <w:pPr>
      <w:spacing w:line="540" w:lineRule="exact"/>
      <w:ind w:firstLine="560" w:firstLineChars="200"/>
    </w:pPr>
    <w:rPr>
      <w:rFonts w:ascii="仿宋_GB2312" w:hAnsi="仿宋_GB2312" w:cs="仿宋_GB2312"/>
      <w:sz w:val="28"/>
      <w:szCs w:val="20"/>
    </w:rPr>
  </w:style>
  <w:style w:type="character" w:customStyle="1" w:styleId="94">
    <w:name w:val="正文文本 2 Char"/>
    <w:basedOn w:val="33"/>
    <w:link w:val="27"/>
    <w:qFormat/>
    <w:uiPriority w:val="0"/>
    <w:rPr>
      <w:kern w:val="2"/>
      <w:sz w:val="21"/>
    </w:rPr>
  </w:style>
  <w:style w:type="paragraph" w:customStyle="1" w:styleId="95">
    <w:name w:val="正文五"/>
    <w:basedOn w:val="1"/>
    <w:qFormat/>
    <w:uiPriority w:val="0"/>
    <w:pPr>
      <w:snapToGrid w:val="0"/>
      <w:jc w:val="center"/>
    </w:pPr>
    <w:rPr>
      <w:sz w:val="24"/>
      <w:szCs w:val="20"/>
    </w:rPr>
  </w:style>
  <w:style w:type="paragraph" w:customStyle="1" w:styleId="96">
    <w:name w:val="样式 小四 首行缩进:  0.85 厘米"/>
    <w:basedOn w:val="1"/>
    <w:qFormat/>
    <w:uiPriority w:val="0"/>
    <w:pPr>
      <w:spacing w:line="360" w:lineRule="auto"/>
      <w:ind w:firstLine="482"/>
    </w:pPr>
    <w:rPr>
      <w:sz w:val="24"/>
    </w:rPr>
  </w:style>
  <w:style w:type="paragraph" w:customStyle="1" w:styleId="97">
    <w:name w:val="reader-word-layer reader-word-s32-9"/>
    <w:basedOn w:val="1"/>
    <w:qFormat/>
    <w:uiPriority w:val="0"/>
    <w:pPr>
      <w:widowControl/>
      <w:spacing w:before="100" w:beforeAutospacing="1" w:after="100" w:afterAutospacing="1"/>
      <w:jc w:val="left"/>
    </w:pPr>
    <w:rPr>
      <w:rFonts w:ascii="宋体" w:hAnsi="宋体" w:cs="宋体"/>
      <w:kern w:val="0"/>
      <w:sz w:val="24"/>
    </w:rPr>
  </w:style>
  <w:style w:type="paragraph" w:customStyle="1" w:styleId="98">
    <w:name w:val="表头"/>
    <w:basedOn w:val="1"/>
    <w:qFormat/>
    <w:uiPriority w:val="0"/>
    <w:pPr>
      <w:adjustRightInd w:val="0"/>
      <w:spacing w:before="80" w:after="80"/>
      <w:jc w:val="center"/>
      <w:textAlignment w:val="baseline"/>
    </w:pPr>
    <w:rPr>
      <w:rFonts w:ascii="黑体" w:eastAsia="黑体"/>
      <w:kern w:val="0"/>
      <w:sz w:val="24"/>
      <w:szCs w:val="20"/>
    </w:rPr>
  </w:style>
  <w:style w:type="paragraph" w:customStyle="1" w:styleId="99">
    <w:name w:val="1.1.1"/>
    <w:basedOn w:val="1"/>
    <w:qFormat/>
    <w:uiPriority w:val="0"/>
    <w:rPr>
      <w:rFonts w:ascii="Arial"/>
      <w:sz w:val="24"/>
    </w:rPr>
  </w:style>
  <w:style w:type="paragraph" w:customStyle="1" w:styleId="100">
    <w:name w:val="reader-word-layer reader-word-s32-12"/>
    <w:basedOn w:val="1"/>
    <w:qFormat/>
    <w:uiPriority w:val="0"/>
    <w:pPr>
      <w:widowControl/>
      <w:spacing w:before="100" w:beforeAutospacing="1" w:after="100" w:afterAutospacing="1"/>
      <w:jc w:val="left"/>
    </w:pPr>
    <w:rPr>
      <w:rFonts w:ascii="宋体" w:hAnsi="宋体" w:cs="宋体"/>
      <w:kern w:val="0"/>
      <w:sz w:val="24"/>
    </w:rPr>
  </w:style>
  <w:style w:type="paragraph" w:customStyle="1" w:styleId="101">
    <w:name w:val="报告正文"/>
    <w:basedOn w:val="1"/>
    <w:qFormat/>
    <w:uiPriority w:val="0"/>
    <w:pPr>
      <w:adjustRightInd w:val="0"/>
      <w:spacing w:before="60" w:beforeLines="25" w:line="360" w:lineRule="auto"/>
      <w:ind w:firstLine="482"/>
      <w:textAlignment w:val="baseline"/>
    </w:pPr>
    <w:rPr>
      <w:snapToGrid w:val="0"/>
      <w:kern w:val="24"/>
      <w:sz w:val="24"/>
      <w:szCs w:val="21"/>
    </w:rPr>
  </w:style>
  <w:style w:type="paragraph" w:customStyle="1" w:styleId="102">
    <w:name w:val="正文小四"/>
    <w:basedOn w:val="1"/>
    <w:qFormat/>
    <w:uiPriority w:val="0"/>
    <w:pPr>
      <w:ind w:firstLine="200" w:firstLineChars="200"/>
    </w:pPr>
    <w:rPr>
      <w:sz w:val="24"/>
      <w:szCs w:val="20"/>
    </w:rPr>
  </w:style>
  <w:style w:type="paragraph" w:customStyle="1" w:styleId="103">
    <w:name w:val="reader-word-layer reader-word-s32-8"/>
    <w:basedOn w:val="1"/>
    <w:qFormat/>
    <w:uiPriority w:val="0"/>
    <w:pPr>
      <w:widowControl/>
      <w:spacing w:before="100" w:beforeAutospacing="1" w:after="100" w:afterAutospacing="1"/>
      <w:jc w:val="left"/>
    </w:pPr>
    <w:rPr>
      <w:rFonts w:ascii="宋体" w:hAnsi="宋体" w:cs="宋体"/>
      <w:kern w:val="0"/>
      <w:sz w:val="24"/>
    </w:rPr>
  </w:style>
  <w:style w:type="paragraph" w:customStyle="1" w:styleId="104">
    <w:name w:val="正文01"/>
    <w:basedOn w:val="1"/>
    <w:qFormat/>
    <w:uiPriority w:val="0"/>
    <w:pPr>
      <w:spacing w:line="360" w:lineRule="auto"/>
      <w:ind w:firstLine="482"/>
    </w:pPr>
    <w:rPr>
      <w:szCs w:val="20"/>
    </w:rPr>
  </w:style>
  <w:style w:type="paragraph" w:customStyle="1" w:styleId="105">
    <w:name w:val="Char"/>
    <w:basedOn w:val="1"/>
    <w:qFormat/>
    <w:uiPriority w:val="0"/>
  </w:style>
  <w:style w:type="paragraph" w:customStyle="1" w:styleId="106">
    <w:name w:val="gao"/>
    <w:basedOn w:val="1"/>
    <w:qFormat/>
    <w:uiPriority w:val="0"/>
    <w:pPr>
      <w:autoSpaceDE w:val="0"/>
      <w:autoSpaceDN w:val="0"/>
      <w:adjustRightInd w:val="0"/>
      <w:spacing w:line="360" w:lineRule="auto"/>
    </w:pPr>
    <w:rPr>
      <w:rFonts w:ascii="仿宋_GB2312"/>
      <w:spacing w:val="-20"/>
      <w:kern w:val="0"/>
      <w:sz w:val="28"/>
    </w:rPr>
  </w:style>
  <w:style w:type="paragraph" w:customStyle="1" w:styleId="107">
    <w:name w:val="样式 正文文本缩进 2 + 自动设置 行距: 1.5 倍行距"/>
    <w:basedOn w:val="18"/>
    <w:qFormat/>
    <w:uiPriority w:val="0"/>
    <w:pPr>
      <w:spacing w:line="460" w:lineRule="exact"/>
      <w:ind w:firstLine="200" w:firstLineChars="200"/>
    </w:pPr>
    <w:rPr>
      <w:rFonts w:ascii="宋体" w:hAnsi="宋体" w:cs="宋体"/>
    </w:rPr>
  </w:style>
  <w:style w:type="table" w:customStyle="1" w:styleId="108">
    <w:name w:val="Table Normal"/>
    <w:unhideWhenUsed/>
    <w:qFormat/>
    <w:uiPriority w:val="2"/>
    <w:tblPr>
      <w:tblCellMar>
        <w:top w:w="0" w:type="dxa"/>
        <w:left w:w="0" w:type="dxa"/>
        <w:bottom w:w="0" w:type="dxa"/>
        <w:right w:w="0" w:type="dxa"/>
      </w:tblCellMar>
    </w:tblPr>
  </w:style>
  <w:style w:type="paragraph" w:customStyle="1" w:styleId="109">
    <w:name w:val="Char Char9"/>
    <w:basedOn w:val="1"/>
    <w:qFormat/>
    <w:uiPriority w:val="0"/>
    <w:pPr>
      <w:spacing w:line="360" w:lineRule="auto"/>
      <w:ind w:firstLine="200" w:firstLineChars="200"/>
    </w:pPr>
    <w:rPr>
      <w:rFonts w:eastAsia="仿宋_GB2312"/>
      <w:kern w:val="0"/>
      <w:sz w:val="24"/>
    </w:rPr>
  </w:style>
  <w:style w:type="paragraph" w:customStyle="1" w:styleId="110">
    <w:name w:val="二级无标题条"/>
    <w:basedOn w:val="1"/>
    <w:qFormat/>
    <w:uiPriority w:val="0"/>
  </w:style>
  <w:style w:type="paragraph" w:customStyle="1" w:styleId="111">
    <w:name w:val="F正文"/>
    <w:qFormat/>
    <w:uiPriority w:val="0"/>
    <w:pPr>
      <w:widowControl w:val="0"/>
      <w:adjustRightInd w:val="0"/>
      <w:spacing w:line="360" w:lineRule="atLeast"/>
      <w:textAlignment w:val="baseline"/>
    </w:pPr>
    <w:rPr>
      <w:rFonts w:ascii="Times New Roman" w:hAnsi="Times New Roman" w:eastAsia="宋体" w:cs="Times New Roman"/>
      <w:spacing w:val="12"/>
      <w:kern w:val="2"/>
      <w:sz w:val="24"/>
      <w:szCs w:val="24"/>
      <w:lang w:val="en-US" w:eastAsia="zh-CN" w:bidi="ar-SA"/>
    </w:rPr>
  </w:style>
  <w:style w:type="paragraph" w:customStyle="1" w:styleId="112">
    <w:name w:val="Body Text 22"/>
    <w:basedOn w:val="1"/>
    <w:qFormat/>
    <w:uiPriority w:val="0"/>
    <w:pPr>
      <w:adjustRightInd w:val="0"/>
      <w:spacing w:line="440" w:lineRule="atLeast"/>
      <w:ind w:firstLine="480"/>
      <w:textAlignment w:val="baseline"/>
    </w:pPr>
    <w:rPr>
      <w:rFonts w:eastAsia="仿宋_GB2312"/>
      <w:sz w:val="24"/>
      <w:szCs w:val="20"/>
    </w:rPr>
  </w:style>
  <w:style w:type="character" w:customStyle="1" w:styleId="113">
    <w:name w:val="fontstyle01"/>
    <w:basedOn w:val="33"/>
    <w:qFormat/>
    <w:uiPriority w:val="0"/>
    <w:rPr>
      <w:rFonts w:hint="eastAsia" w:ascii="宋体" w:hAnsi="宋体" w:eastAsia="宋体"/>
      <w:color w:val="000000"/>
      <w:sz w:val="24"/>
      <w:szCs w:val="24"/>
    </w:rPr>
  </w:style>
  <w:style w:type="character" w:customStyle="1" w:styleId="114">
    <w:name w:val="fontstyle21"/>
    <w:basedOn w:val="33"/>
    <w:qFormat/>
    <w:uiPriority w:val="0"/>
    <w:rPr>
      <w:rFonts w:hint="default" w:ascii="Times New Roman" w:hAnsi="Times New Roman" w:cs="Times New Roman"/>
      <w:color w:val="000000"/>
      <w:sz w:val="24"/>
      <w:szCs w:val="24"/>
    </w:rPr>
  </w:style>
  <w:style w:type="paragraph" w:customStyle="1" w:styleId="115">
    <w:name w:val="样式 样式 样式 首行缩进:  2 字符 + 居中 + 行距: 固定值 17 磅"/>
    <w:basedOn w:val="1"/>
    <w:link w:val="116"/>
    <w:qFormat/>
    <w:uiPriority w:val="0"/>
    <w:pPr>
      <w:adjustRightInd w:val="0"/>
      <w:snapToGrid w:val="0"/>
      <w:spacing w:line="340" w:lineRule="exact"/>
      <w:jc w:val="center"/>
      <w:outlineLvl w:val="2"/>
    </w:pPr>
    <w:rPr>
      <w:rFonts w:cs="宋体"/>
      <w:color w:val="000000"/>
      <w:szCs w:val="20"/>
    </w:rPr>
  </w:style>
  <w:style w:type="character" w:customStyle="1" w:styleId="116">
    <w:name w:val="样式 样式 样式 首行缩进:  2 字符 + 居中 + 行距: 固定值 17 磅 Char"/>
    <w:basedOn w:val="33"/>
    <w:link w:val="115"/>
    <w:qFormat/>
    <w:uiPriority w:val="0"/>
    <w:rPr>
      <w:rFonts w:cs="宋体"/>
      <w:color w:val="000000"/>
      <w:kern w:val="2"/>
      <w:sz w:val="21"/>
    </w:rPr>
  </w:style>
  <w:style w:type="paragraph" w:customStyle="1" w:styleId="117">
    <w:name w:val="报告表正文格式"/>
    <w:basedOn w:val="1"/>
    <w:qFormat/>
    <w:uiPriority w:val="0"/>
    <w:pPr>
      <w:tabs>
        <w:tab w:val="center" w:pos="0"/>
      </w:tabs>
      <w:spacing w:line="520" w:lineRule="exact"/>
      <w:ind w:left="0" w:leftChars="0" w:firstLine="640" w:firstLineChars="200"/>
    </w:pPr>
    <w:rPr>
      <w:rFonts w:ascii="Times New Roman" w:hAnsi="Times New Roman" w:eastAsia="宋体"/>
      <w:sz w:val="24"/>
    </w:rPr>
  </w:style>
  <w:style w:type="paragraph" w:customStyle="1" w:styleId="118">
    <w:name w:val="样式 标题 4 + 字距调整四号"/>
    <w:basedOn w:val="6"/>
    <w:qFormat/>
    <w:uiPriority w:val="0"/>
    <w:pPr>
      <w:spacing w:before="0" w:after="0" w:line="520" w:lineRule="exact"/>
    </w:pPr>
    <w:rPr>
      <w:rFonts w:ascii="Times New Roman" w:hAnsi="Times New Roman" w:eastAsia="宋体" w:cs="Times New Roman"/>
      <w:b w:val="0"/>
      <w:kern w:val="28"/>
      <w:sz w:val="24"/>
    </w:rPr>
  </w:style>
  <w:style w:type="paragraph" w:customStyle="1" w:styleId="119">
    <w:name w:val="我的正文"/>
    <w:basedOn w:val="1"/>
    <w:qFormat/>
    <w:uiPriority w:val="0"/>
    <w:pPr>
      <w:widowControl/>
      <w:spacing w:line="360" w:lineRule="auto"/>
      <w:ind w:firstLine="200" w:firstLineChars="200"/>
      <w:jc w:val="left"/>
    </w:pPr>
    <w:rPr>
      <w:color w:val="000000"/>
      <w:sz w:val="24"/>
    </w:rPr>
  </w:style>
  <w:style w:type="character" w:customStyle="1" w:styleId="120">
    <w:name w:val="fontstyle11"/>
    <w:basedOn w:val="33"/>
    <w:qFormat/>
    <w:uiPriority w:val="0"/>
    <w:rPr>
      <w:rFonts w:hint="eastAsia" w:ascii="宋体" w:hAnsi="宋体" w:eastAsia="宋体" w:cs="宋体"/>
      <w:color w:val="000000"/>
      <w:sz w:val="22"/>
      <w:szCs w:val="22"/>
    </w:rPr>
  </w:style>
  <w:style w:type="paragraph" w:customStyle="1" w:styleId="121">
    <w:name w:val="表格、图标文字"/>
    <w:basedOn w:val="1"/>
    <w:qFormat/>
    <w:uiPriority w:val="0"/>
    <w:pPr>
      <w:widowControl w:val="0"/>
      <w:adjustRightInd w:val="0"/>
      <w:snapToGrid w:val="0"/>
      <w:spacing w:line="360" w:lineRule="exact"/>
      <w:jc w:val="center"/>
    </w:pPr>
    <w:rPr>
      <w:sz w:val="21"/>
      <w:szCs w:val="24"/>
    </w:rPr>
  </w:style>
  <w:style w:type="paragraph" w:customStyle="1" w:styleId="122">
    <w:name w:val="无间隔1"/>
    <w:basedOn w:val="1"/>
    <w:next w:val="22"/>
    <w:qFormat/>
    <w:uiPriority w:val="0"/>
    <w:pPr>
      <w:jc w:val="center"/>
    </w:pPr>
    <w:rPr>
      <w:sz w:val="21"/>
      <w:szCs w:val="22"/>
    </w:rPr>
  </w:style>
  <w:style w:type="paragraph" w:customStyle="1" w:styleId="123">
    <w:name w:val="正文格式"/>
    <w:basedOn w:val="1"/>
    <w:qFormat/>
    <w:uiPriority w:val="0"/>
    <w:pPr>
      <w:spacing w:line="360" w:lineRule="auto"/>
      <w:ind w:firstLine="544" w:firstLineChars="200"/>
    </w:pPr>
    <w:rPr>
      <w:rFonts w:ascii="宋体" w:hAnsi="宋体" w:cs="宋体"/>
      <w:sz w:val="24"/>
      <w:szCs w:val="24"/>
    </w:rPr>
  </w:style>
  <w:style w:type="paragraph" w:customStyle="1" w:styleId="124">
    <w:name w:val="TableStyle12"/>
    <w:basedOn w:val="1"/>
    <w:qFormat/>
    <w:uiPriority w:val="0"/>
    <w:pPr>
      <w:jc w:val="center"/>
    </w:pPr>
    <w:rPr>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wmf"/><Relationship Id="rId7" Type="http://schemas.openxmlformats.org/officeDocument/2006/relationships/oleObject" Target="embeddings/oleObject1.bin"/><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2F19041-89A5-4AD3-BFC3-52E93E32C1D7}">
  <ds:schemaRefs/>
</ds:datastoreItem>
</file>

<file path=docProps/app.xml><?xml version="1.0" encoding="utf-8"?>
<Properties xmlns="http://schemas.openxmlformats.org/officeDocument/2006/extended-properties" xmlns:vt="http://schemas.openxmlformats.org/officeDocument/2006/docPropsVTypes">
  <Template>Normal</Template>
  <Company>Microsoft China</Company>
  <Pages>55</Pages>
  <Words>31065</Words>
  <Characters>36606</Characters>
  <Lines>329</Lines>
  <Paragraphs>92</Paragraphs>
  <TotalTime>1</TotalTime>
  <ScaleCrop>false</ScaleCrop>
  <LinksUpToDate>false</LinksUpToDate>
  <CharactersWithSpaces>37057</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2018-11-20T07:47:00Z</dcterms:created>
  <dc:creator>软件仓库</dc:creator>
  <cp:lastModifiedBy>Anla_CG</cp:lastModifiedBy>
  <cp:lastPrinted>2020-03-09T04:02:00Z</cp:lastPrinted>
  <dcterms:modified xsi:type="dcterms:W3CDTF">2020-06-28T14:53:48Z</dcterms:modified>
  <dc:title>建设项目环境影响报告表</dc:title>
  <cp:revision>1836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