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72"/>
          <w:szCs w:val="72"/>
        </w:rPr>
      </w:pPr>
      <w:r>
        <w:rPr>
          <w:sz w:val="72"/>
          <w:szCs w:val="72"/>
        </w:rPr>
        <w:t xml:space="preserve"> </w:t>
      </w:r>
    </w:p>
    <w:p>
      <w:pPr>
        <w:jc w:val="center"/>
        <w:rPr>
          <w:rFonts w:hint="eastAsia" w:eastAsia="宋体"/>
          <w:sz w:val="72"/>
          <w:szCs w:val="72"/>
          <w:lang w:val="en-US" w:eastAsia="zh-CN"/>
        </w:rPr>
      </w:pPr>
      <w:r>
        <w:rPr>
          <w:rFonts w:hint="eastAsia"/>
          <w:sz w:val="72"/>
          <w:szCs w:val="72"/>
          <w:lang w:val="en-US" w:eastAsia="zh-CN"/>
        </w:rPr>
        <w:t xml:space="preserve"> </w:t>
      </w:r>
    </w:p>
    <w:p>
      <w:pPr>
        <w:jc w:val="center"/>
        <w:rPr>
          <w:sz w:val="72"/>
          <w:szCs w:val="72"/>
        </w:rPr>
      </w:pPr>
      <w:r>
        <w:rPr>
          <w:sz w:val="72"/>
          <w:szCs w:val="72"/>
        </w:rPr>
        <w:t xml:space="preserve"> </w:t>
      </w:r>
    </w:p>
    <w:p>
      <w:pPr>
        <w:jc w:val="center"/>
        <w:rPr>
          <w:b/>
          <w:sz w:val="72"/>
          <w:szCs w:val="72"/>
        </w:rPr>
      </w:pPr>
      <w:r>
        <w:rPr>
          <w:b/>
          <w:sz w:val="72"/>
          <w:szCs w:val="72"/>
        </w:rPr>
        <w:t>建设项目环境影响报告表</w:t>
      </w:r>
    </w:p>
    <w:p>
      <w:pPr>
        <w:jc w:val="center"/>
        <w:rPr>
          <w:sz w:val="36"/>
          <w:szCs w:val="36"/>
        </w:rPr>
      </w:pPr>
      <w:r>
        <w:rPr>
          <w:sz w:val="36"/>
          <w:szCs w:val="36"/>
        </w:rPr>
        <w:t>（</w:t>
      </w:r>
      <w:r>
        <w:rPr>
          <w:rFonts w:hint="eastAsia"/>
          <w:sz w:val="36"/>
          <w:szCs w:val="36"/>
          <w:lang w:eastAsia="zh-CN"/>
        </w:rPr>
        <w:t>送</w:t>
      </w:r>
      <w:r>
        <w:rPr>
          <w:rFonts w:hint="eastAsia"/>
          <w:sz w:val="36"/>
          <w:szCs w:val="36"/>
          <w:lang w:val="en-US" w:eastAsia="zh-CN"/>
        </w:rPr>
        <w:t xml:space="preserve"> 审 版</w:t>
      </w:r>
      <w:r>
        <w:rPr>
          <w:sz w:val="36"/>
          <w:szCs w:val="36"/>
        </w:rPr>
        <w:t>）</w:t>
      </w:r>
    </w:p>
    <w:p>
      <w:pPr>
        <w:jc w:val="center"/>
      </w:pPr>
    </w:p>
    <w:p>
      <w:pPr>
        <w:jc w:val="center"/>
      </w:pPr>
    </w:p>
    <w:p>
      <w:pPr>
        <w:jc w:val="center"/>
      </w:pPr>
    </w:p>
    <w:p>
      <w:pPr>
        <w:jc w:val="center"/>
      </w:pPr>
    </w:p>
    <w:p>
      <w:pPr>
        <w:jc w:val="center"/>
      </w:pPr>
    </w:p>
    <w:p>
      <w:pPr>
        <w:jc w:val="center"/>
      </w:pPr>
    </w:p>
    <w:p>
      <w:pPr>
        <w:jc w:val="center"/>
      </w:pPr>
    </w:p>
    <w:p>
      <w:pPr>
        <w:jc w:val="center"/>
        <w:rPr>
          <w:sz w:val="36"/>
          <w:szCs w:val="36"/>
        </w:rPr>
      </w:pPr>
    </w:p>
    <w:p>
      <w:pPr>
        <w:jc w:val="center"/>
        <w:rPr>
          <w:sz w:val="36"/>
          <w:szCs w:val="36"/>
        </w:rPr>
      </w:pPr>
    </w:p>
    <w:p>
      <w:pPr>
        <w:keepNext w:val="0"/>
        <w:keepLines w:val="0"/>
        <w:widowControl/>
        <w:suppressLineNumbers w:val="0"/>
        <w:jc w:val="left"/>
        <w:rPr>
          <w:rFonts w:hint="eastAsia"/>
          <w:sz w:val="36"/>
          <w:szCs w:val="36"/>
          <w:u w:val="single"/>
        </w:rPr>
      </w:pPr>
      <w:r>
        <w:rPr>
          <w:sz w:val="36"/>
          <w:szCs w:val="36"/>
        </w:rPr>
        <w:t>项</w:t>
      </w:r>
      <w:r>
        <w:rPr>
          <w:rFonts w:hint="eastAsia"/>
          <w:sz w:val="36"/>
          <w:szCs w:val="36"/>
          <w:lang w:val="en-US" w:eastAsia="zh-CN"/>
        </w:rPr>
        <w:t xml:space="preserve"> </w:t>
      </w:r>
      <w:r>
        <w:rPr>
          <w:sz w:val="36"/>
          <w:szCs w:val="36"/>
        </w:rPr>
        <w:t>目</w:t>
      </w:r>
      <w:r>
        <w:rPr>
          <w:rFonts w:hint="eastAsia"/>
          <w:sz w:val="36"/>
          <w:szCs w:val="36"/>
          <w:lang w:val="en-US" w:eastAsia="zh-CN"/>
        </w:rPr>
        <w:t xml:space="preserve"> </w:t>
      </w:r>
      <w:r>
        <w:rPr>
          <w:sz w:val="36"/>
          <w:szCs w:val="36"/>
        </w:rPr>
        <w:t>名</w:t>
      </w:r>
      <w:r>
        <w:rPr>
          <w:rFonts w:hint="eastAsia"/>
          <w:sz w:val="36"/>
          <w:szCs w:val="36"/>
          <w:lang w:val="en-US" w:eastAsia="zh-CN"/>
        </w:rPr>
        <w:t xml:space="preserve"> </w:t>
      </w:r>
      <w:r>
        <w:rPr>
          <w:sz w:val="36"/>
          <w:szCs w:val="36"/>
        </w:rPr>
        <w:t>称：</w:t>
      </w:r>
      <w:r>
        <w:rPr>
          <w:rFonts w:hint="eastAsia"/>
          <w:sz w:val="36"/>
          <w:szCs w:val="36"/>
          <w:u w:val="single"/>
          <w:lang w:val="en-US" w:eastAsia="zh-CN"/>
        </w:rPr>
        <w:t xml:space="preserve">      </w:t>
      </w:r>
      <w:r>
        <w:rPr>
          <w:rFonts w:hint="eastAsia" w:ascii="宋体" w:hAnsi="宋体" w:cs="宋体"/>
          <w:color w:val="000000"/>
          <w:kern w:val="0"/>
          <w:sz w:val="36"/>
          <w:szCs w:val="36"/>
          <w:u w:val="single"/>
          <w:lang w:val="en-US" w:eastAsia="zh-CN" w:bidi="ar"/>
        </w:rPr>
        <w:t xml:space="preserve">年产300吨速冻食品项目    </w:t>
      </w:r>
      <w:r>
        <w:rPr>
          <w:rFonts w:hint="eastAsia" w:ascii="宋体" w:hAnsi="宋体" w:eastAsia="宋体" w:cs="宋体"/>
          <w:color w:val="000000"/>
          <w:kern w:val="0"/>
          <w:sz w:val="30"/>
          <w:szCs w:val="30"/>
          <w:u w:val="single"/>
          <w:lang w:val="en-US" w:eastAsia="zh-CN" w:bidi="ar"/>
        </w:rPr>
        <w:t xml:space="preserve"> </w:t>
      </w:r>
      <w:r>
        <w:rPr>
          <w:rFonts w:hint="eastAsia"/>
          <w:sz w:val="36"/>
          <w:szCs w:val="36"/>
          <w:u w:val="single"/>
          <w:lang w:val="en-US" w:eastAsia="zh-CN"/>
        </w:rPr>
        <w:t xml:space="preserve"> </w:t>
      </w:r>
    </w:p>
    <w:p>
      <w:pPr>
        <w:keepNext w:val="0"/>
        <w:keepLines w:val="0"/>
        <w:widowControl/>
        <w:suppressLineNumbers w:val="0"/>
        <w:jc w:val="left"/>
        <w:rPr>
          <w:rFonts w:hint="default" w:eastAsia="宋体"/>
          <w:position w:val="-2"/>
          <w:sz w:val="36"/>
          <w:szCs w:val="36"/>
          <w:u w:val="single"/>
          <w:lang w:val="en-US" w:eastAsia="zh-CN"/>
        </w:rPr>
      </w:pPr>
      <w:r>
        <w:rPr>
          <w:position w:val="-2"/>
          <w:sz w:val="36"/>
          <w:szCs w:val="36"/>
        </w:rPr>
        <w:t>建设单位（盖章）：</w:t>
      </w:r>
      <w:r>
        <w:rPr>
          <w:rFonts w:hint="eastAsia"/>
          <w:sz w:val="32"/>
          <w:szCs w:val="32"/>
          <w:u w:val="single"/>
        </w:rPr>
        <w:t xml:space="preserve"> </w:t>
      </w:r>
      <w:r>
        <w:rPr>
          <w:rFonts w:hint="eastAsia"/>
          <w:sz w:val="36"/>
          <w:szCs w:val="36"/>
          <w:u w:val="single"/>
          <w:lang w:val="en-US" w:eastAsia="zh-CN"/>
        </w:rPr>
        <w:t xml:space="preserve">   </w:t>
      </w:r>
      <w:r>
        <w:rPr>
          <w:rFonts w:hint="eastAsia" w:ascii="宋体" w:hAnsi="宋体" w:cs="宋体"/>
          <w:color w:val="000000"/>
          <w:kern w:val="0"/>
          <w:sz w:val="36"/>
          <w:szCs w:val="36"/>
          <w:u w:val="single"/>
          <w:lang w:val="en-US" w:eastAsia="zh-CN" w:bidi="ar"/>
        </w:rPr>
        <w:t>济源市明源食品厂</w:t>
      </w:r>
      <w:r>
        <w:rPr>
          <w:rFonts w:hint="eastAsia" w:ascii="宋体" w:hAnsi="宋体" w:eastAsia="宋体" w:cs="宋体"/>
          <w:color w:val="000000"/>
          <w:kern w:val="0"/>
          <w:sz w:val="36"/>
          <w:szCs w:val="36"/>
          <w:u w:val="single"/>
          <w:lang w:val="en-US" w:eastAsia="zh-CN" w:bidi="ar"/>
        </w:rPr>
        <w:t xml:space="preserve"> </w:t>
      </w:r>
      <w:r>
        <w:rPr>
          <w:rFonts w:hint="eastAsia"/>
          <w:sz w:val="36"/>
          <w:szCs w:val="36"/>
          <w:u w:val="single"/>
        </w:rPr>
        <w:t xml:space="preserve">  </w:t>
      </w:r>
      <w:r>
        <w:rPr>
          <w:rFonts w:hint="eastAsia"/>
          <w:sz w:val="36"/>
          <w:szCs w:val="36"/>
          <w:u w:val="single"/>
          <w:lang w:val="en-US" w:eastAsia="zh-CN"/>
        </w:rPr>
        <w:t xml:space="preserve">     </w:t>
      </w:r>
    </w:p>
    <w:p>
      <w:pPr>
        <w:jc w:val="center"/>
        <w:rPr>
          <w:sz w:val="36"/>
          <w:szCs w:val="36"/>
        </w:rPr>
      </w:pPr>
    </w:p>
    <w:p>
      <w:pPr>
        <w:rPr>
          <w:rFonts w:hint="eastAsia"/>
          <w:sz w:val="36"/>
          <w:szCs w:val="36"/>
          <w:lang w:val="en-US" w:eastAsia="zh-CN"/>
        </w:rPr>
      </w:pPr>
      <w:r>
        <w:rPr>
          <w:rFonts w:hint="eastAsia"/>
          <w:sz w:val="36"/>
          <w:szCs w:val="36"/>
          <w:lang w:val="en-US" w:eastAsia="zh-CN"/>
        </w:rPr>
        <w:t xml:space="preserve"> </w:t>
      </w:r>
    </w:p>
    <w:p>
      <w:pPr>
        <w:pStyle w:val="2"/>
        <w:rPr>
          <w:rFonts w:hint="eastAsia"/>
          <w:sz w:val="36"/>
          <w:szCs w:val="36"/>
          <w:lang w:val="en-US" w:eastAsia="zh-CN"/>
        </w:rPr>
      </w:pPr>
    </w:p>
    <w:p>
      <w:pPr>
        <w:rPr>
          <w:rFonts w:hint="eastAsia"/>
          <w:sz w:val="36"/>
          <w:szCs w:val="36"/>
        </w:rPr>
      </w:pPr>
    </w:p>
    <w:p>
      <w:pPr>
        <w:jc w:val="center"/>
        <w:rPr>
          <w:sz w:val="36"/>
          <w:szCs w:val="36"/>
        </w:rPr>
      </w:pPr>
      <w:r>
        <w:rPr>
          <w:sz w:val="36"/>
          <w:szCs w:val="36"/>
        </w:rPr>
        <w:t>编制日期：20</w:t>
      </w:r>
      <w:r>
        <w:rPr>
          <w:rFonts w:hint="eastAsia"/>
          <w:sz w:val="36"/>
          <w:szCs w:val="36"/>
          <w:lang w:val="en-US" w:eastAsia="zh-CN"/>
        </w:rPr>
        <w:t>20</w:t>
      </w:r>
      <w:r>
        <w:rPr>
          <w:sz w:val="36"/>
          <w:szCs w:val="36"/>
        </w:rPr>
        <w:t>年</w:t>
      </w:r>
      <w:r>
        <w:rPr>
          <w:rFonts w:hint="eastAsia"/>
          <w:sz w:val="36"/>
          <w:szCs w:val="36"/>
          <w:lang w:val="en-US" w:eastAsia="zh-CN"/>
        </w:rPr>
        <w:t>4</w:t>
      </w:r>
      <w:r>
        <w:rPr>
          <w:sz w:val="36"/>
          <w:szCs w:val="36"/>
        </w:rPr>
        <w:t>月</w:t>
      </w:r>
    </w:p>
    <w:p>
      <w:pPr>
        <w:widowControl/>
        <w:spacing w:line="700" w:lineRule="exact"/>
        <w:jc w:val="center"/>
        <w:outlineLvl w:val="0"/>
        <w:rPr>
          <w:sz w:val="36"/>
          <w:szCs w:val="36"/>
        </w:rPr>
      </w:pPr>
      <w:r>
        <w:rPr>
          <w:rFonts w:hint="eastAsia"/>
          <w:sz w:val="36"/>
          <w:szCs w:val="36"/>
        </w:rPr>
        <w:t>国家</w:t>
      </w:r>
      <w:r>
        <w:rPr>
          <w:sz w:val="36"/>
          <w:szCs w:val="36"/>
        </w:rPr>
        <w:t>环境保护</w:t>
      </w:r>
      <w:r>
        <w:rPr>
          <w:rFonts w:hint="eastAsia"/>
          <w:sz w:val="36"/>
          <w:szCs w:val="36"/>
        </w:rPr>
        <w:t>部</w:t>
      </w:r>
      <w:r>
        <w:rPr>
          <w:sz w:val="36"/>
          <w:szCs w:val="36"/>
        </w:rPr>
        <w:t>制</w:t>
      </w:r>
    </w:p>
    <w:p>
      <w:pPr>
        <w:widowControl/>
        <w:spacing w:line="700" w:lineRule="exact"/>
        <w:jc w:val="center"/>
        <w:outlineLvl w:val="0"/>
        <w:rPr>
          <w:b/>
          <w:kern w:val="0"/>
          <w:sz w:val="30"/>
          <w:szCs w:val="2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widowControl/>
        <w:spacing w:line="700" w:lineRule="exact"/>
        <w:jc w:val="center"/>
        <w:outlineLvl w:val="0"/>
        <w:rPr>
          <w:b/>
          <w:kern w:val="0"/>
          <w:sz w:val="30"/>
          <w:szCs w:val="20"/>
        </w:rPr>
      </w:pPr>
      <w:r>
        <w:rPr>
          <w:b/>
          <w:kern w:val="0"/>
          <w:sz w:val="30"/>
          <w:szCs w:val="20"/>
        </w:rPr>
        <w:t>《建设项目环境影响报告表》编制说明</w:t>
      </w:r>
    </w:p>
    <w:p>
      <w:pPr>
        <w:widowControl/>
        <w:spacing w:line="700" w:lineRule="exact"/>
        <w:jc w:val="left"/>
        <w:rPr>
          <w:kern w:val="0"/>
          <w:sz w:val="28"/>
          <w:szCs w:val="20"/>
        </w:rPr>
      </w:pPr>
    </w:p>
    <w:p>
      <w:pPr>
        <w:widowControl/>
        <w:spacing w:line="700" w:lineRule="exact"/>
        <w:jc w:val="left"/>
        <w:rPr>
          <w:kern w:val="0"/>
          <w:sz w:val="24"/>
          <w:szCs w:val="20"/>
        </w:rPr>
      </w:pPr>
      <w:r>
        <w:rPr>
          <w:kern w:val="0"/>
          <w:sz w:val="28"/>
          <w:szCs w:val="20"/>
        </w:rPr>
        <w:t xml:space="preserve"> </w:t>
      </w:r>
      <w:r>
        <w:rPr>
          <w:kern w:val="0"/>
          <w:sz w:val="24"/>
          <w:szCs w:val="20"/>
        </w:rPr>
        <w:t xml:space="preserve">  《建设项目环境影响报告表》由具有从事环境影响评价工作资质的单位编制。</w:t>
      </w:r>
    </w:p>
    <w:p>
      <w:pPr>
        <w:widowControl/>
        <w:spacing w:line="700" w:lineRule="exact"/>
        <w:jc w:val="left"/>
        <w:rPr>
          <w:kern w:val="0"/>
          <w:sz w:val="24"/>
          <w:szCs w:val="20"/>
        </w:rPr>
      </w:pPr>
      <w:r>
        <w:rPr>
          <w:kern w:val="0"/>
          <w:sz w:val="24"/>
          <w:szCs w:val="20"/>
        </w:rPr>
        <w:t xml:space="preserve">    1、项目名称——指项目立项批复时的名称，应不超过30个字（两个英文字段作一个汉字）。</w:t>
      </w:r>
    </w:p>
    <w:p>
      <w:pPr>
        <w:widowControl/>
        <w:spacing w:line="700" w:lineRule="exact"/>
        <w:ind w:firstLine="570"/>
        <w:jc w:val="left"/>
        <w:rPr>
          <w:kern w:val="0"/>
          <w:sz w:val="24"/>
          <w:szCs w:val="20"/>
        </w:rPr>
      </w:pPr>
      <w:r>
        <w:rPr>
          <w:kern w:val="0"/>
          <w:sz w:val="24"/>
          <w:szCs w:val="20"/>
        </w:rPr>
        <w:t>2、建设地点——指项目所在地详细地址，公路、铁路应填写起止地点。</w:t>
      </w:r>
    </w:p>
    <w:p>
      <w:pPr>
        <w:widowControl/>
        <w:spacing w:line="700" w:lineRule="exact"/>
        <w:ind w:firstLine="570"/>
        <w:jc w:val="left"/>
        <w:rPr>
          <w:kern w:val="0"/>
          <w:sz w:val="24"/>
          <w:szCs w:val="20"/>
        </w:rPr>
      </w:pPr>
      <w:r>
        <w:rPr>
          <w:kern w:val="0"/>
          <w:sz w:val="24"/>
          <w:szCs w:val="20"/>
        </w:rPr>
        <w:t>3、行业类别——按国标填写。</w:t>
      </w:r>
    </w:p>
    <w:p>
      <w:pPr>
        <w:widowControl/>
        <w:spacing w:line="700" w:lineRule="exact"/>
        <w:ind w:firstLine="570"/>
        <w:jc w:val="left"/>
        <w:rPr>
          <w:kern w:val="0"/>
          <w:sz w:val="24"/>
          <w:szCs w:val="20"/>
        </w:rPr>
      </w:pPr>
      <w:r>
        <w:rPr>
          <w:kern w:val="0"/>
          <w:sz w:val="24"/>
          <w:szCs w:val="20"/>
        </w:rPr>
        <w:t>4、总投资——指项目投资总额。</w:t>
      </w:r>
    </w:p>
    <w:p>
      <w:pPr>
        <w:widowControl/>
        <w:spacing w:line="700" w:lineRule="exact"/>
        <w:ind w:firstLine="570"/>
        <w:jc w:val="left"/>
        <w:rPr>
          <w:kern w:val="0"/>
          <w:sz w:val="24"/>
          <w:szCs w:val="20"/>
        </w:rPr>
      </w:pPr>
      <w:r>
        <w:rPr>
          <w:kern w:val="0"/>
          <w:sz w:val="24"/>
          <w:szCs w:val="20"/>
        </w:rPr>
        <w:t>5、主要环境保护目标——指项目区周围一定范围内集中居民住宅区、学校、医院、保护文物、风景名胜区、水源地和生态敏感点等，应尽可能给出保护目标、性质、规模和距厂界距离等。</w:t>
      </w:r>
    </w:p>
    <w:p>
      <w:pPr>
        <w:widowControl/>
        <w:spacing w:line="700" w:lineRule="exact"/>
        <w:ind w:firstLine="570"/>
        <w:jc w:val="left"/>
        <w:rPr>
          <w:kern w:val="0"/>
          <w:sz w:val="24"/>
          <w:szCs w:val="20"/>
        </w:rPr>
      </w:pPr>
      <w:r>
        <w:rPr>
          <w:kern w:val="0"/>
          <w:sz w:val="24"/>
          <w:szCs w:val="20"/>
        </w:rPr>
        <w:t>6、结论与建议——给出本项目清洁生产、达标排放和总量控制的</w:t>
      </w:r>
      <w:r>
        <w:fldChar w:fldCharType="begin"/>
      </w:r>
      <w:r>
        <w:instrText xml:space="preserve"> HYPERLINK "http://www.cnjlc.com/bbs/index.asp?boardid=31" </w:instrText>
      </w:r>
      <w:r>
        <w:fldChar w:fldCharType="separate"/>
      </w:r>
      <w:r>
        <w:rPr>
          <w:kern w:val="0"/>
          <w:sz w:val="24"/>
        </w:rPr>
        <w:t>分析</w:t>
      </w:r>
      <w:r>
        <w:rPr>
          <w:kern w:val="0"/>
          <w:sz w:val="24"/>
        </w:rPr>
        <w:fldChar w:fldCharType="end"/>
      </w:r>
      <w:r>
        <w:rPr>
          <w:kern w:val="0"/>
          <w:sz w:val="24"/>
          <w:szCs w:val="20"/>
        </w:rPr>
        <w:t>结论，确定</w:t>
      </w:r>
      <w:r>
        <w:fldChar w:fldCharType="begin"/>
      </w:r>
      <w:r>
        <w:instrText xml:space="preserve"> HYPERLINK "http://www.cnjlc.com/bbs/index.asp" </w:instrText>
      </w:r>
      <w:r>
        <w:fldChar w:fldCharType="separate"/>
      </w:r>
      <w:r>
        <w:rPr>
          <w:kern w:val="0"/>
          <w:sz w:val="24"/>
        </w:rPr>
        <w:t>污染</w:t>
      </w:r>
      <w:r>
        <w:rPr>
          <w:kern w:val="0"/>
          <w:sz w:val="24"/>
        </w:rPr>
        <w:fldChar w:fldCharType="end"/>
      </w:r>
      <w:r>
        <w:rPr>
          <w:kern w:val="0"/>
          <w:sz w:val="24"/>
          <w:szCs w:val="20"/>
        </w:rPr>
        <w:t>防治措施的有效性，说明本项目对环境造成的影响，给出建设项目环境可行性的明确结论。同时提出减少环境影响的其他建议。</w:t>
      </w:r>
    </w:p>
    <w:p>
      <w:pPr>
        <w:widowControl/>
        <w:spacing w:line="700" w:lineRule="exact"/>
        <w:ind w:firstLine="570"/>
        <w:jc w:val="left"/>
        <w:rPr>
          <w:kern w:val="0"/>
          <w:sz w:val="24"/>
          <w:szCs w:val="20"/>
        </w:rPr>
      </w:pPr>
      <w:r>
        <w:rPr>
          <w:kern w:val="0"/>
          <w:sz w:val="24"/>
          <w:szCs w:val="20"/>
        </w:rPr>
        <w:t>7、预审意见——由行业主管部门填写答复意见，无主管部门项目，可不填。</w:t>
      </w:r>
    </w:p>
    <w:p>
      <w:pPr>
        <w:widowControl/>
        <w:spacing w:line="700" w:lineRule="exact"/>
        <w:ind w:firstLine="570"/>
        <w:jc w:val="left"/>
        <w:rPr>
          <w:kern w:val="0"/>
          <w:sz w:val="24"/>
          <w:szCs w:val="20"/>
        </w:rPr>
      </w:pPr>
      <w:r>
        <w:rPr>
          <w:kern w:val="0"/>
          <w:sz w:val="24"/>
          <w:szCs w:val="20"/>
        </w:rPr>
        <w:t>8、审批意见——由负责审批该项目的环境保护行政主管部门批复。</w:t>
      </w:r>
    </w:p>
    <w:p>
      <w:pPr>
        <w:widowControl/>
        <w:spacing w:line="700" w:lineRule="exact"/>
        <w:jc w:val="left"/>
        <w:rPr>
          <w:kern w:val="0"/>
          <w:sz w:val="28"/>
          <w:szCs w:val="20"/>
        </w:rPr>
      </w:pPr>
    </w:p>
    <w:p>
      <w:pPr>
        <w:widowControl/>
        <w:spacing w:line="700" w:lineRule="exact"/>
        <w:jc w:val="left"/>
        <w:rPr>
          <w:kern w:val="0"/>
          <w:sz w:val="28"/>
          <w:szCs w:val="20"/>
        </w:rPr>
      </w:pPr>
    </w:p>
    <w:p>
      <w:pPr>
        <w:rPr>
          <w:rFonts w:eastAsia="黑体"/>
          <w:sz w:val="32"/>
          <w:szCs w:val="32"/>
        </w:rPr>
      </w:pPr>
    </w:p>
    <w:p>
      <w:pPr>
        <w:pStyle w:val="2"/>
      </w:pPr>
    </w:p>
    <w:p>
      <w:pPr>
        <w:spacing w:line="440" w:lineRule="exact"/>
        <w:rPr>
          <w:rFonts w:eastAsia="黑体"/>
          <w:sz w:val="32"/>
          <w:szCs w:val="32"/>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spacing w:line="440" w:lineRule="exact"/>
        <w:rPr>
          <w:rFonts w:eastAsia="黑体"/>
          <w:sz w:val="32"/>
          <w:szCs w:val="32"/>
        </w:rPr>
      </w:pPr>
      <w:r>
        <w:rPr>
          <w:rFonts w:eastAsia="黑体"/>
          <w:sz w:val="32"/>
          <w:szCs w:val="32"/>
        </w:rPr>
        <w:t>建设项目基本情况</w:t>
      </w:r>
    </w:p>
    <w:tbl>
      <w:tblPr>
        <w:tblStyle w:val="12"/>
        <w:tblW w:w="978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73"/>
        <w:gridCol w:w="1758"/>
        <w:gridCol w:w="1697"/>
        <w:gridCol w:w="1341"/>
        <w:gridCol w:w="1856"/>
        <w:gridCol w:w="121"/>
        <w:gridCol w:w="10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73"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项目名称</w:t>
            </w:r>
          </w:p>
        </w:tc>
        <w:tc>
          <w:tcPr>
            <w:tcW w:w="7808" w:type="dxa"/>
            <w:gridSpan w:val="6"/>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eastAsia="宋体"/>
                <w:sz w:val="24"/>
                <w:szCs w:val="24"/>
                <w:lang w:val="en-US" w:eastAsia="zh-CN"/>
              </w:rPr>
            </w:pPr>
            <w:r>
              <w:rPr>
                <w:rFonts w:hint="default" w:ascii="Times New Roman" w:hAnsi="Times New Roman" w:cs="Times New Roman"/>
                <w:color w:val="000000"/>
                <w:kern w:val="0"/>
                <w:sz w:val="24"/>
                <w:szCs w:val="24"/>
                <w:lang w:val="en-US" w:eastAsia="zh-CN" w:bidi="ar"/>
              </w:rPr>
              <w:t>年产300吨速冻食品项目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73"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建设单位</w:t>
            </w:r>
          </w:p>
        </w:tc>
        <w:tc>
          <w:tcPr>
            <w:tcW w:w="7808" w:type="dxa"/>
            <w:gridSpan w:val="6"/>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eastAsia="宋体"/>
                <w:sz w:val="24"/>
                <w:szCs w:val="24"/>
                <w:lang w:eastAsia="zh-CN"/>
              </w:rPr>
            </w:pPr>
            <w:r>
              <w:rPr>
                <w:rFonts w:hint="eastAsia"/>
                <w:sz w:val="24"/>
                <w:szCs w:val="24"/>
                <w:lang w:eastAsia="zh-CN"/>
              </w:rPr>
              <w:t>济源市明源食品厂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73"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法人代表</w:t>
            </w:r>
          </w:p>
        </w:tc>
        <w:tc>
          <w:tcPr>
            <w:tcW w:w="3455" w:type="dxa"/>
            <w:gridSpan w:val="2"/>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eastAsia="宋体"/>
                <w:sz w:val="24"/>
                <w:szCs w:val="24"/>
                <w:lang w:eastAsia="zh-CN"/>
              </w:rPr>
            </w:pPr>
            <w:r>
              <w:rPr>
                <w:rFonts w:hint="eastAsia"/>
                <w:sz w:val="24"/>
                <w:szCs w:val="24"/>
                <w:lang w:eastAsia="zh-CN"/>
              </w:rPr>
              <w:t>李明元</w:t>
            </w:r>
          </w:p>
        </w:tc>
        <w:tc>
          <w:tcPr>
            <w:tcW w:w="134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联系人</w:t>
            </w:r>
          </w:p>
        </w:tc>
        <w:tc>
          <w:tcPr>
            <w:tcW w:w="3012" w:type="dxa"/>
            <w:gridSpan w:val="3"/>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eastAsia="宋体"/>
                <w:sz w:val="24"/>
                <w:szCs w:val="24"/>
                <w:lang w:eastAsia="zh-CN"/>
              </w:rPr>
            </w:pPr>
            <w:r>
              <w:rPr>
                <w:rFonts w:hint="eastAsia"/>
                <w:sz w:val="24"/>
                <w:szCs w:val="24"/>
                <w:lang w:eastAsia="zh-CN"/>
              </w:rPr>
              <w:t>李明元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73"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通讯地址</w:t>
            </w:r>
          </w:p>
        </w:tc>
        <w:tc>
          <w:tcPr>
            <w:tcW w:w="7808" w:type="dxa"/>
            <w:gridSpan w:val="6"/>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eastAsia="宋体"/>
                <w:sz w:val="24"/>
                <w:szCs w:val="24"/>
                <w:lang w:eastAsia="zh-CN"/>
              </w:rPr>
            </w:pPr>
            <w:r>
              <w:rPr>
                <w:rFonts w:hint="eastAsia"/>
                <w:sz w:val="24"/>
                <w:szCs w:val="24"/>
                <w:lang w:eastAsia="zh-CN"/>
              </w:rPr>
              <w:t>济源市思礼镇涧南庄村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73"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联系电话</w:t>
            </w:r>
          </w:p>
        </w:tc>
        <w:tc>
          <w:tcPr>
            <w:tcW w:w="1758"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eastAsia="宋体"/>
                <w:sz w:val="24"/>
                <w:szCs w:val="24"/>
                <w:lang w:val="en-US" w:eastAsia="zh-CN"/>
              </w:rPr>
            </w:pPr>
            <w:r>
              <w:rPr>
                <w:rFonts w:hint="eastAsia"/>
                <w:sz w:val="24"/>
                <w:szCs w:val="24"/>
                <w:lang w:val="en-US" w:eastAsia="zh-CN"/>
              </w:rPr>
              <w:t>13203922578</w:t>
            </w:r>
          </w:p>
        </w:tc>
        <w:tc>
          <w:tcPr>
            <w:tcW w:w="1697"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传  真</w:t>
            </w:r>
          </w:p>
        </w:tc>
        <w:tc>
          <w:tcPr>
            <w:tcW w:w="134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eastAsia="宋体"/>
                <w:sz w:val="24"/>
                <w:szCs w:val="24"/>
                <w:lang w:val="en-US" w:eastAsia="zh-CN"/>
              </w:rPr>
            </w:pPr>
            <w:r>
              <w:rPr>
                <w:rFonts w:hint="eastAsia"/>
                <w:sz w:val="24"/>
                <w:szCs w:val="24"/>
                <w:lang w:val="en-US" w:eastAsia="zh-CN"/>
              </w:rPr>
              <w:t>/</w:t>
            </w:r>
          </w:p>
        </w:tc>
        <w:tc>
          <w:tcPr>
            <w:tcW w:w="1856"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邮政编码</w:t>
            </w:r>
          </w:p>
        </w:tc>
        <w:tc>
          <w:tcPr>
            <w:tcW w:w="1156" w:type="dxa"/>
            <w:gridSpan w:val="2"/>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45</w:t>
            </w:r>
            <w:r>
              <w:rPr>
                <w:rFonts w:hint="eastAsia"/>
                <w:sz w:val="24"/>
                <w:szCs w:val="24"/>
              </w:rPr>
              <w:t>900</w:t>
            </w:r>
            <w:r>
              <w:rPr>
                <w:sz w:val="24"/>
                <w:szCs w:val="24"/>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73"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建设地点</w:t>
            </w:r>
          </w:p>
        </w:tc>
        <w:tc>
          <w:tcPr>
            <w:tcW w:w="7808" w:type="dxa"/>
            <w:gridSpan w:val="6"/>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eastAsia="宋体"/>
                <w:sz w:val="24"/>
                <w:szCs w:val="24"/>
                <w:lang w:val="en-US" w:eastAsia="zh-CN"/>
              </w:rPr>
            </w:pPr>
            <w:r>
              <w:rPr>
                <w:rFonts w:hint="eastAsia"/>
                <w:sz w:val="24"/>
                <w:lang w:eastAsia="zh-CN"/>
              </w:rPr>
              <w:t>济源市思礼镇涧南庄村北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73"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立项审批部门</w:t>
            </w:r>
          </w:p>
        </w:tc>
        <w:tc>
          <w:tcPr>
            <w:tcW w:w="3455" w:type="dxa"/>
            <w:gridSpan w:val="2"/>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eastAsia="宋体"/>
                <w:sz w:val="24"/>
                <w:szCs w:val="24"/>
                <w:lang w:val="en-US" w:eastAsia="zh-CN"/>
              </w:rPr>
            </w:pPr>
            <w:r>
              <w:rPr>
                <w:rFonts w:hint="eastAsia"/>
                <w:sz w:val="24"/>
                <w:szCs w:val="24"/>
                <w:lang w:val="en-US" w:eastAsia="zh-CN"/>
              </w:rPr>
              <w:t>济源市发展和改革委员会</w:t>
            </w:r>
          </w:p>
        </w:tc>
        <w:tc>
          <w:tcPr>
            <w:tcW w:w="134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批准文号</w:t>
            </w:r>
          </w:p>
        </w:tc>
        <w:tc>
          <w:tcPr>
            <w:tcW w:w="301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eastAsia="宋体"/>
                <w:sz w:val="24"/>
                <w:szCs w:val="24"/>
                <w:lang w:val="en-US" w:eastAsia="zh-CN"/>
              </w:rPr>
            </w:pP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020-419001-14-03-022376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73"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建设性质</w:t>
            </w:r>
          </w:p>
        </w:tc>
        <w:tc>
          <w:tcPr>
            <w:tcW w:w="3455" w:type="dxa"/>
            <w:gridSpan w:val="2"/>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eastAsia="宋体"/>
                <w:sz w:val="24"/>
                <w:szCs w:val="24"/>
                <w:lang w:eastAsia="zh-CN"/>
              </w:rPr>
            </w:pPr>
            <w:r>
              <w:rPr>
                <w:rFonts w:hint="eastAsia"/>
                <w:sz w:val="24"/>
                <w:szCs w:val="24"/>
                <w:lang w:eastAsia="zh-CN"/>
              </w:rPr>
              <w:t>新建</w:t>
            </w:r>
          </w:p>
        </w:tc>
        <w:tc>
          <w:tcPr>
            <w:tcW w:w="134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行业类别</w:t>
            </w:r>
          </w:p>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及代码</w:t>
            </w:r>
          </w:p>
        </w:tc>
        <w:tc>
          <w:tcPr>
            <w:tcW w:w="3012" w:type="dxa"/>
            <w:gridSpan w:val="3"/>
            <w:vAlign w:val="center"/>
          </w:tcPr>
          <w:p>
            <w:pPr>
              <w:pStyle w:val="16"/>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Times New Roman" w:eastAsia="宋体" w:cs="Times New Roman"/>
                <w:color w:val="auto"/>
                <w:kern w:val="2"/>
                <w:sz w:val="24"/>
                <w:szCs w:val="24"/>
                <w:lang w:val="en-US" w:eastAsia="zh-CN"/>
              </w:rPr>
            </w:pPr>
            <w:r>
              <w:rPr>
                <w:rFonts w:hint="eastAsia" w:ascii="Times New Roman" w:cs="Times New Roman"/>
                <w:color w:val="auto"/>
                <w:kern w:val="2"/>
                <w:sz w:val="24"/>
                <w:szCs w:val="24"/>
                <w:lang w:val="en-US" w:eastAsia="zh-CN"/>
              </w:rPr>
              <w:t>C1432速冻食品制造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73"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占地面积</w:t>
            </w:r>
          </w:p>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（平方米）</w:t>
            </w:r>
          </w:p>
        </w:tc>
        <w:tc>
          <w:tcPr>
            <w:tcW w:w="3455" w:type="dxa"/>
            <w:gridSpan w:val="2"/>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eastAsia="宋体"/>
                <w:sz w:val="24"/>
                <w:szCs w:val="24"/>
                <w:lang w:val="en-US" w:eastAsia="zh-CN"/>
              </w:rPr>
            </w:pPr>
            <w:r>
              <w:rPr>
                <w:rFonts w:hint="eastAsia"/>
                <w:sz w:val="24"/>
                <w:szCs w:val="24"/>
                <w:lang w:val="en-US" w:eastAsia="zh-CN"/>
              </w:rPr>
              <w:t>1200</w:t>
            </w:r>
          </w:p>
        </w:tc>
        <w:tc>
          <w:tcPr>
            <w:tcW w:w="134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绿化面积</w:t>
            </w:r>
          </w:p>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（平方米）</w:t>
            </w:r>
          </w:p>
        </w:tc>
        <w:tc>
          <w:tcPr>
            <w:tcW w:w="3012" w:type="dxa"/>
            <w:gridSpan w:val="3"/>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rFonts w:hint="eastAsia"/>
                <w:sz w:val="24"/>
                <w:szCs w:val="24"/>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73"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总投资</w:t>
            </w:r>
          </w:p>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（万元）</w:t>
            </w:r>
          </w:p>
        </w:tc>
        <w:tc>
          <w:tcPr>
            <w:tcW w:w="1758"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eastAsia="宋体"/>
                <w:sz w:val="24"/>
                <w:szCs w:val="24"/>
                <w:lang w:val="en-US" w:eastAsia="zh-CN"/>
              </w:rPr>
            </w:pPr>
            <w:r>
              <w:rPr>
                <w:rFonts w:hint="eastAsia"/>
                <w:sz w:val="24"/>
                <w:szCs w:val="24"/>
                <w:lang w:val="en-US" w:eastAsia="zh-CN"/>
              </w:rPr>
              <w:t>50</w:t>
            </w:r>
          </w:p>
        </w:tc>
        <w:tc>
          <w:tcPr>
            <w:tcW w:w="1697"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其中：环保投资</w:t>
            </w:r>
          </w:p>
          <w:p>
            <w:pPr>
              <w:keepNext w:val="0"/>
              <w:keepLines w:val="0"/>
              <w:pageBreakBefore w:val="0"/>
              <w:kinsoku/>
              <w:wordWrap/>
              <w:overflowPunct/>
              <w:topLinePunct w:val="0"/>
              <w:autoSpaceDE/>
              <w:autoSpaceDN/>
              <w:bidi w:val="0"/>
              <w:adjustRightInd/>
              <w:snapToGrid/>
              <w:spacing w:line="400" w:lineRule="exact"/>
              <w:ind w:left="-111" w:leftChars="-53" w:right="-111" w:rightChars="-53"/>
              <w:jc w:val="center"/>
              <w:textAlignment w:val="auto"/>
              <w:rPr>
                <w:sz w:val="24"/>
                <w:szCs w:val="24"/>
              </w:rPr>
            </w:pPr>
            <w:r>
              <w:rPr>
                <w:sz w:val="24"/>
                <w:szCs w:val="24"/>
              </w:rPr>
              <w:t>（万元）</w:t>
            </w:r>
          </w:p>
        </w:tc>
        <w:tc>
          <w:tcPr>
            <w:tcW w:w="134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eastAsia="宋体"/>
                <w:sz w:val="24"/>
                <w:szCs w:val="24"/>
                <w:lang w:val="en-US" w:eastAsia="zh-CN"/>
              </w:rPr>
            </w:pPr>
            <w:r>
              <w:rPr>
                <w:rFonts w:hint="eastAsia"/>
                <w:sz w:val="24"/>
                <w:szCs w:val="24"/>
                <w:lang w:val="en-US" w:eastAsia="zh-CN"/>
              </w:rPr>
              <w:t>2</w:t>
            </w:r>
          </w:p>
        </w:tc>
        <w:tc>
          <w:tcPr>
            <w:tcW w:w="1977" w:type="dxa"/>
            <w:gridSpan w:val="2"/>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环保投资占总投资比例</w:t>
            </w:r>
          </w:p>
        </w:tc>
        <w:tc>
          <w:tcPr>
            <w:tcW w:w="1035"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eastAsia="宋体"/>
                <w:sz w:val="24"/>
                <w:szCs w:val="24"/>
                <w:lang w:val="en-US" w:eastAsia="zh-CN"/>
              </w:rPr>
            </w:pPr>
            <w:r>
              <w:rPr>
                <w:rFonts w:hint="eastAsia"/>
                <w:sz w:val="24"/>
                <w:szCs w:val="24"/>
                <w:lang w:val="en-US" w:eastAsia="zh-CN"/>
              </w:rPr>
              <w:t>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73"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评价经费</w:t>
            </w:r>
          </w:p>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（万元）</w:t>
            </w:r>
          </w:p>
        </w:tc>
        <w:tc>
          <w:tcPr>
            <w:tcW w:w="1758"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p>
        </w:tc>
        <w:tc>
          <w:tcPr>
            <w:tcW w:w="1697"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sz w:val="24"/>
                <w:szCs w:val="24"/>
              </w:rPr>
              <w:t>预计投产日期</w:t>
            </w:r>
          </w:p>
        </w:tc>
        <w:tc>
          <w:tcPr>
            <w:tcW w:w="4353" w:type="dxa"/>
            <w:gridSpan w:val="4"/>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sz w:val="24"/>
                <w:szCs w:val="24"/>
              </w:rPr>
            </w:pPr>
            <w:r>
              <w:rPr>
                <w:rFonts w:hint="eastAsia"/>
                <w:sz w:val="24"/>
                <w:szCs w:val="24"/>
              </w:rPr>
              <w:t>20</w:t>
            </w:r>
            <w:r>
              <w:rPr>
                <w:rFonts w:hint="eastAsia"/>
                <w:sz w:val="24"/>
                <w:szCs w:val="24"/>
                <w:lang w:val="en-US" w:eastAsia="zh-CN"/>
              </w:rPr>
              <w:t>20</w:t>
            </w:r>
            <w:r>
              <w:rPr>
                <w:rFonts w:hint="eastAsia"/>
                <w:sz w:val="24"/>
                <w:szCs w:val="24"/>
              </w:rPr>
              <w:t>年</w:t>
            </w:r>
            <w:r>
              <w:rPr>
                <w:rFonts w:hint="eastAsia"/>
                <w:sz w:val="24"/>
                <w:szCs w:val="24"/>
                <w:lang w:val="en-US" w:eastAsia="zh-CN"/>
              </w:rPr>
              <w:t>6</w:t>
            </w:r>
            <w:r>
              <w:rPr>
                <w:rFonts w:hint="eastAsia"/>
                <w:sz w:val="24"/>
                <w:szCs w:val="24"/>
              </w:rPr>
              <w:t>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81" w:type="dxa"/>
            <w:gridSpan w:val="7"/>
          </w:tcPr>
          <w:p>
            <w:pPr>
              <w:spacing w:line="480" w:lineRule="exact"/>
              <w:rPr>
                <w:rFonts w:eastAsia="黑体"/>
                <w:sz w:val="24"/>
              </w:rPr>
            </w:pPr>
            <w:r>
              <w:rPr>
                <w:rFonts w:hint="eastAsia" w:eastAsia="黑体"/>
                <w:sz w:val="24"/>
              </w:rPr>
              <w:t>工程内容及规模：</w:t>
            </w:r>
          </w:p>
          <w:p>
            <w:pPr>
              <w:numPr>
                <w:ilvl w:val="0"/>
                <w:numId w:val="1"/>
              </w:numPr>
              <w:spacing w:line="480" w:lineRule="exact"/>
              <w:rPr>
                <w:rFonts w:hint="eastAsia" w:ascii="宋体" w:hAnsi="宋体" w:eastAsia="宋体" w:cs="宋体"/>
                <w:b/>
                <w:bCs/>
                <w:sz w:val="24"/>
              </w:rPr>
            </w:pPr>
            <w:r>
              <w:rPr>
                <w:rFonts w:hint="eastAsia" w:ascii="宋体" w:hAnsi="宋体" w:eastAsia="宋体" w:cs="宋体"/>
                <w:b/>
                <w:bCs/>
                <w:sz w:val="24"/>
              </w:rPr>
              <w:t>项目由来</w:t>
            </w:r>
          </w:p>
          <w:p>
            <w:pPr>
              <w:keepNext w:val="0"/>
              <w:keepLines w:val="0"/>
              <w:pageBreakBefore w:val="0"/>
              <w:widowControl w:val="0"/>
              <w:kinsoku/>
              <w:wordWrap/>
              <w:overflowPunct/>
              <w:topLinePunct w:val="0"/>
              <w:autoSpaceDE/>
              <w:autoSpaceDN/>
              <w:bidi w:val="0"/>
              <w:adjustRightInd/>
              <w:snapToGrid/>
              <w:spacing w:line="420" w:lineRule="atLeast"/>
              <w:ind w:firstLine="480"/>
              <w:textAlignment w:val="auto"/>
              <w:rPr>
                <w:rFonts w:hint="default" w:eastAsiaTheme="majorEastAsia"/>
                <w:sz w:val="24"/>
                <w:lang w:val="en-US" w:eastAsia="zh-CN"/>
              </w:rPr>
            </w:pPr>
            <w:r>
              <w:rPr>
                <w:rFonts w:hint="eastAsia" w:eastAsiaTheme="majorEastAsia"/>
                <w:sz w:val="24"/>
                <w:lang w:eastAsia="zh-CN"/>
              </w:rPr>
              <w:t>济源市明源食品厂位于济源市思礼镇涧南庄村北，公司租用涧南庄村北一座</w:t>
            </w:r>
            <w:r>
              <w:rPr>
                <w:rFonts w:hint="eastAsia" w:eastAsiaTheme="majorEastAsia"/>
                <w:sz w:val="24"/>
                <w:lang w:val="en-US" w:eastAsia="zh-CN"/>
              </w:rPr>
              <w:t>1200m</w:t>
            </w:r>
            <w:r>
              <w:rPr>
                <w:rFonts w:hint="eastAsia" w:eastAsiaTheme="majorEastAsia"/>
                <w:sz w:val="24"/>
                <w:vertAlign w:val="superscript"/>
                <w:lang w:val="en-US" w:eastAsia="zh-CN"/>
              </w:rPr>
              <w:t>2</w:t>
            </w:r>
            <w:r>
              <w:rPr>
                <w:rFonts w:hint="eastAsia" w:eastAsiaTheme="majorEastAsia"/>
                <w:sz w:val="24"/>
                <w:lang w:eastAsia="zh-CN"/>
              </w:rPr>
              <w:t>空院，拟投资</w:t>
            </w:r>
            <w:r>
              <w:rPr>
                <w:rFonts w:hint="eastAsia" w:eastAsiaTheme="majorEastAsia"/>
                <w:sz w:val="24"/>
                <w:lang w:val="en-US" w:eastAsia="zh-CN"/>
              </w:rPr>
              <w:t>50万元，建设年产300吨速冻食品项目。项目主要生产工艺</w:t>
            </w:r>
            <w:r>
              <w:rPr>
                <w:rFonts w:hint="eastAsia" w:eastAsiaTheme="majorEastAsia"/>
                <w:sz w:val="24"/>
                <w:lang w:eastAsia="zh-CN"/>
              </w:rPr>
              <w:t>：原料-预处理-备馅、制皮-成型-速冻-包装-入库冷藏。主要设备：和面机、切菜机、绞肉机、拌馅机、饺子成型机、制冷机、汤圆机、包装机等。</w:t>
            </w:r>
          </w:p>
          <w:p>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rFonts w:eastAsiaTheme="majorEastAsia"/>
                <w:sz w:val="24"/>
              </w:rPr>
            </w:pPr>
            <w:r>
              <w:rPr>
                <w:rFonts w:eastAsiaTheme="majorEastAsia"/>
                <w:sz w:val="24"/>
              </w:rPr>
              <w:t>对照《产业结构调整指导目录（201</w:t>
            </w:r>
            <w:r>
              <w:rPr>
                <w:rFonts w:hint="eastAsia" w:eastAsiaTheme="majorEastAsia"/>
                <w:sz w:val="24"/>
                <w:lang w:val="en-US" w:eastAsia="zh-CN"/>
              </w:rPr>
              <w:t>9</w:t>
            </w:r>
            <w:r>
              <w:rPr>
                <w:rFonts w:eastAsiaTheme="majorEastAsia"/>
                <w:sz w:val="24"/>
              </w:rPr>
              <w:t>年本）》，</w:t>
            </w:r>
            <w:r>
              <w:rPr>
                <w:rFonts w:hint="eastAsia" w:eastAsiaTheme="majorEastAsia"/>
                <w:sz w:val="24"/>
                <w:lang w:eastAsia="zh-CN"/>
              </w:rPr>
              <w:t>本项目</w:t>
            </w:r>
            <w:r>
              <w:rPr>
                <w:rFonts w:eastAsiaTheme="majorEastAsia"/>
                <w:sz w:val="24"/>
              </w:rPr>
              <w:t>不属于其中的限制类和淘汰类，为允许类。项目建设符合国家和地方产业政策。</w:t>
            </w:r>
          </w:p>
          <w:p>
            <w:pPr>
              <w:keepNext w:val="0"/>
              <w:keepLines w:val="0"/>
              <w:pageBreakBefore w:val="0"/>
              <w:widowControl w:val="0"/>
              <w:kinsoku/>
              <w:wordWrap/>
              <w:overflowPunct/>
              <w:topLinePunct w:val="0"/>
              <w:autoSpaceDE/>
              <w:autoSpaceDN/>
              <w:bidi w:val="0"/>
              <w:adjustRightInd/>
              <w:snapToGrid/>
              <w:spacing w:line="420" w:lineRule="atLeast"/>
              <w:ind w:firstLine="470" w:firstLineChars="196"/>
              <w:textAlignment w:val="auto"/>
              <w:rPr>
                <w:sz w:val="24"/>
              </w:rPr>
            </w:pPr>
            <w:r>
              <w:rPr>
                <w:sz w:val="24"/>
              </w:rPr>
              <w:t>项目地理位置图、周围情况图、厂区平面布置图见附图1、2、3。</w:t>
            </w:r>
          </w:p>
          <w:p>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sz w:val="24"/>
              </w:rPr>
            </w:pPr>
            <w:r>
              <w:rPr>
                <w:sz w:val="24"/>
              </w:rPr>
              <w:t>根据《中华人民共和国环境保护法》、《中华人民共和国环境影响评价法》、《建设项目环境保护管理条例》、《河南省建设项目环境保护条例》等法律、法规的规定，该项目须进行环境影响评价。</w:t>
            </w:r>
            <w:r>
              <w:rPr>
                <w:rFonts w:hint="eastAsia"/>
                <w:sz w:val="24"/>
                <w:lang w:eastAsia="zh-CN"/>
              </w:rPr>
              <w:t>我公</w:t>
            </w:r>
            <w:r>
              <w:rPr>
                <w:sz w:val="24"/>
              </w:rPr>
              <w:t>司受</w:t>
            </w:r>
            <w:r>
              <w:rPr>
                <w:rFonts w:hint="eastAsia"/>
                <w:sz w:val="24"/>
                <w:lang w:eastAsia="zh-CN"/>
              </w:rPr>
              <w:t>济源市明源食品厂</w:t>
            </w:r>
            <w:r>
              <w:rPr>
                <w:sz w:val="24"/>
              </w:rPr>
              <w:t>委托，承担该项目环境影响评价工作，经现场勘查、调研及收集有关资料，并进行了必要的环境质量现状监测和调查，依据国家生态环境部对环境影响评价的相关规定及要求，我公司编制了该项目环境影响报告表。</w:t>
            </w:r>
          </w:p>
          <w:p>
            <w:pPr>
              <w:keepNext w:val="0"/>
              <w:keepLines w:val="0"/>
              <w:pageBreakBefore w:val="0"/>
              <w:widowControl w:val="0"/>
              <w:kinsoku/>
              <w:wordWrap/>
              <w:overflowPunct/>
              <w:topLinePunct w:val="0"/>
              <w:autoSpaceDE/>
              <w:autoSpaceDN/>
              <w:bidi w:val="0"/>
              <w:adjustRightInd/>
              <w:snapToGrid/>
              <w:spacing w:line="420" w:lineRule="atLeast"/>
              <w:ind w:firstLine="480" w:firstLineChars="200"/>
              <w:textAlignment w:val="auto"/>
              <w:rPr>
                <w:color w:val="auto"/>
                <w:sz w:val="24"/>
              </w:rPr>
            </w:pPr>
            <w:r>
              <w:rPr>
                <w:rFonts w:hint="eastAsia"/>
                <w:color w:val="auto"/>
                <w:sz w:val="24"/>
              </w:rPr>
              <w:t>该项目</w:t>
            </w:r>
            <w:r>
              <w:rPr>
                <w:rFonts w:hint="eastAsia"/>
                <w:color w:val="auto"/>
                <w:sz w:val="24"/>
                <w:lang w:eastAsia="zh-CN"/>
              </w:rPr>
              <w:t>属于</w:t>
            </w:r>
            <w:r>
              <w:rPr>
                <w:rFonts w:hint="eastAsia"/>
                <w:color w:val="auto"/>
                <w:sz w:val="24"/>
              </w:rPr>
              <w:t>《环境影响评价审批正面清单》中</w:t>
            </w:r>
            <w:r>
              <w:rPr>
                <w:rFonts w:hint="eastAsia"/>
                <w:color w:val="auto"/>
                <w:sz w:val="24"/>
                <w:lang w:eastAsia="zh-CN"/>
              </w:rPr>
              <w:t>方便食品制造类报告表项目</w:t>
            </w:r>
            <w:r>
              <w:rPr>
                <w:rFonts w:hint="eastAsia"/>
                <w:color w:val="auto"/>
                <w:sz w:val="24"/>
              </w:rPr>
              <w:t>，属于承诺制项目。</w:t>
            </w:r>
          </w:p>
          <w:p>
            <w:pPr>
              <w:spacing w:line="480" w:lineRule="exact"/>
              <w:rPr>
                <w:rFonts w:hint="eastAsia" w:eastAsia="宋体"/>
                <w:b/>
                <w:sz w:val="24"/>
                <w:lang w:eastAsia="zh-CN"/>
              </w:rPr>
            </w:pPr>
            <w:r>
              <w:rPr>
                <w:b/>
                <w:sz w:val="24"/>
              </w:rPr>
              <w:t>二、</w:t>
            </w:r>
            <w:r>
              <w:rPr>
                <w:rFonts w:hint="eastAsia"/>
                <w:b/>
                <w:sz w:val="24"/>
                <w:lang w:eastAsia="zh-CN"/>
              </w:rPr>
              <w:t>项目建设内容</w:t>
            </w:r>
          </w:p>
          <w:p>
            <w:pPr>
              <w:spacing w:line="440" w:lineRule="exact"/>
              <w:ind w:firstLine="480" w:firstLineChars="200"/>
              <w:rPr>
                <w:rFonts w:hint="eastAsia"/>
                <w:color w:val="auto"/>
                <w:sz w:val="24"/>
                <w:lang w:val="en-US" w:eastAsia="zh-CN"/>
              </w:rPr>
            </w:pPr>
            <w:r>
              <w:rPr>
                <w:rFonts w:hint="eastAsia"/>
                <w:color w:val="auto"/>
                <w:sz w:val="24"/>
                <w:lang w:eastAsia="zh-CN"/>
              </w:rPr>
              <w:t>年产</w:t>
            </w:r>
            <w:r>
              <w:rPr>
                <w:rFonts w:hint="eastAsia"/>
                <w:color w:val="auto"/>
                <w:sz w:val="24"/>
                <w:lang w:val="en-US" w:eastAsia="zh-CN"/>
              </w:rPr>
              <w:t>300吨速冻食品项目建设内容见下表。</w:t>
            </w:r>
          </w:p>
          <w:p>
            <w:pPr>
              <w:pStyle w:val="2"/>
              <w:ind w:left="0" w:leftChars="0" w:firstLine="0" w:firstLineChars="0"/>
              <w:jc w:val="center"/>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项目建设内容一览表</w:t>
            </w:r>
          </w:p>
          <w:tbl>
            <w:tblPr>
              <w:tblStyle w:val="12"/>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702"/>
              <w:gridCol w:w="2633"/>
              <w:gridCol w:w="1532"/>
              <w:gridCol w:w="25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63" w:type="dxa"/>
                  <w:gridSpan w:val="2"/>
                  <w:tcBorders>
                    <w:tl2br w:val="nil"/>
                    <w:tr2bl w:val="nil"/>
                  </w:tcBorders>
                  <w:noWrap w:val="0"/>
                  <w:vAlign w:val="center"/>
                </w:tcPr>
                <w:p>
                  <w:pPr>
                    <w:jc w:val="center"/>
                    <w:rPr>
                      <w:szCs w:val="21"/>
                    </w:rPr>
                  </w:pPr>
                  <w:r>
                    <w:rPr>
                      <w:rFonts w:hAnsi="宋体"/>
                      <w:szCs w:val="21"/>
                    </w:rPr>
                    <w:t>工程内容</w:t>
                  </w:r>
                </w:p>
              </w:tc>
              <w:tc>
                <w:tcPr>
                  <w:tcW w:w="2633" w:type="dxa"/>
                  <w:tcBorders>
                    <w:tl2br w:val="nil"/>
                    <w:tr2bl w:val="nil"/>
                  </w:tcBorders>
                  <w:noWrap w:val="0"/>
                  <w:vAlign w:val="center"/>
                </w:tcPr>
                <w:p>
                  <w:pPr>
                    <w:jc w:val="center"/>
                    <w:rPr>
                      <w:szCs w:val="21"/>
                    </w:rPr>
                  </w:pPr>
                  <w:r>
                    <w:rPr>
                      <w:rFonts w:hAnsi="宋体"/>
                      <w:szCs w:val="21"/>
                    </w:rPr>
                    <w:t>规格面积</w:t>
                  </w:r>
                </w:p>
              </w:tc>
              <w:tc>
                <w:tcPr>
                  <w:tcW w:w="1532" w:type="dxa"/>
                  <w:tcBorders>
                    <w:tl2br w:val="nil"/>
                    <w:tr2bl w:val="nil"/>
                  </w:tcBorders>
                  <w:noWrap w:val="0"/>
                  <w:vAlign w:val="center"/>
                </w:tcPr>
                <w:p>
                  <w:pPr>
                    <w:jc w:val="center"/>
                    <w:rPr>
                      <w:rFonts w:hint="eastAsia" w:eastAsia="宋体"/>
                      <w:szCs w:val="21"/>
                      <w:lang w:eastAsia="zh-CN"/>
                    </w:rPr>
                  </w:pPr>
                  <w:r>
                    <w:rPr>
                      <w:rFonts w:hint="eastAsia" w:hAnsi="宋体"/>
                      <w:szCs w:val="21"/>
                      <w:lang w:eastAsia="zh-CN"/>
                    </w:rPr>
                    <w:t>作用及用途</w:t>
                  </w:r>
                </w:p>
              </w:tc>
              <w:tc>
                <w:tcPr>
                  <w:tcW w:w="2569" w:type="dxa"/>
                  <w:tcBorders>
                    <w:tl2br w:val="nil"/>
                    <w:tr2bl w:val="nil"/>
                  </w:tcBorders>
                  <w:noWrap w:val="0"/>
                  <w:vAlign w:val="center"/>
                </w:tcPr>
                <w:p>
                  <w:pPr>
                    <w:jc w:val="center"/>
                    <w:rPr>
                      <w:rFonts w:hint="eastAsia" w:hAnsi="宋体"/>
                      <w:szCs w:val="21"/>
                      <w:lang w:eastAsia="zh-CN"/>
                    </w:rPr>
                  </w:pPr>
                  <w:r>
                    <w:rPr>
                      <w:rFonts w:hint="eastAsia" w:hAnsi="宋体"/>
                      <w:szCs w:val="21"/>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tcBorders>
                    <w:tl2br w:val="nil"/>
                    <w:tr2bl w:val="nil"/>
                  </w:tcBorders>
                  <w:noWrap w:val="0"/>
                  <w:vAlign w:val="center"/>
                </w:tcPr>
                <w:p>
                  <w:pPr>
                    <w:jc w:val="center"/>
                    <w:rPr>
                      <w:szCs w:val="21"/>
                    </w:rPr>
                  </w:pPr>
                  <w:r>
                    <w:rPr>
                      <w:rFonts w:hAnsi="宋体"/>
                      <w:szCs w:val="21"/>
                    </w:rPr>
                    <w:t>生产车间</w:t>
                  </w:r>
                </w:p>
              </w:tc>
              <w:tc>
                <w:tcPr>
                  <w:tcW w:w="1702" w:type="dxa"/>
                  <w:tcBorders>
                    <w:tl2br w:val="nil"/>
                    <w:tr2bl w:val="nil"/>
                  </w:tcBorders>
                  <w:noWrap w:val="0"/>
                  <w:vAlign w:val="center"/>
                </w:tcPr>
                <w:p>
                  <w:pPr>
                    <w:jc w:val="center"/>
                    <w:rPr>
                      <w:rFonts w:hint="eastAsia" w:eastAsia="宋体"/>
                      <w:szCs w:val="21"/>
                      <w:lang w:eastAsia="zh-CN"/>
                    </w:rPr>
                  </w:pPr>
                  <w:r>
                    <w:rPr>
                      <w:rFonts w:hint="eastAsia"/>
                      <w:szCs w:val="21"/>
                      <w:lang w:eastAsia="zh-CN"/>
                    </w:rPr>
                    <w:t>生产车间</w:t>
                  </w:r>
                </w:p>
              </w:tc>
              <w:tc>
                <w:tcPr>
                  <w:tcW w:w="2633" w:type="dxa"/>
                  <w:tcBorders>
                    <w:tl2br w:val="nil"/>
                    <w:tr2bl w:val="nil"/>
                  </w:tcBorders>
                  <w:noWrap w:val="0"/>
                  <w:vAlign w:val="center"/>
                </w:tcPr>
                <w:p>
                  <w:pPr>
                    <w:jc w:val="center"/>
                    <w:rPr>
                      <w:szCs w:val="21"/>
                    </w:rPr>
                  </w:pPr>
                  <w:r>
                    <w:rPr>
                      <w:rFonts w:hint="eastAsia"/>
                      <w:szCs w:val="21"/>
                      <w:lang w:val="en-US" w:eastAsia="zh-CN"/>
                    </w:rPr>
                    <w:t>200</w:t>
                  </w:r>
                  <w:r>
                    <w:rPr>
                      <w:szCs w:val="21"/>
                    </w:rPr>
                    <w:t>m</w:t>
                  </w:r>
                  <w:r>
                    <w:rPr>
                      <w:szCs w:val="21"/>
                      <w:vertAlign w:val="superscript"/>
                    </w:rPr>
                    <w:t>2</w:t>
                  </w:r>
                </w:p>
              </w:tc>
              <w:tc>
                <w:tcPr>
                  <w:tcW w:w="1532" w:type="dxa"/>
                  <w:tcBorders>
                    <w:tl2br w:val="nil"/>
                    <w:tr2bl w:val="nil"/>
                  </w:tcBorders>
                  <w:noWrap w:val="0"/>
                  <w:vAlign w:val="center"/>
                </w:tcPr>
                <w:p>
                  <w:pPr>
                    <w:jc w:val="center"/>
                    <w:rPr>
                      <w:rFonts w:hint="eastAsia" w:eastAsia="宋体"/>
                      <w:szCs w:val="21"/>
                      <w:lang w:eastAsia="zh-CN"/>
                    </w:rPr>
                  </w:pPr>
                  <w:r>
                    <w:rPr>
                      <w:rFonts w:hint="eastAsia"/>
                      <w:szCs w:val="21"/>
                      <w:lang w:eastAsia="zh-CN"/>
                    </w:rPr>
                    <w:t>速冻食品生产</w:t>
                  </w:r>
                </w:p>
              </w:tc>
              <w:tc>
                <w:tcPr>
                  <w:tcW w:w="2569" w:type="dxa"/>
                  <w:tcBorders>
                    <w:tl2br w:val="nil"/>
                    <w:tr2bl w:val="nil"/>
                  </w:tcBorders>
                  <w:noWrap w:val="0"/>
                  <w:vAlign w:val="center"/>
                </w:tcPr>
                <w:p>
                  <w:pPr>
                    <w:jc w:val="center"/>
                    <w:rPr>
                      <w:rFonts w:hint="default"/>
                      <w:szCs w:val="21"/>
                      <w:lang w:val="en-US" w:eastAsia="zh-CN"/>
                    </w:rPr>
                  </w:pPr>
                  <w:r>
                    <w:rPr>
                      <w:rFonts w:hint="eastAsia"/>
                      <w:szCs w:val="21"/>
                      <w:lang w:val="en-US" w:eastAsia="zh-CN"/>
                    </w:rPr>
                    <w:t>1座利用现有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restart"/>
                  <w:tcBorders>
                    <w:tl2br w:val="nil"/>
                    <w:tr2bl w:val="nil"/>
                  </w:tcBorders>
                  <w:noWrap w:val="0"/>
                  <w:vAlign w:val="center"/>
                </w:tcPr>
                <w:p>
                  <w:pPr>
                    <w:jc w:val="center"/>
                    <w:rPr>
                      <w:rFonts w:hint="eastAsia" w:hAnsi="宋体" w:eastAsia="宋体"/>
                      <w:szCs w:val="21"/>
                      <w:lang w:eastAsia="zh-CN"/>
                    </w:rPr>
                  </w:pPr>
                  <w:r>
                    <w:rPr>
                      <w:rFonts w:hint="eastAsia" w:hAnsi="宋体"/>
                      <w:szCs w:val="21"/>
                      <w:lang w:eastAsia="zh-CN"/>
                    </w:rPr>
                    <w:t>辅助设施</w:t>
                  </w:r>
                </w:p>
              </w:tc>
              <w:tc>
                <w:tcPr>
                  <w:tcW w:w="1702" w:type="dxa"/>
                  <w:tcBorders>
                    <w:tl2br w:val="nil"/>
                    <w:tr2bl w:val="nil"/>
                  </w:tcBorders>
                  <w:noWrap w:val="0"/>
                  <w:vAlign w:val="center"/>
                </w:tcPr>
                <w:p>
                  <w:pPr>
                    <w:jc w:val="center"/>
                    <w:rPr>
                      <w:rFonts w:hint="eastAsia" w:hAnsi="宋体"/>
                      <w:szCs w:val="21"/>
                      <w:lang w:eastAsia="zh-CN"/>
                    </w:rPr>
                  </w:pPr>
                  <w:r>
                    <w:rPr>
                      <w:rFonts w:hint="eastAsia" w:hAnsi="宋体"/>
                      <w:szCs w:val="21"/>
                      <w:lang w:eastAsia="zh-CN"/>
                    </w:rPr>
                    <w:t>原料仓库</w:t>
                  </w:r>
                </w:p>
              </w:tc>
              <w:tc>
                <w:tcPr>
                  <w:tcW w:w="2633" w:type="dxa"/>
                  <w:tcBorders>
                    <w:tl2br w:val="nil"/>
                    <w:tr2bl w:val="nil"/>
                  </w:tcBorders>
                  <w:noWrap w:val="0"/>
                  <w:vAlign w:val="center"/>
                </w:tcPr>
                <w:p>
                  <w:pPr>
                    <w:jc w:val="center"/>
                    <w:rPr>
                      <w:rFonts w:hint="default"/>
                      <w:szCs w:val="21"/>
                      <w:lang w:val="en-US" w:eastAsia="zh-CN"/>
                    </w:rPr>
                  </w:pPr>
                  <w:r>
                    <w:rPr>
                      <w:rFonts w:hint="eastAsia"/>
                      <w:szCs w:val="21"/>
                      <w:lang w:val="en-US" w:eastAsia="zh-CN"/>
                    </w:rPr>
                    <w:t>200m</w:t>
                  </w:r>
                  <w:r>
                    <w:rPr>
                      <w:rFonts w:hint="eastAsia"/>
                      <w:szCs w:val="21"/>
                      <w:vertAlign w:val="superscript"/>
                      <w:lang w:val="en-US" w:eastAsia="zh-CN"/>
                    </w:rPr>
                    <w:t>2</w:t>
                  </w:r>
                </w:p>
              </w:tc>
              <w:tc>
                <w:tcPr>
                  <w:tcW w:w="1532" w:type="dxa"/>
                  <w:tcBorders>
                    <w:tl2br w:val="nil"/>
                    <w:tr2bl w:val="nil"/>
                  </w:tcBorders>
                  <w:noWrap w:val="0"/>
                  <w:vAlign w:val="center"/>
                </w:tcPr>
                <w:p>
                  <w:pPr>
                    <w:jc w:val="center"/>
                    <w:rPr>
                      <w:rFonts w:hint="eastAsia" w:hAnsi="宋体"/>
                      <w:szCs w:val="21"/>
                      <w:lang w:eastAsia="zh-CN"/>
                    </w:rPr>
                  </w:pPr>
                  <w:r>
                    <w:rPr>
                      <w:rFonts w:hint="eastAsia" w:hAnsi="宋体"/>
                      <w:szCs w:val="21"/>
                      <w:lang w:eastAsia="zh-CN"/>
                    </w:rPr>
                    <w:t>原料存放</w:t>
                  </w:r>
                </w:p>
              </w:tc>
              <w:tc>
                <w:tcPr>
                  <w:tcW w:w="2569" w:type="dxa"/>
                  <w:tcBorders>
                    <w:tl2br w:val="nil"/>
                    <w:tr2bl w:val="nil"/>
                  </w:tcBorders>
                  <w:noWrap w:val="0"/>
                  <w:vAlign w:val="center"/>
                </w:tcPr>
                <w:p>
                  <w:pPr>
                    <w:jc w:val="center"/>
                    <w:rPr>
                      <w:rFonts w:hint="eastAsia" w:hAnsi="宋体"/>
                      <w:szCs w:val="21"/>
                      <w:lang w:eastAsia="zh-CN"/>
                    </w:rPr>
                  </w:pPr>
                  <w:r>
                    <w:rPr>
                      <w:rFonts w:hint="eastAsia"/>
                      <w:szCs w:val="21"/>
                      <w:lang w:val="en-US" w:eastAsia="zh-CN"/>
                    </w:rPr>
                    <w:t>1座，</w:t>
                  </w:r>
                  <w:r>
                    <w:rPr>
                      <w:rFonts w:hint="eastAsia"/>
                      <w:szCs w:val="21"/>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continue"/>
                  <w:tcBorders>
                    <w:tl2br w:val="nil"/>
                    <w:tr2bl w:val="nil"/>
                  </w:tcBorders>
                  <w:noWrap w:val="0"/>
                  <w:vAlign w:val="center"/>
                </w:tcPr>
                <w:p>
                  <w:pPr>
                    <w:jc w:val="center"/>
                    <w:rPr>
                      <w:rFonts w:hint="eastAsia" w:hAnsi="宋体"/>
                      <w:szCs w:val="21"/>
                      <w:lang w:eastAsia="zh-CN"/>
                    </w:rPr>
                  </w:pPr>
                </w:p>
              </w:tc>
              <w:tc>
                <w:tcPr>
                  <w:tcW w:w="1702" w:type="dxa"/>
                  <w:tcBorders>
                    <w:tl2br w:val="nil"/>
                    <w:tr2bl w:val="nil"/>
                  </w:tcBorders>
                  <w:noWrap w:val="0"/>
                  <w:vAlign w:val="center"/>
                </w:tcPr>
                <w:p>
                  <w:pPr>
                    <w:jc w:val="center"/>
                    <w:rPr>
                      <w:rFonts w:hint="eastAsia" w:hAnsi="宋体"/>
                      <w:szCs w:val="21"/>
                      <w:lang w:eastAsia="zh-CN"/>
                    </w:rPr>
                  </w:pPr>
                  <w:r>
                    <w:rPr>
                      <w:rFonts w:hint="eastAsia" w:hAnsi="宋体"/>
                      <w:szCs w:val="21"/>
                      <w:lang w:eastAsia="zh-CN"/>
                    </w:rPr>
                    <w:t>成品冷冻仓库</w:t>
                  </w:r>
                </w:p>
              </w:tc>
              <w:tc>
                <w:tcPr>
                  <w:tcW w:w="2633" w:type="dxa"/>
                  <w:tcBorders>
                    <w:tl2br w:val="nil"/>
                    <w:tr2bl w:val="nil"/>
                  </w:tcBorders>
                  <w:noWrap w:val="0"/>
                  <w:vAlign w:val="center"/>
                </w:tcPr>
                <w:p>
                  <w:pPr>
                    <w:jc w:val="center"/>
                    <w:rPr>
                      <w:rFonts w:hint="eastAsia"/>
                      <w:szCs w:val="21"/>
                      <w:lang w:val="en-US" w:eastAsia="zh-CN"/>
                    </w:rPr>
                  </w:pPr>
                  <w:r>
                    <w:rPr>
                      <w:rFonts w:hint="eastAsia"/>
                      <w:szCs w:val="21"/>
                      <w:lang w:val="en-US" w:eastAsia="zh-CN"/>
                    </w:rPr>
                    <w:t>200m</w:t>
                  </w:r>
                  <w:r>
                    <w:rPr>
                      <w:rFonts w:hint="eastAsia"/>
                      <w:szCs w:val="21"/>
                      <w:vertAlign w:val="superscript"/>
                      <w:lang w:val="en-US" w:eastAsia="zh-CN"/>
                    </w:rPr>
                    <w:t>2</w:t>
                  </w:r>
                </w:p>
              </w:tc>
              <w:tc>
                <w:tcPr>
                  <w:tcW w:w="1532" w:type="dxa"/>
                  <w:tcBorders>
                    <w:tl2br w:val="nil"/>
                    <w:tr2bl w:val="nil"/>
                  </w:tcBorders>
                  <w:noWrap w:val="0"/>
                  <w:vAlign w:val="center"/>
                </w:tcPr>
                <w:p>
                  <w:pPr>
                    <w:jc w:val="center"/>
                    <w:rPr>
                      <w:rFonts w:hint="eastAsia" w:hAnsi="宋体"/>
                      <w:szCs w:val="21"/>
                      <w:lang w:eastAsia="zh-CN"/>
                    </w:rPr>
                  </w:pPr>
                  <w:r>
                    <w:rPr>
                      <w:rFonts w:hint="eastAsia" w:hAnsi="宋体"/>
                      <w:szCs w:val="21"/>
                      <w:lang w:eastAsia="zh-CN"/>
                    </w:rPr>
                    <w:t>成品存放</w:t>
                  </w:r>
                </w:p>
              </w:tc>
              <w:tc>
                <w:tcPr>
                  <w:tcW w:w="2569" w:type="dxa"/>
                  <w:tcBorders>
                    <w:tl2br w:val="nil"/>
                    <w:tr2bl w:val="nil"/>
                  </w:tcBorders>
                  <w:noWrap w:val="0"/>
                  <w:vAlign w:val="center"/>
                </w:tcPr>
                <w:p>
                  <w:pPr>
                    <w:jc w:val="center"/>
                    <w:rPr>
                      <w:rFonts w:hint="eastAsia" w:hAnsi="宋体"/>
                      <w:szCs w:val="21"/>
                      <w:lang w:eastAsia="zh-CN"/>
                    </w:rPr>
                  </w:pPr>
                  <w:r>
                    <w:rPr>
                      <w:rFonts w:hint="eastAsia"/>
                      <w:szCs w:val="21"/>
                      <w:lang w:val="en-US" w:eastAsia="zh-CN"/>
                    </w:rPr>
                    <w:t>1座，</w:t>
                  </w:r>
                  <w:r>
                    <w:rPr>
                      <w:rFonts w:hint="eastAsia"/>
                      <w:szCs w:val="21"/>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dxa"/>
                  <w:vMerge w:val="continue"/>
                  <w:tcBorders>
                    <w:tl2br w:val="nil"/>
                    <w:tr2bl w:val="nil"/>
                  </w:tcBorders>
                  <w:noWrap w:val="0"/>
                  <w:vAlign w:val="center"/>
                </w:tcPr>
                <w:p>
                  <w:pPr>
                    <w:jc w:val="center"/>
                    <w:rPr>
                      <w:rFonts w:hint="eastAsia" w:hAnsi="宋体"/>
                      <w:szCs w:val="21"/>
                      <w:lang w:eastAsia="zh-CN"/>
                    </w:rPr>
                  </w:pPr>
                </w:p>
              </w:tc>
              <w:tc>
                <w:tcPr>
                  <w:tcW w:w="1702" w:type="dxa"/>
                  <w:tcBorders>
                    <w:tl2br w:val="nil"/>
                    <w:tr2bl w:val="nil"/>
                  </w:tcBorders>
                  <w:noWrap w:val="0"/>
                  <w:vAlign w:val="center"/>
                </w:tcPr>
                <w:p>
                  <w:pPr>
                    <w:jc w:val="center"/>
                    <w:rPr>
                      <w:rFonts w:hint="eastAsia" w:hAnsi="宋体"/>
                      <w:szCs w:val="21"/>
                      <w:lang w:eastAsia="zh-CN"/>
                    </w:rPr>
                  </w:pPr>
                  <w:r>
                    <w:rPr>
                      <w:rFonts w:hint="eastAsia" w:hAnsi="宋体"/>
                      <w:szCs w:val="21"/>
                      <w:lang w:eastAsia="zh-CN"/>
                    </w:rPr>
                    <w:t>杂物仓库</w:t>
                  </w:r>
                </w:p>
              </w:tc>
              <w:tc>
                <w:tcPr>
                  <w:tcW w:w="2633" w:type="dxa"/>
                  <w:tcBorders>
                    <w:tl2br w:val="nil"/>
                    <w:tr2bl w:val="nil"/>
                  </w:tcBorders>
                  <w:noWrap w:val="0"/>
                  <w:vAlign w:val="center"/>
                </w:tcPr>
                <w:p>
                  <w:pPr>
                    <w:jc w:val="center"/>
                    <w:rPr>
                      <w:rFonts w:hint="default"/>
                      <w:szCs w:val="21"/>
                      <w:lang w:val="en-US" w:eastAsia="zh-CN"/>
                    </w:rPr>
                  </w:pPr>
                  <w:r>
                    <w:rPr>
                      <w:rFonts w:hint="eastAsia"/>
                      <w:szCs w:val="21"/>
                      <w:lang w:val="en-US" w:eastAsia="zh-CN"/>
                    </w:rPr>
                    <w:t>100m</w:t>
                  </w:r>
                  <w:r>
                    <w:rPr>
                      <w:rFonts w:hint="eastAsia"/>
                      <w:szCs w:val="21"/>
                      <w:vertAlign w:val="superscript"/>
                      <w:lang w:val="en-US" w:eastAsia="zh-CN"/>
                    </w:rPr>
                    <w:t>2</w:t>
                  </w:r>
                </w:p>
              </w:tc>
              <w:tc>
                <w:tcPr>
                  <w:tcW w:w="1532" w:type="dxa"/>
                  <w:tcBorders>
                    <w:tl2br w:val="nil"/>
                    <w:tr2bl w:val="nil"/>
                  </w:tcBorders>
                  <w:noWrap w:val="0"/>
                  <w:vAlign w:val="center"/>
                </w:tcPr>
                <w:p>
                  <w:pPr>
                    <w:jc w:val="center"/>
                    <w:rPr>
                      <w:rFonts w:hint="eastAsia" w:hAnsi="宋体"/>
                      <w:szCs w:val="21"/>
                      <w:lang w:eastAsia="zh-CN"/>
                    </w:rPr>
                  </w:pPr>
                  <w:r>
                    <w:rPr>
                      <w:rFonts w:hint="eastAsia" w:hAnsi="宋体"/>
                      <w:szCs w:val="21"/>
                      <w:lang w:eastAsia="zh-CN"/>
                    </w:rPr>
                    <w:t>杂物堆存</w:t>
                  </w:r>
                </w:p>
              </w:tc>
              <w:tc>
                <w:tcPr>
                  <w:tcW w:w="2569" w:type="dxa"/>
                  <w:tcBorders>
                    <w:tl2br w:val="nil"/>
                    <w:tr2bl w:val="nil"/>
                  </w:tcBorders>
                  <w:noWrap w:val="0"/>
                  <w:vAlign w:val="center"/>
                </w:tcPr>
                <w:p>
                  <w:pPr>
                    <w:jc w:val="center"/>
                    <w:rPr>
                      <w:rFonts w:hint="default"/>
                      <w:szCs w:val="21"/>
                      <w:lang w:val="en-US" w:eastAsia="zh-CN"/>
                    </w:rPr>
                  </w:pPr>
                  <w:r>
                    <w:rPr>
                      <w:rFonts w:hint="eastAsia"/>
                      <w:szCs w:val="21"/>
                      <w:lang w:val="en-US" w:eastAsia="zh-CN"/>
                    </w:rPr>
                    <w:t>1座，利用现有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63" w:type="dxa"/>
                  <w:gridSpan w:val="2"/>
                  <w:tcBorders>
                    <w:tl2br w:val="nil"/>
                    <w:tr2bl w:val="nil"/>
                  </w:tcBorders>
                  <w:noWrap w:val="0"/>
                  <w:vAlign w:val="center"/>
                </w:tcPr>
                <w:p>
                  <w:pPr>
                    <w:jc w:val="center"/>
                    <w:rPr>
                      <w:rFonts w:hAnsi="宋体"/>
                      <w:szCs w:val="21"/>
                    </w:rPr>
                  </w:pPr>
                  <w:r>
                    <w:rPr>
                      <w:rFonts w:hAnsi="宋体"/>
                      <w:szCs w:val="21"/>
                    </w:rPr>
                    <w:t>办公楼</w:t>
                  </w:r>
                </w:p>
              </w:tc>
              <w:tc>
                <w:tcPr>
                  <w:tcW w:w="2633" w:type="dxa"/>
                  <w:tcBorders>
                    <w:tl2br w:val="nil"/>
                    <w:tr2bl w:val="nil"/>
                  </w:tcBorders>
                  <w:noWrap w:val="0"/>
                  <w:vAlign w:val="center"/>
                </w:tcPr>
                <w:p>
                  <w:pPr>
                    <w:jc w:val="center"/>
                    <w:rPr>
                      <w:szCs w:val="21"/>
                    </w:rPr>
                  </w:pPr>
                  <w:r>
                    <w:rPr>
                      <w:rFonts w:hint="eastAsia"/>
                      <w:szCs w:val="21"/>
                      <w:lang w:val="en-US" w:eastAsia="zh-CN"/>
                    </w:rPr>
                    <w:t>270</w:t>
                  </w:r>
                  <w:r>
                    <w:rPr>
                      <w:szCs w:val="21"/>
                    </w:rPr>
                    <w:t>m</w:t>
                  </w:r>
                  <w:r>
                    <w:rPr>
                      <w:szCs w:val="21"/>
                      <w:vertAlign w:val="superscript"/>
                    </w:rPr>
                    <w:t>2</w:t>
                  </w:r>
                </w:p>
              </w:tc>
              <w:tc>
                <w:tcPr>
                  <w:tcW w:w="1532" w:type="dxa"/>
                  <w:tcBorders>
                    <w:tl2br w:val="nil"/>
                    <w:tr2bl w:val="nil"/>
                  </w:tcBorders>
                  <w:noWrap w:val="0"/>
                  <w:vAlign w:val="center"/>
                </w:tcPr>
                <w:p>
                  <w:pPr>
                    <w:jc w:val="center"/>
                    <w:rPr>
                      <w:rFonts w:hint="eastAsia" w:eastAsia="宋体"/>
                      <w:lang w:eastAsia="zh-CN"/>
                    </w:rPr>
                  </w:pPr>
                  <w:r>
                    <w:rPr>
                      <w:rFonts w:hint="eastAsia" w:hAnsi="宋体"/>
                      <w:szCs w:val="21"/>
                      <w:lang w:eastAsia="zh-CN"/>
                    </w:rPr>
                    <w:t>办公</w:t>
                  </w:r>
                </w:p>
              </w:tc>
              <w:tc>
                <w:tcPr>
                  <w:tcW w:w="2569" w:type="dxa"/>
                  <w:tcBorders>
                    <w:tl2br w:val="nil"/>
                    <w:tr2bl w:val="nil"/>
                  </w:tcBorders>
                  <w:noWrap w:val="0"/>
                  <w:vAlign w:val="center"/>
                </w:tcPr>
                <w:p>
                  <w:pPr>
                    <w:jc w:val="center"/>
                    <w:rPr>
                      <w:rFonts w:hint="default" w:hAnsi="宋体"/>
                      <w:szCs w:val="21"/>
                      <w:lang w:val="en-US" w:eastAsia="zh-CN"/>
                    </w:rPr>
                  </w:pPr>
                  <w:r>
                    <w:rPr>
                      <w:rFonts w:hint="eastAsia" w:hAnsi="宋体"/>
                      <w:szCs w:val="21"/>
                      <w:lang w:eastAsia="zh-CN"/>
                    </w:rPr>
                    <w:t>利用现有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63" w:type="dxa"/>
                  <w:gridSpan w:val="2"/>
                  <w:tcBorders>
                    <w:tl2br w:val="nil"/>
                    <w:tr2bl w:val="nil"/>
                  </w:tcBorders>
                  <w:noWrap w:val="0"/>
                  <w:vAlign w:val="center"/>
                </w:tcPr>
                <w:p>
                  <w:pPr>
                    <w:jc w:val="center"/>
                    <w:rPr>
                      <w:szCs w:val="21"/>
                    </w:rPr>
                  </w:pPr>
                  <w:r>
                    <w:rPr>
                      <w:rFonts w:hAnsi="宋体"/>
                      <w:szCs w:val="21"/>
                    </w:rPr>
                    <w:t>供电</w:t>
                  </w:r>
                </w:p>
              </w:tc>
              <w:tc>
                <w:tcPr>
                  <w:tcW w:w="2633" w:type="dxa"/>
                  <w:tcBorders>
                    <w:tl2br w:val="nil"/>
                    <w:tr2bl w:val="nil"/>
                  </w:tcBorders>
                  <w:noWrap w:val="0"/>
                  <w:vAlign w:val="center"/>
                </w:tcPr>
                <w:p>
                  <w:pPr>
                    <w:jc w:val="center"/>
                    <w:rPr>
                      <w:szCs w:val="21"/>
                    </w:rPr>
                  </w:pPr>
                  <w:r>
                    <w:rPr>
                      <w:rFonts w:hAnsi="宋体"/>
                      <w:szCs w:val="21"/>
                    </w:rPr>
                    <w:t>变压器大小为</w:t>
                  </w:r>
                  <w:r>
                    <w:rPr>
                      <w:rFonts w:hint="eastAsia"/>
                      <w:szCs w:val="21"/>
                      <w:lang w:val="en-US" w:eastAsia="zh-CN"/>
                    </w:rPr>
                    <w:t>250</w:t>
                  </w:r>
                  <w:r>
                    <w:rPr>
                      <w:szCs w:val="21"/>
                    </w:rPr>
                    <w:t>kVA</w:t>
                  </w:r>
                </w:p>
              </w:tc>
              <w:tc>
                <w:tcPr>
                  <w:tcW w:w="1532" w:type="dxa"/>
                  <w:tcBorders>
                    <w:tl2br w:val="nil"/>
                    <w:tr2bl w:val="nil"/>
                  </w:tcBorders>
                  <w:noWrap w:val="0"/>
                  <w:vAlign w:val="center"/>
                </w:tcPr>
                <w:p>
                  <w:pPr>
                    <w:jc w:val="center"/>
                    <w:rPr>
                      <w:rFonts w:hint="eastAsia" w:eastAsia="宋体"/>
                      <w:lang w:eastAsia="zh-CN"/>
                    </w:rPr>
                  </w:pPr>
                  <w:r>
                    <w:rPr>
                      <w:rFonts w:hint="eastAsia" w:hAnsi="宋体"/>
                      <w:szCs w:val="21"/>
                      <w:lang w:eastAsia="zh-CN"/>
                    </w:rPr>
                    <w:t>供电</w:t>
                  </w:r>
                </w:p>
              </w:tc>
              <w:tc>
                <w:tcPr>
                  <w:tcW w:w="2569" w:type="dxa"/>
                  <w:tcBorders>
                    <w:tl2br w:val="nil"/>
                    <w:tr2bl w:val="nil"/>
                  </w:tcBorders>
                  <w:noWrap w:val="0"/>
                  <w:vAlign w:val="center"/>
                </w:tcPr>
                <w:p>
                  <w:pPr>
                    <w:jc w:val="center"/>
                    <w:rPr>
                      <w:rFonts w:hint="eastAsia" w:hAnsi="宋体"/>
                      <w:szCs w:val="21"/>
                      <w:lang w:eastAsia="zh-CN"/>
                    </w:rPr>
                  </w:pPr>
                  <w:r>
                    <w:rPr>
                      <w:rFonts w:hint="eastAsia" w:hAnsi="宋体"/>
                      <w:szCs w:val="21"/>
                      <w:lang w:eastAsia="zh-CN"/>
                    </w:rPr>
                    <w:t>利用现有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63" w:type="dxa"/>
                  <w:gridSpan w:val="2"/>
                  <w:tcBorders>
                    <w:tl2br w:val="nil"/>
                    <w:tr2bl w:val="nil"/>
                  </w:tcBorders>
                  <w:noWrap w:val="0"/>
                  <w:vAlign w:val="center"/>
                </w:tcPr>
                <w:p>
                  <w:pPr>
                    <w:jc w:val="center"/>
                    <w:rPr>
                      <w:szCs w:val="21"/>
                    </w:rPr>
                  </w:pPr>
                  <w:r>
                    <w:rPr>
                      <w:rFonts w:hAnsi="宋体"/>
                      <w:szCs w:val="21"/>
                    </w:rPr>
                    <w:t>供水方式</w:t>
                  </w:r>
                </w:p>
              </w:tc>
              <w:tc>
                <w:tcPr>
                  <w:tcW w:w="2633" w:type="dxa"/>
                  <w:tcBorders>
                    <w:tl2br w:val="nil"/>
                    <w:tr2bl w:val="nil"/>
                  </w:tcBorders>
                  <w:noWrap w:val="0"/>
                  <w:vAlign w:val="center"/>
                </w:tcPr>
                <w:p>
                  <w:pPr>
                    <w:jc w:val="center"/>
                    <w:rPr>
                      <w:rFonts w:hint="eastAsia" w:eastAsia="宋体"/>
                      <w:szCs w:val="21"/>
                      <w:lang w:eastAsia="zh-CN"/>
                    </w:rPr>
                  </w:pPr>
                  <w:r>
                    <w:rPr>
                      <w:rFonts w:hint="eastAsia"/>
                      <w:szCs w:val="21"/>
                      <w:lang w:eastAsia="zh-CN"/>
                    </w:rPr>
                    <w:t>厂区自备井</w:t>
                  </w:r>
                </w:p>
              </w:tc>
              <w:tc>
                <w:tcPr>
                  <w:tcW w:w="1532" w:type="dxa"/>
                  <w:tcBorders>
                    <w:tl2br w:val="nil"/>
                    <w:tr2bl w:val="nil"/>
                  </w:tcBorders>
                  <w:noWrap w:val="0"/>
                  <w:vAlign w:val="center"/>
                </w:tcPr>
                <w:p>
                  <w:pPr>
                    <w:jc w:val="center"/>
                    <w:rPr>
                      <w:rFonts w:hint="eastAsia" w:eastAsia="宋体"/>
                      <w:szCs w:val="21"/>
                      <w:lang w:eastAsia="zh-CN"/>
                    </w:rPr>
                  </w:pPr>
                  <w:r>
                    <w:rPr>
                      <w:rFonts w:hint="eastAsia" w:hAnsi="宋体"/>
                      <w:szCs w:val="21"/>
                      <w:lang w:eastAsia="zh-CN"/>
                    </w:rPr>
                    <w:t>供水</w:t>
                  </w:r>
                </w:p>
              </w:tc>
              <w:tc>
                <w:tcPr>
                  <w:tcW w:w="2569" w:type="dxa"/>
                  <w:tcBorders>
                    <w:tl2br w:val="nil"/>
                    <w:tr2bl w:val="nil"/>
                  </w:tcBorders>
                  <w:noWrap w:val="0"/>
                  <w:vAlign w:val="center"/>
                </w:tcPr>
                <w:p>
                  <w:pPr>
                    <w:jc w:val="center"/>
                    <w:rPr>
                      <w:rFonts w:hint="default" w:hAnsi="宋体"/>
                      <w:szCs w:val="21"/>
                      <w:lang w:val="en-US" w:eastAsia="zh-CN"/>
                    </w:rPr>
                  </w:pPr>
                  <w:r>
                    <w:rPr>
                      <w:rFonts w:hint="eastAsia" w:hAnsi="宋体"/>
                      <w:szCs w:val="21"/>
                      <w:lang w:val="en-US" w:eastAsia="zh-CN"/>
                    </w:rPr>
                    <w:t>自来水公司供水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63" w:type="dxa"/>
                  <w:gridSpan w:val="2"/>
                  <w:vMerge w:val="restart"/>
                  <w:tcBorders>
                    <w:tl2br w:val="nil"/>
                    <w:tr2bl w:val="nil"/>
                  </w:tcBorders>
                  <w:noWrap w:val="0"/>
                  <w:vAlign w:val="center"/>
                </w:tcPr>
                <w:p>
                  <w:pPr>
                    <w:jc w:val="center"/>
                    <w:rPr>
                      <w:szCs w:val="21"/>
                    </w:rPr>
                  </w:pPr>
                  <w:r>
                    <w:rPr>
                      <w:rFonts w:hAnsi="宋体"/>
                      <w:szCs w:val="21"/>
                    </w:rPr>
                    <w:t>环保工程</w:t>
                  </w:r>
                </w:p>
              </w:tc>
              <w:tc>
                <w:tcPr>
                  <w:tcW w:w="2633" w:type="dxa"/>
                  <w:tcBorders>
                    <w:tl2br w:val="nil"/>
                    <w:tr2bl w:val="nil"/>
                  </w:tcBorders>
                  <w:noWrap w:val="0"/>
                  <w:vAlign w:val="center"/>
                </w:tcPr>
                <w:p>
                  <w:pPr>
                    <w:jc w:val="center"/>
                    <w:rPr>
                      <w:rFonts w:hint="default" w:eastAsia="宋体"/>
                      <w:szCs w:val="21"/>
                      <w:lang w:val="en-US" w:eastAsia="zh-CN"/>
                    </w:rPr>
                  </w:pPr>
                  <w:r>
                    <w:rPr>
                      <w:rFonts w:hint="eastAsia"/>
                      <w:szCs w:val="21"/>
                      <w:lang w:val="en-US" w:eastAsia="zh-CN"/>
                    </w:rPr>
                    <w:t>污水处理站</w:t>
                  </w:r>
                </w:p>
              </w:tc>
              <w:tc>
                <w:tcPr>
                  <w:tcW w:w="1532" w:type="dxa"/>
                  <w:tcBorders>
                    <w:tl2br w:val="nil"/>
                    <w:tr2bl w:val="nil"/>
                  </w:tcBorders>
                  <w:noWrap w:val="0"/>
                  <w:vAlign w:val="center"/>
                </w:tcPr>
                <w:p>
                  <w:pPr>
                    <w:jc w:val="center"/>
                    <w:rPr>
                      <w:rFonts w:hint="eastAsia" w:eastAsia="宋体"/>
                      <w:szCs w:val="21"/>
                      <w:lang w:eastAsia="zh-CN"/>
                    </w:rPr>
                  </w:pPr>
                  <w:r>
                    <w:rPr>
                      <w:rFonts w:hint="eastAsia"/>
                      <w:szCs w:val="21"/>
                      <w:lang w:eastAsia="zh-CN"/>
                    </w:rPr>
                    <w:t>生产废水处理</w:t>
                  </w:r>
                </w:p>
              </w:tc>
              <w:tc>
                <w:tcPr>
                  <w:tcW w:w="2569" w:type="dxa"/>
                  <w:tcBorders>
                    <w:tl2br w:val="nil"/>
                    <w:tr2bl w:val="nil"/>
                  </w:tcBorders>
                  <w:noWrap w:val="0"/>
                  <w:vAlign w:val="center"/>
                </w:tcPr>
                <w:p>
                  <w:pPr>
                    <w:jc w:val="center"/>
                    <w:rPr>
                      <w:rFonts w:hint="eastAsia"/>
                      <w:szCs w:val="21"/>
                      <w:lang w:eastAsia="zh-CN"/>
                    </w:rPr>
                  </w:pPr>
                  <w:r>
                    <w:rPr>
                      <w:rFonts w:hint="eastAsia"/>
                      <w:szCs w:val="21"/>
                      <w:lang w:eastAsia="zh-CN"/>
                    </w:rPr>
                    <w:t>依托涧南庄村污水处理站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63" w:type="dxa"/>
                  <w:gridSpan w:val="2"/>
                  <w:vMerge w:val="continue"/>
                  <w:tcBorders>
                    <w:tl2br w:val="nil"/>
                    <w:tr2bl w:val="nil"/>
                  </w:tcBorders>
                  <w:noWrap w:val="0"/>
                  <w:vAlign w:val="center"/>
                </w:tcPr>
                <w:p>
                  <w:pPr>
                    <w:jc w:val="center"/>
                    <w:rPr>
                      <w:szCs w:val="21"/>
                    </w:rPr>
                  </w:pPr>
                </w:p>
              </w:tc>
              <w:tc>
                <w:tcPr>
                  <w:tcW w:w="2633" w:type="dxa"/>
                  <w:tcBorders>
                    <w:tl2br w:val="nil"/>
                    <w:tr2bl w:val="nil"/>
                  </w:tcBorders>
                  <w:noWrap w:val="0"/>
                  <w:vAlign w:val="center"/>
                </w:tcPr>
                <w:p>
                  <w:pPr>
                    <w:jc w:val="center"/>
                    <w:rPr>
                      <w:szCs w:val="21"/>
                    </w:rPr>
                  </w:pPr>
                  <w:r>
                    <w:rPr>
                      <w:rFonts w:hAnsi="宋体"/>
                      <w:szCs w:val="21"/>
                    </w:rPr>
                    <w:t>临时固废堆放场</w:t>
                  </w:r>
                </w:p>
              </w:tc>
              <w:tc>
                <w:tcPr>
                  <w:tcW w:w="1532" w:type="dxa"/>
                  <w:tcBorders>
                    <w:tl2br w:val="nil"/>
                    <w:tr2bl w:val="nil"/>
                  </w:tcBorders>
                  <w:noWrap w:val="0"/>
                  <w:vAlign w:val="center"/>
                </w:tcPr>
                <w:p>
                  <w:pPr>
                    <w:jc w:val="center"/>
                    <w:rPr>
                      <w:rFonts w:hint="eastAsia" w:eastAsia="宋体"/>
                      <w:szCs w:val="21"/>
                      <w:lang w:eastAsia="zh-CN"/>
                    </w:rPr>
                  </w:pPr>
                  <w:r>
                    <w:rPr>
                      <w:rFonts w:hint="eastAsia" w:hAnsi="宋体"/>
                      <w:szCs w:val="21"/>
                      <w:lang w:eastAsia="zh-CN"/>
                    </w:rPr>
                    <w:t>固废堆存</w:t>
                  </w:r>
                </w:p>
              </w:tc>
              <w:tc>
                <w:tcPr>
                  <w:tcW w:w="2569" w:type="dxa"/>
                  <w:tcBorders>
                    <w:tl2br w:val="nil"/>
                    <w:tr2bl w:val="nil"/>
                  </w:tcBorders>
                  <w:noWrap w:val="0"/>
                  <w:vAlign w:val="center"/>
                </w:tcPr>
                <w:p>
                  <w:pPr>
                    <w:jc w:val="center"/>
                    <w:rPr>
                      <w:rFonts w:hint="eastAsia" w:hAnsi="宋体"/>
                      <w:szCs w:val="21"/>
                      <w:lang w:eastAsia="zh-CN"/>
                    </w:rPr>
                  </w:pPr>
                  <w:r>
                    <w:rPr>
                      <w:rFonts w:hint="eastAsia" w:hAnsi="宋体"/>
                      <w:szCs w:val="21"/>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63" w:type="dxa"/>
                  <w:gridSpan w:val="2"/>
                  <w:vMerge w:val="continue"/>
                  <w:tcBorders>
                    <w:tl2br w:val="nil"/>
                    <w:tr2bl w:val="nil"/>
                  </w:tcBorders>
                  <w:noWrap w:val="0"/>
                  <w:vAlign w:val="center"/>
                </w:tcPr>
                <w:p>
                  <w:pPr>
                    <w:jc w:val="center"/>
                    <w:rPr>
                      <w:szCs w:val="21"/>
                    </w:rPr>
                  </w:pPr>
                </w:p>
              </w:tc>
              <w:tc>
                <w:tcPr>
                  <w:tcW w:w="2633" w:type="dxa"/>
                  <w:tcBorders>
                    <w:tl2br w:val="nil"/>
                    <w:tr2bl w:val="nil"/>
                  </w:tcBorders>
                  <w:noWrap w:val="0"/>
                  <w:vAlign w:val="center"/>
                </w:tcPr>
                <w:p>
                  <w:pPr>
                    <w:jc w:val="center"/>
                    <w:rPr>
                      <w:rFonts w:hint="eastAsia" w:eastAsia="宋体"/>
                      <w:szCs w:val="21"/>
                      <w:lang w:eastAsia="zh-CN"/>
                    </w:rPr>
                  </w:pPr>
                  <w:r>
                    <w:rPr>
                      <w:rFonts w:hint="eastAsia"/>
                      <w:szCs w:val="21"/>
                      <w:lang w:eastAsia="zh-CN"/>
                    </w:rPr>
                    <w:t>设备基础减震、厂房隔声</w:t>
                  </w:r>
                </w:p>
              </w:tc>
              <w:tc>
                <w:tcPr>
                  <w:tcW w:w="1532" w:type="dxa"/>
                  <w:tcBorders>
                    <w:tl2br w:val="nil"/>
                    <w:tr2bl w:val="nil"/>
                  </w:tcBorders>
                  <w:noWrap w:val="0"/>
                  <w:vAlign w:val="center"/>
                </w:tcPr>
                <w:p>
                  <w:pPr>
                    <w:jc w:val="center"/>
                    <w:rPr>
                      <w:rFonts w:hint="eastAsia" w:eastAsia="宋体"/>
                      <w:szCs w:val="21"/>
                      <w:lang w:eastAsia="zh-CN"/>
                    </w:rPr>
                  </w:pPr>
                  <w:r>
                    <w:rPr>
                      <w:rFonts w:hint="eastAsia"/>
                      <w:szCs w:val="21"/>
                      <w:lang w:eastAsia="zh-CN"/>
                    </w:rPr>
                    <w:t>噪声处理</w:t>
                  </w:r>
                </w:p>
              </w:tc>
              <w:tc>
                <w:tcPr>
                  <w:tcW w:w="2569" w:type="dxa"/>
                  <w:tcBorders>
                    <w:tl2br w:val="nil"/>
                    <w:tr2bl w:val="nil"/>
                  </w:tcBorders>
                  <w:noWrap w:val="0"/>
                  <w:vAlign w:val="center"/>
                </w:tcPr>
                <w:p>
                  <w:pPr>
                    <w:jc w:val="center"/>
                    <w:rPr>
                      <w:rFonts w:hint="eastAsia"/>
                      <w:szCs w:val="21"/>
                      <w:lang w:eastAsia="zh-CN"/>
                    </w:rPr>
                  </w:pPr>
                  <w:r>
                    <w:rPr>
                      <w:rFonts w:hint="eastAsia"/>
                      <w:szCs w:val="21"/>
                      <w:lang w:eastAsia="zh-CN"/>
                    </w:rPr>
                    <w:t>新建</w:t>
                  </w:r>
                </w:p>
              </w:tc>
            </w:tr>
          </w:tbl>
          <w:p>
            <w:pPr>
              <w:spacing w:line="480" w:lineRule="exact"/>
              <w:rPr>
                <w:rFonts w:hint="eastAsia" w:eastAsia="宋体"/>
                <w:b/>
                <w:sz w:val="24"/>
                <w:lang w:eastAsia="zh-CN"/>
              </w:rPr>
            </w:pPr>
            <w:r>
              <w:rPr>
                <w:b/>
                <w:sz w:val="24"/>
              </w:rPr>
              <w:t>三、</w:t>
            </w:r>
            <w:r>
              <w:rPr>
                <w:rFonts w:hint="eastAsia"/>
                <w:b/>
                <w:sz w:val="24"/>
                <w:lang w:eastAsia="zh-CN"/>
              </w:rPr>
              <w:t>项目产品及规模</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sz w:val="24"/>
                <w:lang w:eastAsia="zh-CN"/>
              </w:rPr>
            </w:pPr>
            <w:r>
              <w:rPr>
                <w:rFonts w:hint="eastAsia"/>
                <w:sz w:val="24"/>
                <w:lang w:eastAsia="zh-CN"/>
              </w:rPr>
              <w:t>本项目设计年产速冻食品</w:t>
            </w:r>
            <w:r>
              <w:rPr>
                <w:rFonts w:hint="eastAsia"/>
                <w:sz w:val="24"/>
                <w:lang w:val="en-US" w:eastAsia="zh-CN"/>
              </w:rPr>
              <w:t>300吨</w:t>
            </w:r>
            <w:r>
              <w:rPr>
                <w:rFonts w:hint="eastAsia"/>
                <w:sz w:val="24"/>
                <w:lang w:eastAsia="zh-CN"/>
              </w:rPr>
              <w:t>。具体产品方案见下表。</w:t>
            </w:r>
          </w:p>
          <w:p>
            <w:pPr>
              <w:pStyle w:val="2"/>
              <w:ind w:left="0" w:leftChars="0" w:firstLine="0" w:firstLineChars="0"/>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本工程产品方案一览表</w:t>
            </w:r>
          </w:p>
          <w:tbl>
            <w:tblPr>
              <w:tblStyle w:val="13"/>
              <w:tblW w:w="94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1"/>
              <w:gridCol w:w="6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2501" w:type="dxa"/>
                  <w:vAlign w:val="top"/>
                </w:tcPr>
                <w:p>
                  <w:pPr>
                    <w:pStyle w:val="2"/>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产品名称</w:t>
                  </w:r>
                </w:p>
              </w:tc>
              <w:tc>
                <w:tcPr>
                  <w:tcW w:w="6973" w:type="dxa"/>
                  <w:vAlign w:val="top"/>
                </w:tcPr>
                <w:p>
                  <w:pPr>
                    <w:pStyle w:val="2"/>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年</w:t>
                  </w:r>
                  <w:r>
                    <w:rPr>
                      <w:rFonts w:hint="eastAsia" w:cs="宋体"/>
                      <w:sz w:val="21"/>
                      <w:szCs w:val="21"/>
                      <w:vertAlign w:val="baseline"/>
                      <w:lang w:eastAsia="zh-CN"/>
                    </w:rPr>
                    <w:t>产量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2501" w:type="dxa"/>
                  <w:vAlign w:val="top"/>
                </w:tcPr>
                <w:p>
                  <w:pPr>
                    <w:pStyle w:val="2"/>
                    <w:jc w:val="center"/>
                    <w:rPr>
                      <w:rFonts w:hint="default" w:ascii="宋体" w:hAnsi="宋体" w:eastAsia="宋体" w:cs="宋体"/>
                      <w:sz w:val="21"/>
                      <w:szCs w:val="21"/>
                      <w:vertAlign w:val="baseline"/>
                      <w:lang w:val="en-US" w:eastAsia="zh-CN"/>
                    </w:rPr>
                  </w:pPr>
                  <w:r>
                    <w:rPr>
                      <w:rFonts w:hint="eastAsia" w:cs="宋体"/>
                      <w:sz w:val="21"/>
                      <w:szCs w:val="21"/>
                      <w:vertAlign w:val="baseline"/>
                      <w:lang w:val="en-US" w:eastAsia="zh-CN"/>
                    </w:rPr>
                    <w:t>速冻水饺</w:t>
                  </w:r>
                </w:p>
              </w:tc>
              <w:tc>
                <w:tcPr>
                  <w:tcW w:w="6973" w:type="dxa"/>
                  <w:vAlign w:val="top"/>
                </w:tcPr>
                <w:p>
                  <w:pPr>
                    <w:pStyle w:val="2"/>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cs="Times New Roman"/>
                      <w:sz w:val="21"/>
                      <w:szCs w:val="21"/>
                      <w:highlight w:val="none"/>
                      <w:vertAlign w:val="baseline"/>
                      <w:lang w:val="en-US" w:eastAsia="zh-CN"/>
                    </w:rPr>
                    <w:t>100t/a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2501" w:type="dxa"/>
                  <w:vAlign w:val="top"/>
                </w:tcPr>
                <w:p>
                  <w:pPr>
                    <w:pStyle w:val="2"/>
                    <w:jc w:val="center"/>
                    <w:rPr>
                      <w:rFonts w:hint="eastAsia" w:cs="宋体"/>
                      <w:sz w:val="21"/>
                      <w:szCs w:val="21"/>
                      <w:vertAlign w:val="baseline"/>
                      <w:lang w:val="en-US" w:eastAsia="zh-CN"/>
                    </w:rPr>
                  </w:pPr>
                  <w:r>
                    <w:rPr>
                      <w:rFonts w:hint="eastAsia" w:cs="宋体"/>
                      <w:sz w:val="21"/>
                      <w:szCs w:val="21"/>
                      <w:vertAlign w:val="baseline"/>
                      <w:lang w:val="en-US" w:eastAsia="zh-CN"/>
                    </w:rPr>
                    <w:t>速冻汤圆</w:t>
                  </w:r>
                </w:p>
              </w:tc>
              <w:tc>
                <w:tcPr>
                  <w:tcW w:w="6973" w:type="dxa"/>
                  <w:vAlign w:val="top"/>
                </w:tcPr>
                <w:p>
                  <w:pPr>
                    <w:pStyle w:val="2"/>
                    <w:jc w:val="center"/>
                    <w:rPr>
                      <w:rFonts w:hint="default" w:ascii="Times New Roman" w:hAnsi="Times New Roman" w:cs="Times New Roman"/>
                      <w:sz w:val="21"/>
                      <w:szCs w:val="21"/>
                      <w:highlight w:val="none"/>
                      <w:vertAlign w:val="baseline"/>
                      <w:lang w:val="en-US" w:eastAsia="zh-CN"/>
                    </w:rPr>
                  </w:pPr>
                  <w:r>
                    <w:rPr>
                      <w:rFonts w:hint="eastAsia" w:ascii="Times New Roman" w:hAnsi="Times New Roman" w:cs="Times New Roman"/>
                      <w:sz w:val="21"/>
                      <w:szCs w:val="21"/>
                      <w:highlight w:val="none"/>
                      <w:vertAlign w:val="baseline"/>
                      <w:lang w:val="en-US" w:eastAsia="zh-CN"/>
                    </w:rPr>
                    <w:t>100t/a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2501" w:type="dxa"/>
                  <w:vAlign w:val="top"/>
                </w:tcPr>
                <w:p>
                  <w:pPr>
                    <w:pStyle w:val="2"/>
                    <w:jc w:val="center"/>
                    <w:rPr>
                      <w:rFonts w:hint="eastAsia" w:cs="宋体"/>
                      <w:sz w:val="21"/>
                      <w:szCs w:val="21"/>
                      <w:vertAlign w:val="baseline"/>
                      <w:lang w:val="en-US" w:eastAsia="zh-CN"/>
                    </w:rPr>
                  </w:pPr>
                  <w:r>
                    <w:rPr>
                      <w:rFonts w:hint="eastAsia" w:cs="宋体"/>
                      <w:sz w:val="21"/>
                      <w:szCs w:val="21"/>
                      <w:vertAlign w:val="baseline"/>
                      <w:lang w:val="en-US" w:eastAsia="zh-CN"/>
                    </w:rPr>
                    <w:t>速冻粽子</w:t>
                  </w:r>
                </w:p>
              </w:tc>
              <w:tc>
                <w:tcPr>
                  <w:tcW w:w="6973" w:type="dxa"/>
                  <w:vAlign w:val="top"/>
                </w:tcPr>
                <w:p>
                  <w:pPr>
                    <w:pStyle w:val="2"/>
                    <w:jc w:val="center"/>
                    <w:rPr>
                      <w:rFonts w:hint="default" w:ascii="Times New Roman" w:hAnsi="Times New Roman" w:cs="Times New Roman"/>
                      <w:sz w:val="21"/>
                      <w:szCs w:val="21"/>
                      <w:highlight w:val="none"/>
                      <w:vertAlign w:val="baseline"/>
                      <w:lang w:val="en-US" w:eastAsia="zh-CN"/>
                    </w:rPr>
                  </w:pPr>
                  <w:r>
                    <w:rPr>
                      <w:rFonts w:hint="eastAsia" w:ascii="Times New Roman" w:hAnsi="Times New Roman" w:cs="Times New Roman"/>
                      <w:sz w:val="21"/>
                      <w:szCs w:val="21"/>
                      <w:highlight w:val="none"/>
                      <w:vertAlign w:val="baseline"/>
                      <w:lang w:val="en-US" w:eastAsia="zh-CN"/>
                    </w:rPr>
                    <w:t>100t/a</w:t>
                  </w:r>
                </w:p>
              </w:tc>
            </w:tr>
          </w:tbl>
          <w:p>
            <w:pPr>
              <w:numPr>
                <w:ilvl w:val="0"/>
                <w:numId w:val="0"/>
              </w:numPr>
              <w:spacing w:line="520" w:lineRule="exact"/>
              <w:rPr>
                <w:rFonts w:hint="eastAsia"/>
                <w:b/>
                <w:sz w:val="24"/>
                <w:lang w:eastAsia="zh-CN"/>
              </w:rPr>
            </w:pPr>
            <w:r>
              <w:rPr>
                <w:rFonts w:hint="eastAsia"/>
                <w:b/>
                <w:sz w:val="24"/>
                <w:lang w:eastAsia="zh-CN"/>
              </w:rPr>
              <w:t>四、原辅材料及能源消耗</w:t>
            </w:r>
          </w:p>
          <w:p>
            <w:pPr>
              <w:pStyle w:val="2"/>
              <w:numPr>
                <w:ilvl w:val="0"/>
                <w:numId w:val="0"/>
              </w:numPr>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原辅材料及能源消耗一览表</w:t>
            </w:r>
          </w:p>
          <w:tbl>
            <w:tblPr>
              <w:tblStyle w:val="12"/>
              <w:tblW w:w="94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2018"/>
              <w:gridCol w:w="1950"/>
              <w:gridCol w:w="4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1012"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sz w:val="21"/>
                      <w:szCs w:val="21"/>
                    </w:rPr>
                  </w:pPr>
                  <w:r>
                    <w:rPr>
                      <w:sz w:val="21"/>
                      <w:szCs w:val="21"/>
                    </w:rPr>
                    <w:t>类别</w:t>
                  </w:r>
                </w:p>
              </w:tc>
              <w:tc>
                <w:tcPr>
                  <w:tcW w:w="2018"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sz w:val="21"/>
                      <w:szCs w:val="21"/>
                    </w:rPr>
                  </w:pPr>
                  <w:r>
                    <w:rPr>
                      <w:sz w:val="21"/>
                      <w:szCs w:val="21"/>
                    </w:rPr>
                    <w:t>名称</w:t>
                  </w:r>
                </w:p>
              </w:tc>
              <w:tc>
                <w:tcPr>
                  <w:tcW w:w="1950"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eastAsia="宋体"/>
                      <w:sz w:val="21"/>
                      <w:szCs w:val="21"/>
                      <w:lang w:eastAsia="zh-CN"/>
                    </w:rPr>
                  </w:pPr>
                  <w:r>
                    <w:rPr>
                      <w:rFonts w:hint="eastAsia"/>
                      <w:sz w:val="21"/>
                      <w:szCs w:val="21"/>
                      <w:lang w:eastAsia="zh-CN"/>
                    </w:rPr>
                    <w:t>处理（消耗）量</w:t>
                  </w:r>
                </w:p>
              </w:tc>
              <w:tc>
                <w:tcPr>
                  <w:tcW w:w="4474"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sz w:val="21"/>
                      <w:szCs w:val="21"/>
                    </w:rPr>
                  </w:pPr>
                  <w:r>
                    <w:rPr>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2" w:type="dxa"/>
                  <w:vMerge w:val="restar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sz w:val="21"/>
                      <w:szCs w:val="21"/>
                    </w:rPr>
                  </w:pPr>
                  <w:r>
                    <w:rPr>
                      <w:sz w:val="21"/>
                      <w:szCs w:val="21"/>
                    </w:rPr>
                    <w:t>原料</w:t>
                  </w:r>
                </w:p>
              </w:tc>
              <w:tc>
                <w:tcPr>
                  <w:tcW w:w="2018"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eastAsia="宋体"/>
                      <w:sz w:val="21"/>
                      <w:szCs w:val="21"/>
                      <w:lang w:eastAsia="zh-CN"/>
                    </w:rPr>
                  </w:pPr>
                  <w:r>
                    <w:rPr>
                      <w:rFonts w:hint="eastAsia"/>
                      <w:sz w:val="21"/>
                      <w:szCs w:val="21"/>
                      <w:lang w:eastAsia="zh-CN"/>
                    </w:rPr>
                    <w:t>面粉</w:t>
                  </w:r>
                </w:p>
              </w:tc>
              <w:tc>
                <w:tcPr>
                  <w:tcW w:w="1950"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eastAsia="宋体"/>
                      <w:sz w:val="21"/>
                      <w:szCs w:val="21"/>
                      <w:lang w:val="en-US" w:eastAsia="zh-CN"/>
                    </w:rPr>
                  </w:pPr>
                  <w:r>
                    <w:rPr>
                      <w:rFonts w:hint="eastAsia"/>
                      <w:sz w:val="21"/>
                      <w:szCs w:val="21"/>
                      <w:lang w:val="en-US" w:eastAsia="zh-CN"/>
                    </w:rPr>
                    <w:t>50t/a</w:t>
                  </w:r>
                </w:p>
              </w:tc>
              <w:tc>
                <w:tcPr>
                  <w:tcW w:w="4474"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eastAsia="宋体"/>
                      <w:sz w:val="21"/>
                      <w:szCs w:val="21"/>
                      <w:lang w:val="en-US" w:eastAsia="zh-CN"/>
                    </w:rPr>
                  </w:pPr>
                  <w:r>
                    <w:rPr>
                      <w:rFonts w:hint="eastAsia"/>
                      <w:sz w:val="21"/>
                      <w:szCs w:val="21"/>
                      <w:lang w:val="en-US" w:eastAsia="zh-CN"/>
                    </w:rPr>
                    <w:t>外购、袋装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2" w:type="dxa"/>
                  <w:vMerge w:val="continue"/>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sz w:val="21"/>
                      <w:szCs w:val="21"/>
                    </w:rPr>
                  </w:pPr>
                </w:p>
              </w:tc>
              <w:tc>
                <w:tcPr>
                  <w:tcW w:w="2018"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eastAsia="zh-CN"/>
                    </w:rPr>
                  </w:pPr>
                  <w:r>
                    <w:rPr>
                      <w:rFonts w:hint="eastAsia"/>
                      <w:sz w:val="21"/>
                      <w:szCs w:val="21"/>
                      <w:lang w:eastAsia="zh-CN"/>
                    </w:rPr>
                    <w:t>蔬菜</w:t>
                  </w:r>
                </w:p>
              </w:tc>
              <w:tc>
                <w:tcPr>
                  <w:tcW w:w="1950"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sz w:val="21"/>
                      <w:szCs w:val="21"/>
                      <w:lang w:val="en-US" w:eastAsia="zh-CN"/>
                    </w:rPr>
                  </w:pPr>
                  <w:r>
                    <w:rPr>
                      <w:rFonts w:hint="eastAsia"/>
                      <w:sz w:val="21"/>
                      <w:szCs w:val="21"/>
                      <w:lang w:val="en-US" w:eastAsia="zh-CN"/>
                    </w:rPr>
                    <w:t>18t/a</w:t>
                  </w:r>
                </w:p>
              </w:tc>
              <w:tc>
                <w:tcPr>
                  <w:tcW w:w="4474"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val="en-US" w:eastAsia="zh-CN"/>
                    </w:rPr>
                  </w:pPr>
                  <w:r>
                    <w:rPr>
                      <w:rFonts w:hint="eastAsia"/>
                      <w:sz w:val="21"/>
                      <w:szCs w:val="21"/>
                      <w:lang w:val="en-US" w:eastAsia="zh-CN"/>
                    </w:rPr>
                    <w:t>外购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2" w:type="dxa"/>
                  <w:vMerge w:val="continue"/>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sz w:val="21"/>
                      <w:szCs w:val="21"/>
                    </w:rPr>
                  </w:pPr>
                </w:p>
              </w:tc>
              <w:tc>
                <w:tcPr>
                  <w:tcW w:w="2018"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eastAsia="zh-CN"/>
                    </w:rPr>
                  </w:pPr>
                  <w:r>
                    <w:rPr>
                      <w:rFonts w:hint="eastAsia"/>
                      <w:sz w:val="21"/>
                      <w:szCs w:val="21"/>
                      <w:lang w:eastAsia="zh-CN"/>
                    </w:rPr>
                    <w:t>冷鲜肉</w:t>
                  </w:r>
                </w:p>
              </w:tc>
              <w:tc>
                <w:tcPr>
                  <w:tcW w:w="1950"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sz w:val="21"/>
                      <w:szCs w:val="21"/>
                      <w:lang w:val="en-US" w:eastAsia="zh-CN"/>
                    </w:rPr>
                  </w:pPr>
                  <w:r>
                    <w:rPr>
                      <w:rFonts w:hint="eastAsia"/>
                      <w:sz w:val="21"/>
                      <w:szCs w:val="21"/>
                      <w:lang w:val="en-US" w:eastAsia="zh-CN"/>
                    </w:rPr>
                    <w:t>30t/a</w:t>
                  </w:r>
                </w:p>
              </w:tc>
              <w:tc>
                <w:tcPr>
                  <w:tcW w:w="4474"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val="en-US" w:eastAsia="zh-CN"/>
                    </w:rPr>
                  </w:pPr>
                  <w:r>
                    <w:rPr>
                      <w:rFonts w:hint="eastAsia"/>
                      <w:sz w:val="21"/>
                      <w:szCs w:val="21"/>
                      <w:lang w:val="en-US" w:eastAsia="zh-CN"/>
                    </w:rPr>
                    <w:t>外购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2" w:type="dxa"/>
                  <w:vMerge w:val="continue"/>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sz w:val="21"/>
                      <w:szCs w:val="21"/>
                      <w:lang w:val="en-US" w:eastAsia="zh-CN"/>
                    </w:rPr>
                  </w:pPr>
                </w:p>
              </w:tc>
              <w:tc>
                <w:tcPr>
                  <w:tcW w:w="2018"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val="en-US" w:eastAsia="zh-CN"/>
                    </w:rPr>
                  </w:pPr>
                  <w:r>
                    <w:rPr>
                      <w:rFonts w:hint="eastAsia"/>
                      <w:sz w:val="21"/>
                      <w:szCs w:val="21"/>
                      <w:lang w:val="en-US" w:eastAsia="zh-CN"/>
                    </w:rPr>
                    <w:t>糯米</w:t>
                  </w:r>
                </w:p>
              </w:tc>
              <w:tc>
                <w:tcPr>
                  <w:tcW w:w="1950"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sz w:val="21"/>
                      <w:szCs w:val="21"/>
                      <w:lang w:val="en-US" w:eastAsia="zh-CN"/>
                    </w:rPr>
                  </w:pPr>
                  <w:r>
                    <w:rPr>
                      <w:rFonts w:hint="eastAsia"/>
                      <w:sz w:val="21"/>
                      <w:szCs w:val="21"/>
                      <w:lang w:val="en-US" w:eastAsia="zh-CN"/>
                    </w:rPr>
                    <w:t>90t/a</w:t>
                  </w:r>
                </w:p>
              </w:tc>
              <w:tc>
                <w:tcPr>
                  <w:tcW w:w="4474"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sz w:val="21"/>
                      <w:szCs w:val="21"/>
                      <w:lang w:val="en-US" w:eastAsia="zh-CN"/>
                    </w:rPr>
                  </w:pPr>
                  <w:r>
                    <w:rPr>
                      <w:rFonts w:hint="eastAsia"/>
                      <w:sz w:val="21"/>
                      <w:szCs w:val="21"/>
                      <w:lang w:val="en-US" w:eastAsia="zh-CN"/>
                    </w:rPr>
                    <w:t>外购，袋装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2" w:type="dxa"/>
                  <w:vMerge w:val="continue"/>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sz w:val="21"/>
                      <w:szCs w:val="21"/>
                      <w:lang w:val="en-US" w:eastAsia="zh-CN"/>
                    </w:rPr>
                  </w:pPr>
                </w:p>
              </w:tc>
              <w:tc>
                <w:tcPr>
                  <w:tcW w:w="2018"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val="en-US" w:eastAsia="zh-CN"/>
                    </w:rPr>
                  </w:pPr>
                  <w:r>
                    <w:rPr>
                      <w:rFonts w:hint="eastAsia"/>
                      <w:sz w:val="21"/>
                      <w:szCs w:val="21"/>
                      <w:lang w:val="en-US" w:eastAsia="zh-CN"/>
                    </w:rPr>
                    <w:t>糯米粉</w:t>
                  </w:r>
                </w:p>
              </w:tc>
              <w:tc>
                <w:tcPr>
                  <w:tcW w:w="1950"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sz w:val="21"/>
                      <w:szCs w:val="21"/>
                      <w:lang w:val="en-US" w:eastAsia="zh-CN"/>
                    </w:rPr>
                  </w:pPr>
                  <w:r>
                    <w:rPr>
                      <w:rFonts w:hint="eastAsia"/>
                      <w:sz w:val="21"/>
                      <w:szCs w:val="21"/>
                      <w:lang w:val="en-US" w:eastAsia="zh-CN"/>
                    </w:rPr>
                    <w:t>50t/a</w:t>
                  </w:r>
                </w:p>
              </w:tc>
              <w:tc>
                <w:tcPr>
                  <w:tcW w:w="4474"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2" w:type="dxa"/>
                  <w:vMerge w:val="continue"/>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val="en-US" w:eastAsia="zh-CN"/>
                    </w:rPr>
                  </w:pPr>
                </w:p>
              </w:tc>
              <w:tc>
                <w:tcPr>
                  <w:tcW w:w="2018"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val="en-US" w:eastAsia="zh-CN"/>
                    </w:rPr>
                  </w:pPr>
                  <w:r>
                    <w:rPr>
                      <w:rFonts w:hint="eastAsia"/>
                      <w:sz w:val="21"/>
                      <w:szCs w:val="21"/>
                      <w:lang w:val="en-US" w:eastAsia="zh-CN"/>
                    </w:rPr>
                    <w:t>汤圆馅儿</w:t>
                  </w:r>
                </w:p>
              </w:tc>
              <w:tc>
                <w:tcPr>
                  <w:tcW w:w="1950"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sz w:val="21"/>
                      <w:szCs w:val="21"/>
                      <w:lang w:val="en-US" w:eastAsia="zh-CN"/>
                    </w:rPr>
                  </w:pPr>
                  <w:r>
                    <w:rPr>
                      <w:rFonts w:hint="eastAsia"/>
                      <w:sz w:val="21"/>
                      <w:szCs w:val="21"/>
                      <w:lang w:val="en-US" w:eastAsia="zh-CN"/>
                    </w:rPr>
                    <w:t>50t/a</w:t>
                  </w:r>
                </w:p>
              </w:tc>
              <w:tc>
                <w:tcPr>
                  <w:tcW w:w="4474"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val="en-US" w:eastAsia="zh-CN"/>
                    </w:rPr>
                  </w:pPr>
                  <w:r>
                    <w:rPr>
                      <w:rFonts w:hint="eastAsia"/>
                      <w:sz w:val="21"/>
                      <w:szCs w:val="21"/>
                      <w:lang w:val="en-US" w:eastAsia="zh-CN"/>
                    </w:rPr>
                    <w:t>外购成品，汽运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2" w:type="dxa"/>
                  <w:vMerge w:val="restar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eastAsia="zh-CN"/>
                    </w:rPr>
                  </w:pPr>
                  <w:r>
                    <w:rPr>
                      <w:rFonts w:hint="eastAsia"/>
                      <w:sz w:val="21"/>
                      <w:szCs w:val="21"/>
                      <w:lang w:val="en-US" w:eastAsia="zh-CN"/>
                    </w:rPr>
                    <w:t>辅料</w:t>
                  </w:r>
                </w:p>
              </w:tc>
              <w:tc>
                <w:tcPr>
                  <w:tcW w:w="2018"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配料</w:t>
                  </w:r>
                </w:p>
              </w:tc>
              <w:tc>
                <w:tcPr>
                  <w:tcW w:w="1950"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12t/a</w:t>
                  </w:r>
                </w:p>
              </w:tc>
              <w:tc>
                <w:tcPr>
                  <w:tcW w:w="4474"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外购、袋装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2" w:type="dxa"/>
                  <w:vMerge w:val="continue"/>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eastAsia="zh-CN"/>
                    </w:rPr>
                  </w:pPr>
                </w:p>
              </w:tc>
              <w:tc>
                <w:tcPr>
                  <w:tcW w:w="2018"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粽子叶</w:t>
                  </w:r>
                </w:p>
              </w:tc>
              <w:tc>
                <w:tcPr>
                  <w:tcW w:w="1950"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0.5t/a</w:t>
                  </w:r>
                </w:p>
              </w:tc>
              <w:tc>
                <w:tcPr>
                  <w:tcW w:w="4474"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外购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2" w:type="dxa"/>
                  <w:vMerge w:val="continue"/>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eastAsia="zh-CN"/>
                    </w:rPr>
                  </w:pPr>
                </w:p>
              </w:tc>
              <w:tc>
                <w:tcPr>
                  <w:tcW w:w="2018"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val="en-US" w:eastAsia="zh-CN"/>
                    </w:rPr>
                  </w:pPr>
                  <w:r>
                    <w:rPr>
                      <w:rFonts w:hint="eastAsia"/>
                      <w:sz w:val="21"/>
                      <w:szCs w:val="21"/>
                      <w:lang w:val="en-US" w:eastAsia="zh-CN"/>
                    </w:rPr>
                    <w:t>包装袋</w:t>
                  </w:r>
                </w:p>
              </w:tc>
              <w:tc>
                <w:tcPr>
                  <w:tcW w:w="1950"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val="en-US" w:eastAsia="zh-CN"/>
                    </w:rPr>
                  </w:pPr>
                  <w:r>
                    <w:rPr>
                      <w:rFonts w:hint="eastAsia"/>
                      <w:sz w:val="21"/>
                      <w:szCs w:val="21"/>
                      <w:lang w:val="en-US" w:eastAsia="zh-CN"/>
                    </w:rPr>
                    <w:t>12万个/a</w:t>
                  </w:r>
                </w:p>
              </w:tc>
              <w:tc>
                <w:tcPr>
                  <w:tcW w:w="4474"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eastAsia="zh-CN"/>
                    </w:rPr>
                  </w:pPr>
                  <w:r>
                    <w:rPr>
                      <w:rFonts w:hint="eastAsia"/>
                      <w:sz w:val="21"/>
                      <w:szCs w:val="21"/>
                      <w:lang w:val="en-US" w:eastAsia="zh-CN"/>
                    </w:rPr>
                    <w:t>外购、袋装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2" w:type="dxa"/>
                  <w:vMerge w:val="continue"/>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eastAsia="zh-CN"/>
                    </w:rPr>
                  </w:pPr>
                </w:p>
              </w:tc>
              <w:tc>
                <w:tcPr>
                  <w:tcW w:w="2018"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sz w:val="21"/>
                      <w:szCs w:val="21"/>
                      <w:lang w:val="en-US" w:eastAsia="zh-CN"/>
                    </w:rPr>
                  </w:pPr>
                  <w:r>
                    <w:rPr>
                      <w:rFonts w:hint="eastAsia"/>
                      <w:sz w:val="21"/>
                      <w:szCs w:val="21"/>
                      <w:lang w:val="en-US" w:eastAsia="zh-CN"/>
                    </w:rPr>
                    <w:t>R22制冷剂</w:t>
                  </w:r>
                </w:p>
              </w:tc>
              <w:tc>
                <w:tcPr>
                  <w:tcW w:w="1950"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sz w:val="21"/>
                      <w:szCs w:val="21"/>
                      <w:lang w:val="en-US" w:eastAsia="zh-CN"/>
                    </w:rPr>
                  </w:pPr>
                  <w:r>
                    <w:rPr>
                      <w:rFonts w:hint="eastAsia"/>
                      <w:sz w:val="21"/>
                      <w:szCs w:val="21"/>
                      <w:lang w:val="en-US" w:eastAsia="zh-CN"/>
                    </w:rPr>
                    <w:t>0.1135t</w:t>
                  </w:r>
                </w:p>
              </w:tc>
              <w:tc>
                <w:tcPr>
                  <w:tcW w:w="4474" w:type="dxa"/>
                  <w:vMerge w:val="restar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sz w:val="21"/>
                      <w:szCs w:val="21"/>
                      <w:lang w:val="en-US" w:eastAsia="zh-CN"/>
                    </w:rPr>
                  </w:pPr>
                  <w:r>
                    <w:rPr>
                      <w:rFonts w:hint="eastAsia"/>
                      <w:sz w:val="21"/>
                      <w:szCs w:val="21"/>
                      <w:lang w:val="en-US" w:eastAsia="zh-CN"/>
                    </w:rPr>
                    <w:t>外购，罐装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2" w:type="dxa"/>
                  <w:vMerge w:val="continue"/>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eastAsia="zh-CN"/>
                    </w:rPr>
                  </w:pPr>
                </w:p>
              </w:tc>
              <w:tc>
                <w:tcPr>
                  <w:tcW w:w="2018"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sz w:val="21"/>
                      <w:szCs w:val="21"/>
                      <w:lang w:val="en-US" w:eastAsia="zh-CN"/>
                    </w:rPr>
                  </w:pPr>
                  <w:r>
                    <w:rPr>
                      <w:rFonts w:hint="eastAsia"/>
                      <w:sz w:val="21"/>
                      <w:szCs w:val="21"/>
                      <w:lang w:val="en-US" w:eastAsia="zh-CN"/>
                    </w:rPr>
                    <w:t>R404a制冷剂</w:t>
                  </w:r>
                </w:p>
              </w:tc>
              <w:tc>
                <w:tcPr>
                  <w:tcW w:w="1950"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sz w:val="21"/>
                      <w:szCs w:val="21"/>
                      <w:lang w:val="en-US" w:eastAsia="zh-CN"/>
                    </w:rPr>
                  </w:pPr>
                  <w:r>
                    <w:rPr>
                      <w:rFonts w:hint="eastAsia"/>
                      <w:sz w:val="21"/>
                      <w:szCs w:val="21"/>
                      <w:lang w:val="en-US" w:eastAsia="zh-CN"/>
                    </w:rPr>
                    <w:t>0.1362t</w:t>
                  </w:r>
                </w:p>
              </w:tc>
              <w:tc>
                <w:tcPr>
                  <w:tcW w:w="4474" w:type="dxa"/>
                  <w:vMerge w:val="continue"/>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2" w:type="dxa"/>
                  <w:vMerge w:val="continue"/>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eastAsia="zh-CN"/>
                    </w:rPr>
                  </w:pPr>
                </w:p>
              </w:tc>
              <w:tc>
                <w:tcPr>
                  <w:tcW w:w="2018"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val="en-US" w:eastAsia="zh-CN"/>
                    </w:rPr>
                  </w:pPr>
                  <w:r>
                    <w:rPr>
                      <w:rFonts w:hint="eastAsia"/>
                      <w:sz w:val="21"/>
                      <w:szCs w:val="21"/>
                      <w:lang w:val="en-US" w:eastAsia="zh-CN"/>
                    </w:rPr>
                    <w:t>电</w:t>
                  </w:r>
                </w:p>
              </w:tc>
              <w:tc>
                <w:tcPr>
                  <w:tcW w:w="1950"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val="en-US" w:eastAsia="zh-CN"/>
                    </w:rPr>
                  </w:pPr>
                  <w:r>
                    <w:rPr>
                      <w:rFonts w:hint="eastAsia"/>
                      <w:sz w:val="21"/>
                      <w:szCs w:val="21"/>
                      <w:lang w:val="en-US" w:eastAsia="zh-CN"/>
                    </w:rPr>
                    <w:t>5万kwh/a</w:t>
                  </w:r>
                </w:p>
              </w:tc>
              <w:tc>
                <w:tcPr>
                  <w:tcW w:w="4474"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eastAsia="zh-CN"/>
                    </w:rPr>
                  </w:pPr>
                  <w:r>
                    <w:rPr>
                      <w:rFonts w:hint="eastAsia"/>
                      <w:sz w:val="21"/>
                      <w:szCs w:val="21"/>
                      <w:lang w:eastAsia="zh-CN"/>
                    </w:rPr>
                    <w:t>依托厂区现有变压器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2" w:type="dxa"/>
                  <w:vMerge w:val="continue"/>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eastAsia="zh-CN"/>
                    </w:rPr>
                  </w:pPr>
                </w:p>
              </w:tc>
              <w:tc>
                <w:tcPr>
                  <w:tcW w:w="2018"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val="en-US" w:eastAsia="zh-CN"/>
                    </w:rPr>
                  </w:pPr>
                  <w:r>
                    <w:rPr>
                      <w:rFonts w:hint="eastAsia"/>
                      <w:sz w:val="21"/>
                      <w:szCs w:val="21"/>
                      <w:lang w:val="en-US" w:eastAsia="zh-CN"/>
                    </w:rPr>
                    <w:t>水</w:t>
                  </w:r>
                </w:p>
              </w:tc>
              <w:tc>
                <w:tcPr>
                  <w:tcW w:w="1950"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val="en-US" w:eastAsia="zh-CN"/>
                    </w:rPr>
                  </w:pPr>
                  <w:r>
                    <w:rPr>
                      <w:rFonts w:hint="eastAsia"/>
                      <w:sz w:val="21"/>
                      <w:szCs w:val="21"/>
                      <w:lang w:val="en-US" w:eastAsia="zh-CN"/>
                    </w:rPr>
                    <w:t>800t/a</w:t>
                  </w:r>
                </w:p>
              </w:tc>
              <w:tc>
                <w:tcPr>
                  <w:tcW w:w="4474" w:type="dxa"/>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sz w:val="21"/>
                      <w:szCs w:val="21"/>
                      <w:lang w:eastAsia="zh-CN"/>
                    </w:rPr>
                  </w:pPr>
                  <w:r>
                    <w:rPr>
                      <w:rFonts w:hint="eastAsia"/>
                      <w:sz w:val="21"/>
                      <w:szCs w:val="21"/>
                      <w:lang w:eastAsia="zh-CN"/>
                    </w:rPr>
                    <w:t>自来水公司供水</w:t>
                  </w:r>
                </w:p>
              </w:tc>
            </w:tr>
          </w:tbl>
          <w:p>
            <w:pPr>
              <w:pStyle w:val="4"/>
              <w:spacing w:line="520" w:lineRule="exact"/>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项目主要原辅材料理化性质见下表：</w:t>
            </w:r>
          </w:p>
          <w:p>
            <w:pPr>
              <w:pStyle w:val="4"/>
              <w:spacing w:line="520" w:lineRule="exact"/>
              <w:jc w:val="center"/>
              <w:rPr>
                <w:rFonts w:hint="default" w:ascii="Times New Roman" w:hAnsi="Times New Roman" w:cs="Times New Roman"/>
                <w:b/>
                <w:bCs/>
                <w:sz w:val="24"/>
                <w:szCs w:val="24"/>
              </w:rPr>
            </w:pPr>
            <w:r>
              <w:rPr>
                <w:rFonts w:hint="default" w:ascii="Times New Roman" w:hAnsi="Times New Roman" w:cs="Times New Roman"/>
                <w:b/>
                <w:bCs/>
                <w:sz w:val="24"/>
                <w:szCs w:val="24"/>
              </w:rPr>
              <w:t>原辅材料理化性质一览表</w:t>
            </w:r>
          </w:p>
          <w:tbl>
            <w:tblPr>
              <w:tblStyle w:val="12"/>
              <w:tblW w:w="891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36"/>
              <w:gridCol w:w="737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2" w:hRule="atLeast"/>
                <w:jc w:val="center"/>
              </w:trPr>
              <w:tc>
                <w:tcPr>
                  <w:tcW w:w="1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b w:val="0"/>
                      <w:bCs w:val="0"/>
                      <w:sz w:val="21"/>
                      <w:szCs w:val="21"/>
                    </w:rPr>
                  </w:pPr>
                  <w:r>
                    <w:rPr>
                      <w:rFonts w:hint="default" w:ascii="Times New Roman" w:hAnsi="Times New Roman" w:cs="Times New Roman"/>
                      <w:sz w:val="21"/>
                      <w:szCs w:val="21"/>
                    </w:rPr>
                    <w:t>原料名</w:t>
                  </w:r>
                </w:p>
              </w:tc>
              <w:tc>
                <w:tcPr>
                  <w:tcW w:w="737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b w:val="0"/>
                      <w:bCs w:val="0"/>
                      <w:sz w:val="21"/>
                      <w:szCs w:val="21"/>
                    </w:rPr>
                  </w:pPr>
                  <w:r>
                    <w:rPr>
                      <w:rFonts w:hint="default" w:ascii="Times New Roman" w:hAnsi="Times New Roman" w:cs="Times New Roman"/>
                      <w:sz w:val="21"/>
                      <w:szCs w:val="21"/>
                    </w:rPr>
                    <w:t>原料理化性质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20" w:hRule="atLeast"/>
                <w:jc w:val="center"/>
              </w:trPr>
              <w:tc>
                <w:tcPr>
                  <w:tcW w:w="1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 w:val="0"/>
                      <w:bCs w:val="0"/>
                      <w:sz w:val="21"/>
                      <w:szCs w:val="21"/>
                      <w:highlight w:val="none"/>
                      <w:lang w:val="en-US" w:eastAsia="zh-CN"/>
                    </w:rPr>
                  </w:pPr>
                  <w:r>
                    <w:rPr>
                      <w:rFonts w:hint="eastAsia" w:cs="Times New Roman"/>
                      <w:sz w:val="21"/>
                      <w:szCs w:val="21"/>
                      <w:lang w:val="en-US" w:eastAsia="zh-CN"/>
                    </w:rPr>
                    <w:t>R22制冷剂</w:t>
                  </w:r>
                </w:p>
              </w:tc>
              <w:tc>
                <w:tcPr>
                  <w:tcW w:w="737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left"/>
                    <w:textAlignment w:val="auto"/>
                    <w:rPr>
                      <w:rFonts w:hint="eastAsia" w:ascii="Times New Roman" w:hAnsi="Times New Roman" w:eastAsia="宋体" w:cs="Times New Roman"/>
                      <w:b w:val="0"/>
                      <w:bCs w:val="0"/>
                      <w:sz w:val="21"/>
                      <w:szCs w:val="21"/>
                      <w:highlight w:val="none"/>
                      <w:lang w:eastAsia="zh-CN"/>
                    </w:rPr>
                  </w:pPr>
                  <w:r>
                    <w:rPr>
                      <w:rFonts w:hint="eastAsia" w:cs="Times New Roman"/>
                      <w:sz w:val="21"/>
                      <w:szCs w:val="21"/>
                      <w:lang w:val="en-US" w:eastAsia="zh-CN"/>
                    </w:rPr>
                    <w:t>R22化学名称二氟一氯甲烷</w:t>
                  </w:r>
                  <w:r>
                    <w:rPr>
                      <w:rFonts w:hint="default" w:ascii="Times New Roman" w:hAnsi="Times New Roman" w:eastAsia="宋体" w:cs="Times New Roman"/>
                      <w:sz w:val="21"/>
                      <w:szCs w:val="21"/>
                      <w:lang w:val="en-US" w:eastAsia="zh-CN"/>
                    </w:rPr>
                    <w:t>，沸点</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40.8℃</w:t>
                  </w:r>
                  <w:r>
                    <w:rPr>
                      <w:rFonts w:hint="eastAsia" w:cs="Times New Roman"/>
                      <w:sz w:val="21"/>
                      <w:szCs w:val="21"/>
                      <w:lang w:val="en-US" w:eastAsia="zh-CN"/>
                    </w:rPr>
                    <w:t>，根据《建设项目环境风险评价技术导则》（HJ16-2018）附录B，该制冷剂不属于突发环境事件风险物质。R22制冷剂作为当今使用最广泛的中低温制冷剂，主要应用于家用空调、商用空调、中央空调、移动空调、热泵热水器、除湿机、冷冻式干燥器、冷库、食品冷冻设备、船用制冷设备、工业制冷、商业制冷，冷冻冷凝机组、超市陈列展示柜等制冷设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20" w:hRule="atLeast"/>
                <w:jc w:val="center"/>
              </w:trPr>
              <w:tc>
                <w:tcPr>
                  <w:tcW w:w="1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cs="Times New Roman"/>
                      <w:sz w:val="21"/>
                      <w:szCs w:val="21"/>
                      <w:lang w:val="en-US" w:eastAsia="zh-CN"/>
                    </w:rPr>
                  </w:pPr>
                  <w:r>
                    <w:rPr>
                      <w:rFonts w:hint="eastAsia" w:cs="Times New Roman"/>
                      <w:sz w:val="21"/>
                      <w:szCs w:val="21"/>
                      <w:lang w:val="en-US" w:eastAsia="zh-CN"/>
                    </w:rPr>
                    <w:t>R404a制冷剂</w:t>
                  </w:r>
                </w:p>
              </w:tc>
              <w:tc>
                <w:tcPr>
                  <w:tcW w:w="737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left"/>
                    <w:textAlignment w:val="auto"/>
                    <w:rPr>
                      <w:rFonts w:hint="eastAsia" w:eastAsia="宋体" w:cs="Times New Roman"/>
                      <w:b w:val="0"/>
                      <w:bCs w:val="0"/>
                      <w:sz w:val="21"/>
                      <w:szCs w:val="21"/>
                      <w:highlight w:val="none"/>
                      <w:lang w:eastAsia="zh-CN"/>
                    </w:rPr>
                  </w:pPr>
                  <w:r>
                    <w:rPr>
                      <w:rFonts w:hint="eastAsia" w:ascii="Arial" w:hAnsi="Arial" w:eastAsia="宋体" w:cs="Arial"/>
                      <w:i w:val="0"/>
                      <w:caps w:val="0"/>
                      <w:color w:val="333333"/>
                      <w:spacing w:val="0"/>
                      <w:sz w:val="21"/>
                      <w:szCs w:val="21"/>
                      <w:shd w:val="clear" w:fill="FFFFFF"/>
                    </w:rPr>
                    <w:t>R404A由</w:t>
                  </w:r>
                  <w:r>
                    <w:rPr>
                      <w:rFonts w:hint="eastAsia" w:ascii="Arial" w:hAnsi="Arial" w:eastAsia="宋体" w:cs="Arial"/>
                      <w:i w:val="0"/>
                      <w:caps w:val="0"/>
                      <w:color w:val="333333"/>
                      <w:spacing w:val="0"/>
                      <w:sz w:val="21"/>
                      <w:szCs w:val="21"/>
                      <w:shd w:val="clear" w:fill="FFFFFF"/>
                      <w:lang w:eastAsia="zh-CN"/>
                    </w:rPr>
                    <w:t>五氟乙烷、三氟乙烷及四氟乙烷</w:t>
                  </w:r>
                  <w:r>
                    <w:rPr>
                      <w:rFonts w:hint="eastAsia" w:ascii="Arial" w:hAnsi="Arial" w:eastAsia="宋体" w:cs="Arial"/>
                      <w:i w:val="0"/>
                      <w:caps w:val="0"/>
                      <w:color w:val="333333"/>
                      <w:spacing w:val="0"/>
                      <w:sz w:val="21"/>
                      <w:szCs w:val="21"/>
                      <w:shd w:val="clear" w:fill="FFFFFF"/>
                    </w:rPr>
                    <w:t>混合而成，比例为R404A =44% R125+4%R134A+52%143A</w:t>
                  </w:r>
                  <w:r>
                    <w:rPr>
                      <w:rFonts w:hint="eastAsia" w:ascii="Arial" w:hAnsi="Arial" w:eastAsia="宋体" w:cs="Arial"/>
                      <w:i w:val="0"/>
                      <w:caps w:val="0"/>
                      <w:color w:val="333333"/>
                      <w:spacing w:val="0"/>
                      <w:sz w:val="21"/>
                      <w:szCs w:val="21"/>
                      <w:shd w:val="clear" w:fill="FFFFFF"/>
                      <w:lang w:eastAsia="zh-CN"/>
                    </w:rPr>
                    <w:t>，沸点—</w:t>
                  </w:r>
                  <w:r>
                    <w:rPr>
                      <w:rFonts w:hint="eastAsia" w:ascii="Arial" w:hAnsi="Arial" w:eastAsia="宋体" w:cs="Arial"/>
                      <w:i w:val="0"/>
                      <w:caps w:val="0"/>
                      <w:color w:val="333333"/>
                      <w:spacing w:val="0"/>
                      <w:sz w:val="21"/>
                      <w:szCs w:val="21"/>
                      <w:shd w:val="clear" w:fill="FFFFFF"/>
                      <w:lang w:val="en-US" w:eastAsia="zh-CN"/>
                    </w:rPr>
                    <w:t>46.1</w:t>
                  </w:r>
                  <w:r>
                    <w:rPr>
                      <w:rFonts w:hint="default" w:ascii="Times New Roman" w:hAnsi="Times New Roman" w:eastAsia="宋体" w:cs="Times New Roman"/>
                      <w:sz w:val="21"/>
                      <w:szCs w:val="21"/>
                      <w:lang w:val="en-US" w:eastAsia="zh-CN"/>
                    </w:rPr>
                    <w:t>℃</w:t>
                  </w:r>
                  <w:r>
                    <w:rPr>
                      <w:rFonts w:hint="eastAsia" w:ascii="Arial" w:hAnsi="Arial" w:eastAsia="宋体" w:cs="Arial"/>
                      <w:i w:val="0"/>
                      <w:caps w:val="0"/>
                      <w:color w:val="333333"/>
                      <w:spacing w:val="0"/>
                      <w:sz w:val="21"/>
                      <w:szCs w:val="21"/>
                      <w:shd w:val="clear" w:fill="FFFFFF"/>
                    </w:rPr>
                    <w:t>。在常温下为无色气体，在自身压力下为无色透明液体，R-404A适用于中低温的新型商用制冷设备、交通运输制冷设备或更新设备。</w:t>
                  </w:r>
                  <w:r>
                    <w:rPr>
                      <w:rFonts w:hint="eastAsia" w:ascii="Arial" w:hAnsi="Arial" w:eastAsia="宋体" w:cs="Arial"/>
                      <w:i w:val="0"/>
                      <w:caps w:val="0"/>
                      <w:color w:val="333333"/>
                      <w:spacing w:val="0"/>
                      <w:sz w:val="21"/>
                      <w:szCs w:val="21"/>
                      <w:shd w:val="clear" w:fill="FFFFFF"/>
                      <w:lang w:eastAsia="zh-CN"/>
                    </w:rPr>
                    <w:t>该制冷剂为目前主流低温环保制冷剂。根据</w:t>
                  </w:r>
                  <w:r>
                    <w:rPr>
                      <w:rFonts w:hint="eastAsia" w:cs="Times New Roman"/>
                      <w:sz w:val="21"/>
                      <w:szCs w:val="21"/>
                      <w:lang w:val="en-US" w:eastAsia="zh-CN"/>
                    </w:rPr>
                    <w:t>《建设项目环境风险评价技术导则》（HJ16-2018）附录B，该制冷剂不属于突发环境事件风险物质。</w:t>
                  </w:r>
                </w:p>
              </w:tc>
            </w:tr>
          </w:tbl>
          <w:p>
            <w:pPr>
              <w:spacing w:line="520" w:lineRule="exact"/>
              <w:rPr>
                <w:b/>
                <w:sz w:val="24"/>
              </w:rPr>
            </w:pPr>
            <w:r>
              <w:rPr>
                <w:rFonts w:hint="eastAsia"/>
                <w:b/>
                <w:sz w:val="24"/>
                <w:lang w:eastAsia="zh-CN"/>
              </w:rPr>
              <w:t>五</w:t>
            </w:r>
            <w:r>
              <w:rPr>
                <w:b/>
                <w:sz w:val="24"/>
              </w:rPr>
              <w:t>、主要</w:t>
            </w:r>
            <w:r>
              <w:rPr>
                <w:rFonts w:hint="eastAsia"/>
                <w:b/>
                <w:sz w:val="24"/>
                <w:lang w:eastAsia="zh-CN"/>
              </w:rPr>
              <w:t>生产</w:t>
            </w:r>
            <w:r>
              <w:rPr>
                <w:b/>
                <w:sz w:val="24"/>
              </w:rPr>
              <w:t>设备</w:t>
            </w:r>
          </w:p>
          <w:p>
            <w:pPr>
              <w:spacing w:line="520" w:lineRule="exact"/>
              <w:ind w:firstLine="475" w:firstLineChars="198"/>
              <w:rPr>
                <w:sz w:val="24"/>
              </w:rPr>
            </w:pPr>
            <w:r>
              <w:rPr>
                <w:sz w:val="24"/>
              </w:rPr>
              <w:t>该项目的主要生产设备见下表：</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黑体" w:hAnsi="黑体" w:eastAsia="黑体" w:cs="黑体"/>
                <w:bCs/>
                <w:sz w:val="24"/>
              </w:rPr>
            </w:pPr>
            <w:r>
              <w:rPr>
                <w:rFonts w:hint="eastAsia" w:ascii="黑体" w:hAnsi="黑体" w:eastAsia="黑体" w:cs="黑体"/>
                <w:bCs/>
                <w:sz w:val="24"/>
              </w:rPr>
              <w:t>项目设备一览表</w:t>
            </w:r>
          </w:p>
          <w:tbl>
            <w:tblPr>
              <w:tblStyle w:val="12"/>
              <w:tblW w:w="940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4"/>
              <w:gridCol w:w="1635"/>
              <w:gridCol w:w="1455"/>
              <w:gridCol w:w="1455"/>
              <w:gridCol w:w="41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tblHeader/>
                <w:jc w:val="center"/>
              </w:trPr>
              <w:tc>
                <w:tcPr>
                  <w:tcW w:w="664" w:type="dxa"/>
                  <w:tcBorders>
                    <w:tl2br w:val="nil"/>
                    <w:tr2bl w:val="nil"/>
                  </w:tcBorders>
                  <w:vAlign w:val="center"/>
                </w:tcPr>
                <w:p>
                  <w:pPr>
                    <w:pStyle w:val="17"/>
                    <w:keepLines w:val="0"/>
                    <w:pageBreakBefore w:val="0"/>
                    <w:widowControl w:val="0"/>
                    <w:kinsoku/>
                    <w:wordWrap/>
                    <w:overflowPunct/>
                    <w:topLinePunct w:val="0"/>
                    <w:autoSpaceDE/>
                    <w:autoSpaceDN/>
                    <w:bidi w:val="0"/>
                    <w:snapToGrid/>
                    <w:spacing w:line="240" w:lineRule="exact"/>
                    <w:ind w:firstLine="0" w:firstLineChars="0"/>
                    <w:rPr>
                      <w:sz w:val="21"/>
                    </w:rPr>
                  </w:pPr>
                  <w:r>
                    <w:rPr>
                      <w:sz w:val="21"/>
                    </w:rPr>
                    <w:t>序号</w:t>
                  </w:r>
                </w:p>
              </w:tc>
              <w:tc>
                <w:tcPr>
                  <w:tcW w:w="1635" w:type="dxa"/>
                  <w:tcBorders>
                    <w:tl2br w:val="nil"/>
                    <w:tr2bl w:val="nil"/>
                  </w:tcBorders>
                  <w:vAlign w:val="center"/>
                </w:tcPr>
                <w:p>
                  <w:pPr>
                    <w:pStyle w:val="17"/>
                    <w:keepLines w:val="0"/>
                    <w:pageBreakBefore w:val="0"/>
                    <w:widowControl w:val="0"/>
                    <w:kinsoku/>
                    <w:wordWrap/>
                    <w:overflowPunct/>
                    <w:topLinePunct w:val="0"/>
                    <w:autoSpaceDE/>
                    <w:autoSpaceDN/>
                    <w:bidi w:val="0"/>
                    <w:snapToGrid/>
                    <w:spacing w:line="240" w:lineRule="exact"/>
                    <w:ind w:firstLine="0" w:firstLineChars="0"/>
                    <w:rPr>
                      <w:sz w:val="21"/>
                    </w:rPr>
                  </w:pPr>
                  <w:r>
                    <w:rPr>
                      <w:sz w:val="21"/>
                    </w:rPr>
                    <w:t>设备名称</w:t>
                  </w:r>
                </w:p>
              </w:tc>
              <w:tc>
                <w:tcPr>
                  <w:tcW w:w="145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kern w:val="0"/>
                      <w:szCs w:val="21"/>
                    </w:rPr>
                  </w:pPr>
                  <w:r>
                    <w:rPr>
                      <w:rFonts w:hint="eastAsia"/>
                      <w:kern w:val="0"/>
                      <w:szCs w:val="21"/>
                      <w:lang w:eastAsia="zh-CN"/>
                    </w:rPr>
                    <w:t>规格</w:t>
                  </w:r>
                  <w:r>
                    <w:rPr>
                      <w:rFonts w:hint="eastAsia"/>
                      <w:kern w:val="0"/>
                      <w:szCs w:val="21"/>
                      <w:lang w:val="en-US" w:eastAsia="zh-CN"/>
                    </w:rPr>
                    <w:t>/</w:t>
                  </w:r>
                  <w:r>
                    <w:rPr>
                      <w:kern w:val="0"/>
                      <w:szCs w:val="21"/>
                    </w:rPr>
                    <w:t>型号</w:t>
                  </w:r>
                </w:p>
              </w:tc>
              <w:tc>
                <w:tcPr>
                  <w:tcW w:w="145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kern w:val="0"/>
                      <w:szCs w:val="21"/>
                    </w:rPr>
                  </w:pPr>
                  <w:r>
                    <w:rPr>
                      <w:kern w:val="0"/>
                      <w:szCs w:val="21"/>
                    </w:rPr>
                    <w:t>数量（台</w:t>
                  </w:r>
                  <w:r>
                    <w:rPr>
                      <w:rFonts w:hint="eastAsia"/>
                      <w:kern w:val="0"/>
                      <w:szCs w:val="21"/>
                    </w:rPr>
                    <w:t>/套</w:t>
                  </w:r>
                  <w:r>
                    <w:rPr>
                      <w:kern w:val="0"/>
                      <w:szCs w:val="21"/>
                    </w:rPr>
                    <w:t>）</w:t>
                  </w:r>
                </w:p>
              </w:tc>
              <w:tc>
                <w:tcPr>
                  <w:tcW w:w="4192"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kern w:val="0"/>
                      <w:szCs w:val="21"/>
                    </w:rPr>
                  </w:pPr>
                  <w:r>
                    <w:rPr>
                      <w:kern w:val="0"/>
                      <w:szCs w:val="21"/>
                    </w:rPr>
                    <w:t>作用及用途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664"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szCs w:val="21"/>
                    </w:rPr>
                  </w:pPr>
                  <w:r>
                    <w:rPr>
                      <w:rFonts w:hint="eastAsia"/>
                      <w:szCs w:val="21"/>
                    </w:rPr>
                    <w:t>1</w:t>
                  </w:r>
                </w:p>
              </w:tc>
              <w:tc>
                <w:tcPr>
                  <w:tcW w:w="163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eastAsia="宋体"/>
                      <w:szCs w:val="21"/>
                      <w:lang w:eastAsia="zh-CN"/>
                    </w:rPr>
                  </w:pPr>
                  <w:r>
                    <w:rPr>
                      <w:rFonts w:hint="eastAsia"/>
                      <w:szCs w:val="21"/>
                      <w:lang w:eastAsia="zh-CN"/>
                    </w:rPr>
                    <w:t>和面机</w:t>
                  </w:r>
                </w:p>
              </w:tc>
              <w:tc>
                <w:tcPr>
                  <w:tcW w:w="145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eastAsia="宋体"/>
                      <w:szCs w:val="21"/>
                      <w:lang w:val="en-US" w:eastAsia="zh-CN"/>
                    </w:rPr>
                  </w:pPr>
                  <w:r>
                    <w:rPr>
                      <w:rFonts w:hint="eastAsia"/>
                      <w:szCs w:val="21"/>
                      <w:lang w:val="en-US" w:eastAsia="zh-CN"/>
                    </w:rPr>
                    <w:t>/</w:t>
                  </w:r>
                </w:p>
              </w:tc>
              <w:tc>
                <w:tcPr>
                  <w:tcW w:w="1455" w:type="dxa"/>
                  <w:tcBorders>
                    <w:bottom w:val="single" w:color="auto" w:sz="4" w:space="0"/>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eastAsia="宋体"/>
                      <w:szCs w:val="21"/>
                      <w:lang w:val="en-US" w:eastAsia="zh-CN"/>
                    </w:rPr>
                  </w:pPr>
                  <w:r>
                    <w:rPr>
                      <w:rFonts w:hint="eastAsia"/>
                      <w:szCs w:val="21"/>
                      <w:lang w:val="en-US" w:eastAsia="zh-CN"/>
                    </w:rPr>
                    <w:t>2</w:t>
                  </w:r>
                </w:p>
              </w:tc>
              <w:tc>
                <w:tcPr>
                  <w:tcW w:w="4192" w:type="dxa"/>
                  <w:tcBorders>
                    <w:bottom w:val="single" w:color="auto" w:sz="4" w:space="0"/>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eastAsia="宋体"/>
                      <w:szCs w:val="21"/>
                      <w:lang w:val="en-US" w:eastAsia="zh-CN"/>
                    </w:rPr>
                  </w:pPr>
                  <w:r>
                    <w:rPr>
                      <w:rFonts w:hint="eastAsia"/>
                      <w:szCs w:val="21"/>
                      <w:lang w:val="en-US" w:eastAsia="zh-CN"/>
                    </w:rPr>
                    <w:t>用于和制面团或糯米粉团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664"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szCs w:val="21"/>
                    </w:rPr>
                  </w:pPr>
                  <w:r>
                    <w:rPr>
                      <w:rFonts w:hint="eastAsia"/>
                      <w:szCs w:val="21"/>
                    </w:rPr>
                    <w:t>2</w:t>
                  </w:r>
                </w:p>
              </w:tc>
              <w:tc>
                <w:tcPr>
                  <w:tcW w:w="163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eastAsia="宋体"/>
                      <w:szCs w:val="21"/>
                      <w:lang w:eastAsia="zh-CN"/>
                    </w:rPr>
                  </w:pPr>
                  <w:r>
                    <w:rPr>
                      <w:rFonts w:hint="eastAsia"/>
                      <w:szCs w:val="21"/>
                      <w:lang w:eastAsia="zh-CN"/>
                    </w:rPr>
                    <w:t>切菜机</w:t>
                  </w:r>
                </w:p>
              </w:tc>
              <w:tc>
                <w:tcPr>
                  <w:tcW w:w="145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eastAsia="宋体"/>
                      <w:szCs w:val="21"/>
                      <w:lang w:val="en-US" w:eastAsia="zh-CN"/>
                    </w:rPr>
                  </w:pPr>
                  <w:r>
                    <w:rPr>
                      <w:rFonts w:hint="eastAsia"/>
                      <w:szCs w:val="21"/>
                      <w:lang w:val="en-US" w:eastAsia="zh-CN"/>
                    </w:rPr>
                    <w:t>/</w:t>
                  </w:r>
                </w:p>
              </w:tc>
              <w:tc>
                <w:tcPr>
                  <w:tcW w:w="1455" w:type="dxa"/>
                  <w:tcBorders>
                    <w:top w:val="single" w:color="auto" w:sz="4" w:space="0"/>
                    <w:bottom w:val="single" w:color="auto" w:sz="4" w:space="0"/>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eastAsia="宋体"/>
                      <w:szCs w:val="21"/>
                      <w:lang w:val="en-US" w:eastAsia="zh-CN"/>
                    </w:rPr>
                  </w:pPr>
                  <w:r>
                    <w:rPr>
                      <w:rFonts w:hint="eastAsia"/>
                      <w:szCs w:val="21"/>
                      <w:lang w:val="en-US" w:eastAsia="zh-CN"/>
                    </w:rPr>
                    <w:t>1</w:t>
                  </w:r>
                </w:p>
              </w:tc>
              <w:tc>
                <w:tcPr>
                  <w:tcW w:w="4192" w:type="dxa"/>
                  <w:tcBorders>
                    <w:top w:val="single" w:color="auto" w:sz="4" w:space="0"/>
                    <w:bottom w:val="single" w:color="auto" w:sz="4" w:space="0"/>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eastAsia="宋体"/>
                      <w:szCs w:val="21"/>
                      <w:lang w:eastAsia="zh-CN"/>
                    </w:rPr>
                  </w:pPr>
                  <w:r>
                    <w:rPr>
                      <w:rFonts w:hint="eastAsia"/>
                      <w:szCs w:val="21"/>
                      <w:lang w:eastAsia="zh-CN"/>
                    </w:rPr>
                    <w:t>用于切菜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664"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szCs w:val="21"/>
                    </w:rPr>
                  </w:pPr>
                  <w:r>
                    <w:rPr>
                      <w:rFonts w:hint="eastAsia"/>
                      <w:szCs w:val="21"/>
                    </w:rPr>
                    <w:t>3</w:t>
                  </w:r>
                </w:p>
              </w:tc>
              <w:tc>
                <w:tcPr>
                  <w:tcW w:w="163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eastAsia="宋体"/>
                      <w:szCs w:val="21"/>
                      <w:lang w:val="en-US" w:eastAsia="zh-CN"/>
                    </w:rPr>
                  </w:pPr>
                  <w:r>
                    <w:rPr>
                      <w:rFonts w:hint="eastAsia"/>
                      <w:szCs w:val="21"/>
                      <w:lang w:val="en-US" w:eastAsia="zh-CN"/>
                    </w:rPr>
                    <w:t>绞肉机</w:t>
                  </w:r>
                </w:p>
              </w:tc>
              <w:tc>
                <w:tcPr>
                  <w:tcW w:w="145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eastAsia="宋体"/>
                      <w:szCs w:val="21"/>
                      <w:lang w:val="en-US" w:eastAsia="zh-CN"/>
                    </w:rPr>
                  </w:pPr>
                  <w:r>
                    <w:rPr>
                      <w:rFonts w:hint="eastAsia"/>
                      <w:szCs w:val="21"/>
                      <w:lang w:val="en-US" w:eastAsia="zh-CN"/>
                    </w:rPr>
                    <w:t>/</w:t>
                  </w:r>
                </w:p>
              </w:tc>
              <w:tc>
                <w:tcPr>
                  <w:tcW w:w="1455" w:type="dxa"/>
                  <w:tcBorders>
                    <w:top w:val="single" w:color="auto" w:sz="4" w:space="0"/>
                    <w:bottom w:val="single" w:color="auto" w:sz="4" w:space="0"/>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eastAsia="宋体"/>
                      <w:szCs w:val="21"/>
                      <w:lang w:val="en-US" w:eastAsia="zh-CN"/>
                    </w:rPr>
                  </w:pPr>
                  <w:r>
                    <w:rPr>
                      <w:rFonts w:hint="eastAsia"/>
                      <w:szCs w:val="21"/>
                      <w:lang w:val="en-US" w:eastAsia="zh-CN"/>
                    </w:rPr>
                    <w:t>1</w:t>
                  </w:r>
                </w:p>
              </w:tc>
              <w:tc>
                <w:tcPr>
                  <w:tcW w:w="4192" w:type="dxa"/>
                  <w:tcBorders>
                    <w:top w:val="single" w:color="auto" w:sz="4" w:space="0"/>
                    <w:bottom w:val="single" w:color="auto" w:sz="4" w:space="0"/>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eastAsia="宋体"/>
                      <w:szCs w:val="21"/>
                      <w:lang w:eastAsia="zh-CN"/>
                    </w:rPr>
                  </w:pPr>
                  <w:r>
                    <w:rPr>
                      <w:rFonts w:hint="eastAsia"/>
                      <w:szCs w:val="21"/>
                      <w:lang w:eastAsia="zh-CN"/>
                    </w:rPr>
                    <w:t>用于处理冷鲜肉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57" w:hRule="atLeast"/>
                <w:jc w:val="center"/>
              </w:trPr>
              <w:tc>
                <w:tcPr>
                  <w:tcW w:w="664"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eastAsia="宋体"/>
                      <w:szCs w:val="21"/>
                      <w:lang w:val="en-US" w:eastAsia="zh-CN"/>
                    </w:rPr>
                  </w:pPr>
                  <w:r>
                    <w:rPr>
                      <w:rFonts w:hint="eastAsia"/>
                      <w:szCs w:val="21"/>
                      <w:lang w:val="en-US" w:eastAsia="zh-CN"/>
                    </w:rPr>
                    <w:t>4</w:t>
                  </w:r>
                </w:p>
              </w:tc>
              <w:tc>
                <w:tcPr>
                  <w:tcW w:w="163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eastAsia="宋体"/>
                      <w:szCs w:val="21"/>
                      <w:lang w:eastAsia="zh-CN"/>
                    </w:rPr>
                  </w:pPr>
                  <w:r>
                    <w:rPr>
                      <w:rFonts w:hint="eastAsia"/>
                      <w:szCs w:val="21"/>
                      <w:lang w:eastAsia="zh-CN"/>
                    </w:rPr>
                    <w:t>拌馅机</w:t>
                  </w:r>
                </w:p>
              </w:tc>
              <w:tc>
                <w:tcPr>
                  <w:tcW w:w="145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eastAsia="宋体"/>
                      <w:szCs w:val="21"/>
                      <w:lang w:val="en-US" w:eastAsia="zh-CN"/>
                    </w:rPr>
                  </w:pPr>
                  <w:r>
                    <w:rPr>
                      <w:rFonts w:hint="eastAsia"/>
                      <w:szCs w:val="21"/>
                      <w:lang w:val="en-US" w:eastAsia="zh-CN"/>
                    </w:rPr>
                    <w:t>/</w:t>
                  </w:r>
                </w:p>
              </w:tc>
              <w:tc>
                <w:tcPr>
                  <w:tcW w:w="1455" w:type="dxa"/>
                  <w:tcBorders>
                    <w:top w:val="single" w:color="auto" w:sz="4" w:space="0"/>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szCs w:val="21"/>
                      <w:lang w:val="en-US" w:eastAsia="zh-CN"/>
                    </w:rPr>
                  </w:pPr>
                  <w:r>
                    <w:rPr>
                      <w:rFonts w:hint="eastAsia"/>
                      <w:szCs w:val="21"/>
                      <w:lang w:val="en-US" w:eastAsia="zh-CN"/>
                    </w:rPr>
                    <w:t>1</w:t>
                  </w:r>
                </w:p>
              </w:tc>
              <w:tc>
                <w:tcPr>
                  <w:tcW w:w="4192" w:type="dxa"/>
                  <w:tcBorders>
                    <w:top w:val="single" w:color="auto" w:sz="4" w:space="0"/>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eastAsia="宋体"/>
                      <w:szCs w:val="21"/>
                      <w:lang w:eastAsia="zh-CN"/>
                    </w:rPr>
                  </w:pPr>
                  <w:r>
                    <w:rPr>
                      <w:rFonts w:hint="eastAsia"/>
                      <w:szCs w:val="21"/>
                      <w:lang w:eastAsia="zh-CN"/>
                    </w:rPr>
                    <w:t>用于拌制饺子馅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664"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eastAsia="宋体"/>
                      <w:szCs w:val="21"/>
                      <w:lang w:val="en-US" w:eastAsia="zh-CN"/>
                    </w:rPr>
                  </w:pPr>
                  <w:r>
                    <w:rPr>
                      <w:rFonts w:hint="eastAsia"/>
                      <w:szCs w:val="21"/>
                      <w:lang w:val="en-US" w:eastAsia="zh-CN"/>
                    </w:rPr>
                    <w:t>5</w:t>
                  </w:r>
                </w:p>
              </w:tc>
              <w:tc>
                <w:tcPr>
                  <w:tcW w:w="163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eastAsia="宋体"/>
                      <w:szCs w:val="21"/>
                      <w:lang w:eastAsia="zh-CN"/>
                    </w:rPr>
                  </w:pPr>
                  <w:r>
                    <w:rPr>
                      <w:rFonts w:hint="eastAsia"/>
                      <w:szCs w:val="21"/>
                      <w:lang w:eastAsia="zh-CN"/>
                    </w:rPr>
                    <w:t>饺子成型机</w:t>
                  </w:r>
                </w:p>
              </w:tc>
              <w:tc>
                <w:tcPr>
                  <w:tcW w:w="145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eastAsia="宋体"/>
                      <w:szCs w:val="21"/>
                      <w:lang w:val="en-US" w:eastAsia="zh-CN"/>
                    </w:rPr>
                  </w:pPr>
                  <w:r>
                    <w:rPr>
                      <w:rFonts w:hint="eastAsia"/>
                      <w:szCs w:val="21"/>
                      <w:lang w:val="en-US" w:eastAsia="zh-CN"/>
                    </w:rPr>
                    <w:t>/</w:t>
                  </w:r>
                </w:p>
              </w:tc>
              <w:tc>
                <w:tcPr>
                  <w:tcW w:w="145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szCs w:val="21"/>
                      <w:lang w:val="en-US" w:eastAsia="zh-CN"/>
                    </w:rPr>
                  </w:pPr>
                  <w:r>
                    <w:rPr>
                      <w:rFonts w:hint="eastAsia"/>
                      <w:szCs w:val="21"/>
                      <w:lang w:val="en-US" w:eastAsia="zh-CN"/>
                    </w:rPr>
                    <w:t>1</w:t>
                  </w:r>
                </w:p>
              </w:tc>
              <w:tc>
                <w:tcPr>
                  <w:tcW w:w="4192"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eastAsia="宋体"/>
                      <w:szCs w:val="21"/>
                      <w:lang w:eastAsia="zh-CN"/>
                    </w:rPr>
                  </w:pPr>
                  <w:r>
                    <w:rPr>
                      <w:rFonts w:hint="eastAsia"/>
                      <w:szCs w:val="21"/>
                      <w:lang w:eastAsia="zh-CN"/>
                    </w:rPr>
                    <w:t>用于饺子成型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9" w:hRule="atLeast"/>
                <w:jc w:val="center"/>
              </w:trPr>
              <w:tc>
                <w:tcPr>
                  <w:tcW w:w="664"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szCs w:val="21"/>
                      <w:lang w:val="en-US" w:eastAsia="zh-CN"/>
                    </w:rPr>
                  </w:pPr>
                  <w:r>
                    <w:rPr>
                      <w:rFonts w:hint="eastAsia"/>
                      <w:szCs w:val="21"/>
                      <w:lang w:val="en-US" w:eastAsia="zh-CN"/>
                    </w:rPr>
                    <w:t>6</w:t>
                  </w:r>
                </w:p>
              </w:tc>
              <w:tc>
                <w:tcPr>
                  <w:tcW w:w="163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szCs w:val="21"/>
                      <w:lang w:eastAsia="zh-CN"/>
                    </w:rPr>
                  </w:pPr>
                  <w:r>
                    <w:rPr>
                      <w:rFonts w:hint="eastAsia"/>
                      <w:szCs w:val="21"/>
                      <w:lang w:eastAsia="zh-CN"/>
                    </w:rPr>
                    <w:t>汤圆机</w:t>
                  </w:r>
                </w:p>
              </w:tc>
              <w:tc>
                <w:tcPr>
                  <w:tcW w:w="145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eastAsia="宋体"/>
                      <w:szCs w:val="21"/>
                      <w:lang w:val="en-US" w:eastAsia="zh-CN"/>
                    </w:rPr>
                  </w:pPr>
                  <w:r>
                    <w:rPr>
                      <w:rFonts w:hint="eastAsia"/>
                      <w:szCs w:val="21"/>
                      <w:lang w:val="en-US" w:eastAsia="zh-CN"/>
                    </w:rPr>
                    <w:t>/</w:t>
                  </w:r>
                </w:p>
              </w:tc>
              <w:tc>
                <w:tcPr>
                  <w:tcW w:w="145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szCs w:val="21"/>
                      <w:lang w:val="en-US" w:eastAsia="zh-CN"/>
                    </w:rPr>
                  </w:pPr>
                  <w:r>
                    <w:rPr>
                      <w:rFonts w:hint="eastAsia"/>
                      <w:szCs w:val="21"/>
                      <w:lang w:val="en-US" w:eastAsia="zh-CN"/>
                    </w:rPr>
                    <w:t>1</w:t>
                  </w:r>
                </w:p>
              </w:tc>
              <w:tc>
                <w:tcPr>
                  <w:tcW w:w="4192"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eastAsia="宋体"/>
                      <w:szCs w:val="21"/>
                      <w:lang w:eastAsia="zh-CN"/>
                    </w:rPr>
                  </w:pPr>
                  <w:r>
                    <w:rPr>
                      <w:rFonts w:hint="eastAsia"/>
                      <w:szCs w:val="21"/>
                      <w:lang w:eastAsia="zh-CN"/>
                    </w:rPr>
                    <w:t>用于汤圆成型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664"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szCs w:val="21"/>
                      <w:lang w:val="en-US" w:eastAsia="zh-CN"/>
                    </w:rPr>
                  </w:pPr>
                  <w:r>
                    <w:rPr>
                      <w:rFonts w:hint="eastAsia"/>
                      <w:szCs w:val="21"/>
                      <w:lang w:val="en-US" w:eastAsia="zh-CN"/>
                    </w:rPr>
                    <w:t>7</w:t>
                  </w:r>
                </w:p>
              </w:tc>
              <w:tc>
                <w:tcPr>
                  <w:tcW w:w="163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szCs w:val="21"/>
                      <w:lang w:eastAsia="zh-CN"/>
                    </w:rPr>
                  </w:pPr>
                  <w:r>
                    <w:rPr>
                      <w:rFonts w:hint="eastAsia"/>
                      <w:szCs w:val="21"/>
                      <w:lang w:eastAsia="zh-CN"/>
                    </w:rPr>
                    <w:t>电蒸柜</w:t>
                  </w:r>
                </w:p>
              </w:tc>
              <w:tc>
                <w:tcPr>
                  <w:tcW w:w="145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eastAsia="宋体"/>
                      <w:szCs w:val="21"/>
                      <w:lang w:val="en-US" w:eastAsia="zh-CN"/>
                    </w:rPr>
                  </w:pPr>
                  <w:r>
                    <w:rPr>
                      <w:rFonts w:hint="eastAsia"/>
                      <w:szCs w:val="21"/>
                      <w:lang w:val="en-US" w:eastAsia="zh-CN"/>
                    </w:rPr>
                    <w:t>/</w:t>
                  </w:r>
                </w:p>
              </w:tc>
              <w:tc>
                <w:tcPr>
                  <w:tcW w:w="145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szCs w:val="21"/>
                      <w:lang w:val="en-US" w:eastAsia="zh-CN"/>
                    </w:rPr>
                  </w:pPr>
                  <w:r>
                    <w:rPr>
                      <w:rFonts w:hint="eastAsia"/>
                      <w:szCs w:val="21"/>
                      <w:lang w:val="en-US" w:eastAsia="zh-CN"/>
                    </w:rPr>
                    <w:t>1</w:t>
                  </w:r>
                </w:p>
              </w:tc>
              <w:tc>
                <w:tcPr>
                  <w:tcW w:w="4192"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eastAsia="宋体"/>
                      <w:szCs w:val="21"/>
                      <w:lang w:eastAsia="zh-CN"/>
                    </w:rPr>
                  </w:pPr>
                  <w:r>
                    <w:rPr>
                      <w:rFonts w:hint="eastAsia"/>
                      <w:szCs w:val="21"/>
                      <w:lang w:eastAsia="zh-CN"/>
                    </w:rPr>
                    <w:t>用于粽子蒸制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664"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szCs w:val="21"/>
                      <w:lang w:val="en-US" w:eastAsia="zh-CN"/>
                    </w:rPr>
                  </w:pPr>
                  <w:r>
                    <w:rPr>
                      <w:rFonts w:hint="eastAsia"/>
                      <w:szCs w:val="21"/>
                      <w:lang w:val="en-US" w:eastAsia="zh-CN"/>
                    </w:rPr>
                    <w:t>8</w:t>
                  </w:r>
                </w:p>
              </w:tc>
              <w:tc>
                <w:tcPr>
                  <w:tcW w:w="163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szCs w:val="21"/>
                      <w:lang w:eastAsia="zh-CN"/>
                    </w:rPr>
                  </w:pPr>
                  <w:r>
                    <w:rPr>
                      <w:rFonts w:hint="eastAsia"/>
                      <w:szCs w:val="21"/>
                      <w:lang w:eastAsia="zh-CN"/>
                    </w:rPr>
                    <w:t>冷冻系统</w:t>
                  </w:r>
                </w:p>
              </w:tc>
              <w:tc>
                <w:tcPr>
                  <w:tcW w:w="145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szCs w:val="21"/>
                      <w:lang w:val="en-US" w:eastAsia="zh-CN"/>
                    </w:rPr>
                  </w:pPr>
                  <w:r>
                    <w:rPr>
                      <w:rFonts w:hint="eastAsia"/>
                      <w:szCs w:val="21"/>
                      <w:lang w:val="en-US" w:eastAsia="zh-CN"/>
                    </w:rPr>
                    <w:t>/</w:t>
                  </w:r>
                </w:p>
              </w:tc>
              <w:tc>
                <w:tcPr>
                  <w:tcW w:w="1455"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default"/>
                      <w:szCs w:val="21"/>
                      <w:lang w:val="en-US" w:eastAsia="zh-CN"/>
                    </w:rPr>
                  </w:pPr>
                  <w:r>
                    <w:rPr>
                      <w:rFonts w:hint="eastAsia"/>
                      <w:szCs w:val="21"/>
                      <w:lang w:val="en-US" w:eastAsia="zh-CN"/>
                    </w:rPr>
                    <w:t>1</w:t>
                  </w:r>
                </w:p>
              </w:tc>
              <w:tc>
                <w:tcPr>
                  <w:tcW w:w="4192" w:type="dxa"/>
                  <w:tcBorders>
                    <w:tl2br w:val="nil"/>
                    <w:tr2bl w:val="nil"/>
                  </w:tcBorders>
                  <w:vAlign w:val="center"/>
                </w:tcPr>
                <w:p>
                  <w:pPr>
                    <w:keepLines w:val="0"/>
                    <w:pageBreakBefore w:val="0"/>
                    <w:widowControl w:val="0"/>
                    <w:kinsoku/>
                    <w:wordWrap/>
                    <w:overflowPunct/>
                    <w:topLinePunct w:val="0"/>
                    <w:autoSpaceDE/>
                    <w:autoSpaceDN/>
                    <w:bidi w:val="0"/>
                    <w:snapToGrid/>
                    <w:spacing w:line="240" w:lineRule="exact"/>
                    <w:jc w:val="center"/>
                    <w:rPr>
                      <w:rFonts w:hint="eastAsia"/>
                      <w:szCs w:val="21"/>
                      <w:lang w:eastAsia="zh-CN"/>
                    </w:rPr>
                  </w:pPr>
                  <w:r>
                    <w:rPr>
                      <w:rFonts w:hint="eastAsia"/>
                      <w:szCs w:val="21"/>
                      <w:lang w:eastAsia="zh-CN"/>
                    </w:rPr>
                    <w:t>用于成品速冻及储藏</w:t>
                  </w:r>
                </w:p>
              </w:tc>
            </w:tr>
          </w:tbl>
          <w:p>
            <w:pPr>
              <w:keepNext w:val="0"/>
              <w:keepLines w:val="0"/>
              <w:pageBreakBefore w:val="0"/>
              <w:widowControl w:val="0"/>
              <w:kinsoku/>
              <w:wordWrap/>
              <w:overflowPunct/>
              <w:topLinePunct w:val="0"/>
              <w:autoSpaceDE/>
              <w:autoSpaceDN/>
              <w:bidi w:val="0"/>
              <w:adjustRightInd/>
              <w:spacing w:line="480" w:lineRule="exact"/>
              <w:textAlignment w:val="auto"/>
              <w:rPr>
                <w:rFonts w:hint="eastAsia" w:eastAsia="宋体"/>
                <w:b/>
                <w:sz w:val="24"/>
                <w:lang w:eastAsia="zh-CN"/>
              </w:rPr>
            </w:pPr>
            <w:r>
              <w:rPr>
                <w:b/>
                <w:sz w:val="24"/>
              </w:rPr>
              <w:t>六、</w:t>
            </w:r>
            <w:r>
              <w:rPr>
                <w:rFonts w:hint="eastAsia"/>
                <w:b/>
                <w:sz w:val="24"/>
                <w:lang w:eastAsia="zh-CN"/>
              </w:rPr>
              <w:t>工作制度和劳动定员</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eastAsia="宋体"/>
                <w:sz w:val="24"/>
                <w:highlight w:val="yellow"/>
                <w:lang w:val="en-US" w:eastAsia="zh-CN"/>
              </w:rPr>
            </w:pPr>
            <w:r>
              <w:rPr>
                <w:rFonts w:hint="eastAsia"/>
                <w:sz w:val="24"/>
                <w:highlight w:val="none"/>
                <w:lang w:eastAsia="zh-CN"/>
              </w:rPr>
              <w:t>本项目拟用员工</w:t>
            </w:r>
            <w:r>
              <w:rPr>
                <w:rFonts w:hint="eastAsia"/>
                <w:sz w:val="24"/>
                <w:highlight w:val="none"/>
                <w:lang w:val="en-US" w:eastAsia="zh-CN"/>
              </w:rPr>
              <w:t>30人，一班制生产（8小时/班），年工作300天。</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9781" w:type="dxa"/>
            <w:gridSpan w:val="7"/>
          </w:tcPr>
          <w:p>
            <w:pPr>
              <w:keepNext w:val="0"/>
              <w:keepLines w:val="0"/>
              <w:pageBreakBefore w:val="0"/>
              <w:widowControl w:val="0"/>
              <w:kinsoku/>
              <w:wordWrap/>
              <w:overflowPunct/>
              <w:topLinePunct w:val="0"/>
              <w:autoSpaceDE/>
              <w:autoSpaceDN/>
              <w:bidi w:val="0"/>
              <w:adjustRightInd/>
              <w:snapToGrid/>
              <w:spacing w:line="480" w:lineRule="exact"/>
              <w:textAlignment w:val="auto"/>
              <w:rPr>
                <w:rFonts w:eastAsia="黑体"/>
                <w:sz w:val="28"/>
                <w:szCs w:val="28"/>
              </w:rPr>
            </w:pPr>
            <w:r>
              <w:rPr>
                <w:rFonts w:eastAsia="黑体"/>
                <w:sz w:val="28"/>
                <w:szCs w:val="28"/>
              </w:rPr>
              <w:t>与本项目有关的原有污染情况及主要环境问题：</w:t>
            </w:r>
          </w:p>
          <w:p>
            <w:pPr>
              <w:keepNext w:val="0"/>
              <w:keepLines w:val="0"/>
              <w:pageBreakBefore w:val="0"/>
              <w:widowControl w:val="0"/>
              <w:tabs>
                <w:tab w:val="left" w:pos="1880"/>
              </w:tabs>
              <w:kinsoku/>
              <w:wordWrap/>
              <w:overflowPunct/>
              <w:topLinePunct w:val="0"/>
              <w:autoSpaceDE/>
              <w:autoSpaceDN/>
              <w:bidi w:val="0"/>
              <w:adjustRightInd/>
              <w:snapToGrid/>
              <w:spacing w:line="480" w:lineRule="exact"/>
              <w:ind w:firstLine="480" w:firstLineChars="200"/>
              <w:textAlignment w:val="auto"/>
              <w:rPr>
                <w:rFonts w:hint="eastAsia"/>
                <w:lang w:eastAsia="zh-CN"/>
              </w:rPr>
            </w:pPr>
            <w:r>
              <w:rPr>
                <w:rFonts w:hint="default"/>
                <w:sz w:val="24"/>
                <w:szCs w:val="24"/>
              </w:rPr>
              <w:t>本项目为新建项目，无原有污染问题</w:t>
            </w:r>
            <w:r>
              <w:rPr>
                <w:rFonts w:hint="eastAsia"/>
                <w:sz w:val="24"/>
                <w:szCs w:val="24"/>
                <w:lang w:eastAsia="zh-CN"/>
              </w:rPr>
              <w:t>。</w:t>
            </w:r>
          </w:p>
          <w:p>
            <w:pPr>
              <w:pStyle w:val="16"/>
              <w:keepNext w:val="0"/>
              <w:keepLines w:val="0"/>
              <w:pageBreakBefore w:val="0"/>
              <w:widowControl w:val="0"/>
              <w:kinsoku/>
              <w:wordWrap/>
              <w:overflowPunct/>
              <w:topLinePunct w:val="0"/>
              <w:bidi w:val="0"/>
              <w:snapToGrid/>
              <w:spacing w:line="480" w:lineRule="exact"/>
              <w:ind w:firstLine="480" w:firstLineChars="200"/>
              <w:textAlignment w:val="auto"/>
              <w:rPr>
                <w:rFonts w:hint="eastAsia" w:asciiTheme="majorEastAsia" w:hAnsiTheme="majorEastAsia" w:eastAsiaTheme="majorEastAsia" w:cstheme="majorEastAsia"/>
                <w:color w:val="auto"/>
                <w:kern w:val="2"/>
                <w:lang w:val="en-US" w:eastAsia="zh-CN"/>
              </w:rPr>
            </w:pPr>
          </w:p>
          <w:p>
            <w:pPr>
              <w:pStyle w:val="16"/>
              <w:keepNext w:val="0"/>
              <w:keepLines w:val="0"/>
              <w:pageBreakBefore w:val="0"/>
              <w:widowControl w:val="0"/>
              <w:kinsoku/>
              <w:wordWrap/>
              <w:overflowPunct/>
              <w:topLinePunct w:val="0"/>
              <w:bidi w:val="0"/>
              <w:snapToGrid/>
              <w:spacing w:line="480" w:lineRule="exact"/>
              <w:ind w:firstLine="480" w:firstLineChars="200"/>
              <w:textAlignment w:val="auto"/>
              <w:rPr>
                <w:rFonts w:hint="eastAsia" w:asciiTheme="majorEastAsia" w:hAnsiTheme="majorEastAsia" w:eastAsiaTheme="majorEastAsia" w:cstheme="majorEastAsia"/>
                <w:color w:val="auto"/>
                <w:kern w:val="2"/>
                <w:lang w:val="en-US" w:eastAsia="zh-CN"/>
              </w:rPr>
            </w:pPr>
          </w:p>
          <w:p>
            <w:pPr>
              <w:pStyle w:val="16"/>
              <w:keepNext w:val="0"/>
              <w:keepLines w:val="0"/>
              <w:pageBreakBefore w:val="0"/>
              <w:widowControl w:val="0"/>
              <w:kinsoku/>
              <w:wordWrap/>
              <w:overflowPunct/>
              <w:topLinePunct w:val="0"/>
              <w:bidi w:val="0"/>
              <w:snapToGrid/>
              <w:spacing w:line="480" w:lineRule="exact"/>
              <w:ind w:firstLine="480" w:firstLineChars="200"/>
              <w:textAlignment w:val="auto"/>
              <w:rPr>
                <w:rFonts w:hint="eastAsia" w:asciiTheme="majorEastAsia" w:hAnsiTheme="majorEastAsia" w:eastAsiaTheme="majorEastAsia" w:cstheme="majorEastAsia"/>
                <w:color w:val="auto"/>
                <w:kern w:val="2"/>
                <w:lang w:val="en-US" w:eastAsia="zh-CN"/>
              </w:rPr>
            </w:pPr>
          </w:p>
          <w:p>
            <w:pPr>
              <w:pStyle w:val="16"/>
              <w:keepNext w:val="0"/>
              <w:keepLines w:val="0"/>
              <w:pageBreakBefore w:val="0"/>
              <w:widowControl w:val="0"/>
              <w:kinsoku/>
              <w:wordWrap/>
              <w:overflowPunct/>
              <w:topLinePunct w:val="0"/>
              <w:bidi w:val="0"/>
              <w:snapToGrid/>
              <w:spacing w:line="480" w:lineRule="exact"/>
              <w:ind w:firstLine="480" w:firstLineChars="200"/>
              <w:textAlignment w:val="auto"/>
              <w:rPr>
                <w:rFonts w:hint="eastAsia" w:asciiTheme="majorEastAsia" w:hAnsiTheme="majorEastAsia" w:eastAsiaTheme="majorEastAsia" w:cstheme="majorEastAsia"/>
                <w:color w:val="auto"/>
                <w:kern w:val="2"/>
                <w:lang w:val="en-US" w:eastAsia="zh-CN"/>
              </w:rPr>
            </w:pPr>
          </w:p>
          <w:p>
            <w:pPr>
              <w:pStyle w:val="16"/>
              <w:keepNext w:val="0"/>
              <w:keepLines w:val="0"/>
              <w:pageBreakBefore w:val="0"/>
              <w:widowControl w:val="0"/>
              <w:kinsoku/>
              <w:wordWrap/>
              <w:overflowPunct/>
              <w:topLinePunct w:val="0"/>
              <w:bidi w:val="0"/>
              <w:snapToGrid/>
              <w:spacing w:line="480" w:lineRule="exact"/>
              <w:textAlignment w:val="auto"/>
              <w:rPr>
                <w:rFonts w:hAnsi="宋体"/>
                <w:sz w:val="28"/>
                <w:szCs w:val="28"/>
              </w:rPr>
            </w:pPr>
            <w:r>
              <w:t xml:space="preserve">                                                                                                                                                                                                                                                                                                                                                                                                                                                                                                                                                                                                                                                                                                                                                                                                                                                                                                                                                                                                                                                                                                                                                                                                                                                                                                                                                              </w:t>
            </w:r>
          </w:p>
        </w:tc>
      </w:tr>
    </w:tbl>
    <w:p>
      <w:pPr>
        <w:pStyle w:val="2"/>
        <w:ind w:firstLine="0" w:firstLineChars="0"/>
        <w:rPr>
          <w:b/>
          <w:bCs/>
          <w:szCs w:val="28"/>
        </w:rPr>
      </w:pPr>
      <w:r>
        <w:rPr>
          <w:rFonts w:hint="eastAsia"/>
          <w:b/>
          <w:bCs/>
          <w:szCs w:val="28"/>
        </w:rPr>
        <w:t>建设项目所在地自然环境社会环境简况</w:t>
      </w:r>
    </w:p>
    <w:tbl>
      <w:tblPr>
        <w:tblStyle w:val="12"/>
        <w:tblW w:w="9338" w:type="dxa"/>
        <w:tblInd w:w="-300" w:type="dxa"/>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Layout w:type="fixed"/>
        <w:tblCellMar>
          <w:top w:w="0" w:type="dxa"/>
          <w:left w:w="108" w:type="dxa"/>
          <w:bottom w:w="0" w:type="dxa"/>
          <w:right w:w="108" w:type="dxa"/>
        </w:tblCellMar>
      </w:tblPr>
      <w:tblGrid>
        <w:gridCol w:w="933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13113" w:hRule="atLeast"/>
        </w:trPr>
        <w:tc>
          <w:tcPr>
            <w:tcW w:w="9338" w:type="dxa"/>
            <w:vAlign w:val="center"/>
          </w:tcPr>
          <w:p>
            <w:pPr>
              <w:spacing w:line="480" w:lineRule="exac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自然环境简况（地形、地貌、地质、气候、水文、植被、生物多样性等）：</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1、地理位置</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济源市位于河南省西北部，地处北纬34°43'～35°16'，东经112°01'～112°45'之间，西靠王屋山，北依太行山，与山西省阳城县、晋城市搭界，南临黄河与洛阳市吉利区和孟津、新安县相望，西与山西省垣曲县接壤，东与沁阳、孟州两市毗邻。山区丘陵面积约占全市面积的88%，市辖境略呈长方形。</w:t>
            </w:r>
          </w:p>
          <w:p>
            <w:pPr>
              <w:pStyle w:val="8"/>
              <w:ind w:firstLine="480"/>
              <w:rPr>
                <w:rFonts w:hint="default" w:ascii="Times New Roman" w:hAnsi="Times New Roman" w:eastAsia="宋体" w:cs="Times New Roman"/>
                <w:sz w:val="24"/>
                <w:szCs w:val="24"/>
                <w:highlight w:val="none"/>
                <w:lang w:val="en-US" w:eastAsia="zh-CN"/>
              </w:rPr>
            </w:pPr>
            <w:r>
              <w:rPr>
                <w:rFonts w:hint="eastAsia" w:ascii="Times New Roman" w:hAnsi="Times New Roman" w:cs="Times New Roman"/>
                <w:sz w:val="24"/>
                <w:szCs w:val="24"/>
                <w:highlight w:val="none"/>
                <w:lang w:eastAsia="zh-CN"/>
              </w:rPr>
              <w:t>本</w:t>
            </w:r>
            <w:r>
              <w:rPr>
                <w:rFonts w:hint="default" w:ascii="Times New Roman" w:hAnsi="Times New Roman" w:eastAsia="宋体" w:cs="Times New Roman"/>
                <w:sz w:val="24"/>
                <w:szCs w:val="24"/>
                <w:highlight w:val="none"/>
              </w:rPr>
              <w:t>项目位于济源市</w:t>
            </w:r>
            <w:r>
              <w:rPr>
                <w:rFonts w:hint="eastAsia" w:ascii="Times New Roman" w:hAnsi="Times New Roman" w:cs="Times New Roman"/>
                <w:sz w:val="24"/>
                <w:szCs w:val="24"/>
                <w:highlight w:val="none"/>
                <w:lang w:eastAsia="zh-CN"/>
              </w:rPr>
              <w:t>思礼镇涧南庄村北，厂区南侧距涧南庄村最近居民点</w:t>
            </w:r>
            <w:r>
              <w:rPr>
                <w:rFonts w:hint="eastAsia" w:ascii="Times New Roman" w:hAnsi="Times New Roman" w:cs="Times New Roman"/>
                <w:sz w:val="24"/>
                <w:szCs w:val="24"/>
                <w:highlight w:val="none"/>
                <w:lang w:val="en-US" w:eastAsia="zh-CN"/>
              </w:rPr>
              <w:t>10m，东北侧距思礼村870m，北距涧北村870m，西距张村743m，南距北勋村690m，具体位置详见附图1及附图2。.</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2、气象</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济源市地处黄河以北，太行之南，气象为暖温季风性大陆性特征。由于太行山的天然屏障，海拔高差悬殊，气候较干燥，四季分明，日光充盈。年平均气温在14.3℃。最低气温在每年元月份，平均为0℃，最低出现-20℃（1969年1月），最高在七月，平均27.3℃，最高达43.4℃。由于大陆性季风气候明显，冷暖气团交替频繁，降雨时分布不平衡，年平均雨量600.3mm，最大1107mm，最小389mm。年分配不均，夏秋之间，雨量充沛；冬春之际，雨雪稀少；6-9月平均达223天，最长达262天，最短为195天。初霜最早在10月14日，终霜4月9日。</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3、地形、地貌</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济源市境内山地、丘陵、平原各种地貌齐全，为剥蚀侵蚀性山地和洪积、冲积平原及风积黄土产生的丘陵。地貌较复杂，地势起伏较大，自西北向东南呈梯级降低。山地侵蚀切割，地形较破碎。境内群峰矗立，山势陡峻，多深沟峡谷。北部为险峰峥嵘，绝壁林立的太行山脉，海拔约在600-1300米。东南平原为太行山倾斜平原，由冲洪积成，地势向东南倾斜地面开阔，东南部为黄土丘陵区。</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本项目位于济源市</w:t>
            </w:r>
            <w:r>
              <w:rPr>
                <w:rFonts w:hint="eastAsia" w:cs="Times New Roman"/>
                <w:sz w:val="24"/>
                <w:szCs w:val="24"/>
                <w:lang w:eastAsia="zh-CN"/>
              </w:rPr>
              <w:t>思礼镇涧南庄村北</w:t>
            </w:r>
            <w:r>
              <w:rPr>
                <w:rFonts w:hint="default" w:ascii="Times New Roman" w:hAnsi="Times New Roman" w:eastAsia="宋体" w:cs="Times New Roman"/>
                <w:sz w:val="24"/>
                <w:szCs w:val="24"/>
              </w:rPr>
              <w:t>，周围地势平坦，属平原地貌。</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4、地质</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济源属华北地层区，地质演变形成了较为完整的地层构造，既有太古界、元古界老地层，又有寒武系、奥陶系、石炭系、二迭系等古生地层；既有三迭系、株罗系、白垩系等中生界地层，又有第三纪、第四纪等新生界地层。</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济源地质构造复杂，由五个不同的地质构造单元组成：北部为太行山复斜；西部为中条山台凸的部分；中东部平原地区属开封坳陷。西北部表现出地糟型构造特性，东南部显示出地台型构造特征。</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5、水文</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济源市属黄河流域，大小河流百余条，皆属黄河流域，主要河流有黄河、沁河、蟒河、湨河、大店河、逢石河等。</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济源市境内主要河流为蟒河，蟒河是黄河的一级支流，发源于山西省阳城县，在窟窿山自西向东流入济源市全境，全长130km，境内河长46km，流域面积612.7km</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sz w:val="24"/>
                <w:szCs w:val="24"/>
              </w:rPr>
              <w:t>，年均径流量为1.11亿m</w:t>
            </w:r>
            <w:r>
              <w:rPr>
                <w:rFonts w:hint="default" w:ascii="Times New Roman" w:hAnsi="Times New Roman" w:eastAsia="宋体" w:cs="Times New Roman"/>
                <w:sz w:val="24"/>
                <w:szCs w:val="24"/>
                <w:vertAlign w:val="superscript"/>
              </w:rPr>
              <w:t>3</w:t>
            </w:r>
            <w:r>
              <w:rPr>
                <w:rFonts w:hint="default" w:ascii="Times New Roman" w:hAnsi="Times New Roman" w:eastAsia="宋体" w:cs="Times New Roman"/>
                <w:sz w:val="24"/>
                <w:szCs w:val="24"/>
              </w:rPr>
              <w:t>，平均流量为3.52m</w:t>
            </w:r>
            <w:r>
              <w:rPr>
                <w:rFonts w:hint="default" w:ascii="Times New Roman" w:hAnsi="Times New Roman" w:eastAsia="宋体" w:cs="Times New Roman"/>
                <w:sz w:val="24"/>
                <w:szCs w:val="24"/>
                <w:vertAlign w:val="superscript"/>
              </w:rPr>
              <w:t>3</w:t>
            </w:r>
            <w:r>
              <w:rPr>
                <w:rFonts w:hint="default" w:ascii="Times New Roman" w:hAnsi="Times New Roman" w:eastAsia="宋体" w:cs="Times New Roman"/>
                <w:sz w:val="24"/>
                <w:szCs w:val="24"/>
              </w:rPr>
              <w:t>/s。项目区属蟒河流域。</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济源市地下水类型主要为基岩孔隙裂隙水和松散岩层孔隙水。山前边缘地带地下水埋深10～45m，向平原中心及东部逐渐变浅，市区附近浅层地下水埋深约5m，浅层地下水主要由大气降水和河流侧渗、灌溉回用水补给，水量丰富，水质较好。据调查，项目所在地属于平原地带，地下水主要为为基岩孔隙裂隙水和松散岩层孔隙水，地下水埋藏较浅。</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6、土壤、植被</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济源市土壤分为三个土类，分布具有明显的垂直变化规律：平原主要分布红粘土，占耕地面积的57%。南部丘陵区为砂壤土，占耕地面积的11.3%；西南部山区为红土、白土和砂壤土，占耕地面积的26%；北部深山区为棕壤土和山地褐土，占耕地面积的5.3%。济源市自然植被较好，属落叶阔叶树和针叶树组成的多层次植被群落，植被种类繁多，林木覆盖度为7.7%。</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7、生物多样性</w:t>
            </w:r>
          </w:p>
          <w:p>
            <w:pPr>
              <w:spacing w:line="48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该项目位于济源市</w:t>
            </w:r>
            <w:r>
              <w:rPr>
                <w:rFonts w:hint="eastAsia" w:cs="Times New Roman"/>
                <w:sz w:val="24"/>
                <w:szCs w:val="24"/>
                <w:lang w:eastAsia="zh-CN"/>
              </w:rPr>
              <w:t>思礼镇涧南庄村北</w:t>
            </w:r>
            <w:r>
              <w:rPr>
                <w:rFonts w:hint="default" w:ascii="Times New Roman" w:hAnsi="Times New Roman" w:eastAsia="宋体" w:cs="Times New Roman"/>
                <w:sz w:val="24"/>
                <w:szCs w:val="24"/>
              </w:rPr>
              <w:t>，项目厂区周围植被多为</w:t>
            </w:r>
            <w:r>
              <w:rPr>
                <w:rFonts w:hint="eastAsia" w:cs="Times New Roman"/>
                <w:sz w:val="24"/>
                <w:szCs w:val="24"/>
                <w:lang w:eastAsia="zh-CN"/>
              </w:rPr>
              <w:t>农田和灌木丛</w:t>
            </w:r>
            <w:r>
              <w:rPr>
                <w:rFonts w:hint="default" w:ascii="Times New Roman" w:hAnsi="Times New Roman" w:eastAsia="宋体" w:cs="Times New Roman"/>
                <w:sz w:val="24"/>
                <w:szCs w:val="24"/>
              </w:rPr>
              <w:t>，周围无珍稀动植物群落及其它生态敏感点。</w:t>
            </w:r>
          </w:p>
          <w:p>
            <w:pPr>
              <w:spacing w:line="480" w:lineRule="exact"/>
              <w:ind w:firstLine="480" w:firstLineChars="200"/>
              <w:rPr>
                <w:rFonts w:hint="default" w:ascii="Times New Roman" w:hAnsi="Times New Roman" w:eastAsia="宋体" w:cs="Times New Roman"/>
                <w:sz w:val="24"/>
                <w:szCs w:val="24"/>
              </w:rPr>
            </w:pPr>
          </w:p>
          <w:p>
            <w:pPr>
              <w:pStyle w:val="2"/>
              <w:rPr>
                <w:rFonts w:hint="default" w:ascii="Times New Roman" w:hAnsi="Times New Roman" w:eastAsia="宋体" w:cs="Times New Roman"/>
                <w:sz w:val="24"/>
                <w:szCs w:val="24"/>
              </w:rPr>
            </w:pPr>
          </w:p>
          <w:p>
            <w:pPr>
              <w:pStyle w:val="2"/>
              <w:rPr>
                <w:rFonts w:hint="default" w:ascii="Times New Roman" w:hAnsi="Times New Roman" w:eastAsia="宋体" w:cs="Times New Roman"/>
                <w:sz w:val="24"/>
                <w:szCs w:val="24"/>
              </w:rPr>
            </w:pPr>
          </w:p>
          <w:p>
            <w:pPr>
              <w:pStyle w:val="2"/>
              <w:rPr>
                <w:rFonts w:hint="default" w:ascii="Times New Roman" w:hAnsi="Times New Roman" w:eastAsia="宋体" w:cs="Times New Roman"/>
                <w:sz w:val="24"/>
                <w:szCs w:val="24"/>
              </w:rPr>
            </w:pPr>
          </w:p>
          <w:p>
            <w:pPr>
              <w:pStyle w:val="2"/>
              <w:rPr>
                <w:rFonts w:hint="default" w:ascii="Times New Roman" w:hAnsi="Times New Roman" w:eastAsia="宋体" w:cs="Times New Roman"/>
                <w:sz w:val="24"/>
                <w:szCs w:val="24"/>
              </w:rPr>
            </w:pPr>
          </w:p>
          <w:p>
            <w:pPr>
              <w:pStyle w:val="2"/>
              <w:rPr>
                <w:rFonts w:hint="default" w:ascii="Times New Roman" w:hAnsi="Times New Roman" w:eastAsia="宋体" w:cs="Times New Roman"/>
                <w:sz w:val="24"/>
                <w:szCs w:val="24"/>
              </w:rPr>
            </w:pPr>
          </w:p>
          <w:p>
            <w:pPr>
              <w:snapToGrid w:val="0"/>
              <w:spacing w:line="520" w:lineRule="exact"/>
              <w:jc w:val="left"/>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规划相符性分析：</w:t>
            </w:r>
          </w:p>
          <w:p>
            <w:pPr>
              <w:autoSpaceDE w:val="0"/>
              <w:autoSpaceDN w:val="0"/>
              <w:snapToGrid w:val="0"/>
              <w:spacing w:line="520" w:lineRule="exact"/>
              <w:ind w:firstLine="470" w:firstLineChars="196"/>
              <w:textAlignment w:val="baseline"/>
              <w:rPr>
                <w:rFonts w:hint="default" w:ascii="Times New Roman" w:hAnsi="Times New Roman" w:eastAsia="宋体" w:cs="Times New Roman"/>
                <w:sz w:val="24"/>
                <w:szCs w:val="24"/>
              </w:rPr>
            </w:pPr>
            <w:r>
              <w:rPr>
                <w:rFonts w:hint="eastAsia" w:cs="Times New Roman"/>
                <w:sz w:val="24"/>
                <w:szCs w:val="24"/>
                <w:lang w:val="en-US" w:eastAsia="zh-CN"/>
              </w:rPr>
              <w:t>1、</w:t>
            </w:r>
            <w:r>
              <w:rPr>
                <w:rFonts w:hint="default" w:ascii="Times New Roman" w:hAnsi="Times New Roman" w:eastAsia="宋体" w:cs="Times New Roman"/>
                <w:b/>
                <w:bCs/>
                <w:sz w:val="24"/>
                <w:szCs w:val="24"/>
              </w:rPr>
              <w:t>《济源市城乡总体规划（2012-2030）》</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一、规划区范围</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济源市城乡总体规划的规划区范围即济源市所辖行政区划范围，总面积1931平方公里。</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二、规划空间层次</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济源市城乡总体规划在空间层次上划分为市域、城乡一体化核心区和中心城区三个层次。其中，市域即济源市所辖行政区划范围，总面积1931平方公里；城乡一体化核心区范围包括中心城区、玉川组团、曲阳湖组团和沿黄组团；中心城区规划范围为，北至北环路，南至南环路、S309，东至207国道、西至西环路，规划控制面积80平方公里。</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三、产业结构调整思路</w:t>
            </w:r>
          </w:p>
          <w:p>
            <w:pPr>
              <w:snapToGrid w:val="0"/>
              <w:spacing w:line="520" w:lineRule="exact"/>
              <w:ind w:firstLine="480" w:firstLineChars="200"/>
              <w:rPr>
                <w:rFonts w:hint="default" w:ascii="Times New Roman" w:hAnsi="Times New Roman" w:eastAsia="宋体" w:cs="Times New Roman"/>
                <w:sz w:val="24"/>
                <w:szCs w:val="24"/>
              </w:rPr>
            </w:pPr>
            <w:bookmarkStart w:id="0" w:name="_Toc280884230"/>
            <w:r>
              <w:rPr>
                <w:rFonts w:hint="default" w:ascii="Times New Roman" w:hAnsi="Times New Roman" w:eastAsia="宋体" w:cs="Times New Roman"/>
                <w:sz w:val="24"/>
                <w:szCs w:val="24"/>
              </w:rPr>
              <w:t>1</w:t>
            </w:r>
            <w:bookmarkEnd w:id="0"/>
            <w:r>
              <w:rPr>
                <w:rFonts w:hint="default" w:ascii="Times New Roman" w:hAnsi="Times New Roman" w:eastAsia="宋体" w:cs="Times New Roman"/>
                <w:sz w:val="24"/>
                <w:szCs w:val="24"/>
              </w:rPr>
              <w:t>、产业总体发展思路</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围绕各功能区产业发展定位，突出特色、错位发展、融合互补，推动原材料产业向高附加值、循环和低碳方向转型，加快高端装备制造、电子信息、新能源等新兴产业发展；改造提升传统服务业，积极培育新兴服务业，壮大服务业规模；推动特色高效农业加快发展，形成结构优化、技术先进、清洁安全、附加值高、吸纳就业能力强的现代产业体系。 </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2、产业总体定位</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根据济源的资源特色、产业基础、区域功能定位及所处的内外部环境，其产业发展总体定位为：</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（1）以能源、钢铁、铅锌加工、装备制造、精细化工等支柱行业为基础，重点提升优势工业行业整体发展水平与竞争力，巩固省级能源和原材料基地地位；</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（2）促进高新技术产业快速发展，培育电子信息、新能源、新材料、生物产业等高新技术产业集群，占领河南纳米材料、石晶光电、生物医药高新技术产业高地；</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（3）加快发展咨询、会展、文化创意等现代服务业，增强城市综合服务功能，提升第三产业整体层次；围绕区域山水文化，壮大生态旅游产业，使济源成为北方最重要的生态旅游目的地之一；</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（4）积极发展休闲观光农业、绿色有机农业、生态循环农业，推进农业产业化，建成独具特色的国家现代农业示范基地。</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四、工业发展空间规划</w:t>
            </w:r>
          </w:p>
          <w:p>
            <w:pPr>
              <w:snapToGrid w:val="0"/>
              <w:spacing w:line="520" w:lineRule="exact"/>
              <w:ind w:firstLine="480" w:firstLineChars="200"/>
              <w:rPr>
                <w:rFonts w:hint="default" w:ascii="Times New Roman" w:hAnsi="Times New Roman" w:eastAsia="宋体" w:cs="Times New Roman"/>
                <w:sz w:val="24"/>
                <w:szCs w:val="24"/>
              </w:rPr>
            </w:pPr>
            <w:bookmarkStart w:id="1" w:name="_Toc280884232"/>
            <w:r>
              <w:rPr>
                <w:rFonts w:hint="default" w:ascii="Times New Roman" w:hAnsi="Times New Roman" w:eastAsia="宋体" w:cs="Times New Roman"/>
                <w:sz w:val="24"/>
                <w:szCs w:val="24"/>
              </w:rPr>
              <w:t>综合考虑济源市已有的工业基础和发展条件，构建“三区、三园”工业架构。三区：虎岭产业集聚区、玉川产业集聚区和高新技术产业集聚区；三园：梨林特色产业园、邵原特色产业园和玉泉特色产业园。</w:t>
            </w:r>
            <w:bookmarkEnd w:id="1"/>
          </w:p>
          <w:p>
            <w:pPr>
              <w:snapToGrid w:val="0"/>
              <w:spacing w:line="520" w:lineRule="exact"/>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本项目用地为建设用地，符合济源市城乡总体规划。项目与济源市城乡总体规划相对位置图见附图4。</w:t>
            </w:r>
          </w:p>
          <w:p>
            <w:pPr>
              <w:snapToGrid w:val="0"/>
              <w:spacing w:line="520" w:lineRule="exact"/>
              <w:ind w:firstLine="472" w:firstLineChars="196"/>
              <w:rPr>
                <w:rFonts w:hint="default" w:ascii="Times New Roman" w:hAnsi="Times New Roman" w:eastAsia="宋体" w:cs="Times New Roman"/>
                <w:b/>
                <w:bCs/>
                <w:sz w:val="24"/>
                <w:szCs w:val="24"/>
              </w:rPr>
            </w:pPr>
            <w:r>
              <w:rPr>
                <w:rFonts w:hint="eastAsia" w:cs="Times New Roman"/>
                <w:b/>
                <w:bCs/>
                <w:sz w:val="24"/>
                <w:szCs w:val="24"/>
                <w:lang w:val="en-US" w:eastAsia="zh-CN"/>
              </w:rPr>
              <w:t>2</w:t>
            </w:r>
            <w:r>
              <w:rPr>
                <w:rFonts w:hint="default" w:ascii="Times New Roman" w:hAnsi="Times New Roman" w:eastAsia="宋体" w:cs="Times New Roman"/>
                <w:b/>
                <w:bCs/>
                <w:sz w:val="24"/>
                <w:szCs w:val="24"/>
              </w:rPr>
              <w:t>、济源市饮用水水源保护区区划及相关规定</w:t>
            </w:r>
          </w:p>
          <w:p>
            <w:pPr>
              <w:snapToGrid w:val="0"/>
              <w:spacing w:line="520" w:lineRule="exact"/>
              <w:ind w:firstLine="470" w:firstLineChars="196"/>
              <w:rPr>
                <w:rFonts w:hint="default" w:ascii="Times New Roman" w:hAnsi="Times New Roman" w:eastAsia="宋体" w:cs="Times New Roman"/>
                <w:sz w:val="24"/>
                <w:szCs w:val="24"/>
              </w:rPr>
            </w:pPr>
            <w:r>
              <w:rPr>
                <w:rFonts w:hint="eastAsia" w:cs="Times New Roman"/>
                <w:sz w:val="24"/>
                <w:szCs w:val="24"/>
                <w:lang w:val="en-US" w:eastAsia="zh-CN"/>
              </w:rPr>
              <w:t>2</w:t>
            </w:r>
            <w:r>
              <w:rPr>
                <w:rFonts w:hint="default" w:ascii="Times New Roman" w:hAnsi="Times New Roman" w:eastAsia="宋体" w:cs="Times New Roman"/>
                <w:sz w:val="24"/>
                <w:szCs w:val="24"/>
              </w:rPr>
              <w:t>.1济源市饮用水水源保护区区划</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依据《济源市饮用水水源保护区区划（2006年～2020年）》</w:t>
            </w:r>
            <w:r>
              <w:rPr>
                <w:rFonts w:hint="eastAsia" w:cs="Times New Roman"/>
                <w:sz w:val="24"/>
                <w:szCs w:val="24"/>
                <w:lang w:eastAsia="zh-CN"/>
              </w:rPr>
              <w:t>、</w:t>
            </w:r>
            <w:r>
              <w:rPr>
                <w:rFonts w:hint="default" w:ascii="Times New Roman" w:hAnsi="Times New Roman" w:eastAsia="宋体" w:cs="Times New Roman"/>
                <w:sz w:val="24"/>
                <w:szCs w:val="24"/>
              </w:rPr>
              <w:t>《河南省城市集中式饮用水源保护区划》（豫政办[2007]125号）</w:t>
            </w:r>
            <w:r>
              <w:rPr>
                <w:rFonts w:hint="eastAsia" w:cs="Times New Roman"/>
                <w:sz w:val="24"/>
                <w:szCs w:val="24"/>
                <w:lang w:eastAsia="zh-CN"/>
              </w:rPr>
              <w:t>及《河南省人民政府关于划定调整取消部分集中式饮用水水源保护区的通知》（豫政文</w:t>
            </w:r>
            <w:r>
              <w:rPr>
                <w:rFonts w:hint="eastAsia" w:cs="Times New Roman"/>
                <w:sz w:val="24"/>
                <w:szCs w:val="24"/>
                <w:lang w:val="en-US" w:eastAsia="zh-CN"/>
              </w:rPr>
              <w:t>[2019]125号</w:t>
            </w:r>
            <w:r>
              <w:rPr>
                <w:rFonts w:hint="eastAsia" w:cs="Times New Roman"/>
                <w:sz w:val="24"/>
                <w:szCs w:val="24"/>
                <w:lang w:eastAsia="zh-CN"/>
              </w:rPr>
              <w:t>）</w:t>
            </w:r>
            <w:r>
              <w:rPr>
                <w:rFonts w:hint="default" w:ascii="Times New Roman" w:hAnsi="Times New Roman" w:eastAsia="宋体" w:cs="Times New Roman"/>
                <w:sz w:val="24"/>
                <w:szCs w:val="24"/>
              </w:rPr>
              <w:t>，济源市水源保护区划分结果如下：</w:t>
            </w:r>
          </w:p>
          <w:p>
            <w:pPr>
              <w:snapToGrid w:val="0"/>
              <w:spacing w:line="520" w:lineRule="exact"/>
              <w:ind w:firstLine="480" w:firstLineChars="200"/>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（1）小庄水源地</w:t>
            </w:r>
            <w:r>
              <w:rPr>
                <w:rFonts w:hint="eastAsia" w:cs="Times New Roman"/>
                <w:sz w:val="24"/>
                <w:szCs w:val="24"/>
                <w:lang w:eastAsia="zh-CN"/>
              </w:rPr>
              <w:t>（共</w:t>
            </w:r>
            <w:r>
              <w:rPr>
                <w:rFonts w:hint="eastAsia" w:cs="Times New Roman"/>
                <w:sz w:val="24"/>
                <w:szCs w:val="24"/>
                <w:lang w:val="en-US" w:eastAsia="zh-CN"/>
              </w:rPr>
              <w:t>14眼井</w:t>
            </w:r>
            <w:r>
              <w:rPr>
                <w:rFonts w:hint="eastAsia" w:cs="Times New Roman"/>
                <w:sz w:val="24"/>
                <w:szCs w:val="24"/>
                <w:lang w:eastAsia="zh-CN"/>
              </w:rPr>
              <w:t>）</w:t>
            </w:r>
          </w:p>
          <w:p>
            <w:pPr>
              <w:snapToGrid w:val="0"/>
              <w:spacing w:line="52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一级保护区</w:t>
            </w:r>
            <w:r>
              <w:rPr>
                <w:rFonts w:hint="eastAsia" w:cs="Times New Roman"/>
                <w:sz w:val="24"/>
                <w:szCs w:val="24"/>
                <w:lang w:eastAsia="zh-CN"/>
              </w:rPr>
              <w:t>：井群外包线以内及外围</w:t>
            </w:r>
            <w:r>
              <w:rPr>
                <w:rFonts w:hint="eastAsia" w:cs="Times New Roman"/>
                <w:sz w:val="24"/>
                <w:szCs w:val="24"/>
                <w:lang w:val="en-US" w:eastAsia="zh-CN"/>
              </w:rPr>
              <w:t>245米至济克路交通量观测站--丰田路（原济克路）西侧红线--济世药业公司西边界--灵山北坡脚线的区域</w:t>
            </w:r>
            <w:r>
              <w:rPr>
                <w:rFonts w:hint="default" w:ascii="Times New Roman" w:hAnsi="Times New Roman" w:eastAsia="宋体" w:cs="Times New Roman"/>
                <w:sz w:val="24"/>
                <w:szCs w:val="24"/>
              </w:rPr>
              <w:t>。</w:t>
            </w:r>
          </w:p>
          <w:p>
            <w:pPr>
              <w:snapToGrid w:val="0"/>
              <w:spacing w:line="520" w:lineRule="exact"/>
              <w:ind w:firstLine="480" w:firstLineChars="200"/>
              <w:rPr>
                <w:rFonts w:hint="eastAsia" w:cs="Times New Roman"/>
                <w:sz w:val="24"/>
                <w:szCs w:val="24"/>
                <w:lang w:val="en-US" w:eastAsia="zh-CN"/>
              </w:rPr>
            </w:pPr>
            <w:r>
              <w:rPr>
                <w:rFonts w:hint="default" w:ascii="Times New Roman" w:hAnsi="Times New Roman" w:eastAsia="宋体" w:cs="Times New Roman"/>
                <w:sz w:val="24"/>
                <w:szCs w:val="24"/>
              </w:rPr>
              <w:t>二级保护区</w:t>
            </w:r>
            <w:r>
              <w:rPr>
                <w:rFonts w:hint="eastAsia" w:cs="Times New Roman"/>
                <w:sz w:val="24"/>
                <w:szCs w:val="24"/>
                <w:lang w:eastAsia="zh-CN"/>
              </w:rPr>
              <w:t>：一级保护区外，东至侯月铁路西侧红线、西至大郭富村东界</w:t>
            </w:r>
            <w:r>
              <w:rPr>
                <w:rFonts w:hint="eastAsia" w:cs="Times New Roman"/>
                <w:sz w:val="24"/>
                <w:szCs w:val="24"/>
                <w:lang w:val="en-US" w:eastAsia="zh-CN"/>
              </w:rPr>
              <w:t>--塘石村东界--洛峪新村东界、南至洛峪新村北界--灵山村北界、北至济源市第五中学南侧道路的区域。</w:t>
            </w:r>
          </w:p>
          <w:p>
            <w:pPr>
              <w:snapToGrid w:val="0"/>
              <w:spacing w:line="520" w:lineRule="exact"/>
              <w:ind w:firstLine="480" w:firstLineChars="200"/>
              <w:rPr>
                <w:rFonts w:hint="default" w:ascii="Times New Roman" w:hAnsi="Times New Roman" w:eastAsia="宋体" w:cs="Times New Roman"/>
                <w:sz w:val="24"/>
                <w:szCs w:val="24"/>
                <w:lang w:val="en-US"/>
              </w:rPr>
            </w:pPr>
            <w:r>
              <w:rPr>
                <w:rFonts w:hint="eastAsia" w:ascii="Times New Roman" w:hAnsi="Times New Roman" w:eastAsia="宋体" w:cs="Times New Roman"/>
                <w:sz w:val="24"/>
                <w:szCs w:val="24"/>
                <w:lang w:val="en-US" w:eastAsia="zh-CN"/>
              </w:rPr>
              <w:t>准保护区：二级保护区外，东至侯月铁路西侧红线、西至克留线（道路）东侧红线、南至范寺村北界--洛峪新村西界、北至任庄煤矿南边界的区域。</w:t>
            </w:r>
          </w:p>
          <w:p>
            <w:pPr>
              <w:snapToGrid w:val="0"/>
              <w:spacing w:line="520" w:lineRule="exact"/>
              <w:ind w:firstLine="480" w:firstLineChars="200"/>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（2）柴庄水源地</w:t>
            </w:r>
            <w:r>
              <w:rPr>
                <w:rFonts w:hint="eastAsia" w:cs="Times New Roman"/>
                <w:sz w:val="24"/>
                <w:szCs w:val="24"/>
                <w:lang w:eastAsia="zh-CN"/>
              </w:rPr>
              <w:t>（共</w:t>
            </w:r>
            <w:r>
              <w:rPr>
                <w:rFonts w:hint="eastAsia" w:cs="Times New Roman"/>
                <w:sz w:val="24"/>
                <w:szCs w:val="24"/>
                <w:lang w:val="en-US" w:eastAsia="zh-CN"/>
              </w:rPr>
              <w:t>4眼井</w:t>
            </w:r>
            <w:r>
              <w:rPr>
                <w:rFonts w:hint="eastAsia" w:cs="Times New Roman"/>
                <w:sz w:val="24"/>
                <w:szCs w:val="24"/>
                <w:lang w:eastAsia="zh-CN"/>
              </w:rPr>
              <w:t>）</w:t>
            </w:r>
          </w:p>
          <w:p>
            <w:pPr>
              <w:snapToGrid w:val="0"/>
              <w:spacing w:line="520" w:lineRule="exact"/>
              <w:ind w:firstLine="480" w:firstLineChars="200"/>
              <w:rPr>
                <w:rFonts w:hint="default" w:cs="Times New Roman"/>
                <w:sz w:val="24"/>
                <w:szCs w:val="24"/>
                <w:lang w:val="en-US" w:eastAsia="zh-CN"/>
              </w:rPr>
            </w:pPr>
            <w:r>
              <w:rPr>
                <w:rFonts w:hint="default" w:ascii="Times New Roman" w:hAnsi="Times New Roman" w:eastAsia="宋体" w:cs="Times New Roman"/>
                <w:sz w:val="24"/>
                <w:szCs w:val="24"/>
              </w:rPr>
              <w:t>一级保护区为</w:t>
            </w:r>
            <w:r>
              <w:rPr>
                <w:rFonts w:hint="eastAsia" w:cs="Times New Roman"/>
                <w:sz w:val="24"/>
                <w:szCs w:val="24"/>
                <w:lang w:eastAsia="zh-CN"/>
              </w:rPr>
              <w:t>：</w:t>
            </w:r>
            <w:r>
              <w:rPr>
                <w:rFonts w:hint="eastAsia" w:cs="Times New Roman"/>
                <w:sz w:val="24"/>
                <w:szCs w:val="24"/>
                <w:lang w:val="en-US" w:eastAsia="zh-CN"/>
              </w:rPr>
              <w:t>C1取水井外围245米东至龙潭生态园中心道路旁篮球场西边界、西至西环路东侧红线的矩形区域；C2取水井外围245米东至柴庄村东侧道路、南至C2取水井南260米道路北边界的矩形区域；C3取水井外围245米东至西环路西侧红线、南至蟒河堤岸的矩形区域；C4取水井外围245米的矩形区域。</w:t>
            </w:r>
          </w:p>
          <w:p>
            <w:pPr>
              <w:snapToGrid w:val="0"/>
              <w:spacing w:line="520" w:lineRule="exact"/>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二级保护区</w:t>
            </w:r>
            <w:r>
              <w:rPr>
                <w:rFonts w:hint="eastAsia" w:cs="Times New Roman"/>
                <w:sz w:val="24"/>
                <w:szCs w:val="24"/>
                <w:lang w:eastAsia="zh-CN"/>
              </w:rPr>
              <w:t>：一级保护区外，东至伯王庄村</w:t>
            </w:r>
            <w:r>
              <w:rPr>
                <w:rFonts w:hint="eastAsia" w:cs="Times New Roman"/>
                <w:sz w:val="24"/>
                <w:szCs w:val="24"/>
                <w:lang w:val="en-US" w:eastAsia="zh-CN"/>
              </w:rPr>
              <w:t>--南贾庄村--北潘村的“村村通”道路、西至石牛村东界、南至济邵路北侧红线--西二环道路东侧红线--北海大道西段北侧红线、北至洛峪新村北界--灵山村北界--小庄村北的区域。</w:t>
            </w:r>
          </w:p>
          <w:p>
            <w:pPr>
              <w:pStyle w:val="4"/>
              <w:numPr>
                <w:ilvl w:val="0"/>
                <w:numId w:val="2"/>
              </w:numPr>
              <w:snapToGrid w:val="0"/>
              <w:spacing w:line="520" w:lineRule="exact"/>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河口村水库水源地</w:t>
            </w:r>
          </w:p>
          <w:p>
            <w:pPr>
              <w:pStyle w:val="4"/>
              <w:numPr>
                <w:ilvl w:val="0"/>
                <w:numId w:val="0"/>
              </w:numPr>
              <w:snapToGrid w:val="0"/>
              <w:spacing w:line="520" w:lineRule="exact"/>
              <w:ind w:firstLine="480" w:firstLineChars="200"/>
              <w:rPr>
                <w:rFonts w:hint="eastAsia" w:cs="Times New Roman"/>
                <w:sz w:val="24"/>
                <w:szCs w:val="24"/>
                <w:lang w:val="en-US" w:eastAsia="zh-CN"/>
              </w:rPr>
            </w:pPr>
            <w:r>
              <w:rPr>
                <w:rFonts w:hint="default" w:ascii="Times New Roman" w:hAnsi="Times New Roman" w:eastAsia="宋体" w:cs="Times New Roman"/>
                <w:sz w:val="24"/>
                <w:szCs w:val="24"/>
              </w:rPr>
              <w:t>一级保护区界定范围：</w:t>
            </w:r>
            <w:r>
              <w:rPr>
                <w:rFonts w:hint="eastAsia" w:cs="Times New Roman"/>
                <w:sz w:val="24"/>
                <w:szCs w:val="24"/>
                <w:lang w:eastAsia="zh-CN"/>
              </w:rPr>
              <w:t>水库大坝至上游</w:t>
            </w:r>
            <w:r>
              <w:rPr>
                <w:rFonts w:hint="eastAsia" w:cs="Times New Roman"/>
                <w:sz w:val="24"/>
                <w:szCs w:val="24"/>
                <w:lang w:val="en-US" w:eastAsia="zh-CN"/>
              </w:rPr>
              <w:t>830米，正常水位线（275米）以内的区域及正常水位线以外水库左右岸第一重山脊线内的区域；取水池及下游东至溢洪道西边界、西至低位水电站东侧、南至河道护坡北边界的区域。</w:t>
            </w:r>
          </w:p>
          <w:p>
            <w:pPr>
              <w:pStyle w:val="4"/>
              <w:numPr>
                <w:ilvl w:val="0"/>
                <w:numId w:val="0"/>
              </w:numPr>
              <w:snapToGrid w:val="0"/>
              <w:spacing w:line="520" w:lineRule="exact"/>
              <w:ind w:firstLine="480" w:firstLineChars="200"/>
              <w:rPr>
                <w:rFonts w:hint="eastAsia" w:cs="Times New Roman"/>
                <w:sz w:val="24"/>
                <w:szCs w:val="24"/>
                <w:lang w:val="en-US" w:eastAsia="zh-CN"/>
              </w:rPr>
            </w:pPr>
            <w:r>
              <w:rPr>
                <w:rFonts w:hint="eastAsia" w:cs="Times New Roman"/>
                <w:sz w:val="24"/>
                <w:szCs w:val="24"/>
                <w:lang w:val="en-US" w:eastAsia="zh-CN"/>
              </w:rPr>
              <w:t>二级保护区：一级保护区外至水库上游3000米正常水位线以内的区域及正常水位线以外左右岸第一重山脊线内的区域。</w:t>
            </w:r>
          </w:p>
          <w:p>
            <w:pPr>
              <w:pStyle w:val="4"/>
              <w:numPr>
                <w:ilvl w:val="0"/>
                <w:numId w:val="0"/>
              </w:numPr>
              <w:snapToGrid w:val="0"/>
              <w:spacing w:line="520" w:lineRule="exact"/>
              <w:ind w:firstLine="480" w:firstLineChars="200"/>
              <w:rPr>
                <w:rFonts w:hint="default" w:cs="Times New Roman"/>
                <w:sz w:val="24"/>
                <w:szCs w:val="24"/>
                <w:lang w:val="en-US" w:eastAsia="zh-CN"/>
              </w:rPr>
            </w:pPr>
            <w:r>
              <w:rPr>
                <w:rFonts w:hint="eastAsia" w:cs="Times New Roman"/>
                <w:sz w:val="24"/>
                <w:szCs w:val="24"/>
                <w:lang w:val="en-US" w:eastAsia="zh-CN"/>
              </w:rPr>
              <w:t>准保护区：二级保护区外至水库上游4000米（圪了滩猕猴过河索桥处）正常水位线以内的区域及正常水位线以外水库左右岸第一重山脊线济源市境内的区域。</w:t>
            </w:r>
          </w:p>
          <w:p>
            <w:pPr>
              <w:snapToGrid w:val="0"/>
              <w:spacing w:line="520" w:lineRule="exact"/>
              <w:ind w:firstLine="470" w:firstLineChars="196"/>
              <w:rPr>
                <w:rFonts w:hint="default" w:ascii="Times New Roman" w:hAnsi="Times New Roman" w:eastAsia="宋体" w:cs="Times New Roman"/>
                <w:sz w:val="24"/>
                <w:szCs w:val="24"/>
              </w:rPr>
            </w:pPr>
            <w:r>
              <w:rPr>
                <w:rFonts w:hint="eastAsia" w:cs="Times New Roman"/>
                <w:sz w:val="24"/>
                <w:szCs w:val="24"/>
                <w:lang w:val="en-US" w:eastAsia="zh-CN"/>
              </w:rPr>
              <w:t>2</w:t>
            </w:r>
            <w:r>
              <w:rPr>
                <w:rFonts w:hint="default" w:ascii="Times New Roman" w:hAnsi="Times New Roman" w:eastAsia="宋体" w:cs="Times New Roman"/>
                <w:sz w:val="24"/>
                <w:szCs w:val="24"/>
              </w:rPr>
              <w:t>.2《河南省乡镇集中式饮用水水源保护区划》</w:t>
            </w:r>
          </w:p>
          <w:p>
            <w:pPr>
              <w:pStyle w:val="4"/>
              <w:snapToGrid w:val="0"/>
              <w:spacing w:line="520" w:lineRule="exact"/>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按照《中华人民共和国水污染防治法》《中华人民共和国水法》的有关要求，依据《饮用水水源保护区划分技术规范(HJ/T338—2007)》，划定乡镇级集中式饮用水水源保护区。</w:t>
            </w:r>
          </w:p>
          <w:p>
            <w:pPr>
              <w:pStyle w:val="4"/>
              <w:snapToGrid w:val="0"/>
              <w:spacing w:line="520" w:lineRule="exact"/>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①济源市梨林镇地下水井群(共4眼井)</w:t>
            </w:r>
          </w:p>
          <w:p>
            <w:pPr>
              <w:pStyle w:val="4"/>
              <w:snapToGrid w:val="0"/>
              <w:spacing w:line="520" w:lineRule="exact"/>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一级保护区范围:水厂厂区及外围东670米、西670米、南480米、北至沁河中泓线的区域。</w:t>
            </w:r>
          </w:p>
          <w:p>
            <w:pPr>
              <w:pStyle w:val="4"/>
              <w:snapToGrid w:val="0"/>
              <w:spacing w:line="520" w:lineRule="exact"/>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②济源市王屋镇天坛山水库</w:t>
            </w:r>
          </w:p>
          <w:p>
            <w:pPr>
              <w:pStyle w:val="4"/>
              <w:snapToGrid w:val="0"/>
              <w:spacing w:line="520" w:lineRule="exact"/>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一级保护区范围:水库正常水位线(577米)以下区域及取水口南、北两侧正常水位线以上200米但不超过流域分水岭的区域。</w:t>
            </w:r>
          </w:p>
          <w:p>
            <w:pPr>
              <w:pStyle w:val="4"/>
              <w:snapToGrid w:val="0"/>
              <w:spacing w:line="520" w:lineRule="exact"/>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二级保护区范围:一级保护区外，入库主河流上溯2000米河道内及两侧分水岭内的区域。</w:t>
            </w:r>
          </w:p>
          <w:p>
            <w:pPr>
              <w:pStyle w:val="4"/>
              <w:snapToGrid w:val="0"/>
              <w:spacing w:line="520" w:lineRule="exact"/>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准保护区范围:二级保护区外，济源市境内的全部汇水区域。</w:t>
            </w:r>
          </w:p>
          <w:p>
            <w:pPr>
              <w:pStyle w:val="4"/>
              <w:snapToGrid w:val="0"/>
              <w:spacing w:line="520" w:lineRule="exact"/>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③济源市邵原镇布袋沟水库</w:t>
            </w:r>
          </w:p>
          <w:p>
            <w:pPr>
              <w:pStyle w:val="4"/>
              <w:snapToGrid w:val="0"/>
              <w:spacing w:line="520" w:lineRule="exact"/>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一级保护区范围：水库正常水位线(753米)以下的区域,取水口东、西两侧正常水位线以上200米但不超过分水岭的区域。</w:t>
            </w:r>
          </w:p>
          <w:p>
            <w:pPr>
              <w:pStyle w:val="4"/>
              <w:snapToGrid w:val="0"/>
              <w:spacing w:line="520" w:lineRule="exact"/>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二级保护区范围：一级保护区外，入库主河流上溯2000米河道内及两侧分水岭内的区域。</w:t>
            </w:r>
          </w:p>
          <w:p>
            <w:pPr>
              <w:pStyle w:val="8"/>
              <w:snapToGrid w:val="0"/>
              <w:spacing w:line="520" w:lineRule="exact"/>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准保护区范围：二级保护区外，济源市境内的全部汇水区域。</w:t>
            </w:r>
          </w:p>
          <w:p>
            <w:pPr>
              <w:pStyle w:val="8"/>
              <w:snapToGrid w:val="0"/>
              <w:spacing w:line="520" w:lineRule="exact"/>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项目不在上述水源地保护范围内，距离本项目最近的饮用水源保护区为厂址</w:t>
            </w:r>
            <w:r>
              <w:rPr>
                <w:rFonts w:hint="eastAsia" w:ascii="Times New Roman" w:hAnsi="Times New Roman" w:cs="Times New Roman"/>
                <w:sz w:val="24"/>
                <w:szCs w:val="24"/>
                <w:lang w:eastAsia="zh-CN"/>
              </w:rPr>
              <w:t>东侧</w:t>
            </w:r>
            <w:r>
              <w:rPr>
                <w:rFonts w:hint="eastAsia" w:ascii="Times New Roman" w:hAnsi="Times New Roman" w:cs="Times New Roman"/>
                <w:sz w:val="24"/>
                <w:szCs w:val="24"/>
                <w:lang w:val="en-US" w:eastAsia="zh-CN"/>
              </w:rPr>
              <w:t>2436</w:t>
            </w:r>
            <w:r>
              <w:rPr>
                <w:rFonts w:hint="default" w:ascii="Times New Roman" w:hAnsi="Times New Roman" w:eastAsia="宋体" w:cs="Times New Roman"/>
                <w:sz w:val="24"/>
                <w:szCs w:val="24"/>
              </w:rPr>
              <w:t>m处的柴庄水源地二级保护区，具体位置关系见附图</w:t>
            </w: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-项目与水源保护区位置关系图。</w:t>
            </w:r>
          </w:p>
          <w:p>
            <w:pPr>
              <w:autoSpaceDE w:val="0"/>
              <w:autoSpaceDN w:val="0"/>
              <w:adjustRightInd w:val="0"/>
              <w:snapToGrid w:val="0"/>
              <w:spacing w:line="520" w:lineRule="exact"/>
              <w:ind w:firstLine="480" w:firstLineChars="200"/>
              <w:jc w:val="left"/>
              <w:rPr>
                <w:rFonts w:hint="default" w:ascii="Times New Roman" w:hAnsi="Times New Roman" w:eastAsia="宋体" w:cs="Times New Roman"/>
                <w:sz w:val="24"/>
                <w:szCs w:val="24"/>
              </w:rPr>
            </w:pPr>
            <w:r>
              <w:rPr>
                <w:rFonts w:hint="eastAsia" w:cs="Times New Roman"/>
                <w:sz w:val="24"/>
                <w:szCs w:val="24"/>
                <w:lang w:val="en-US" w:eastAsia="zh-CN"/>
              </w:rPr>
              <w:t>3</w:t>
            </w:r>
            <w:r>
              <w:rPr>
                <w:rFonts w:hint="default" w:ascii="Times New Roman" w:hAnsi="Times New Roman" w:eastAsia="宋体" w:cs="Times New Roman"/>
                <w:sz w:val="24"/>
                <w:szCs w:val="24"/>
              </w:rPr>
              <w:t>、与《济源市人民政府关于印发济源市污染防治攻坚战三年行动计划（2018—2020年）的通知》（济政〔2018〕29号）相符性分析</w:t>
            </w:r>
          </w:p>
          <w:p>
            <w:pPr>
              <w:autoSpaceDE w:val="0"/>
              <w:autoSpaceDN w:val="0"/>
              <w:adjustRightInd w:val="0"/>
              <w:snapToGrid w:val="0"/>
              <w:spacing w:line="520" w:lineRule="exact"/>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本项目与济政〔2018〕29号相关要求的对比情况见下表。</w:t>
            </w:r>
          </w:p>
          <w:p>
            <w:pPr>
              <w:spacing w:line="560" w:lineRule="exact"/>
              <w:ind w:left="561"/>
              <w:jc w:val="center"/>
              <w:rPr>
                <w:rFonts w:hint="eastAsia" w:ascii="黑体" w:hAnsi="黑体" w:eastAsia="黑体" w:cs="黑体"/>
                <w:sz w:val="24"/>
                <w:szCs w:val="24"/>
              </w:rPr>
            </w:pPr>
            <w:r>
              <w:rPr>
                <w:rFonts w:hint="eastAsia" w:ascii="黑体" w:hAnsi="黑体" w:eastAsia="黑体" w:cs="黑体"/>
                <w:sz w:val="24"/>
                <w:szCs w:val="24"/>
              </w:rPr>
              <w:t>本项目与济政〔2018〕29号文相符性分析情况一览表</w:t>
            </w:r>
          </w:p>
          <w:tbl>
            <w:tblPr>
              <w:tblStyle w:val="12"/>
              <w:tblW w:w="91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492"/>
              <w:gridCol w:w="880"/>
              <w:gridCol w:w="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492" w:type="dxa"/>
                  <w:vAlign w:val="center"/>
                </w:tcPr>
                <w:p>
                  <w:pPr>
                    <w:pStyle w:val="18"/>
                    <w:adjustRightInd w:val="0"/>
                    <w:snapToGrid w:val="0"/>
                    <w:spacing w:line="240" w:lineRule="auto"/>
                  </w:pPr>
                  <w:r>
                    <w:t>文件要求</w:t>
                  </w:r>
                </w:p>
              </w:tc>
              <w:tc>
                <w:tcPr>
                  <w:tcW w:w="880" w:type="dxa"/>
                  <w:vAlign w:val="center"/>
                </w:tcPr>
                <w:p>
                  <w:pPr>
                    <w:pStyle w:val="18"/>
                    <w:adjustRightInd w:val="0"/>
                    <w:snapToGrid w:val="0"/>
                    <w:spacing w:line="240" w:lineRule="auto"/>
                  </w:pPr>
                  <w:r>
                    <w:t>本工程情况</w:t>
                  </w:r>
                </w:p>
              </w:tc>
              <w:tc>
                <w:tcPr>
                  <w:tcW w:w="740" w:type="dxa"/>
                  <w:vAlign w:val="center"/>
                </w:tcPr>
                <w:p>
                  <w:pPr>
                    <w:pStyle w:val="18"/>
                    <w:adjustRightInd w:val="0"/>
                    <w:snapToGrid w:val="0"/>
                    <w:spacing w:line="240" w:lineRule="auto"/>
                  </w:pPr>
                  <w:r>
                    <w:t>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492" w:type="dxa"/>
                  <w:vAlign w:val="center"/>
                </w:tcPr>
                <w:p>
                  <w:pPr>
                    <w:ind w:firstLine="420" w:firstLineChars="200"/>
                    <w:jc w:val="left"/>
                  </w:pPr>
                  <w:r>
                    <w:t>9.严格环境准入。</w:t>
                  </w:r>
                </w:p>
                <w:p>
                  <w:pPr>
                    <w:ind w:firstLine="420" w:firstLineChars="200"/>
                    <w:jc w:val="left"/>
                  </w:pPr>
                  <w:r>
                    <w:t>要加强区域、规划环境影响评价，按要求完成生态保护红线、环境质量底线、资源利用上线和环境准入清单“三线一单”编制工作，明确禁止和限制发展的行业、生产工艺和产业目录。新改扩建钢铁、石化、化工、焦化、建材、有色等涉气项目的环境影响评价，应满足区域、规划环评要求。原则上禁止钢铁、电解铝、水泥、玻璃、传统煤化工（甲醇、合成氨）、焦化等行业新建、扩建单纯新增产能，耐火材料、陶瓷等行业新建、扩建以煤炭为燃料的项目和企业，对钢铁、水泥、电解铝、玻璃等行业不再实施省内产能置换。</w:t>
                  </w:r>
                </w:p>
              </w:tc>
              <w:tc>
                <w:tcPr>
                  <w:tcW w:w="880" w:type="dxa"/>
                  <w:vAlign w:val="center"/>
                </w:tcPr>
                <w:p>
                  <w:pPr>
                    <w:pStyle w:val="18"/>
                    <w:adjustRightInd w:val="0"/>
                    <w:snapToGrid w:val="0"/>
                    <w:spacing w:line="240" w:lineRule="auto"/>
                    <w:jc w:val="left"/>
                  </w:pPr>
                  <w:r>
                    <w:t>本项目不属于禁止和限制发展的行业</w:t>
                  </w:r>
                </w:p>
              </w:tc>
              <w:tc>
                <w:tcPr>
                  <w:tcW w:w="740" w:type="dxa"/>
                  <w:vAlign w:val="center"/>
                </w:tcPr>
                <w:p>
                  <w:pPr>
                    <w:pStyle w:val="18"/>
                    <w:adjustRightInd w:val="0"/>
                    <w:snapToGrid w:val="0"/>
                    <w:spacing w:line="240" w:lineRule="auto"/>
                    <w:jc w:val="left"/>
                  </w:pPr>
                  <w:r>
                    <w:t>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492" w:type="dxa"/>
                  <w:vAlign w:val="center"/>
                </w:tcPr>
                <w:p>
                  <w:pPr>
                    <w:adjustRightInd w:val="0"/>
                    <w:ind w:firstLine="420" w:firstLineChars="200"/>
                    <w:jc w:val="left"/>
                  </w:pPr>
                  <w:r>
                    <w:t>10.控制低效、落后、过剩产能。</w:t>
                  </w:r>
                </w:p>
                <w:p>
                  <w:pPr>
                    <w:ind w:firstLine="420" w:firstLineChars="200"/>
                    <w:jc w:val="left"/>
                  </w:pPr>
                  <w:r>
                    <w:t>（1）加大落后产能和过剩产能压减力度。全面淘汰退出达不到标准的落后产能和不达标企业。严格执行国家、省环保、能耗、质量、安全等政策标准。严格执行国家、省对炭素、棕刚玉、陶瓷、耐火材料、砖瓦窑、铸造等高排放行业淘汰标准。严防“地条钢”死灰复燃。</w:t>
                  </w:r>
                </w:p>
                <w:p>
                  <w:pPr>
                    <w:ind w:firstLine="420" w:firstLineChars="200"/>
                    <w:jc w:val="left"/>
                  </w:pPr>
                  <w:r>
                    <w:t>（2）严控“两高”（高能耗、高污染）行业产能。禁止新增钢铁、焦化、电解铝、铸造、水泥和玻璃等产能。新改扩建涉及大宗物料运输的建设项目，原则上不得采用公路运输。</w:t>
                  </w:r>
                </w:p>
              </w:tc>
              <w:tc>
                <w:tcPr>
                  <w:tcW w:w="880" w:type="dxa"/>
                  <w:vAlign w:val="center"/>
                </w:tcPr>
                <w:p>
                  <w:pPr>
                    <w:pStyle w:val="18"/>
                    <w:adjustRightInd w:val="0"/>
                    <w:snapToGrid w:val="0"/>
                    <w:spacing w:line="240" w:lineRule="auto"/>
                    <w:jc w:val="left"/>
                  </w:pPr>
                  <w:r>
                    <w:t>本项目不属于高排放高能耗、高污染行业</w:t>
                  </w:r>
                </w:p>
              </w:tc>
              <w:tc>
                <w:tcPr>
                  <w:tcW w:w="740" w:type="dxa"/>
                  <w:vAlign w:val="center"/>
                </w:tcPr>
                <w:p>
                  <w:pPr>
                    <w:pStyle w:val="18"/>
                    <w:adjustRightInd w:val="0"/>
                    <w:snapToGrid w:val="0"/>
                    <w:spacing w:line="240" w:lineRule="auto"/>
                    <w:jc w:val="left"/>
                  </w:pPr>
                  <w:r>
                    <w:t>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492" w:type="dxa"/>
                  <w:vAlign w:val="center"/>
                </w:tcPr>
                <w:p>
                  <w:pPr>
                    <w:ind w:firstLine="420" w:firstLineChars="200"/>
                    <w:jc w:val="left"/>
                  </w:pPr>
                  <w:r>
                    <w:t>3.严格施工扬尘污染管控。</w:t>
                  </w:r>
                </w:p>
                <w:p>
                  <w:pPr>
                    <w:adjustRightInd w:val="0"/>
                    <w:ind w:firstLine="420" w:firstLineChars="200"/>
                    <w:jc w:val="left"/>
                  </w:pPr>
                  <w:r>
                    <w:t>强化施工扬尘污染防治，将建筑、市政、拆除、公路、水利等各类施工工地扬尘污染防治纳入建筑施工安全生产文明施工管理范畴，严格执行开复工验收、“三员”管理、城市建筑垃圾处置核准、扬尘防治预算管理等制度，做到工地周边围挡、物料堆放覆盖、土方开挖湿法作业、路面硬化、出入车辆清洗、渣土车辆密闭运输“六个百分之百”，禁止施工工地现场搅拌混凝土、现场配置砂浆，将扬尘管理工作不到位的不良信息纳入建筑市场信用管理体系，情节严重的，列入建筑市场主体“黑名单”。规模以上土石方建筑工地全部安装在线监测和视频监控，并与主管部门联网。城市拆迁工程全面落实申报备案、会商研判、会商反馈、规范作业、综合处理“五步工作法”。各类长距离的市政、公路、水利等线性工程，全面实行分段施工。采暖季城市建成区施工工地继续实施 “封土行动”。</w:t>
                  </w:r>
                </w:p>
              </w:tc>
              <w:tc>
                <w:tcPr>
                  <w:tcW w:w="880" w:type="dxa"/>
                  <w:vAlign w:val="center"/>
                </w:tcPr>
                <w:p>
                  <w:pPr>
                    <w:pStyle w:val="18"/>
                    <w:adjustRightInd w:val="0"/>
                    <w:snapToGrid w:val="0"/>
                    <w:spacing w:line="240" w:lineRule="auto"/>
                    <w:jc w:val="left"/>
                    <w:rPr>
                      <w:rFonts w:hint="default" w:eastAsia="宋体"/>
                      <w:lang w:val="en-US" w:eastAsia="zh-CN"/>
                    </w:rPr>
                  </w:pPr>
                  <w:r>
                    <w:rPr>
                      <w:rFonts w:hint="eastAsia"/>
                      <w:lang w:eastAsia="zh-CN"/>
                    </w:rPr>
                    <w:t>环评要求企业严格按照要求施工，强化施工扬尘治理措施，最大限度降低施工扬尘对周围环境影响。</w:t>
                  </w:r>
                </w:p>
              </w:tc>
              <w:tc>
                <w:tcPr>
                  <w:tcW w:w="740" w:type="dxa"/>
                  <w:vAlign w:val="center"/>
                </w:tcPr>
                <w:p>
                  <w:pPr>
                    <w:pStyle w:val="18"/>
                    <w:adjustRightInd w:val="0"/>
                    <w:snapToGrid w:val="0"/>
                    <w:spacing w:line="240" w:lineRule="auto"/>
                    <w:jc w:val="left"/>
                  </w:pPr>
                  <w:r>
                    <w:t>相符</w:t>
                  </w:r>
                </w:p>
              </w:tc>
            </w:tr>
          </w:tbl>
          <w:p>
            <w:pPr>
              <w:autoSpaceDE w:val="0"/>
              <w:autoSpaceDN w:val="0"/>
              <w:adjustRightInd w:val="0"/>
              <w:spacing w:line="520" w:lineRule="exact"/>
              <w:ind w:firstLine="480" w:firstLineChars="200"/>
              <w:jc w:val="left"/>
              <w:rPr>
                <w:rFonts w:hint="default" w:ascii="Times New Roman" w:hAnsi="Times New Roman" w:cs="Times New Roman"/>
                <w:sz w:val="24"/>
                <w:szCs w:val="24"/>
              </w:rPr>
            </w:pPr>
            <w:r>
              <w:rPr>
                <w:rFonts w:hint="eastAsia" w:cs="Times New Roman"/>
                <w:sz w:val="24"/>
                <w:szCs w:val="24"/>
                <w:lang w:val="en-US" w:eastAsia="zh-CN"/>
              </w:rPr>
              <w:t>4</w:t>
            </w:r>
            <w:r>
              <w:rPr>
                <w:rFonts w:hint="default" w:ascii="Times New Roman" w:hAnsi="Times New Roman" w:cs="Times New Roman"/>
                <w:sz w:val="24"/>
                <w:szCs w:val="24"/>
              </w:rPr>
              <w:t>、项目周围环境情况</w:t>
            </w:r>
          </w:p>
          <w:p>
            <w:pPr>
              <w:pStyle w:val="8"/>
              <w:ind w:firstLine="480"/>
              <w:rPr>
                <w:rFonts w:hint="eastAsia" w:ascii="Times New Roman" w:hAnsi="Times New Roman" w:cs="Times New Roman"/>
                <w:sz w:val="24"/>
                <w:szCs w:val="24"/>
                <w:highlight w:val="none"/>
                <w:lang w:eastAsia="zh-CN"/>
              </w:rPr>
            </w:pPr>
            <w:r>
              <w:rPr>
                <w:rFonts w:hint="eastAsia" w:ascii="Times New Roman" w:hAnsi="Times New Roman" w:cs="Times New Roman"/>
                <w:sz w:val="24"/>
                <w:szCs w:val="24"/>
                <w:highlight w:val="none"/>
                <w:lang w:eastAsia="zh-CN"/>
              </w:rPr>
              <w:t>本</w:t>
            </w:r>
            <w:r>
              <w:rPr>
                <w:rFonts w:hint="default" w:ascii="Times New Roman" w:hAnsi="Times New Roman" w:eastAsia="宋体" w:cs="Times New Roman"/>
                <w:sz w:val="24"/>
                <w:szCs w:val="24"/>
                <w:highlight w:val="none"/>
              </w:rPr>
              <w:t>项目位于济源市</w:t>
            </w:r>
            <w:r>
              <w:rPr>
                <w:rFonts w:hint="eastAsia" w:ascii="Times New Roman" w:hAnsi="Times New Roman" w:cs="Times New Roman"/>
                <w:sz w:val="24"/>
                <w:szCs w:val="24"/>
                <w:highlight w:val="none"/>
                <w:lang w:eastAsia="zh-CN"/>
              </w:rPr>
              <w:t>思礼镇涧南庄村北，厂区南侧距涧南庄村最近居民点</w:t>
            </w:r>
            <w:r>
              <w:rPr>
                <w:rFonts w:hint="eastAsia" w:ascii="Times New Roman" w:hAnsi="Times New Roman" w:cs="Times New Roman"/>
                <w:sz w:val="24"/>
                <w:szCs w:val="24"/>
                <w:highlight w:val="none"/>
                <w:lang w:val="en-US" w:eastAsia="zh-CN"/>
              </w:rPr>
              <w:t>10m，东北侧距思礼村870m，北距涧北村870m，西距张村743m，南距北勋村690m。</w:t>
            </w:r>
          </w:p>
          <w:p>
            <w:pPr>
              <w:pStyle w:val="8"/>
              <w:ind w:firstLine="480"/>
              <w:rPr>
                <w:rFonts w:hint="eastAsia" w:ascii="Times New Roman" w:hAnsi="Times New Roman" w:cs="Times New Roman"/>
                <w:sz w:val="24"/>
                <w:szCs w:val="24"/>
                <w:highlight w:val="none"/>
                <w:lang w:eastAsia="zh-CN"/>
              </w:rPr>
            </w:pPr>
          </w:p>
          <w:p>
            <w:pPr>
              <w:pStyle w:val="8"/>
              <w:ind w:firstLine="480"/>
              <w:rPr>
                <w:rFonts w:hint="eastAsia" w:ascii="Times New Roman" w:hAnsi="Times New Roman" w:cs="Times New Roman"/>
                <w:sz w:val="24"/>
                <w:szCs w:val="24"/>
                <w:highlight w:val="none"/>
                <w:lang w:eastAsia="zh-CN"/>
              </w:rPr>
            </w:pPr>
          </w:p>
          <w:p>
            <w:pPr>
              <w:pStyle w:val="8"/>
              <w:ind w:firstLine="480"/>
              <w:rPr>
                <w:rFonts w:hint="eastAsia" w:ascii="Times New Roman" w:hAnsi="Times New Roman" w:cs="Times New Roman"/>
                <w:sz w:val="24"/>
                <w:szCs w:val="24"/>
                <w:highlight w:val="none"/>
                <w:lang w:eastAsia="zh-CN"/>
              </w:rPr>
            </w:pPr>
          </w:p>
          <w:p>
            <w:pPr>
              <w:pStyle w:val="8"/>
              <w:ind w:firstLine="480"/>
              <w:rPr>
                <w:rFonts w:hint="eastAsia" w:ascii="Times New Roman" w:hAnsi="Times New Roman" w:cs="Times New Roman"/>
                <w:sz w:val="24"/>
                <w:szCs w:val="24"/>
                <w:highlight w:val="none"/>
                <w:lang w:eastAsia="zh-CN"/>
              </w:rPr>
            </w:pPr>
          </w:p>
        </w:tc>
      </w:tr>
    </w:tbl>
    <w:p>
      <w:pPr>
        <w:spacing w:line="480" w:lineRule="exact"/>
        <w:rPr>
          <w:rFonts w:eastAsia="黑体"/>
          <w:sz w:val="32"/>
          <w:szCs w:val="32"/>
        </w:rPr>
      </w:pPr>
    </w:p>
    <w:p>
      <w:pPr>
        <w:spacing w:line="480" w:lineRule="exact"/>
        <w:rPr>
          <w:rFonts w:eastAsia="黑体"/>
          <w:sz w:val="32"/>
          <w:szCs w:val="32"/>
        </w:rPr>
      </w:pPr>
      <w:r>
        <w:rPr>
          <w:rFonts w:eastAsia="黑体"/>
          <w:sz w:val="32"/>
          <w:szCs w:val="32"/>
        </w:rPr>
        <w:t>环境质量状况</w:t>
      </w:r>
    </w:p>
    <w:tbl>
      <w:tblPr>
        <w:tblStyle w:val="12"/>
        <w:tblW w:w="9018" w:type="dxa"/>
        <w:jc w:val="center"/>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
      <w:tblGrid>
        <w:gridCol w:w="9018"/>
      </w:tblGrid>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541" w:hRule="atLeast"/>
          <w:jc w:val="center"/>
        </w:trPr>
        <w:tc>
          <w:tcPr>
            <w:tcW w:w="9018" w:type="dxa"/>
          </w:tcPr>
          <w:p>
            <w:pPr>
              <w:pStyle w:val="6"/>
              <w:spacing w:line="500" w:lineRule="exact"/>
              <w:ind w:firstLine="0" w:firstLineChars="0"/>
            </w:pPr>
            <w:r>
              <w:t>建设项目所在地区域环境质量现状及主要问题（环境空气、地面水、声环境、生态环境等）</w:t>
            </w:r>
          </w:p>
          <w:p>
            <w:pPr>
              <w:pStyle w:val="6"/>
              <w:spacing w:line="500" w:lineRule="exact"/>
              <w:ind w:firstLine="352" w:firstLineChars="147"/>
              <w:rPr>
                <w:sz w:val="24"/>
              </w:rPr>
            </w:pPr>
            <w:r>
              <w:rPr>
                <w:rFonts w:hint="eastAsia"/>
                <w:sz w:val="24"/>
              </w:rPr>
              <w:t>1、</w:t>
            </w:r>
            <w:r>
              <w:rPr>
                <w:rFonts w:hint="eastAsia"/>
                <w:b/>
                <w:bCs/>
                <w:sz w:val="24"/>
              </w:rPr>
              <w:t>环境空气质量现状</w:t>
            </w:r>
          </w:p>
          <w:p>
            <w:pPr>
              <w:spacing w:line="440" w:lineRule="exact"/>
              <w:ind w:firstLine="480" w:firstLineChars="200"/>
              <w:rPr>
                <w:sz w:val="24"/>
              </w:rPr>
            </w:pPr>
            <w:r>
              <w:rPr>
                <w:sz w:val="24"/>
              </w:rPr>
              <w:t>(1)环境空气</w:t>
            </w:r>
          </w:p>
          <w:p>
            <w:pPr>
              <w:spacing w:line="440" w:lineRule="exact"/>
              <w:ind w:firstLine="480" w:firstLineChars="200"/>
              <w:rPr>
                <w:bCs/>
                <w:sz w:val="24"/>
              </w:rPr>
            </w:pPr>
            <w:r>
              <w:rPr>
                <w:bCs/>
                <w:sz w:val="24"/>
              </w:rPr>
              <w:t>根据济源市</w:t>
            </w:r>
            <w:r>
              <w:rPr>
                <w:rFonts w:hint="eastAsia"/>
                <w:bCs/>
                <w:sz w:val="24"/>
              </w:rPr>
              <w:t>环境监测站编制</w:t>
            </w:r>
            <w:r>
              <w:rPr>
                <w:bCs/>
                <w:sz w:val="24"/>
              </w:rPr>
              <w:t>的《济源市201</w:t>
            </w:r>
            <w:r>
              <w:rPr>
                <w:rFonts w:hint="eastAsia"/>
                <w:bCs/>
                <w:sz w:val="24"/>
              </w:rPr>
              <w:t>8</w:t>
            </w:r>
            <w:r>
              <w:rPr>
                <w:bCs/>
                <w:sz w:val="24"/>
              </w:rPr>
              <w:t>年度</w:t>
            </w:r>
            <w:r>
              <w:rPr>
                <w:rFonts w:hint="eastAsia"/>
                <w:bCs/>
                <w:sz w:val="24"/>
              </w:rPr>
              <w:t>城市环境空气质量数据</w:t>
            </w:r>
            <w:r>
              <w:rPr>
                <w:bCs/>
                <w:sz w:val="24"/>
              </w:rPr>
              <w:t>》，201</w:t>
            </w:r>
            <w:r>
              <w:rPr>
                <w:rFonts w:hint="eastAsia"/>
                <w:bCs/>
                <w:sz w:val="24"/>
              </w:rPr>
              <w:t>8</w:t>
            </w:r>
            <w:r>
              <w:rPr>
                <w:bCs/>
                <w:sz w:val="24"/>
              </w:rPr>
              <w:t>年济源市区域空气质量现状见下表。</w:t>
            </w:r>
          </w:p>
          <w:p>
            <w:pPr>
              <w:pStyle w:val="23"/>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ascii="Times New Roman" w:hAnsi="Times New Roman" w:eastAsia="黑体"/>
                <w:bCs/>
                <w:sz w:val="24"/>
              </w:rPr>
            </w:pPr>
            <w:r>
              <w:rPr>
                <w:rFonts w:ascii="Times New Roman" w:hAnsi="Times New Roman" w:eastAsia="黑体"/>
                <w:bCs/>
                <w:sz w:val="24"/>
              </w:rPr>
              <w:t>201</w:t>
            </w:r>
            <w:r>
              <w:rPr>
                <w:rFonts w:hint="eastAsia" w:ascii="Times New Roman" w:hAnsi="Times New Roman" w:eastAsia="黑体"/>
                <w:bCs/>
                <w:sz w:val="24"/>
              </w:rPr>
              <w:t>8</w:t>
            </w:r>
            <w:r>
              <w:rPr>
                <w:rFonts w:ascii="Times New Roman" w:hAnsi="Times New Roman" w:eastAsia="黑体"/>
                <w:bCs/>
                <w:sz w:val="24"/>
              </w:rPr>
              <w:t>年济源市区域空气质量现状评价表</w:t>
            </w:r>
          </w:p>
          <w:tbl>
            <w:tblPr>
              <w:tblStyle w:val="13"/>
              <w:tblW w:w="86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516"/>
              <w:gridCol w:w="1100"/>
              <w:gridCol w:w="1100"/>
              <w:gridCol w:w="816"/>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污染物</w:t>
                  </w:r>
                </w:p>
              </w:tc>
              <w:tc>
                <w:tcPr>
                  <w:tcW w:w="35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年评价指标</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现状浓度</w:t>
                  </w:r>
                </w:p>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（μg/m</w:t>
                  </w:r>
                  <w:r>
                    <w:rPr>
                      <w:rFonts w:hint="default" w:ascii="Times New Roman" w:hAnsi="Times New Roman" w:cs="Times New Roman"/>
                      <w:bCs/>
                      <w:kern w:val="0"/>
                      <w:sz w:val="21"/>
                      <w:szCs w:val="21"/>
                      <w:vertAlign w:val="superscript"/>
                    </w:rPr>
                    <w:t>3</w:t>
                  </w:r>
                  <w:r>
                    <w:rPr>
                      <w:rFonts w:hint="default" w:ascii="Times New Roman" w:hAnsi="Times New Roman" w:cs="Times New Roman"/>
                      <w:bCs/>
                      <w:kern w:val="0"/>
                      <w:sz w:val="21"/>
                      <w:szCs w:val="21"/>
                    </w:rPr>
                    <w:t>）</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标准值</w:t>
                  </w:r>
                </w:p>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（μg/m</w:t>
                  </w:r>
                  <w:r>
                    <w:rPr>
                      <w:rFonts w:hint="default" w:ascii="Times New Roman" w:hAnsi="Times New Roman" w:cs="Times New Roman"/>
                      <w:bCs/>
                      <w:kern w:val="0"/>
                      <w:sz w:val="21"/>
                      <w:szCs w:val="21"/>
                      <w:vertAlign w:val="superscript"/>
                    </w:rPr>
                    <w:t>3</w:t>
                  </w:r>
                  <w:r>
                    <w:rPr>
                      <w:rFonts w:hint="default" w:ascii="Times New Roman" w:hAnsi="Times New Roman" w:cs="Times New Roman"/>
                      <w:bCs/>
                      <w:kern w:val="0"/>
                      <w:sz w:val="21"/>
                      <w:szCs w:val="21"/>
                    </w:rPr>
                    <w:t>）</w:t>
                  </w:r>
                </w:p>
              </w:tc>
              <w:tc>
                <w:tcPr>
                  <w:tcW w:w="8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占标率</w:t>
                  </w:r>
                </w:p>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w:t>
                  </w:r>
                </w:p>
              </w:tc>
              <w:tc>
                <w:tcPr>
                  <w:tcW w:w="133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达标</w:t>
                  </w:r>
                </w:p>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Merge w:val="restart"/>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SO</w:t>
                  </w:r>
                  <w:r>
                    <w:rPr>
                      <w:rFonts w:hint="default" w:ascii="Times New Roman" w:hAnsi="Times New Roman" w:cs="Times New Roman"/>
                      <w:bCs/>
                      <w:kern w:val="0"/>
                      <w:sz w:val="21"/>
                      <w:szCs w:val="21"/>
                      <w:vertAlign w:val="subscript"/>
                    </w:rPr>
                    <w:t>2</w:t>
                  </w:r>
                </w:p>
              </w:tc>
              <w:tc>
                <w:tcPr>
                  <w:tcW w:w="35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年平均质量浓度值</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27</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60</w:t>
                  </w:r>
                </w:p>
              </w:tc>
              <w:tc>
                <w:tcPr>
                  <w:tcW w:w="8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45</w:t>
                  </w:r>
                </w:p>
              </w:tc>
              <w:tc>
                <w:tcPr>
                  <w:tcW w:w="1336" w:type="dxa"/>
                  <w:vMerge w:val="restart"/>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cs="Times New Roman"/>
                      <w:bCs/>
                      <w:kern w:val="0"/>
                      <w:sz w:val="21"/>
                      <w:szCs w:val="21"/>
                    </w:rPr>
                  </w:pPr>
                </w:p>
              </w:tc>
              <w:tc>
                <w:tcPr>
                  <w:tcW w:w="35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24小时平均第98百分位数浓度值</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81</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150</w:t>
                  </w:r>
                </w:p>
              </w:tc>
              <w:tc>
                <w:tcPr>
                  <w:tcW w:w="8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54</w:t>
                  </w:r>
                </w:p>
              </w:tc>
              <w:tc>
                <w:tcPr>
                  <w:tcW w:w="1336"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Merge w:val="restart"/>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NO</w:t>
                  </w:r>
                  <w:r>
                    <w:rPr>
                      <w:rFonts w:hint="default" w:ascii="Times New Roman" w:hAnsi="Times New Roman" w:cs="Times New Roman"/>
                      <w:bCs/>
                      <w:kern w:val="0"/>
                      <w:sz w:val="21"/>
                      <w:szCs w:val="21"/>
                      <w:vertAlign w:val="subscript"/>
                    </w:rPr>
                    <w:t>2</w:t>
                  </w:r>
                </w:p>
              </w:tc>
              <w:tc>
                <w:tcPr>
                  <w:tcW w:w="35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年平均质量浓度值</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40</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40</w:t>
                  </w:r>
                </w:p>
              </w:tc>
              <w:tc>
                <w:tcPr>
                  <w:tcW w:w="8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100</w:t>
                  </w:r>
                </w:p>
              </w:tc>
              <w:tc>
                <w:tcPr>
                  <w:tcW w:w="1336" w:type="dxa"/>
                  <w:vMerge w:val="restart"/>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cs="Times New Roman"/>
                      <w:bCs/>
                      <w:kern w:val="0"/>
                      <w:sz w:val="21"/>
                      <w:szCs w:val="21"/>
                    </w:rPr>
                  </w:pPr>
                </w:p>
              </w:tc>
              <w:tc>
                <w:tcPr>
                  <w:tcW w:w="35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24小时平均第98百分位数浓度值</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82</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80</w:t>
                  </w:r>
                </w:p>
              </w:tc>
              <w:tc>
                <w:tcPr>
                  <w:tcW w:w="8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102.5</w:t>
                  </w:r>
                </w:p>
              </w:tc>
              <w:tc>
                <w:tcPr>
                  <w:tcW w:w="1336"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Merge w:val="restart"/>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PM</w:t>
                  </w:r>
                  <w:r>
                    <w:rPr>
                      <w:rFonts w:hint="default" w:ascii="Times New Roman" w:hAnsi="Times New Roman" w:cs="Times New Roman"/>
                      <w:bCs/>
                      <w:kern w:val="0"/>
                      <w:sz w:val="21"/>
                      <w:szCs w:val="21"/>
                      <w:vertAlign w:val="subscript"/>
                    </w:rPr>
                    <w:t>10</w:t>
                  </w:r>
                </w:p>
              </w:tc>
              <w:tc>
                <w:tcPr>
                  <w:tcW w:w="35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年平均质量浓度值</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104</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70</w:t>
                  </w:r>
                </w:p>
              </w:tc>
              <w:tc>
                <w:tcPr>
                  <w:tcW w:w="8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148.6</w:t>
                  </w:r>
                </w:p>
              </w:tc>
              <w:tc>
                <w:tcPr>
                  <w:tcW w:w="1336" w:type="dxa"/>
                  <w:vMerge w:val="restart"/>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cs="Times New Roman"/>
                      <w:bCs/>
                      <w:kern w:val="0"/>
                      <w:sz w:val="21"/>
                      <w:szCs w:val="21"/>
                    </w:rPr>
                  </w:pPr>
                </w:p>
              </w:tc>
              <w:tc>
                <w:tcPr>
                  <w:tcW w:w="35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24小时平均第95百分位数浓度值</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277</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150</w:t>
                  </w:r>
                </w:p>
              </w:tc>
              <w:tc>
                <w:tcPr>
                  <w:tcW w:w="8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184.7</w:t>
                  </w:r>
                </w:p>
              </w:tc>
              <w:tc>
                <w:tcPr>
                  <w:tcW w:w="1336"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Merge w:val="restart"/>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PM</w:t>
                  </w:r>
                  <w:r>
                    <w:rPr>
                      <w:rFonts w:hint="default" w:ascii="Times New Roman" w:hAnsi="Times New Roman" w:cs="Times New Roman"/>
                      <w:bCs/>
                      <w:kern w:val="0"/>
                      <w:sz w:val="21"/>
                      <w:szCs w:val="21"/>
                      <w:vertAlign w:val="subscript"/>
                    </w:rPr>
                    <w:t>2.5</w:t>
                  </w:r>
                </w:p>
              </w:tc>
              <w:tc>
                <w:tcPr>
                  <w:tcW w:w="35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年平均质量浓度值</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64</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35</w:t>
                  </w:r>
                </w:p>
              </w:tc>
              <w:tc>
                <w:tcPr>
                  <w:tcW w:w="8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182.9</w:t>
                  </w:r>
                </w:p>
              </w:tc>
              <w:tc>
                <w:tcPr>
                  <w:tcW w:w="1336" w:type="dxa"/>
                  <w:vMerge w:val="restart"/>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cs="Times New Roman"/>
                      <w:bCs/>
                      <w:kern w:val="0"/>
                      <w:sz w:val="21"/>
                      <w:szCs w:val="21"/>
                    </w:rPr>
                  </w:pPr>
                </w:p>
              </w:tc>
              <w:tc>
                <w:tcPr>
                  <w:tcW w:w="35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24小时平均第95百分位数浓度值</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184</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75</w:t>
                  </w:r>
                </w:p>
              </w:tc>
              <w:tc>
                <w:tcPr>
                  <w:tcW w:w="8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245.3</w:t>
                  </w:r>
                </w:p>
              </w:tc>
              <w:tc>
                <w:tcPr>
                  <w:tcW w:w="1336"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CO</w:t>
                  </w:r>
                </w:p>
              </w:tc>
              <w:tc>
                <w:tcPr>
                  <w:tcW w:w="35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24小时平均第95百分位数浓度值</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2400</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4000</w:t>
                  </w:r>
                </w:p>
              </w:tc>
              <w:tc>
                <w:tcPr>
                  <w:tcW w:w="8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60</w:t>
                  </w:r>
                </w:p>
              </w:tc>
              <w:tc>
                <w:tcPr>
                  <w:tcW w:w="133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臭氧</w:t>
                  </w:r>
                </w:p>
              </w:tc>
              <w:tc>
                <w:tcPr>
                  <w:tcW w:w="35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最大8小时平均第90百分位数浓度值</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186</w:t>
                  </w:r>
                </w:p>
              </w:tc>
              <w:tc>
                <w:tcPr>
                  <w:tcW w:w="1100"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160</w:t>
                  </w:r>
                </w:p>
              </w:tc>
              <w:tc>
                <w:tcPr>
                  <w:tcW w:w="81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116.3</w:t>
                  </w:r>
                </w:p>
              </w:tc>
              <w:tc>
                <w:tcPr>
                  <w:tcW w:w="1336" w:type="dxa"/>
                  <w:vAlign w:val="center"/>
                </w:tcPr>
                <w:p>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Cs/>
                      <w:kern w:val="0"/>
                      <w:sz w:val="21"/>
                      <w:szCs w:val="21"/>
                    </w:rPr>
                  </w:pPr>
                  <w:r>
                    <w:rPr>
                      <w:rFonts w:hint="default" w:ascii="Times New Roman" w:hAnsi="Times New Roman" w:cs="Times New Roman"/>
                      <w:bCs/>
                      <w:kern w:val="0"/>
                      <w:sz w:val="21"/>
                      <w:szCs w:val="21"/>
                    </w:rPr>
                    <w:t>超标</w:t>
                  </w:r>
                </w:p>
              </w:tc>
            </w:tr>
          </w:tbl>
          <w:p>
            <w:pPr>
              <w:spacing w:line="440" w:lineRule="exact"/>
              <w:ind w:firstLine="480" w:firstLineChars="200"/>
              <w:rPr>
                <w:rFonts w:hint="eastAsia"/>
                <w:b w:val="0"/>
                <w:bCs/>
                <w:sz w:val="24"/>
                <w:u w:val="none"/>
                <w:lang w:val="en-US" w:eastAsia="zh-CN"/>
              </w:rPr>
            </w:pPr>
            <w:r>
              <w:rPr>
                <w:rFonts w:hint="eastAsia"/>
                <w:b w:val="0"/>
                <w:bCs/>
                <w:sz w:val="24"/>
                <w:u w:val="none"/>
                <w:lang w:eastAsia="zh-CN"/>
              </w:rPr>
              <w:t>对</w:t>
            </w:r>
            <w:r>
              <w:rPr>
                <w:rFonts w:hint="eastAsia"/>
                <w:b w:val="0"/>
                <w:bCs/>
                <w:sz w:val="24"/>
                <w:u w:val="none"/>
                <w:lang w:val="en-US" w:eastAsia="zh-CN"/>
              </w:rPr>
              <w:t>2020年4月1日至7日济源市环境监测站实时发布的思礼镇环境空气质量数据进行统计，项目所在区域空气质量均值数据如下：</w:t>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b w:val="0"/>
                <w:bCs/>
                <w:u w:val="none"/>
                <w:lang w:val="en-US" w:eastAsia="zh-CN"/>
              </w:rPr>
            </w:pPr>
            <w:r>
              <w:rPr>
                <w:rFonts w:hint="eastAsia" w:ascii="黑体" w:hAnsi="黑体" w:eastAsia="黑体" w:cs="黑体"/>
                <w:b w:val="0"/>
                <w:bCs/>
                <w:sz w:val="24"/>
                <w:u w:val="none"/>
                <w:lang w:val="en-US" w:eastAsia="zh-CN"/>
              </w:rPr>
              <w:t>2020年4月1日至7日项目所在区域空气质量现状评价表</w:t>
            </w:r>
          </w:p>
          <w:tbl>
            <w:tblPr>
              <w:tblStyle w:val="13"/>
              <w:tblW w:w="86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005"/>
              <w:gridCol w:w="1290"/>
              <w:gridCol w:w="1275"/>
              <w:gridCol w:w="1110"/>
              <w:gridCol w:w="1125"/>
              <w:gridCol w:w="1245"/>
              <w:gridCol w:w="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806" w:type="dxa"/>
                  <w:vAlign w:val="center"/>
                </w:tcPr>
                <w:p>
                  <w:pPr>
                    <w:pStyle w:val="2"/>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b w:val="0"/>
                      <w:bCs/>
                      <w:sz w:val="21"/>
                      <w:szCs w:val="21"/>
                      <w:u w:val="none"/>
                      <w:vertAlign w:val="baseline"/>
                      <w:lang w:val="en-US" w:eastAsia="zh-CN"/>
                    </w:rPr>
                  </w:pPr>
                  <w:r>
                    <w:rPr>
                      <w:rFonts w:hint="eastAsia" w:ascii="宋体" w:hAnsi="宋体" w:eastAsia="宋体" w:cs="宋体"/>
                      <w:b w:val="0"/>
                      <w:bCs/>
                      <w:sz w:val="21"/>
                      <w:szCs w:val="21"/>
                      <w:u w:val="none"/>
                      <w:vertAlign w:val="baseline"/>
                      <w:lang w:val="en-US" w:eastAsia="zh-CN"/>
                    </w:rPr>
                    <w:t>污染物</w:t>
                  </w:r>
                </w:p>
              </w:tc>
              <w:tc>
                <w:tcPr>
                  <w:tcW w:w="1005" w:type="dxa"/>
                  <w:vAlign w:val="center"/>
                </w:tcPr>
                <w:p>
                  <w:pPr>
                    <w:pStyle w:val="2"/>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b w:val="0"/>
                      <w:bCs/>
                      <w:sz w:val="21"/>
                      <w:szCs w:val="21"/>
                      <w:u w:val="none"/>
                      <w:vertAlign w:val="baseline"/>
                      <w:lang w:val="en-US" w:eastAsia="zh-CN"/>
                    </w:rPr>
                  </w:pPr>
                  <w:r>
                    <w:rPr>
                      <w:rFonts w:hint="eastAsia" w:cs="宋体"/>
                      <w:b w:val="0"/>
                      <w:bCs/>
                      <w:sz w:val="21"/>
                      <w:szCs w:val="21"/>
                      <w:u w:val="none"/>
                      <w:vertAlign w:val="baseline"/>
                      <w:lang w:val="en-US" w:eastAsia="zh-CN"/>
                    </w:rPr>
                    <w:t>时间</w:t>
                  </w:r>
                </w:p>
              </w:tc>
              <w:tc>
                <w:tcPr>
                  <w:tcW w:w="1290" w:type="dxa"/>
                  <w:vAlign w:val="center"/>
                </w:tcPr>
                <w:p>
                  <w:pPr>
                    <w:pStyle w:val="2"/>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b w:val="0"/>
                      <w:bCs/>
                      <w:sz w:val="21"/>
                      <w:szCs w:val="21"/>
                      <w:u w:val="none"/>
                      <w:vertAlign w:val="baseline"/>
                      <w:lang w:val="en-US" w:eastAsia="zh-CN"/>
                    </w:rPr>
                  </w:pPr>
                  <w:r>
                    <w:rPr>
                      <w:rFonts w:hint="eastAsia" w:cs="宋体"/>
                      <w:b w:val="0"/>
                      <w:bCs/>
                      <w:sz w:val="21"/>
                      <w:szCs w:val="21"/>
                      <w:u w:val="none"/>
                      <w:vertAlign w:val="baseline"/>
                      <w:lang w:val="en-US" w:eastAsia="zh-CN"/>
                    </w:rPr>
                    <w:t>评价指标</w:t>
                  </w:r>
                </w:p>
              </w:tc>
              <w:tc>
                <w:tcPr>
                  <w:tcW w:w="1275" w:type="dxa"/>
                  <w:vAlign w:val="center"/>
                </w:tcPr>
                <w:p>
                  <w:pPr>
                    <w:pStyle w:val="2"/>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cs="宋体"/>
                      <w:b w:val="0"/>
                      <w:bCs/>
                      <w:sz w:val="21"/>
                      <w:szCs w:val="21"/>
                      <w:u w:val="none"/>
                      <w:vertAlign w:val="baseline"/>
                      <w:lang w:val="en-US" w:eastAsia="zh-CN"/>
                    </w:rPr>
                  </w:pPr>
                  <w:r>
                    <w:rPr>
                      <w:rFonts w:hint="eastAsia" w:cs="宋体"/>
                      <w:b w:val="0"/>
                      <w:bCs/>
                      <w:sz w:val="21"/>
                      <w:szCs w:val="21"/>
                      <w:u w:val="none"/>
                      <w:vertAlign w:val="baseline"/>
                      <w:lang w:val="en-US" w:eastAsia="zh-CN"/>
                    </w:rPr>
                    <w:t>现状值</w:t>
                  </w:r>
                  <w:r>
                    <w:rPr>
                      <w:rFonts w:hint="eastAsia"/>
                      <w:b w:val="0"/>
                      <w:bCs/>
                      <w:sz w:val="21"/>
                      <w:szCs w:val="21"/>
                      <w:u w:val="none"/>
                    </w:rPr>
                    <w:t>（</w:t>
                  </w:r>
                  <w:r>
                    <w:rPr>
                      <w:rFonts w:hint="default" w:ascii="Times New Roman" w:hAnsi="Times New Roman" w:cs="Times New Roman"/>
                      <w:b w:val="0"/>
                      <w:bCs/>
                      <w:sz w:val="21"/>
                      <w:szCs w:val="21"/>
                      <w:u w:val="none"/>
                    </w:rPr>
                    <w:t>μg/m</w:t>
                  </w:r>
                  <w:r>
                    <w:rPr>
                      <w:rFonts w:hint="default" w:ascii="Times New Roman" w:hAnsi="Times New Roman" w:cs="Times New Roman"/>
                      <w:b w:val="0"/>
                      <w:bCs/>
                      <w:sz w:val="21"/>
                      <w:szCs w:val="21"/>
                      <w:u w:val="none"/>
                      <w:vertAlign w:val="superscript"/>
                    </w:rPr>
                    <w:t>3</w:t>
                  </w:r>
                  <w:r>
                    <w:rPr>
                      <w:rFonts w:hint="eastAsia"/>
                      <w:b w:val="0"/>
                      <w:bCs/>
                      <w:sz w:val="21"/>
                      <w:szCs w:val="21"/>
                      <w:u w:val="none"/>
                    </w:rPr>
                    <w:t>）</w:t>
                  </w:r>
                </w:p>
              </w:tc>
              <w:tc>
                <w:tcPr>
                  <w:tcW w:w="1110" w:type="dxa"/>
                  <w:vAlign w:val="center"/>
                </w:tcPr>
                <w:p>
                  <w:pPr>
                    <w:pStyle w:val="2"/>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eastAsia" w:ascii="宋体" w:hAnsi="宋体" w:eastAsia="宋体" w:cs="宋体"/>
                      <w:b w:val="0"/>
                      <w:bCs/>
                      <w:sz w:val="21"/>
                      <w:szCs w:val="21"/>
                      <w:u w:val="none"/>
                      <w:vertAlign w:val="baseline"/>
                      <w:lang w:val="en-US" w:eastAsia="zh-CN"/>
                    </w:rPr>
                  </w:pPr>
                  <w:r>
                    <w:rPr>
                      <w:rFonts w:hint="eastAsia" w:cs="宋体"/>
                      <w:b w:val="0"/>
                      <w:bCs/>
                      <w:sz w:val="21"/>
                      <w:szCs w:val="21"/>
                      <w:u w:val="none"/>
                      <w:vertAlign w:val="baseline"/>
                      <w:lang w:val="en-US" w:eastAsia="zh-CN"/>
                    </w:rPr>
                    <w:t>平均值</w:t>
                  </w:r>
                  <w:r>
                    <w:rPr>
                      <w:rFonts w:hint="eastAsia"/>
                      <w:b w:val="0"/>
                      <w:bCs/>
                      <w:sz w:val="21"/>
                      <w:szCs w:val="21"/>
                      <w:u w:val="none"/>
                    </w:rPr>
                    <w:t>（</w:t>
                  </w:r>
                  <w:r>
                    <w:rPr>
                      <w:rFonts w:hint="default" w:ascii="Times New Roman" w:hAnsi="Times New Roman" w:cs="Times New Roman"/>
                      <w:b w:val="0"/>
                      <w:bCs/>
                      <w:sz w:val="21"/>
                      <w:szCs w:val="21"/>
                      <w:u w:val="none"/>
                    </w:rPr>
                    <w:t>μg/m</w:t>
                  </w:r>
                  <w:r>
                    <w:rPr>
                      <w:rFonts w:hint="default" w:ascii="Times New Roman" w:hAnsi="Times New Roman" w:cs="Times New Roman"/>
                      <w:b w:val="0"/>
                      <w:bCs/>
                      <w:sz w:val="21"/>
                      <w:szCs w:val="21"/>
                      <w:u w:val="none"/>
                      <w:vertAlign w:val="superscript"/>
                    </w:rPr>
                    <w:t>3</w:t>
                  </w:r>
                  <w:r>
                    <w:rPr>
                      <w:rFonts w:hint="eastAsia"/>
                      <w:b w:val="0"/>
                      <w:bCs/>
                      <w:sz w:val="21"/>
                      <w:szCs w:val="21"/>
                      <w:u w:val="none"/>
                    </w:rPr>
                    <w:t>）</w:t>
                  </w:r>
                </w:p>
              </w:tc>
              <w:tc>
                <w:tcPr>
                  <w:tcW w:w="1125" w:type="dxa"/>
                  <w:vAlign w:val="center"/>
                </w:tcPr>
                <w:p>
                  <w:pPr>
                    <w:pStyle w:val="2"/>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b w:val="0"/>
                      <w:bCs/>
                      <w:sz w:val="21"/>
                      <w:szCs w:val="21"/>
                      <w:u w:val="none"/>
                      <w:vertAlign w:val="baseline"/>
                      <w:lang w:val="en-US" w:eastAsia="zh-CN"/>
                    </w:rPr>
                  </w:pPr>
                  <w:r>
                    <w:rPr>
                      <w:rFonts w:hint="eastAsia" w:cs="宋体"/>
                      <w:b w:val="0"/>
                      <w:bCs/>
                      <w:sz w:val="21"/>
                      <w:szCs w:val="21"/>
                      <w:u w:val="none"/>
                      <w:vertAlign w:val="baseline"/>
                      <w:lang w:val="en-US" w:eastAsia="zh-CN"/>
                    </w:rPr>
                    <w:t>标准值</w:t>
                  </w:r>
                  <w:r>
                    <w:rPr>
                      <w:rFonts w:hint="eastAsia"/>
                      <w:b w:val="0"/>
                      <w:bCs/>
                      <w:sz w:val="21"/>
                      <w:szCs w:val="21"/>
                      <w:u w:val="none"/>
                    </w:rPr>
                    <w:t>（</w:t>
                  </w:r>
                  <w:r>
                    <w:rPr>
                      <w:rFonts w:hint="default" w:ascii="Times New Roman" w:hAnsi="Times New Roman" w:cs="Times New Roman"/>
                      <w:b w:val="0"/>
                      <w:bCs/>
                      <w:sz w:val="21"/>
                      <w:szCs w:val="21"/>
                      <w:u w:val="none"/>
                    </w:rPr>
                    <w:t>μg/m</w:t>
                  </w:r>
                  <w:r>
                    <w:rPr>
                      <w:rFonts w:hint="default" w:ascii="Times New Roman" w:hAnsi="Times New Roman" w:cs="Times New Roman"/>
                      <w:b w:val="0"/>
                      <w:bCs/>
                      <w:sz w:val="21"/>
                      <w:szCs w:val="21"/>
                      <w:u w:val="none"/>
                      <w:vertAlign w:val="superscript"/>
                    </w:rPr>
                    <w:t>3</w:t>
                  </w:r>
                  <w:r>
                    <w:rPr>
                      <w:rFonts w:hint="eastAsia"/>
                      <w:b w:val="0"/>
                      <w:bCs/>
                      <w:sz w:val="21"/>
                      <w:szCs w:val="21"/>
                      <w:u w:val="none"/>
                    </w:rPr>
                    <w:t>）</w:t>
                  </w:r>
                </w:p>
              </w:tc>
              <w:tc>
                <w:tcPr>
                  <w:tcW w:w="1245" w:type="dxa"/>
                  <w:vAlign w:val="center"/>
                </w:tcPr>
                <w:p>
                  <w:pPr>
                    <w:pStyle w:val="2"/>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b w:val="0"/>
                      <w:bCs/>
                      <w:sz w:val="21"/>
                      <w:szCs w:val="21"/>
                      <w:u w:val="none"/>
                      <w:vertAlign w:val="baseline"/>
                      <w:lang w:val="en-US" w:eastAsia="zh-CN"/>
                    </w:rPr>
                  </w:pPr>
                  <w:r>
                    <w:rPr>
                      <w:rFonts w:hint="eastAsia" w:cs="宋体"/>
                      <w:b w:val="0"/>
                      <w:bCs/>
                      <w:sz w:val="21"/>
                      <w:szCs w:val="21"/>
                      <w:u w:val="none"/>
                      <w:vertAlign w:val="baseline"/>
                      <w:lang w:val="en-US" w:eastAsia="zh-CN"/>
                    </w:rPr>
                    <w:t>占标率（%）</w:t>
                  </w:r>
                </w:p>
              </w:tc>
              <w:tc>
                <w:tcPr>
                  <w:tcW w:w="809" w:type="dxa"/>
                  <w:vAlign w:val="center"/>
                </w:tcPr>
                <w:p>
                  <w:pPr>
                    <w:pStyle w:val="2"/>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cs="宋体"/>
                      <w:b w:val="0"/>
                      <w:bCs/>
                      <w:sz w:val="21"/>
                      <w:szCs w:val="21"/>
                      <w:u w:val="none"/>
                      <w:vertAlign w:val="baseline"/>
                      <w:lang w:val="en-US" w:eastAsia="zh-CN"/>
                    </w:rPr>
                  </w:pPr>
                  <w:r>
                    <w:rPr>
                      <w:rFonts w:hint="eastAsia" w:cs="宋体"/>
                      <w:b w:val="0"/>
                      <w:bCs/>
                      <w:sz w:val="21"/>
                      <w:szCs w:val="21"/>
                      <w:u w:val="none"/>
                      <w:vertAlign w:val="baseline"/>
                      <w:lang w:val="en-US" w:eastAsia="zh-CN"/>
                    </w:rPr>
                    <w:t>达标</w:t>
                  </w:r>
                </w:p>
                <w:p>
                  <w:pPr>
                    <w:pStyle w:val="2"/>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b w:val="0"/>
                      <w:bCs/>
                      <w:sz w:val="21"/>
                      <w:szCs w:val="21"/>
                      <w:u w:val="none"/>
                      <w:vertAlign w:val="baseline"/>
                      <w:lang w:val="en-US" w:eastAsia="zh-CN"/>
                    </w:rPr>
                  </w:pPr>
                  <w:r>
                    <w:rPr>
                      <w:rFonts w:hint="eastAsia" w:cs="宋体"/>
                      <w:b w:val="0"/>
                      <w:bCs/>
                      <w:sz w:val="21"/>
                      <w:szCs w:val="21"/>
                      <w:u w:val="none"/>
                      <w:vertAlign w:val="baseline"/>
                      <w:lang w:val="en-US" w:eastAsia="zh-CN"/>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6" w:type="dxa"/>
                  <w:vAlign w:val="center"/>
                </w:tcPr>
                <w:p>
                  <w:pPr>
                    <w:jc w:val="center"/>
                    <w:rPr>
                      <w:rFonts w:hint="default" w:ascii="宋体" w:hAnsi="宋体" w:eastAsia="宋体" w:cs="宋体"/>
                      <w:b w:val="0"/>
                      <w:bCs/>
                      <w:sz w:val="21"/>
                      <w:szCs w:val="21"/>
                      <w:u w:val="none"/>
                      <w:vertAlign w:val="baseline"/>
                      <w:lang w:val="en-US" w:eastAsia="zh-CN"/>
                    </w:rPr>
                  </w:pPr>
                  <w:r>
                    <w:rPr>
                      <w:rFonts w:hint="eastAsia"/>
                      <w:b w:val="0"/>
                      <w:bCs/>
                      <w:szCs w:val="21"/>
                      <w:u w:val="none"/>
                    </w:rPr>
                    <w:t>PM</w:t>
                  </w:r>
                  <w:r>
                    <w:rPr>
                      <w:rFonts w:hint="eastAsia"/>
                      <w:b w:val="0"/>
                      <w:bCs/>
                      <w:szCs w:val="21"/>
                      <w:u w:val="none"/>
                      <w:vertAlign w:val="subscript"/>
                    </w:rPr>
                    <w:t>10</w:t>
                  </w:r>
                </w:p>
              </w:tc>
              <w:tc>
                <w:tcPr>
                  <w:tcW w:w="1005" w:type="dxa"/>
                  <w:vMerge w:val="restart"/>
                  <w:vAlign w:val="center"/>
                </w:tcPr>
                <w:p>
                  <w:pPr>
                    <w:pStyle w:val="2"/>
                    <w:ind w:left="0" w:leftChars="0" w:firstLine="0" w:firstLineChars="0"/>
                    <w:jc w:val="both"/>
                    <w:rPr>
                      <w:rFonts w:hint="default" w:ascii="宋体" w:hAnsi="宋体" w:eastAsia="宋体" w:cs="宋体"/>
                      <w:b w:val="0"/>
                      <w:bCs/>
                      <w:sz w:val="21"/>
                      <w:szCs w:val="21"/>
                      <w:u w:val="none"/>
                      <w:vertAlign w:val="baseline"/>
                      <w:lang w:val="en-US" w:eastAsia="zh-CN"/>
                    </w:rPr>
                  </w:pPr>
                  <w:r>
                    <w:rPr>
                      <w:rFonts w:hint="default" w:ascii="Times New Roman" w:hAnsi="Times New Roman" w:cs="Times New Roman"/>
                      <w:b w:val="0"/>
                      <w:bCs/>
                      <w:sz w:val="21"/>
                      <w:szCs w:val="21"/>
                      <w:u w:val="none"/>
                      <w:vertAlign w:val="baseline"/>
                      <w:lang w:val="en-US" w:eastAsia="zh-CN"/>
                    </w:rPr>
                    <w:t>20</w:t>
                  </w:r>
                  <w:r>
                    <w:rPr>
                      <w:rFonts w:hint="eastAsia" w:ascii="Times New Roman" w:hAnsi="Times New Roman" w:cs="Times New Roman"/>
                      <w:b w:val="0"/>
                      <w:bCs/>
                      <w:sz w:val="21"/>
                      <w:szCs w:val="21"/>
                      <w:u w:val="none"/>
                      <w:vertAlign w:val="baseline"/>
                      <w:lang w:val="en-US" w:eastAsia="zh-CN"/>
                    </w:rPr>
                    <w:t>20.4.1-4.7</w:t>
                  </w:r>
                </w:p>
              </w:tc>
              <w:tc>
                <w:tcPr>
                  <w:tcW w:w="1290" w:type="dxa"/>
                  <w:vMerge w:val="restart"/>
                  <w:vAlign w:val="center"/>
                </w:tcPr>
                <w:p>
                  <w:pPr>
                    <w:pStyle w:val="2"/>
                    <w:ind w:left="0" w:leftChars="0" w:firstLine="0" w:firstLineChars="0"/>
                    <w:jc w:val="center"/>
                    <w:rPr>
                      <w:rFonts w:hint="eastAsia" w:ascii="宋体" w:hAnsi="宋体" w:eastAsia="宋体" w:cs="宋体"/>
                      <w:b w:val="0"/>
                      <w:bCs/>
                      <w:sz w:val="21"/>
                      <w:szCs w:val="21"/>
                      <w:u w:val="none"/>
                      <w:vertAlign w:val="baseline"/>
                      <w:lang w:val="en-US" w:eastAsia="zh-CN"/>
                    </w:rPr>
                  </w:pPr>
                  <w:r>
                    <w:rPr>
                      <w:rFonts w:hint="eastAsia" w:cs="宋体"/>
                      <w:b w:val="0"/>
                      <w:bCs/>
                      <w:sz w:val="21"/>
                      <w:szCs w:val="21"/>
                      <w:u w:val="none"/>
                      <w:vertAlign w:val="baseline"/>
                      <w:lang w:val="en-US" w:eastAsia="zh-CN"/>
                    </w:rPr>
                    <w:t>日均值</w:t>
                  </w:r>
                </w:p>
              </w:tc>
              <w:tc>
                <w:tcPr>
                  <w:tcW w:w="1275" w:type="dxa"/>
                  <w:vAlign w:val="center"/>
                </w:tcPr>
                <w:p>
                  <w:pPr>
                    <w:pStyle w:val="2"/>
                    <w:ind w:left="0" w:leftChars="0" w:firstLine="0" w:firstLineChars="0"/>
                    <w:jc w:val="center"/>
                    <w:rPr>
                      <w:rFonts w:hint="default" w:ascii="Times New Roman" w:hAnsi="Times New Roman"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63~95</w:t>
                  </w:r>
                </w:p>
              </w:tc>
              <w:tc>
                <w:tcPr>
                  <w:tcW w:w="1110" w:type="dxa"/>
                  <w:vAlign w:val="center"/>
                </w:tcPr>
                <w:p>
                  <w:pPr>
                    <w:pStyle w:val="2"/>
                    <w:ind w:left="0" w:leftChars="0" w:firstLine="0" w:firstLineChars="0"/>
                    <w:jc w:val="center"/>
                    <w:rPr>
                      <w:rFonts w:hint="default" w:ascii="Times New Roman" w:hAnsi="Times New Roman" w:eastAsia="宋体"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82</w:t>
                  </w:r>
                </w:p>
              </w:tc>
              <w:tc>
                <w:tcPr>
                  <w:tcW w:w="1125" w:type="dxa"/>
                  <w:vAlign w:val="center"/>
                </w:tcPr>
                <w:p>
                  <w:pPr>
                    <w:pStyle w:val="2"/>
                    <w:ind w:left="0" w:leftChars="0" w:firstLine="0" w:firstLineChars="0"/>
                    <w:jc w:val="center"/>
                    <w:rPr>
                      <w:rFonts w:hint="default" w:ascii="Times New Roman" w:hAnsi="Times New Roman" w:eastAsia="宋体"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150</w:t>
                  </w:r>
                </w:p>
              </w:tc>
              <w:tc>
                <w:tcPr>
                  <w:tcW w:w="1245" w:type="dxa"/>
                  <w:vAlign w:val="center"/>
                </w:tcPr>
                <w:p>
                  <w:pPr>
                    <w:keepNext w:val="0"/>
                    <w:keepLines w:val="0"/>
                    <w:widowControl/>
                    <w:suppressLineNumbers w:val="0"/>
                    <w:jc w:val="center"/>
                    <w:textAlignment w:val="center"/>
                    <w:rPr>
                      <w:rFonts w:hint="default" w:ascii="Times New Roman" w:hAnsi="Times New Roman" w:eastAsia="宋体" w:cs="Times New Roman"/>
                      <w:b w:val="0"/>
                      <w:bCs/>
                      <w:sz w:val="21"/>
                      <w:szCs w:val="21"/>
                      <w:u w:val="none"/>
                      <w:vertAlign w:val="baseline"/>
                      <w:lang w:val="en-US" w:eastAsia="zh-CN"/>
                    </w:rPr>
                  </w:pPr>
                  <w:r>
                    <w:rPr>
                      <w:rFonts w:hint="eastAsia" w:cs="Times New Roman"/>
                      <w:b w:val="0"/>
                      <w:bCs/>
                      <w:sz w:val="21"/>
                      <w:szCs w:val="21"/>
                      <w:u w:val="none"/>
                      <w:vertAlign w:val="baseline"/>
                      <w:lang w:val="en-US" w:eastAsia="zh-CN"/>
                    </w:rPr>
                    <w:t>42</w:t>
                  </w:r>
                  <w:r>
                    <w:rPr>
                      <w:rFonts w:hint="eastAsia" w:ascii="Times New Roman" w:hAnsi="Times New Roman" w:cs="Times New Roman"/>
                      <w:b w:val="0"/>
                      <w:bCs/>
                      <w:sz w:val="21"/>
                      <w:szCs w:val="21"/>
                      <w:u w:val="none"/>
                      <w:vertAlign w:val="baseline"/>
                      <w:lang w:val="en-US" w:eastAsia="zh-CN"/>
                    </w:rPr>
                    <w:t>~</w:t>
                  </w:r>
                  <w:r>
                    <w:rPr>
                      <w:rFonts w:hint="eastAsia" w:cs="Times New Roman"/>
                      <w:b w:val="0"/>
                      <w:bCs/>
                      <w:sz w:val="21"/>
                      <w:szCs w:val="21"/>
                      <w:u w:val="none"/>
                      <w:vertAlign w:val="baseline"/>
                      <w:lang w:val="en-US" w:eastAsia="zh-CN"/>
                    </w:rPr>
                    <w:t>63.3</w:t>
                  </w:r>
                </w:p>
              </w:tc>
              <w:tc>
                <w:tcPr>
                  <w:tcW w:w="809" w:type="dxa"/>
                  <w:vAlign w:val="center"/>
                </w:tcPr>
                <w:p>
                  <w:pPr>
                    <w:pStyle w:val="2"/>
                    <w:ind w:left="0" w:leftChars="0" w:firstLine="0" w:firstLineChars="0"/>
                    <w:jc w:val="center"/>
                    <w:rPr>
                      <w:rFonts w:hint="eastAsia" w:ascii="宋体" w:hAnsi="宋体" w:eastAsia="宋体" w:cs="宋体"/>
                      <w:b w:val="0"/>
                      <w:bCs/>
                      <w:sz w:val="21"/>
                      <w:szCs w:val="21"/>
                      <w:u w:val="none"/>
                      <w:vertAlign w:val="baseline"/>
                      <w:lang w:val="en-US" w:eastAsia="zh-CN"/>
                    </w:rPr>
                  </w:pPr>
                  <w:r>
                    <w:rPr>
                      <w:rFonts w:hint="eastAsia" w:cs="宋体"/>
                      <w:b w:val="0"/>
                      <w:bCs/>
                      <w:sz w:val="21"/>
                      <w:szCs w:val="21"/>
                      <w:u w:val="none"/>
                      <w:vertAlign w:val="baseline"/>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6" w:type="dxa"/>
                  <w:vAlign w:val="center"/>
                </w:tcPr>
                <w:p>
                  <w:pPr>
                    <w:jc w:val="center"/>
                    <w:rPr>
                      <w:rFonts w:hint="eastAsia" w:ascii="宋体" w:hAnsi="宋体" w:eastAsia="宋体" w:cs="宋体"/>
                      <w:b w:val="0"/>
                      <w:bCs/>
                      <w:sz w:val="21"/>
                      <w:szCs w:val="21"/>
                      <w:u w:val="none"/>
                      <w:vertAlign w:val="baseline"/>
                      <w:lang w:val="en-US" w:eastAsia="zh-CN"/>
                    </w:rPr>
                  </w:pPr>
                  <w:r>
                    <w:rPr>
                      <w:rFonts w:hint="eastAsia"/>
                      <w:b w:val="0"/>
                      <w:bCs/>
                      <w:szCs w:val="21"/>
                      <w:u w:val="none"/>
                    </w:rPr>
                    <w:t>PM</w:t>
                  </w:r>
                  <w:r>
                    <w:rPr>
                      <w:rFonts w:hint="eastAsia"/>
                      <w:b w:val="0"/>
                      <w:bCs/>
                      <w:szCs w:val="21"/>
                      <w:u w:val="none"/>
                      <w:vertAlign w:val="subscript"/>
                    </w:rPr>
                    <w:t>2.5</w:t>
                  </w:r>
                </w:p>
              </w:tc>
              <w:tc>
                <w:tcPr>
                  <w:tcW w:w="1005" w:type="dxa"/>
                  <w:vMerge w:val="continue"/>
                  <w:vAlign w:val="center"/>
                </w:tcPr>
                <w:p>
                  <w:pPr>
                    <w:pStyle w:val="2"/>
                    <w:jc w:val="center"/>
                    <w:rPr>
                      <w:rFonts w:hint="eastAsia" w:ascii="宋体" w:hAnsi="宋体" w:eastAsia="宋体" w:cs="宋体"/>
                      <w:b w:val="0"/>
                      <w:bCs/>
                      <w:sz w:val="21"/>
                      <w:szCs w:val="21"/>
                      <w:u w:val="none"/>
                      <w:vertAlign w:val="baseline"/>
                      <w:lang w:val="en-US" w:eastAsia="zh-CN"/>
                    </w:rPr>
                  </w:pPr>
                </w:p>
              </w:tc>
              <w:tc>
                <w:tcPr>
                  <w:tcW w:w="1290" w:type="dxa"/>
                  <w:vMerge w:val="continue"/>
                  <w:vAlign w:val="center"/>
                </w:tcPr>
                <w:p>
                  <w:pPr>
                    <w:pStyle w:val="2"/>
                    <w:jc w:val="center"/>
                    <w:rPr>
                      <w:rFonts w:hint="eastAsia" w:ascii="宋体" w:hAnsi="宋体" w:eastAsia="宋体" w:cs="宋体"/>
                      <w:b w:val="0"/>
                      <w:bCs/>
                      <w:sz w:val="21"/>
                      <w:szCs w:val="21"/>
                      <w:u w:val="none"/>
                      <w:vertAlign w:val="baseline"/>
                      <w:lang w:val="en-US" w:eastAsia="zh-CN"/>
                    </w:rPr>
                  </w:pPr>
                </w:p>
              </w:tc>
              <w:tc>
                <w:tcPr>
                  <w:tcW w:w="1275" w:type="dxa"/>
                  <w:vAlign w:val="center"/>
                </w:tcPr>
                <w:p>
                  <w:pPr>
                    <w:pStyle w:val="2"/>
                    <w:ind w:left="0" w:leftChars="0" w:firstLine="0" w:firstLineChars="0"/>
                    <w:jc w:val="center"/>
                    <w:rPr>
                      <w:rFonts w:hint="default" w:ascii="Times New Roman" w:hAnsi="Times New Roman"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46~76</w:t>
                  </w:r>
                </w:p>
              </w:tc>
              <w:tc>
                <w:tcPr>
                  <w:tcW w:w="1110" w:type="dxa"/>
                  <w:vAlign w:val="center"/>
                </w:tcPr>
                <w:p>
                  <w:pPr>
                    <w:pStyle w:val="2"/>
                    <w:ind w:left="0" w:leftChars="0" w:firstLine="0" w:firstLineChars="0"/>
                    <w:jc w:val="center"/>
                    <w:rPr>
                      <w:rFonts w:hint="default" w:ascii="Times New Roman" w:hAnsi="Times New Roman" w:eastAsia="宋体"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55</w:t>
                  </w:r>
                </w:p>
              </w:tc>
              <w:tc>
                <w:tcPr>
                  <w:tcW w:w="1125" w:type="dxa"/>
                  <w:vAlign w:val="center"/>
                </w:tcPr>
                <w:p>
                  <w:pPr>
                    <w:pStyle w:val="2"/>
                    <w:ind w:left="0" w:leftChars="0" w:firstLine="0" w:firstLineChars="0"/>
                    <w:jc w:val="center"/>
                    <w:rPr>
                      <w:rFonts w:hint="default" w:ascii="Times New Roman" w:hAnsi="Times New Roman" w:eastAsia="宋体"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75</w:t>
                  </w:r>
                </w:p>
              </w:tc>
              <w:tc>
                <w:tcPr>
                  <w:tcW w:w="1245" w:type="dxa"/>
                  <w:vAlign w:val="center"/>
                </w:tcPr>
                <w:p>
                  <w:pPr>
                    <w:keepNext w:val="0"/>
                    <w:keepLines w:val="0"/>
                    <w:widowControl/>
                    <w:suppressLineNumbers w:val="0"/>
                    <w:jc w:val="center"/>
                    <w:textAlignment w:val="center"/>
                    <w:rPr>
                      <w:rFonts w:hint="default" w:ascii="Times New Roman" w:hAnsi="Times New Roman" w:eastAsia="宋体" w:cs="Times New Roman"/>
                      <w:b w:val="0"/>
                      <w:bCs/>
                      <w:sz w:val="21"/>
                      <w:szCs w:val="21"/>
                      <w:u w:val="none"/>
                      <w:vertAlign w:val="baseline"/>
                      <w:lang w:val="en-US" w:eastAsia="zh-CN"/>
                    </w:rPr>
                  </w:pPr>
                  <w:r>
                    <w:rPr>
                      <w:rFonts w:hint="eastAsia" w:cs="Times New Roman"/>
                      <w:b w:val="0"/>
                      <w:bCs/>
                      <w:sz w:val="21"/>
                      <w:szCs w:val="21"/>
                      <w:u w:val="none"/>
                      <w:vertAlign w:val="baseline"/>
                      <w:lang w:val="en-US" w:eastAsia="zh-CN"/>
                    </w:rPr>
                    <w:t>61.3</w:t>
                  </w:r>
                  <w:r>
                    <w:rPr>
                      <w:rFonts w:hint="eastAsia" w:ascii="Times New Roman" w:hAnsi="Times New Roman" w:cs="Times New Roman"/>
                      <w:b w:val="0"/>
                      <w:bCs/>
                      <w:sz w:val="21"/>
                      <w:szCs w:val="21"/>
                      <w:u w:val="none"/>
                      <w:vertAlign w:val="baseline"/>
                      <w:lang w:val="en-US" w:eastAsia="zh-CN"/>
                    </w:rPr>
                    <w:t>~</w:t>
                  </w:r>
                  <w:r>
                    <w:rPr>
                      <w:rFonts w:hint="eastAsia" w:cs="Times New Roman"/>
                      <w:b w:val="0"/>
                      <w:bCs/>
                      <w:sz w:val="21"/>
                      <w:szCs w:val="21"/>
                      <w:u w:val="none"/>
                      <w:vertAlign w:val="baseline"/>
                      <w:lang w:val="en-US" w:eastAsia="zh-CN"/>
                    </w:rPr>
                    <w:t>101.3</w:t>
                  </w:r>
                </w:p>
              </w:tc>
              <w:tc>
                <w:tcPr>
                  <w:tcW w:w="809" w:type="dxa"/>
                  <w:vAlign w:val="center"/>
                </w:tcPr>
                <w:p>
                  <w:pPr>
                    <w:pStyle w:val="2"/>
                    <w:ind w:left="0" w:leftChars="0" w:firstLine="0" w:firstLineChars="0"/>
                    <w:jc w:val="center"/>
                    <w:rPr>
                      <w:rFonts w:hint="eastAsia" w:ascii="宋体" w:hAnsi="宋体" w:eastAsia="宋体" w:cs="宋体"/>
                      <w:b w:val="0"/>
                      <w:bCs/>
                      <w:sz w:val="21"/>
                      <w:szCs w:val="21"/>
                      <w:u w:val="none"/>
                      <w:vertAlign w:val="baseline"/>
                      <w:lang w:val="en-US" w:eastAsia="zh-CN"/>
                    </w:rPr>
                  </w:pPr>
                  <w:r>
                    <w:rPr>
                      <w:rFonts w:hint="eastAsia" w:cs="宋体"/>
                      <w:b w:val="0"/>
                      <w:bCs/>
                      <w:sz w:val="21"/>
                      <w:szCs w:val="21"/>
                      <w:u w:val="none"/>
                      <w:vertAlign w:val="baseline"/>
                      <w:lang w:val="en-US" w:eastAsia="zh-CN"/>
                    </w:rPr>
                    <w:t>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6" w:type="dxa"/>
                  <w:vAlign w:val="center"/>
                </w:tcPr>
                <w:p>
                  <w:pPr>
                    <w:jc w:val="center"/>
                    <w:rPr>
                      <w:rFonts w:hint="eastAsia" w:ascii="宋体" w:hAnsi="宋体" w:eastAsia="宋体" w:cs="宋体"/>
                      <w:b w:val="0"/>
                      <w:bCs/>
                      <w:sz w:val="21"/>
                      <w:szCs w:val="21"/>
                      <w:u w:val="none"/>
                      <w:vertAlign w:val="baseline"/>
                      <w:lang w:val="en-US" w:eastAsia="zh-CN"/>
                    </w:rPr>
                  </w:pPr>
                  <w:r>
                    <w:rPr>
                      <w:rFonts w:hint="eastAsia"/>
                      <w:b w:val="0"/>
                      <w:bCs/>
                      <w:szCs w:val="21"/>
                      <w:u w:val="none"/>
                    </w:rPr>
                    <w:t>SO</w:t>
                  </w:r>
                  <w:r>
                    <w:rPr>
                      <w:rFonts w:hint="eastAsia"/>
                      <w:b w:val="0"/>
                      <w:bCs/>
                      <w:szCs w:val="21"/>
                      <w:u w:val="none"/>
                      <w:vertAlign w:val="subscript"/>
                    </w:rPr>
                    <w:t>2</w:t>
                  </w:r>
                </w:p>
              </w:tc>
              <w:tc>
                <w:tcPr>
                  <w:tcW w:w="1005" w:type="dxa"/>
                  <w:vMerge w:val="continue"/>
                  <w:vAlign w:val="center"/>
                </w:tcPr>
                <w:p>
                  <w:pPr>
                    <w:pStyle w:val="2"/>
                    <w:jc w:val="center"/>
                    <w:rPr>
                      <w:rFonts w:hint="eastAsia" w:ascii="宋体" w:hAnsi="宋体" w:eastAsia="宋体" w:cs="宋体"/>
                      <w:b w:val="0"/>
                      <w:bCs/>
                      <w:sz w:val="21"/>
                      <w:szCs w:val="21"/>
                      <w:u w:val="none"/>
                      <w:vertAlign w:val="baseline"/>
                      <w:lang w:val="en-US" w:eastAsia="zh-CN"/>
                    </w:rPr>
                  </w:pPr>
                </w:p>
              </w:tc>
              <w:tc>
                <w:tcPr>
                  <w:tcW w:w="1290" w:type="dxa"/>
                  <w:vMerge w:val="continue"/>
                  <w:vAlign w:val="center"/>
                </w:tcPr>
                <w:p>
                  <w:pPr>
                    <w:pStyle w:val="2"/>
                    <w:jc w:val="center"/>
                    <w:rPr>
                      <w:rFonts w:hint="eastAsia" w:ascii="宋体" w:hAnsi="宋体" w:eastAsia="宋体" w:cs="宋体"/>
                      <w:b w:val="0"/>
                      <w:bCs/>
                      <w:sz w:val="21"/>
                      <w:szCs w:val="21"/>
                      <w:u w:val="none"/>
                      <w:vertAlign w:val="baseline"/>
                      <w:lang w:val="en-US" w:eastAsia="zh-CN"/>
                    </w:rPr>
                  </w:pPr>
                </w:p>
              </w:tc>
              <w:tc>
                <w:tcPr>
                  <w:tcW w:w="1275" w:type="dxa"/>
                  <w:vAlign w:val="center"/>
                </w:tcPr>
                <w:p>
                  <w:pPr>
                    <w:pStyle w:val="2"/>
                    <w:ind w:left="0" w:leftChars="0" w:firstLine="0" w:firstLineChars="0"/>
                    <w:jc w:val="center"/>
                    <w:rPr>
                      <w:rFonts w:hint="default" w:ascii="Times New Roman" w:hAnsi="Times New Roman"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11~16</w:t>
                  </w:r>
                </w:p>
              </w:tc>
              <w:tc>
                <w:tcPr>
                  <w:tcW w:w="1110" w:type="dxa"/>
                  <w:vAlign w:val="center"/>
                </w:tcPr>
                <w:p>
                  <w:pPr>
                    <w:pStyle w:val="2"/>
                    <w:ind w:left="0" w:leftChars="0" w:firstLine="0" w:firstLineChars="0"/>
                    <w:jc w:val="center"/>
                    <w:rPr>
                      <w:rFonts w:hint="default" w:ascii="Times New Roman" w:hAnsi="Times New Roman" w:eastAsia="宋体"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13</w:t>
                  </w:r>
                </w:p>
              </w:tc>
              <w:tc>
                <w:tcPr>
                  <w:tcW w:w="1125" w:type="dxa"/>
                  <w:vAlign w:val="center"/>
                </w:tcPr>
                <w:p>
                  <w:pPr>
                    <w:pStyle w:val="2"/>
                    <w:ind w:left="0" w:leftChars="0" w:firstLine="0" w:firstLineChars="0"/>
                    <w:jc w:val="center"/>
                    <w:rPr>
                      <w:rFonts w:hint="default" w:ascii="Times New Roman" w:hAnsi="Times New Roman" w:eastAsia="宋体"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150</w:t>
                  </w:r>
                </w:p>
              </w:tc>
              <w:tc>
                <w:tcPr>
                  <w:tcW w:w="1245" w:type="dxa"/>
                  <w:vAlign w:val="center"/>
                </w:tcPr>
                <w:p>
                  <w:pPr>
                    <w:keepNext w:val="0"/>
                    <w:keepLines w:val="0"/>
                    <w:widowControl/>
                    <w:suppressLineNumbers w:val="0"/>
                    <w:jc w:val="center"/>
                    <w:textAlignment w:val="center"/>
                    <w:rPr>
                      <w:rFonts w:hint="default" w:ascii="Times New Roman" w:hAnsi="Times New Roman" w:eastAsia="宋体" w:cs="Times New Roman"/>
                      <w:b w:val="0"/>
                      <w:bCs/>
                      <w:sz w:val="21"/>
                      <w:szCs w:val="21"/>
                      <w:u w:val="none"/>
                      <w:vertAlign w:val="baseline"/>
                      <w:lang w:val="en-US" w:eastAsia="zh-CN"/>
                    </w:rPr>
                  </w:pPr>
                  <w:r>
                    <w:rPr>
                      <w:rFonts w:hint="eastAsia" w:cs="Times New Roman"/>
                      <w:b w:val="0"/>
                      <w:bCs/>
                      <w:sz w:val="21"/>
                      <w:szCs w:val="21"/>
                      <w:u w:val="none"/>
                      <w:vertAlign w:val="baseline"/>
                      <w:lang w:val="en-US" w:eastAsia="zh-CN"/>
                    </w:rPr>
                    <w:t>7.3</w:t>
                  </w:r>
                  <w:r>
                    <w:rPr>
                      <w:rFonts w:hint="eastAsia" w:ascii="Times New Roman" w:hAnsi="Times New Roman" w:cs="Times New Roman"/>
                      <w:b w:val="0"/>
                      <w:bCs/>
                      <w:sz w:val="21"/>
                      <w:szCs w:val="21"/>
                      <w:u w:val="none"/>
                      <w:vertAlign w:val="baseline"/>
                      <w:lang w:val="en-US" w:eastAsia="zh-CN"/>
                    </w:rPr>
                    <w:t>~</w:t>
                  </w:r>
                  <w:r>
                    <w:rPr>
                      <w:rFonts w:hint="eastAsia" w:cs="Times New Roman"/>
                      <w:b w:val="0"/>
                      <w:bCs/>
                      <w:sz w:val="21"/>
                      <w:szCs w:val="21"/>
                      <w:u w:val="none"/>
                      <w:vertAlign w:val="baseline"/>
                      <w:lang w:val="en-US" w:eastAsia="zh-CN"/>
                    </w:rPr>
                    <w:t>10.7</w:t>
                  </w:r>
                </w:p>
              </w:tc>
              <w:tc>
                <w:tcPr>
                  <w:tcW w:w="809" w:type="dxa"/>
                  <w:vAlign w:val="center"/>
                </w:tcPr>
                <w:p>
                  <w:pPr>
                    <w:pStyle w:val="2"/>
                    <w:ind w:left="0" w:leftChars="0" w:firstLine="0" w:firstLineChars="0"/>
                    <w:jc w:val="center"/>
                    <w:rPr>
                      <w:rFonts w:hint="eastAsia" w:ascii="宋体" w:hAnsi="宋体" w:eastAsia="宋体" w:cs="宋体"/>
                      <w:b w:val="0"/>
                      <w:bCs/>
                      <w:sz w:val="21"/>
                      <w:szCs w:val="21"/>
                      <w:u w:val="none"/>
                      <w:vertAlign w:val="baseline"/>
                      <w:lang w:val="en-US" w:eastAsia="zh-CN"/>
                    </w:rPr>
                  </w:pPr>
                  <w:r>
                    <w:rPr>
                      <w:rFonts w:hint="eastAsia" w:cs="宋体"/>
                      <w:b w:val="0"/>
                      <w:bCs/>
                      <w:sz w:val="21"/>
                      <w:szCs w:val="21"/>
                      <w:u w:val="none"/>
                      <w:vertAlign w:val="baseline"/>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6" w:type="dxa"/>
                  <w:vAlign w:val="center"/>
                </w:tcPr>
                <w:p>
                  <w:pPr>
                    <w:jc w:val="center"/>
                    <w:rPr>
                      <w:rFonts w:hint="eastAsia" w:ascii="宋体" w:hAnsi="宋体" w:eastAsia="宋体" w:cs="宋体"/>
                      <w:b w:val="0"/>
                      <w:bCs/>
                      <w:sz w:val="21"/>
                      <w:szCs w:val="21"/>
                      <w:u w:val="none"/>
                      <w:vertAlign w:val="baseline"/>
                      <w:lang w:val="en-US" w:eastAsia="zh-CN"/>
                    </w:rPr>
                  </w:pPr>
                  <w:r>
                    <w:rPr>
                      <w:rFonts w:hint="eastAsia"/>
                      <w:b w:val="0"/>
                      <w:bCs/>
                      <w:szCs w:val="21"/>
                      <w:u w:val="none"/>
                    </w:rPr>
                    <w:t>NO</w:t>
                  </w:r>
                  <w:r>
                    <w:rPr>
                      <w:rFonts w:hint="eastAsia"/>
                      <w:b w:val="0"/>
                      <w:bCs/>
                      <w:szCs w:val="21"/>
                      <w:u w:val="none"/>
                      <w:vertAlign w:val="subscript"/>
                    </w:rPr>
                    <w:t>2</w:t>
                  </w:r>
                </w:p>
              </w:tc>
              <w:tc>
                <w:tcPr>
                  <w:tcW w:w="1005" w:type="dxa"/>
                  <w:vMerge w:val="continue"/>
                  <w:vAlign w:val="center"/>
                </w:tcPr>
                <w:p>
                  <w:pPr>
                    <w:pStyle w:val="2"/>
                    <w:jc w:val="center"/>
                    <w:rPr>
                      <w:rFonts w:hint="eastAsia" w:ascii="宋体" w:hAnsi="宋体" w:eastAsia="宋体" w:cs="宋体"/>
                      <w:b w:val="0"/>
                      <w:bCs/>
                      <w:sz w:val="21"/>
                      <w:szCs w:val="21"/>
                      <w:u w:val="none"/>
                      <w:vertAlign w:val="baseline"/>
                      <w:lang w:val="en-US" w:eastAsia="zh-CN"/>
                    </w:rPr>
                  </w:pPr>
                </w:p>
              </w:tc>
              <w:tc>
                <w:tcPr>
                  <w:tcW w:w="1290" w:type="dxa"/>
                  <w:vMerge w:val="continue"/>
                  <w:vAlign w:val="center"/>
                </w:tcPr>
                <w:p>
                  <w:pPr>
                    <w:pStyle w:val="2"/>
                    <w:jc w:val="center"/>
                    <w:rPr>
                      <w:rFonts w:hint="eastAsia" w:ascii="宋体" w:hAnsi="宋体" w:eastAsia="宋体" w:cs="宋体"/>
                      <w:b w:val="0"/>
                      <w:bCs/>
                      <w:sz w:val="21"/>
                      <w:szCs w:val="21"/>
                      <w:u w:val="none"/>
                      <w:vertAlign w:val="baseline"/>
                      <w:lang w:val="en-US" w:eastAsia="zh-CN"/>
                    </w:rPr>
                  </w:pPr>
                </w:p>
              </w:tc>
              <w:tc>
                <w:tcPr>
                  <w:tcW w:w="1275" w:type="dxa"/>
                  <w:vAlign w:val="center"/>
                </w:tcPr>
                <w:p>
                  <w:pPr>
                    <w:pStyle w:val="2"/>
                    <w:ind w:left="0" w:leftChars="0" w:firstLine="0" w:firstLineChars="0"/>
                    <w:jc w:val="center"/>
                    <w:rPr>
                      <w:rFonts w:hint="default" w:ascii="Times New Roman" w:hAnsi="Times New Roman"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8~15</w:t>
                  </w:r>
                </w:p>
              </w:tc>
              <w:tc>
                <w:tcPr>
                  <w:tcW w:w="1110" w:type="dxa"/>
                  <w:vAlign w:val="center"/>
                </w:tcPr>
                <w:p>
                  <w:pPr>
                    <w:pStyle w:val="2"/>
                    <w:ind w:left="0" w:leftChars="0" w:firstLine="0" w:firstLineChars="0"/>
                    <w:jc w:val="center"/>
                    <w:rPr>
                      <w:rFonts w:hint="default" w:ascii="Times New Roman" w:hAnsi="Times New Roman" w:eastAsia="宋体"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11</w:t>
                  </w:r>
                </w:p>
              </w:tc>
              <w:tc>
                <w:tcPr>
                  <w:tcW w:w="1125" w:type="dxa"/>
                  <w:vAlign w:val="center"/>
                </w:tcPr>
                <w:p>
                  <w:pPr>
                    <w:pStyle w:val="2"/>
                    <w:ind w:left="0" w:leftChars="0" w:firstLine="0" w:firstLineChars="0"/>
                    <w:jc w:val="center"/>
                    <w:rPr>
                      <w:rFonts w:hint="default" w:ascii="Times New Roman" w:hAnsi="Times New Roman" w:eastAsia="宋体"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150</w:t>
                  </w:r>
                </w:p>
              </w:tc>
              <w:tc>
                <w:tcPr>
                  <w:tcW w:w="1245" w:type="dxa"/>
                  <w:vAlign w:val="center"/>
                </w:tcPr>
                <w:p>
                  <w:pPr>
                    <w:keepNext w:val="0"/>
                    <w:keepLines w:val="0"/>
                    <w:widowControl/>
                    <w:suppressLineNumbers w:val="0"/>
                    <w:jc w:val="center"/>
                    <w:textAlignment w:val="center"/>
                    <w:rPr>
                      <w:rFonts w:hint="default" w:ascii="Times New Roman" w:hAnsi="Times New Roman" w:eastAsia="宋体" w:cs="Times New Roman"/>
                      <w:b w:val="0"/>
                      <w:bCs/>
                      <w:sz w:val="21"/>
                      <w:szCs w:val="21"/>
                      <w:u w:val="none"/>
                      <w:vertAlign w:val="baseline"/>
                      <w:lang w:val="en-US" w:eastAsia="zh-CN"/>
                    </w:rPr>
                  </w:pPr>
                  <w:r>
                    <w:rPr>
                      <w:rFonts w:hint="eastAsia" w:cs="Times New Roman"/>
                      <w:b w:val="0"/>
                      <w:bCs/>
                      <w:sz w:val="21"/>
                      <w:szCs w:val="21"/>
                      <w:u w:val="none"/>
                      <w:vertAlign w:val="baseline"/>
                      <w:lang w:val="en-US" w:eastAsia="zh-CN"/>
                    </w:rPr>
                    <w:t>5.3</w:t>
                  </w:r>
                  <w:r>
                    <w:rPr>
                      <w:rFonts w:hint="eastAsia" w:ascii="Times New Roman" w:hAnsi="Times New Roman" w:cs="Times New Roman"/>
                      <w:b w:val="0"/>
                      <w:bCs/>
                      <w:sz w:val="21"/>
                      <w:szCs w:val="21"/>
                      <w:u w:val="none"/>
                      <w:vertAlign w:val="baseline"/>
                      <w:lang w:val="en-US" w:eastAsia="zh-CN"/>
                    </w:rPr>
                    <w:t>~</w:t>
                  </w:r>
                  <w:r>
                    <w:rPr>
                      <w:rFonts w:hint="eastAsia" w:cs="Times New Roman"/>
                      <w:b w:val="0"/>
                      <w:bCs/>
                      <w:sz w:val="21"/>
                      <w:szCs w:val="21"/>
                      <w:u w:val="none"/>
                      <w:vertAlign w:val="baseline"/>
                      <w:lang w:val="en-US" w:eastAsia="zh-CN"/>
                    </w:rPr>
                    <w:t>10</w:t>
                  </w:r>
                </w:p>
              </w:tc>
              <w:tc>
                <w:tcPr>
                  <w:tcW w:w="809" w:type="dxa"/>
                  <w:vAlign w:val="center"/>
                </w:tcPr>
                <w:p>
                  <w:pPr>
                    <w:pStyle w:val="2"/>
                    <w:ind w:left="0" w:leftChars="0" w:firstLine="0" w:firstLineChars="0"/>
                    <w:jc w:val="center"/>
                    <w:rPr>
                      <w:rFonts w:hint="eastAsia" w:ascii="宋体" w:hAnsi="宋体" w:eastAsia="宋体" w:cs="宋体"/>
                      <w:b w:val="0"/>
                      <w:bCs/>
                      <w:sz w:val="21"/>
                      <w:szCs w:val="21"/>
                      <w:u w:val="none"/>
                      <w:vertAlign w:val="baseline"/>
                      <w:lang w:val="en-US" w:eastAsia="zh-CN"/>
                    </w:rPr>
                  </w:pPr>
                  <w:r>
                    <w:rPr>
                      <w:rFonts w:hint="eastAsia" w:cs="宋体"/>
                      <w:b w:val="0"/>
                      <w:bCs/>
                      <w:sz w:val="21"/>
                      <w:szCs w:val="21"/>
                      <w:u w:val="none"/>
                      <w:vertAlign w:val="baseline"/>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6" w:type="dxa"/>
                  <w:vAlign w:val="center"/>
                </w:tcPr>
                <w:p>
                  <w:pPr>
                    <w:jc w:val="center"/>
                    <w:rPr>
                      <w:rFonts w:hint="eastAsia" w:ascii="宋体" w:hAnsi="宋体" w:eastAsia="宋体" w:cs="宋体"/>
                      <w:b w:val="0"/>
                      <w:bCs/>
                      <w:sz w:val="21"/>
                      <w:szCs w:val="21"/>
                      <w:u w:val="none"/>
                      <w:vertAlign w:val="baseline"/>
                      <w:lang w:val="en-US" w:eastAsia="zh-CN"/>
                    </w:rPr>
                  </w:pPr>
                  <w:r>
                    <w:rPr>
                      <w:rFonts w:hint="eastAsia"/>
                      <w:b w:val="0"/>
                      <w:bCs/>
                      <w:szCs w:val="21"/>
                      <w:u w:val="none"/>
                    </w:rPr>
                    <w:t>CO</w:t>
                  </w:r>
                </w:p>
              </w:tc>
              <w:tc>
                <w:tcPr>
                  <w:tcW w:w="1005" w:type="dxa"/>
                  <w:vMerge w:val="continue"/>
                  <w:vAlign w:val="center"/>
                </w:tcPr>
                <w:p>
                  <w:pPr>
                    <w:pStyle w:val="2"/>
                    <w:jc w:val="center"/>
                    <w:rPr>
                      <w:rFonts w:hint="eastAsia" w:ascii="宋体" w:hAnsi="宋体" w:eastAsia="宋体" w:cs="宋体"/>
                      <w:b w:val="0"/>
                      <w:bCs/>
                      <w:sz w:val="21"/>
                      <w:szCs w:val="21"/>
                      <w:u w:val="none"/>
                      <w:vertAlign w:val="baseline"/>
                      <w:lang w:val="en-US" w:eastAsia="zh-CN"/>
                    </w:rPr>
                  </w:pPr>
                </w:p>
              </w:tc>
              <w:tc>
                <w:tcPr>
                  <w:tcW w:w="1290" w:type="dxa"/>
                  <w:vMerge w:val="continue"/>
                  <w:vAlign w:val="center"/>
                </w:tcPr>
                <w:p>
                  <w:pPr>
                    <w:pStyle w:val="2"/>
                    <w:jc w:val="center"/>
                    <w:rPr>
                      <w:rFonts w:hint="eastAsia" w:ascii="宋体" w:hAnsi="宋体" w:eastAsia="宋体" w:cs="宋体"/>
                      <w:b w:val="0"/>
                      <w:bCs/>
                      <w:sz w:val="21"/>
                      <w:szCs w:val="21"/>
                      <w:u w:val="none"/>
                      <w:vertAlign w:val="baseline"/>
                      <w:lang w:val="en-US" w:eastAsia="zh-CN"/>
                    </w:rPr>
                  </w:pPr>
                </w:p>
              </w:tc>
              <w:tc>
                <w:tcPr>
                  <w:tcW w:w="1275" w:type="dxa"/>
                  <w:vAlign w:val="center"/>
                </w:tcPr>
                <w:p>
                  <w:pPr>
                    <w:pStyle w:val="2"/>
                    <w:ind w:left="0" w:leftChars="0" w:firstLine="0" w:firstLineChars="0"/>
                    <w:jc w:val="center"/>
                    <w:rPr>
                      <w:rFonts w:hint="default" w:ascii="Times New Roman" w:hAnsi="Times New Roman"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0.686~1.095</w:t>
                  </w:r>
                </w:p>
              </w:tc>
              <w:tc>
                <w:tcPr>
                  <w:tcW w:w="1110" w:type="dxa"/>
                  <w:vAlign w:val="center"/>
                </w:tcPr>
                <w:p>
                  <w:pPr>
                    <w:pStyle w:val="2"/>
                    <w:ind w:left="0" w:leftChars="0" w:firstLine="0" w:firstLineChars="0"/>
                    <w:jc w:val="center"/>
                    <w:rPr>
                      <w:rFonts w:hint="default" w:ascii="Times New Roman" w:hAnsi="Times New Roman" w:eastAsia="宋体"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0.829</w:t>
                  </w:r>
                </w:p>
              </w:tc>
              <w:tc>
                <w:tcPr>
                  <w:tcW w:w="1125" w:type="dxa"/>
                  <w:vAlign w:val="center"/>
                </w:tcPr>
                <w:p>
                  <w:pPr>
                    <w:pStyle w:val="2"/>
                    <w:ind w:left="0" w:leftChars="0" w:firstLine="0" w:firstLineChars="0"/>
                    <w:jc w:val="center"/>
                    <w:rPr>
                      <w:rFonts w:hint="default" w:ascii="Times New Roman" w:hAnsi="Times New Roman" w:eastAsia="宋体"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4</w:t>
                  </w:r>
                </w:p>
              </w:tc>
              <w:tc>
                <w:tcPr>
                  <w:tcW w:w="1245" w:type="dxa"/>
                  <w:vAlign w:val="center"/>
                </w:tcPr>
                <w:p>
                  <w:pPr>
                    <w:keepNext w:val="0"/>
                    <w:keepLines w:val="0"/>
                    <w:widowControl/>
                    <w:suppressLineNumbers w:val="0"/>
                    <w:jc w:val="center"/>
                    <w:textAlignment w:val="center"/>
                    <w:rPr>
                      <w:rFonts w:hint="default" w:ascii="Times New Roman" w:hAnsi="Times New Roman" w:eastAsia="宋体" w:cs="Times New Roman"/>
                      <w:b w:val="0"/>
                      <w:bCs/>
                      <w:sz w:val="21"/>
                      <w:szCs w:val="21"/>
                      <w:u w:val="none"/>
                      <w:vertAlign w:val="baseline"/>
                      <w:lang w:val="en-US" w:eastAsia="zh-CN"/>
                    </w:rPr>
                  </w:pPr>
                  <w:r>
                    <w:rPr>
                      <w:rFonts w:hint="eastAsia" w:cs="Times New Roman"/>
                      <w:b w:val="0"/>
                      <w:bCs/>
                      <w:sz w:val="21"/>
                      <w:szCs w:val="21"/>
                      <w:u w:val="none"/>
                      <w:vertAlign w:val="baseline"/>
                      <w:lang w:val="en-US" w:eastAsia="zh-CN"/>
                    </w:rPr>
                    <w:t>17.2</w:t>
                  </w:r>
                  <w:r>
                    <w:rPr>
                      <w:rFonts w:hint="eastAsia" w:ascii="Times New Roman" w:hAnsi="Times New Roman" w:cs="Times New Roman"/>
                      <w:b w:val="0"/>
                      <w:bCs/>
                      <w:sz w:val="21"/>
                      <w:szCs w:val="21"/>
                      <w:u w:val="none"/>
                      <w:vertAlign w:val="baseline"/>
                      <w:lang w:val="en-US" w:eastAsia="zh-CN"/>
                    </w:rPr>
                    <w:t>~</w:t>
                  </w:r>
                  <w:r>
                    <w:rPr>
                      <w:rFonts w:hint="eastAsia" w:cs="Times New Roman"/>
                      <w:b w:val="0"/>
                      <w:bCs/>
                      <w:sz w:val="21"/>
                      <w:szCs w:val="21"/>
                      <w:u w:val="none"/>
                      <w:vertAlign w:val="baseline"/>
                      <w:lang w:val="en-US" w:eastAsia="zh-CN"/>
                    </w:rPr>
                    <w:t>27.4</w:t>
                  </w:r>
                </w:p>
              </w:tc>
              <w:tc>
                <w:tcPr>
                  <w:tcW w:w="809" w:type="dxa"/>
                  <w:vAlign w:val="center"/>
                </w:tcPr>
                <w:p>
                  <w:pPr>
                    <w:pStyle w:val="2"/>
                    <w:ind w:left="0" w:leftChars="0" w:firstLine="0" w:firstLineChars="0"/>
                    <w:jc w:val="center"/>
                    <w:rPr>
                      <w:rFonts w:hint="eastAsia" w:ascii="宋体" w:hAnsi="宋体" w:eastAsia="宋体" w:cs="宋体"/>
                      <w:b w:val="0"/>
                      <w:bCs/>
                      <w:sz w:val="21"/>
                      <w:szCs w:val="21"/>
                      <w:u w:val="none"/>
                      <w:vertAlign w:val="baseline"/>
                      <w:lang w:val="en-US" w:eastAsia="zh-CN"/>
                    </w:rPr>
                  </w:pPr>
                  <w:r>
                    <w:rPr>
                      <w:rFonts w:hint="eastAsia" w:cs="宋体"/>
                      <w:b w:val="0"/>
                      <w:bCs/>
                      <w:sz w:val="21"/>
                      <w:szCs w:val="21"/>
                      <w:u w:val="none"/>
                      <w:vertAlign w:val="baseline"/>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6" w:type="dxa"/>
                  <w:vAlign w:val="center"/>
                </w:tcPr>
                <w:p>
                  <w:pPr>
                    <w:jc w:val="center"/>
                    <w:rPr>
                      <w:rFonts w:hint="eastAsia" w:ascii="宋体" w:hAnsi="宋体" w:eastAsia="宋体" w:cs="宋体"/>
                      <w:b w:val="0"/>
                      <w:bCs/>
                      <w:sz w:val="21"/>
                      <w:szCs w:val="21"/>
                      <w:u w:val="none"/>
                      <w:vertAlign w:val="baseline"/>
                      <w:lang w:val="en-US" w:eastAsia="zh-CN"/>
                    </w:rPr>
                  </w:pPr>
                  <w:r>
                    <w:rPr>
                      <w:rFonts w:hint="eastAsia"/>
                      <w:b w:val="0"/>
                      <w:bCs/>
                      <w:szCs w:val="21"/>
                      <w:u w:val="none"/>
                    </w:rPr>
                    <w:t>臭氧</w:t>
                  </w:r>
                </w:p>
              </w:tc>
              <w:tc>
                <w:tcPr>
                  <w:tcW w:w="1005" w:type="dxa"/>
                  <w:vMerge w:val="continue"/>
                  <w:vAlign w:val="center"/>
                </w:tcPr>
                <w:p>
                  <w:pPr>
                    <w:pStyle w:val="2"/>
                    <w:jc w:val="center"/>
                    <w:rPr>
                      <w:rFonts w:hint="eastAsia" w:ascii="宋体" w:hAnsi="宋体" w:eastAsia="宋体" w:cs="宋体"/>
                      <w:b w:val="0"/>
                      <w:bCs/>
                      <w:sz w:val="21"/>
                      <w:szCs w:val="21"/>
                      <w:u w:val="none"/>
                      <w:vertAlign w:val="baseline"/>
                      <w:lang w:val="en-US" w:eastAsia="zh-CN"/>
                    </w:rPr>
                  </w:pPr>
                </w:p>
              </w:tc>
              <w:tc>
                <w:tcPr>
                  <w:tcW w:w="1290" w:type="dxa"/>
                  <w:vAlign w:val="center"/>
                </w:tcPr>
                <w:p>
                  <w:pPr>
                    <w:pStyle w:val="2"/>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宋体" w:hAnsi="宋体" w:eastAsia="宋体" w:cs="宋体"/>
                      <w:b w:val="0"/>
                      <w:bCs/>
                      <w:sz w:val="21"/>
                      <w:szCs w:val="21"/>
                      <w:u w:val="none"/>
                      <w:vertAlign w:val="baseline"/>
                      <w:lang w:val="en-US" w:eastAsia="zh-CN"/>
                    </w:rPr>
                  </w:pPr>
                  <w:r>
                    <w:rPr>
                      <w:rFonts w:hint="eastAsia" w:cs="宋体"/>
                      <w:b w:val="0"/>
                      <w:bCs/>
                      <w:sz w:val="21"/>
                      <w:szCs w:val="21"/>
                      <w:u w:val="none"/>
                      <w:vertAlign w:val="baseline"/>
                      <w:lang w:val="en-US" w:eastAsia="zh-CN"/>
                    </w:rPr>
                    <w:t>日最大8小时滑动均值</w:t>
                  </w:r>
                </w:p>
              </w:tc>
              <w:tc>
                <w:tcPr>
                  <w:tcW w:w="1275" w:type="dxa"/>
                  <w:vAlign w:val="center"/>
                </w:tcPr>
                <w:p>
                  <w:pPr>
                    <w:pStyle w:val="2"/>
                    <w:ind w:left="0" w:leftChars="0" w:firstLine="0" w:firstLineChars="0"/>
                    <w:jc w:val="center"/>
                    <w:rPr>
                      <w:rFonts w:hint="default" w:ascii="Times New Roman" w:hAnsi="Times New Roman"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38~145</w:t>
                  </w:r>
                </w:p>
              </w:tc>
              <w:tc>
                <w:tcPr>
                  <w:tcW w:w="1110" w:type="dxa"/>
                  <w:vAlign w:val="center"/>
                </w:tcPr>
                <w:p>
                  <w:pPr>
                    <w:pStyle w:val="2"/>
                    <w:ind w:left="0" w:leftChars="0" w:firstLine="0" w:firstLineChars="0"/>
                    <w:jc w:val="center"/>
                    <w:rPr>
                      <w:rFonts w:hint="default" w:ascii="Times New Roman" w:hAnsi="Times New Roman" w:eastAsia="宋体"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102</w:t>
                  </w:r>
                </w:p>
              </w:tc>
              <w:tc>
                <w:tcPr>
                  <w:tcW w:w="1125" w:type="dxa"/>
                  <w:vAlign w:val="center"/>
                </w:tcPr>
                <w:p>
                  <w:pPr>
                    <w:pStyle w:val="2"/>
                    <w:ind w:left="0" w:leftChars="0" w:firstLine="0" w:firstLineChars="0"/>
                    <w:jc w:val="center"/>
                    <w:rPr>
                      <w:rFonts w:hint="default" w:ascii="Times New Roman" w:hAnsi="Times New Roman" w:eastAsia="宋体" w:cs="Times New Roman"/>
                      <w:b w:val="0"/>
                      <w:bCs/>
                      <w:sz w:val="21"/>
                      <w:szCs w:val="21"/>
                      <w:u w:val="none"/>
                      <w:vertAlign w:val="baseline"/>
                      <w:lang w:val="en-US" w:eastAsia="zh-CN"/>
                    </w:rPr>
                  </w:pPr>
                  <w:r>
                    <w:rPr>
                      <w:rFonts w:hint="eastAsia" w:ascii="Times New Roman" w:hAnsi="Times New Roman" w:cs="Times New Roman"/>
                      <w:b w:val="0"/>
                      <w:bCs/>
                      <w:sz w:val="21"/>
                      <w:szCs w:val="21"/>
                      <w:u w:val="none"/>
                      <w:vertAlign w:val="baseline"/>
                      <w:lang w:val="en-US" w:eastAsia="zh-CN"/>
                    </w:rPr>
                    <w:t>160</w:t>
                  </w:r>
                </w:p>
              </w:tc>
              <w:tc>
                <w:tcPr>
                  <w:tcW w:w="1245" w:type="dxa"/>
                  <w:vAlign w:val="center"/>
                </w:tcPr>
                <w:p>
                  <w:pPr>
                    <w:keepNext w:val="0"/>
                    <w:keepLines w:val="0"/>
                    <w:widowControl/>
                    <w:suppressLineNumbers w:val="0"/>
                    <w:jc w:val="center"/>
                    <w:textAlignment w:val="center"/>
                    <w:rPr>
                      <w:rFonts w:hint="default" w:ascii="Times New Roman" w:hAnsi="Times New Roman" w:eastAsia="宋体" w:cs="Times New Roman"/>
                      <w:b w:val="0"/>
                      <w:bCs/>
                      <w:sz w:val="21"/>
                      <w:szCs w:val="21"/>
                      <w:u w:val="none"/>
                      <w:vertAlign w:val="baseline"/>
                      <w:lang w:val="en-US" w:eastAsia="zh-CN"/>
                    </w:rPr>
                  </w:pPr>
                  <w:r>
                    <w:rPr>
                      <w:rFonts w:hint="eastAsia" w:cs="Times New Roman"/>
                      <w:b w:val="0"/>
                      <w:bCs/>
                      <w:sz w:val="21"/>
                      <w:szCs w:val="21"/>
                      <w:u w:val="none"/>
                      <w:vertAlign w:val="baseline"/>
                      <w:lang w:val="en-US" w:eastAsia="zh-CN"/>
                    </w:rPr>
                    <w:t>23.8</w:t>
                  </w:r>
                  <w:r>
                    <w:rPr>
                      <w:rFonts w:hint="eastAsia" w:ascii="Times New Roman" w:hAnsi="Times New Roman" w:cs="Times New Roman"/>
                      <w:b w:val="0"/>
                      <w:bCs/>
                      <w:sz w:val="21"/>
                      <w:szCs w:val="21"/>
                      <w:u w:val="none"/>
                      <w:vertAlign w:val="baseline"/>
                      <w:lang w:val="en-US" w:eastAsia="zh-CN"/>
                    </w:rPr>
                    <w:t>~</w:t>
                  </w:r>
                  <w:r>
                    <w:rPr>
                      <w:rFonts w:hint="eastAsia" w:cs="Times New Roman"/>
                      <w:b w:val="0"/>
                      <w:bCs/>
                      <w:sz w:val="21"/>
                      <w:szCs w:val="21"/>
                      <w:u w:val="none"/>
                      <w:vertAlign w:val="baseline"/>
                      <w:lang w:val="en-US" w:eastAsia="zh-CN"/>
                    </w:rPr>
                    <w:t>90.6</w:t>
                  </w:r>
                </w:p>
              </w:tc>
              <w:tc>
                <w:tcPr>
                  <w:tcW w:w="809" w:type="dxa"/>
                  <w:vAlign w:val="center"/>
                </w:tcPr>
                <w:p>
                  <w:pPr>
                    <w:pStyle w:val="2"/>
                    <w:ind w:left="0" w:leftChars="0" w:firstLine="0" w:firstLineChars="0"/>
                    <w:jc w:val="center"/>
                    <w:rPr>
                      <w:rFonts w:hint="eastAsia" w:ascii="宋体" w:hAnsi="宋体" w:eastAsia="宋体" w:cs="宋体"/>
                      <w:b w:val="0"/>
                      <w:bCs/>
                      <w:sz w:val="21"/>
                      <w:szCs w:val="21"/>
                      <w:u w:val="none"/>
                      <w:vertAlign w:val="baseline"/>
                      <w:lang w:val="en-US" w:eastAsia="zh-CN"/>
                    </w:rPr>
                  </w:pPr>
                  <w:r>
                    <w:rPr>
                      <w:rFonts w:hint="eastAsia" w:cs="宋体"/>
                      <w:b w:val="0"/>
                      <w:bCs/>
                      <w:sz w:val="21"/>
                      <w:szCs w:val="21"/>
                      <w:u w:val="none"/>
                      <w:vertAlign w:val="baseline"/>
                      <w:lang w:val="en-US" w:eastAsia="zh-CN"/>
                    </w:rPr>
                    <w:t>达标</w:t>
                  </w:r>
                </w:p>
              </w:tc>
            </w:tr>
          </w:tbl>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rPr>
            </w:pPr>
            <w:r>
              <w:rPr>
                <w:rFonts w:hint="eastAsia"/>
                <w:bCs/>
                <w:sz w:val="24"/>
              </w:rPr>
              <w:t>由上表可以看出，济源市区域PM</w:t>
            </w:r>
            <w:r>
              <w:rPr>
                <w:rFonts w:hint="eastAsia"/>
                <w:bCs/>
                <w:sz w:val="24"/>
                <w:vertAlign w:val="subscript"/>
              </w:rPr>
              <w:t>10</w:t>
            </w:r>
            <w:r>
              <w:rPr>
                <w:rFonts w:hint="eastAsia"/>
                <w:bCs/>
                <w:sz w:val="24"/>
              </w:rPr>
              <w:t>、PM</w:t>
            </w:r>
            <w:r>
              <w:rPr>
                <w:rFonts w:hint="eastAsia"/>
                <w:bCs/>
                <w:sz w:val="24"/>
                <w:vertAlign w:val="subscript"/>
              </w:rPr>
              <w:t>2.5</w:t>
            </w:r>
            <w:r>
              <w:rPr>
                <w:rFonts w:hint="eastAsia"/>
                <w:bCs/>
                <w:sz w:val="24"/>
              </w:rPr>
              <w:t>、</w:t>
            </w:r>
            <w:r>
              <w:rPr>
                <w:rFonts w:hint="eastAsia"/>
                <w:bCs/>
                <w:sz w:val="24"/>
                <w:lang w:val="en-US" w:eastAsia="zh-CN"/>
              </w:rPr>
              <w:t>NO</w:t>
            </w:r>
            <w:r>
              <w:rPr>
                <w:rFonts w:hint="eastAsia"/>
                <w:bCs/>
                <w:sz w:val="24"/>
                <w:vertAlign w:val="subscript"/>
                <w:lang w:val="en-US" w:eastAsia="zh-CN"/>
              </w:rPr>
              <w:t>2</w:t>
            </w:r>
            <w:r>
              <w:rPr>
                <w:rFonts w:hint="eastAsia"/>
                <w:bCs/>
                <w:sz w:val="24"/>
                <w:lang w:val="en-US" w:eastAsia="zh-CN"/>
              </w:rPr>
              <w:t>、</w:t>
            </w:r>
            <w:r>
              <w:rPr>
                <w:rFonts w:hint="eastAsia"/>
                <w:bCs/>
                <w:sz w:val="24"/>
              </w:rPr>
              <w:t>臭氧年评价指标均超标，济源市属于不达标区</w:t>
            </w:r>
            <w:r>
              <w:rPr>
                <w:rFonts w:hint="eastAsia"/>
                <w:bCs/>
                <w:sz w:val="24"/>
                <w:lang w:eastAsia="zh-CN"/>
              </w:rPr>
              <w:t>；</w:t>
            </w:r>
            <w:r>
              <w:rPr>
                <w:rFonts w:hint="eastAsia"/>
                <w:bCs/>
                <w:sz w:val="24"/>
                <w:lang w:val="en-US" w:eastAsia="zh-CN"/>
              </w:rPr>
              <w:t>2020年4月1日至7日，项目所在区域环境空气中PM</w:t>
            </w:r>
            <w:r>
              <w:rPr>
                <w:rFonts w:hint="eastAsia"/>
                <w:bCs/>
                <w:sz w:val="24"/>
                <w:vertAlign w:val="subscript"/>
                <w:lang w:val="en-US" w:eastAsia="zh-CN"/>
              </w:rPr>
              <w:t>10</w:t>
            </w:r>
            <w:r>
              <w:rPr>
                <w:rFonts w:hint="eastAsia"/>
                <w:bCs/>
                <w:sz w:val="24"/>
                <w:lang w:val="en-US" w:eastAsia="zh-CN"/>
              </w:rPr>
              <w:t>、SO</w:t>
            </w:r>
            <w:r>
              <w:rPr>
                <w:rFonts w:hint="eastAsia"/>
                <w:bCs/>
                <w:sz w:val="24"/>
                <w:vertAlign w:val="subscript"/>
                <w:lang w:val="en-US" w:eastAsia="zh-CN"/>
              </w:rPr>
              <w:t>2</w:t>
            </w:r>
            <w:r>
              <w:rPr>
                <w:rFonts w:hint="eastAsia"/>
                <w:bCs/>
                <w:sz w:val="24"/>
                <w:lang w:val="en-US" w:eastAsia="zh-CN"/>
              </w:rPr>
              <w:t>、NO</w:t>
            </w:r>
            <w:r>
              <w:rPr>
                <w:rFonts w:hint="eastAsia"/>
                <w:bCs/>
                <w:sz w:val="24"/>
                <w:vertAlign w:val="subscript"/>
                <w:lang w:val="en-US" w:eastAsia="zh-CN"/>
              </w:rPr>
              <w:t>2</w:t>
            </w:r>
            <w:r>
              <w:rPr>
                <w:rFonts w:hint="eastAsia"/>
                <w:bCs/>
                <w:sz w:val="24"/>
                <w:lang w:val="en-US" w:eastAsia="zh-CN"/>
              </w:rPr>
              <w:t>、CO、臭氧均达标，PM</w:t>
            </w:r>
            <w:r>
              <w:rPr>
                <w:rFonts w:hint="eastAsia"/>
                <w:bCs/>
                <w:sz w:val="24"/>
                <w:vertAlign w:val="subscript"/>
                <w:lang w:val="en-US" w:eastAsia="zh-CN"/>
              </w:rPr>
              <w:t>2.5</w:t>
            </w:r>
            <w:r>
              <w:rPr>
                <w:rFonts w:hint="eastAsia"/>
                <w:bCs/>
                <w:sz w:val="24"/>
                <w:vertAlign w:val="baseline"/>
                <w:lang w:val="en-US" w:eastAsia="zh-CN"/>
              </w:rPr>
              <w:t>日均值超标</w:t>
            </w:r>
            <w:r>
              <w:rPr>
                <w:rFonts w:hint="eastAsia"/>
                <w:bCs/>
                <w:sz w:val="24"/>
              </w:rPr>
              <w:t>。</w:t>
            </w:r>
            <w:r>
              <w:rPr>
                <w:sz w:val="24"/>
              </w:rPr>
              <w:t>结合《济源市污染防治攻坚战三年行动计划》（2018-2020年）中要求，分析如下：</w:t>
            </w:r>
          </w:p>
          <w:p>
            <w:pPr>
              <w:tabs>
                <w:tab w:val="left" w:pos="993"/>
              </w:tabs>
              <w:spacing w:line="240" w:lineRule="auto"/>
              <w:jc w:val="center"/>
              <w:rPr>
                <w:rFonts w:hint="eastAsia" w:ascii="黑体" w:hAnsi="黑体" w:eastAsia="黑体" w:cs="黑体"/>
                <w:bCs/>
                <w:sz w:val="24"/>
              </w:rPr>
            </w:pPr>
          </w:p>
          <w:p>
            <w:pPr>
              <w:tabs>
                <w:tab w:val="left" w:pos="993"/>
              </w:tabs>
              <w:spacing w:line="240" w:lineRule="auto"/>
              <w:jc w:val="center"/>
              <w:rPr>
                <w:rFonts w:ascii="黑体" w:hAnsi="黑体" w:eastAsia="黑体" w:cs="黑体"/>
                <w:bCs/>
                <w:sz w:val="24"/>
              </w:rPr>
            </w:pPr>
            <w:r>
              <w:rPr>
                <w:rFonts w:hint="eastAsia" w:ascii="黑体" w:hAnsi="黑体" w:eastAsia="黑体" w:cs="黑体"/>
                <w:bCs/>
                <w:sz w:val="24"/>
              </w:rPr>
              <w:t>济源市三年行动计划目标</w:t>
            </w:r>
          </w:p>
          <w:tbl>
            <w:tblPr>
              <w:tblStyle w:val="12"/>
              <w:tblW w:w="8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4"/>
              <w:gridCol w:w="7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184"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年度</w:t>
                  </w:r>
                </w:p>
              </w:tc>
              <w:tc>
                <w:tcPr>
                  <w:tcW w:w="7348"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184"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2018年</w:t>
                  </w:r>
                </w:p>
              </w:tc>
              <w:tc>
                <w:tcPr>
                  <w:tcW w:w="7348" w:type="dxa"/>
                  <w:vAlign w:val="center"/>
                </w:tcPr>
                <w:p>
                  <w:pPr>
                    <w:snapToGrid w:val="0"/>
                    <w:jc w:val="left"/>
                    <w:rPr>
                      <w:rFonts w:hint="default" w:ascii="Times New Roman" w:hAnsi="Times New Roman" w:cs="Times New Roman"/>
                      <w:szCs w:val="21"/>
                    </w:rPr>
                  </w:pPr>
                  <w:r>
                    <w:rPr>
                      <w:rFonts w:hint="default" w:ascii="Times New Roman" w:hAnsi="Times New Roman" w:cs="Times New Roman"/>
                      <w:szCs w:val="21"/>
                    </w:rPr>
                    <w:t>全市PM</w:t>
                  </w:r>
                  <w:r>
                    <w:rPr>
                      <w:rFonts w:hint="default" w:ascii="Times New Roman" w:hAnsi="Times New Roman" w:cs="Times New Roman"/>
                      <w:szCs w:val="21"/>
                      <w:vertAlign w:val="subscript"/>
                    </w:rPr>
                    <w:t>2.5</w:t>
                  </w:r>
                  <w:r>
                    <w:rPr>
                      <w:rFonts w:hint="default" w:ascii="Times New Roman" w:hAnsi="Times New Roman" w:cs="Times New Roman"/>
                      <w:szCs w:val="21"/>
                    </w:rPr>
                    <w:t>年均浓度达到每立方米62微克以下，PM</w:t>
                  </w:r>
                  <w:r>
                    <w:rPr>
                      <w:rFonts w:hint="default" w:ascii="Times New Roman" w:hAnsi="Times New Roman" w:cs="Times New Roman"/>
                      <w:szCs w:val="21"/>
                      <w:vertAlign w:val="subscript"/>
                    </w:rPr>
                    <w:t>10</w:t>
                  </w:r>
                  <w:r>
                    <w:rPr>
                      <w:rFonts w:hint="default" w:ascii="Times New Roman" w:hAnsi="Times New Roman" w:cs="Times New Roman"/>
                      <w:szCs w:val="21"/>
                    </w:rPr>
                    <w:t>年均浓度达到每立方米104微克以下，全年优良天数达到210天以上。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184"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2019年</w:t>
                  </w:r>
                </w:p>
              </w:tc>
              <w:tc>
                <w:tcPr>
                  <w:tcW w:w="7348" w:type="dxa"/>
                  <w:vAlign w:val="center"/>
                </w:tcPr>
                <w:p>
                  <w:pPr>
                    <w:snapToGrid w:val="0"/>
                    <w:jc w:val="left"/>
                    <w:rPr>
                      <w:rFonts w:hint="default" w:ascii="Times New Roman" w:hAnsi="Times New Roman" w:cs="Times New Roman"/>
                      <w:szCs w:val="21"/>
                    </w:rPr>
                  </w:pPr>
                  <w:r>
                    <w:rPr>
                      <w:rFonts w:hint="default" w:ascii="Times New Roman" w:hAnsi="Times New Roman" w:cs="Times New Roman"/>
                      <w:szCs w:val="21"/>
                    </w:rPr>
                    <w:t>全市PM</w:t>
                  </w:r>
                  <w:r>
                    <w:rPr>
                      <w:rFonts w:hint="default" w:ascii="Times New Roman" w:hAnsi="Times New Roman" w:cs="Times New Roman"/>
                      <w:szCs w:val="21"/>
                      <w:vertAlign w:val="subscript"/>
                    </w:rPr>
                    <w:t>2.5</w:t>
                  </w:r>
                  <w:r>
                    <w:rPr>
                      <w:rFonts w:hint="default" w:ascii="Times New Roman" w:hAnsi="Times New Roman" w:cs="Times New Roman"/>
                      <w:szCs w:val="21"/>
                    </w:rPr>
                    <w:t>年均浓度达到每立方米55微克以下，PM</w:t>
                  </w:r>
                  <w:r>
                    <w:rPr>
                      <w:rFonts w:hint="default" w:ascii="Times New Roman" w:hAnsi="Times New Roman" w:cs="Times New Roman"/>
                      <w:szCs w:val="21"/>
                      <w:vertAlign w:val="subscript"/>
                    </w:rPr>
                    <w:t>10</w:t>
                  </w:r>
                  <w:r>
                    <w:rPr>
                      <w:rFonts w:hint="default" w:ascii="Times New Roman" w:hAnsi="Times New Roman" w:cs="Times New Roman"/>
                      <w:szCs w:val="21"/>
                    </w:rPr>
                    <w:t>年均浓度达到每立方米101微克以下，全年优良天数达到220天以上。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184"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2020年</w:t>
                  </w:r>
                </w:p>
              </w:tc>
              <w:tc>
                <w:tcPr>
                  <w:tcW w:w="7348" w:type="dxa"/>
                  <w:vAlign w:val="center"/>
                </w:tcPr>
                <w:p>
                  <w:pPr>
                    <w:snapToGrid w:val="0"/>
                    <w:jc w:val="left"/>
                    <w:rPr>
                      <w:rFonts w:hint="default" w:ascii="Times New Roman" w:hAnsi="Times New Roman" w:cs="Times New Roman"/>
                      <w:szCs w:val="21"/>
                    </w:rPr>
                  </w:pPr>
                  <w:r>
                    <w:rPr>
                      <w:rFonts w:hint="default" w:ascii="Times New Roman" w:hAnsi="Times New Roman" w:cs="Times New Roman"/>
                      <w:szCs w:val="21"/>
                    </w:rPr>
                    <w:t>全市PM</w:t>
                  </w:r>
                  <w:r>
                    <w:rPr>
                      <w:rFonts w:hint="default" w:ascii="Times New Roman" w:hAnsi="Times New Roman" w:cs="Times New Roman"/>
                      <w:szCs w:val="21"/>
                      <w:vertAlign w:val="subscript"/>
                    </w:rPr>
                    <w:t>2.5</w:t>
                  </w:r>
                  <w:r>
                    <w:rPr>
                      <w:rFonts w:hint="default" w:ascii="Times New Roman" w:hAnsi="Times New Roman" w:cs="Times New Roman"/>
                      <w:szCs w:val="21"/>
                    </w:rPr>
                    <w:t>年均浓度达到每立方米53微克以下，PM</w:t>
                  </w:r>
                  <w:r>
                    <w:rPr>
                      <w:rFonts w:hint="default" w:ascii="Times New Roman" w:hAnsi="Times New Roman" w:cs="Times New Roman"/>
                      <w:szCs w:val="21"/>
                      <w:vertAlign w:val="subscript"/>
                    </w:rPr>
                    <w:t>10</w:t>
                  </w:r>
                  <w:r>
                    <w:rPr>
                      <w:rFonts w:hint="default" w:ascii="Times New Roman" w:hAnsi="Times New Roman" w:cs="Times New Roman"/>
                      <w:szCs w:val="21"/>
                    </w:rPr>
                    <w:t>年均浓度达到每立方米98微克以下，全年优良天数达到234天以上，重度及以上污染天数比率比2015年下降25%以上。</w:t>
                  </w:r>
                </w:p>
              </w:tc>
            </w:tr>
          </w:tbl>
          <w:p>
            <w:pPr>
              <w:tabs>
                <w:tab w:val="left" w:pos="993"/>
              </w:tabs>
              <w:spacing w:line="240" w:lineRule="auto"/>
              <w:jc w:val="center"/>
              <w:rPr>
                <w:rFonts w:ascii="黑体" w:hAnsi="黑体" w:eastAsia="黑体" w:cs="黑体"/>
                <w:bCs/>
                <w:sz w:val="24"/>
              </w:rPr>
            </w:pPr>
            <w:r>
              <w:rPr>
                <w:rFonts w:hint="eastAsia" w:ascii="黑体" w:hAnsi="黑体" w:eastAsia="黑体" w:cs="黑体"/>
                <w:bCs/>
                <w:sz w:val="24"/>
              </w:rPr>
              <w:t>济源市三年行动计划实施方案</w:t>
            </w:r>
          </w:p>
          <w:tbl>
            <w:tblPr>
              <w:tblStyle w:val="12"/>
              <w:tblW w:w="8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485"/>
              <w:gridCol w:w="6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8" w:type="dxa"/>
                  <w:gridSpan w:val="2"/>
                  <w:vAlign w:val="center"/>
                </w:tcPr>
                <w:p>
                  <w:pPr>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sz w:val="21"/>
                      <w:szCs w:val="21"/>
                    </w:rPr>
                    <w:t>类别</w:t>
                  </w:r>
                </w:p>
              </w:tc>
              <w:tc>
                <w:tcPr>
                  <w:tcW w:w="6318" w:type="dxa"/>
                  <w:vAlign w:val="center"/>
                </w:tcPr>
                <w:p>
                  <w:pPr>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sz w:val="21"/>
                      <w:szCs w:val="21"/>
                    </w:rPr>
                    <w:t>具体实施方案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vMerge w:val="restart"/>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结构调整优化</w:t>
                  </w:r>
                </w:p>
              </w:tc>
              <w:tc>
                <w:tcPr>
                  <w:tcW w:w="1485" w:type="dxa"/>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逐步削减煤炭消费总量</w:t>
                  </w:r>
                </w:p>
              </w:tc>
              <w:tc>
                <w:tcPr>
                  <w:tcW w:w="6318" w:type="dxa"/>
                  <w:vAlign w:val="center"/>
                </w:tcPr>
                <w:p>
                  <w:pPr>
                    <w:autoSpaceDE w:val="0"/>
                    <w:autoSpaceDN w:val="0"/>
                    <w:adjustRightInd w:val="0"/>
                    <w:snapToGrid w:val="0"/>
                    <w:spacing w:line="240" w:lineRule="exact"/>
                    <w:jc w:val="left"/>
                    <w:rPr>
                      <w:rFonts w:hint="default" w:ascii="Times New Roman" w:hAnsi="Times New Roman" w:cs="Times New Roman"/>
                      <w:sz w:val="21"/>
                      <w:szCs w:val="21"/>
                    </w:rPr>
                  </w:pPr>
                  <w:r>
                    <w:rPr>
                      <w:rFonts w:hint="default" w:ascii="Times New Roman" w:hAnsi="Times New Roman" w:cs="Times New Roman"/>
                      <w:kern w:val="0"/>
                      <w:sz w:val="21"/>
                      <w:szCs w:val="21"/>
                    </w:rPr>
                    <w:t>强化电力、煤炭、钢铁、化工、有色、建材等重点行业煤炭消费减量措施，淘汰一批能耗高于全国平均水平的低效产能，提高煤炭清洁利用水平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vMerge w:val="continue"/>
                  <w:vAlign w:val="center"/>
                </w:tcPr>
                <w:p>
                  <w:pPr>
                    <w:snapToGrid w:val="0"/>
                    <w:spacing w:line="240" w:lineRule="exact"/>
                    <w:jc w:val="center"/>
                    <w:rPr>
                      <w:rFonts w:hint="default" w:ascii="Times New Roman" w:hAnsi="Times New Roman" w:cs="Times New Roman"/>
                      <w:sz w:val="21"/>
                      <w:szCs w:val="21"/>
                    </w:rPr>
                  </w:pPr>
                </w:p>
              </w:tc>
              <w:tc>
                <w:tcPr>
                  <w:tcW w:w="1485" w:type="dxa"/>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严格环境准入</w:t>
                  </w:r>
                </w:p>
              </w:tc>
              <w:tc>
                <w:tcPr>
                  <w:tcW w:w="6318" w:type="dxa"/>
                  <w:vAlign w:val="center"/>
                </w:tcPr>
                <w:p>
                  <w:pPr>
                    <w:autoSpaceDE w:val="0"/>
                    <w:autoSpaceDN w:val="0"/>
                    <w:adjustRightInd w:val="0"/>
                    <w:snapToGrid w:val="0"/>
                    <w:spacing w:line="240" w:lineRule="exact"/>
                    <w:jc w:val="left"/>
                    <w:rPr>
                      <w:rFonts w:hint="default" w:ascii="Times New Roman" w:hAnsi="Times New Roman" w:cs="Times New Roman"/>
                      <w:sz w:val="21"/>
                      <w:szCs w:val="21"/>
                    </w:rPr>
                  </w:pPr>
                  <w:r>
                    <w:rPr>
                      <w:rFonts w:hint="default" w:ascii="Times New Roman" w:hAnsi="Times New Roman" w:cs="Times New Roman"/>
                      <w:kern w:val="0"/>
                      <w:sz w:val="21"/>
                      <w:szCs w:val="21"/>
                    </w:rPr>
                    <w:t>原则上禁止钢铁、电解铝、水泥、玻璃、传统煤化工（甲醇、合成氨）、焦化等行业新建、扩建单纯新增产能，耐火材料、陶瓷等行业新建、扩建以煤炭为燃料的项目和企业，对钢铁、水泥、电解铝、玻璃等行业不再实施省内产能置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vMerge w:val="continue"/>
                  <w:vAlign w:val="center"/>
                </w:tcPr>
                <w:p>
                  <w:pPr>
                    <w:snapToGrid w:val="0"/>
                    <w:spacing w:line="240" w:lineRule="exact"/>
                    <w:jc w:val="center"/>
                    <w:rPr>
                      <w:rFonts w:hint="default" w:ascii="Times New Roman" w:hAnsi="Times New Roman" w:cs="Times New Roman"/>
                      <w:sz w:val="21"/>
                      <w:szCs w:val="21"/>
                    </w:rPr>
                  </w:pPr>
                </w:p>
              </w:tc>
              <w:tc>
                <w:tcPr>
                  <w:tcW w:w="1485" w:type="dxa"/>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控制低效、落后、过剩产能</w:t>
                  </w:r>
                </w:p>
              </w:tc>
              <w:tc>
                <w:tcPr>
                  <w:tcW w:w="6318" w:type="dxa"/>
                  <w:vAlign w:val="center"/>
                </w:tcPr>
                <w:p>
                  <w:pPr>
                    <w:autoSpaceDE w:val="0"/>
                    <w:autoSpaceDN w:val="0"/>
                    <w:adjustRightInd w:val="0"/>
                    <w:snapToGrid w:val="0"/>
                    <w:spacing w:line="240" w:lineRule="exact"/>
                    <w:jc w:val="left"/>
                    <w:rPr>
                      <w:rFonts w:hint="default" w:ascii="Times New Roman" w:hAnsi="Times New Roman" w:cs="Times New Roman"/>
                      <w:sz w:val="21"/>
                      <w:szCs w:val="21"/>
                    </w:rPr>
                  </w:pPr>
                  <w:r>
                    <w:rPr>
                      <w:rFonts w:hint="default" w:ascii="Times New Roman" w:hAnsi="Times New Roman" w:cs="Times New Roman"/>
                      <w:kern w:val="0"/>
                      <w:sz w:val="21"/>
                      <w:szCs w:val="21"/>
                    </w:rPr>
                    <w:t>全面淘汰退出达不到标准的落后产能和不达标企业。严格执行国家、省环保、能耗、质量、安全等政策标准。严格执行国家、省对炭素、棕刚玉、陶瓷、耐火材料、砖瓦窑、铸造等高排放行业淘汰标准。严防“地条钢”死灰复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vMerge w:val="continue"/>
                  <w:vAlign w:val="center"/>
                </w:tcPr>
                <w:p>
                  <w:pPr>
                    <w:snapToGrid w:val="0"/>
                    <w:spacing w:line="240" w:lineRule="exact"/>
                    <w:jc w:val="center"/>
                    <w:rPr>
                      <w:rFonts w:hint="default" w:ascii="Times New Roman" w:hAnsi="Times New Roman" w:cs="Times New Roman"/>
                      <w:sz w:val="21"/>
                      <w:szCs w:val="21"/>
                    </w:rPr>
                  </w:pPr>
                </w:p>
              </w:tc>
              <w:tc>
                <w:tcPr>
                  <w:tcW w:w="1485" w:type="dxa"/>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严控“两高”（高能耗、高污染）行业产能</w:t>
                  </w:r>
                </w:p>
              </w:tc>
              <w:tc>
                <w:tcPr>
                  <w:tcW w:w="6318" w:type="dxa"/>
                  <w:vAlign w:val="center"/>
                </w:tcPr>
                <w:p>
                  <w:pPr>
                    <w:autoSpaceDE w:val="0"/>
                    <w:autoSpaceDN w:val="0"/>
                    <w:adjustRightInd w:val="0"/>
                    <w:snapToGrid w:val="0"/>
                    <w:spacing w:line="240" w:lineRule="exact"/>
                    <w:jc w:val="left"/>
                    <w:rPr>
                      <w:rFonts w:hint="default" w:ascii="Times New Roman" w:hAnsi="Times New Roman" w:cs="Times New Roman"/>
                      <w:sz w:val="21"/>
                      <w:szCs w:val="21"/>
                    </w:rPr>
                  </w:pPr>
                  <w:r>
                    <w:rPr>
                      <w:rFonts w:hint="default" w:ascii="Times New Roman" w:hAnsi="Times New Roman" w:cs="Times New Roman"/>
                      <w:kern w:val="0"/>
                      <w:sz w:val="21"/>
                      <w:szCs w:val="21"/>
                    </w:rPr>
                    <w:t>禁止新增钢铁、焦化、电解铝、铸造、水泥和玻璃等产能。新改扩建涉及大宗物料运输的建设项目，原则上不得采用公路运输。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vMerge w:val="restart"/>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工业企业绿色升级</w:t>
                  </w:r>
                </w:p>
              </w:tc>
              <w:tc>
                <w:tcPr>
                  <w:tcW w:w="1485" w:type="dxa"/>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持续推进工业污染源全面达标</w:t>
                  </w:r>
                </w:p>
              </w:tc>
              <w:tc>
                <w:tcPr>
                  <w:tcW w:w="6318" w:type="dxa"/>
                  <w:vAlign w:val="center"/>
                </w:tcPr>
                <w:p>
                  <w:pPr>
                    <w:autoSpaceDE w:val="0"/>
                    <w:autoSpaceDN w:val="0"/>
                    <w:adjustRightInd w:val="0"/>
                    <w:snapToGrid w:val="0"/>
                    <w:spacing w:line="240" w:lineRule="exact"/>
                    <w:jc w:val="left"/>
                    <w:rPr>
                      <w:rFonts w:hint="default" w:ascii="Times New Roman" w:hAnsi="Times New Roman" w:cs="Times New Roman"/>
                      <w:sz w:val="21"/>
                      <w:szCs w:val="21"/>
                    </w:rPr>
                  </w:pPr>
                  <w:r>
                    <w:rPr>
                      <w:rFonts w:hint="default" w:ascii="Times New Roman" w:hAnsi="Times New Roman" w:cs="Times New Roman"/>
                      <w:kern w:val="0"/>
                      <w:sz w:val="21"/>
                      <w:szCs w:val="21"/>
                    </w:rPr>
                    <w:t>以烟气在线监测数据作为执法依据，加大超标处罚和联合惩戒力度，未达标排放的企业一律依法停产整治。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vMerge w:val="continue"/>
                  <w:vAlign w:val="center"/>
                </w:tcPr>
                <w:p>
                  <w:pPr>
                    <w:snapToGrid w:val="0"/>
                    <w:spacing w:line="240" w:lineRule="exact"/>
                    <w:jc w:val="center"/>
                    <w:rPr>
                      <w:rFonts w:hint="default" w:ascii="Times New Roman" w:hAnsi="Times New Roman" w:cs="Times New Roman"/>
                      <w:sz w:val="21"/>
                      <w:szCs w:val="21"/>
                    </w:rPr>
                  </w:pPr>
                </w:p>
              </w:tc>
              <w:tc>
                <w:tcPr>
                  <w:tcW w:w="1485" w:type="dxa"/>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开展工业炉窑治理专项行动</w:t>
                  </w:r>
                </w:p>
              </w:tc>
              <w:tc>
                <w:tcPr>
                  <w:tcW w:w="6318" w:type="dxa"/>
                  <w:vAlign w:val="center"/>
                </w:tcPr>
                <w:p>
                  <w:pPr>
                    <w:autoSpaceDE w:val="0"/>
                    <w:autoSpaceDN w:val="0"/>
                    <w:adjustRightInd w:val="0"/>
                    <w:snapToGrid w:val="0"/>
                    <w:spacing w:line="240" w:lineRule="exact"/>
                    <w:jc w:val="left"/>
                    <w:rPr>
                      <w:rFonts w:hint="default" w:ascii="Times New Roman" w:hAnsi="Times New Roman" w:cs="Times New Roman"/>
                      <w:sz w:val="21"/>
                      <w:szCs w:val="21"/>
                    </w:rPr>
                  </w:pPr>
                  <w:r>
                    <w:rPr>
                      <w:rFonts w:hint="default" w:ascii="Times New Roman" w:hAnsi="Times New Roman" w:cs="Times New Roman"/>
                      <w:kern w:val="0"/>
                      <w:sz w:val="21"/>
                      <w:szCs w:val="21"/>
                    </w:rPr>
                    <w:t>鼓励工业炉窑使用电、天然气、供热等清洁能源。凡不能达标排放的工业炉窑，依法一律实施停产整治。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vMerge w:val="continue"/>
                  <w:vAlign w:val="center"/>
                </w:tcPr>
                <w:p>
                  <w:pPr>
                    <w:snapToGrid w:val="0"/>
                    <w:spacing w:line="240" w:lineRule="exact"/>
                    <w:jc w:val="center"/>
                    <w:rPr>
                      <w:rFonts w:hint="default" w:ascii="Times New Roman" w:hAnsi="Times New Roman" w:cs="Times New Roman"/>
                      <w:sz w:val="21"/>
                      <w:szCs w:val="21"/>
                    </w:rPr>
                  </w:pPr>
                </w:p>
              </w:tc>
              <w:tc>
                <w:tcPr>
                  <w:tcW w:w="1485" w:type="dxa"/>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实施挥发性有机物（</w:t>
                  </w:r>
                  <w:r>
                    <w:rPr>
                      <w:rFonts w:hint="default" w:ascii="Times New Roman" w:hAnsi="Times New Roman" w:eastAsia="TimesNewRomanPSMT" w:cs="Times New Roman"/>
                      <w:kern w:val="0"/>
                      <w:sz w:val="21"/>
                      <w:szCs w:val="21"/>
                    </w:rPr>
                    <w:t>VOCs</w:t>
                  </w:r>
                  <w:r>
                    <w:rPr>
                      <w:rFonts w:hint="default" w:ascii="Times New Roman" w:hAnsi="Times New Roman" w:cs="Times New Roman"/>
                      <w:kern w:val="0"/>
                      <w:sz w:val="21"/>
                      <w:szCs w:val="21"/>
                    </w:rPr>
                    <w:t>）专项整治</w:t>
                  </w:r>
                </w:p>
              </w:tc>
              <w:tc>
                <w:tcPr>
                  <w:tcW w:w="6318" w:type="dxa"/>
                  <w:vAlign w:val="center"/>
                </w:tcPr>
                <w:p>
                  <w:pPr>
                    <w:autoSpaceDE w:val="0"/>
                    <w:autoSpaceDN w:val="0"/>
                    <w:adjustRightInd w:val="0"/>
                    <w:snapToGrid w:val="0"/>
                    <w:spacing w:line="240" w:lineRule="exact"/>
                    <w:jc w:val="left"/>
                    <w:rPr>
                      <w:rFonts w:hint="default" w:ascii="Times New Roman" w:hAnsi="Times New Roman" w:cs="Times New Roman"/>
                      <w:sz w:val="21"/>
                      <w:szCs w:val="21"/>
                    </w:rPr>
                  </w:pPr>
                  <w:r>
                    <w:rPr>
                      <w:rFonts w:hint="default" w:ascii="Times New Roman" w:hAnsi="Times New Roman" w:cs="Times New Roman"/>
                      <w:kern w:val="0"/>
                      <w:sz w:val="21"/>
                      <w:szCs w:val="21"/>
                    </w:rPr>
                    <w:t>新、改、扩建涉</w:t>
                  </w:r>
                  <w:r>
                    <w:rPr>
                      <w:rFonts w:hint="default" w:ascii="Times New Roman" w:hAnsi="Times New Roman" w:eastAsia="TimesNewRomanPSMT" w:cs="Times New Roman"/>
                      <w:kern w:val="0"/>
                      <w:sz w:val="21"/>
                      <w:szCs w:val="21"/>
                    </w:rPr>
                    <w:t>VOCs</w:t>
                  </w:r>
                  <w:r>
                    <w:rPr>
                      <w:rFonts w:hint="default" w:ascii="Times New Roman" w:hAnsi="Times New Roman" w:cs="Times New Roman"/>
                      <w:kern w:val="0"/>
                      <w:sz w:val="21"/>
                      <w:szCs w:val="21"/>
                    </w:rPr>
                    <w:t>排放项目，应加强废气收集，安装高效治理设施。禁止建设生产和使用高</w:t>
                  </w:r>
                  <w:r>
                    <w:rPr>
                      <w:rFonts w:hint="default" w:ascii="Times New Roman" w:hAnsi="Times New Roman" w:eastAsia="TimesNewRomanPSMT" w:cs="Times New Roman"/>
                      <w:kern w:val="0"/>
                      <w:sz w:val="21"/>
                      <w:szCs w:val="21"/>
                    </w:rPr>
                    <w:t>VOCs</w:t>
                  </w:r>
                  <w:r>
                    <w:rPr>
                      <w:rFonts w:hint="default" w:ascii="Times New Roman" w:hAnsi="Times New Roman" w:cs="Times New Roman"/>
                      <w:kern w:val="0"/>
                      <w:sz w:val="21"/>
                      <w:szCs w:val="21"/>
                    </w:rPr>
                    <w:t>含量的溶剂型涂料、油墨、胶粘剂等项目。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743" w:type="dxa"/>
                  <w:vMerge w:val="continue"/>
                  <w:vAlign w:val="center"/>
                </w:tcPr>
                <w:p>
                  <w:pPr>
                    <w:snapToGrid w:val="0"/>
                    <w:spacing w:line="240" w:lineRule="exact"/>
                    <w:jc w:val="center"/>
                    <w:rPr>
                      <w:rFonts w:hint="default" w:ascii="Times New Roman" w:hAnsi="Times New Roman" w:cs="Times New Roman"/>
                      <w:sz w:val="21"/>
                      <w:szCs w:val="21"/>
                    </w:rPr>
                  </w:pPr>
                </w:p>
              </w:tc>
              <w:tc>
                <w:tcPr>
                  <w:tcW w:w="1485" w:type="dxa"/>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实施重点企业深度治理</w:t>
                  </w:r>
                </w:p>
              </w:tc>
              <w:tc>
                <w:tcPr>
                  <w:tcW w:w="6318" w:type="dxa"/>
                  <w:vAlign w:val="center"/>
                </w:tcPr>
                <w:p>
                  <w:pPr>
                    <w:autoSpaceDE w:val="0"/>
                    <w:autoSpaceDN w:val="0"/>
                    <w:adjustRightInd w:val="0"/>
                    <w:snapToGrid w:val="0"/>
                    <w:spacing w:line="240" w:lineRule="exact"/>
                    <w:jc w:val="left"/>
                    <w:rPr>
                      <w:rFonts w:hint="default" w:ascii="Times New Roman" w:hAnsi="Times New Roman" w:cs="Times New Roman"/>
                      <w:sz w:val="21"/>
                      <w:szCs w:val="21"/>
                    </w:rPr>
                  </w:pPr>
                  <w:r>
                    <w:rPr>
                      <w:rFonts w:hint="default" w:ascii="Times New Roman" w:hAnsi="Times New Roman" w:cs="Times New Roman"/>
                      <w:sz w:val="21"/>
                      <w:szCs w:val="21"/>
                    </w:rPr>
                    <w:t>2018年10月底前，鼓励钢铁、炭素、水泥熟料、玻璃企业试点开展超低排放改造。2019年底前，钢铁、铝用炭素、水泥、玻璃、焦化、电解铝力争完成超低排放改造。其中，城市建成区内焦炉实施炉体加罩封闭，并对废气进行收集处理。重点行业二氧化硫、氮氧化物、颗粒物、挥发性有机物（VOCs）全面执行大气污染物特别排放限值。完成火电、钢铁、建材、有色、焦化、铸造等行业和锅炉物料运输、生产工艺、堆场环节的无组织排放治理，建立管理台账；对易产生粉尘的粉状、粒状物料及燃料实现密闭储存，对达不到要求的堆场，依法依规进行处罚，并停止使用。开展有色金属冶炼及再生铅、铅酸蓄电池等行业企业含重金属无组织废气排放污染治理，确保废气中重金属污染物持续、稳定达标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vMerge w:val="continue"/>
                  <w:vAlign w:val="center"/>
                </w:tcPr>
                <w:p>
                  <w:pPr>
                    <w:snapToGrid w:val="0"/>
                    <w:spacing w:line="240" w:lineRule="exact"/>
                    <w:jc w:val="center"/>
                    <w:rPr>
                      <w:rFonts w:hint="default" w:ascii="Times New Roman" w:hAnsi="Times New Roman" w:cs="Times New Roman"/>
                      <w:sz w:val="21"/>
                      <w:szCs w:val="21"/>
                    </w:rPr>
                  </w:pPr>
                </w:p>
              </w:tc>
              <w:tc>
                <w:tcPr>
                  <w:tcW w:w="1485" w:type="dxa"/>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大力开展重点行业清洁生产</w:t>
                  </w:r>
                </w:p>
              </w:tc>
              <w:tc>
                <w:tcPr>
                  <w:tcW w:w="6318" w:type="dxa"/>
                  <w:vAlign w:val="center"/>
                </w:tcPr>
                <w:p>
                  <w:pPr>
                    <w:autoSpaceDE w:val="0"/>
                    <w:autoSpaceDN w:val="0"/>
                    <w:adjustRightInd w:val="0"/>
                    <w:snapToGrid w:val="0"/>
                    <w:spacing w:line="240" w:lineRule="exact"/>
                    <w:jc w:val="left"/>
                    <w:rPr>
                      <w:rFonts w:hint="default" w:ascii="Times New Roman" w:hAnsi="Times New Roman" w:cs="Times New Roman"/>
                      <w:sz w:val="21"/>
                      <w:szCs w:val="21"/>
                    </w:rPr>
                  </w:pPr>
                  <w:r>
                    <w:rPr>
                      <w:rFonts w:hint="default" w:ascii="Times New Roman" w:hAnsi="Times New Roman" w:cs="Times New Roman"/>
                      <w:kern w:val="0"/>
                      <w:sz w:val="21"/>
                      <w:szCs w:val="21"/>
                    </w:rPr>
                    <w:t>实现钢铁、有色、建材、化工等行业重点企业强制性清洁生产审核全覆盖。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743" w:type="dxa"/>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城乡扬尘全面清洁</w:t>
                  </w:r>
                </w:p>
              </w:tc>
              <w:tc>
                <w:tcPr>
                  <w:tcW w:w="1485" w:type="dxa"/>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严格施工扬尘污染管控</w:t>
                  </w:r>
                </w:p>
              </w:tc>
              <w:tc>
                <w:tcPr>
                  <w:tcW w:w="6318" w:type="dxa"/>
                  <w:vAlign w:val="center"/>
                </w:tcPr>
                <w:p>
                  <w:pPr>
                    <w:autoSpaceDE w:val="0"/>
                    <w:autoSpaceDN w:val="0"/>
                    <w:adjustRightInd w:val="0"/>
                    <w:snapToGrid w:val="0"/>
                    <w:spacing w:line="240" w:lineRule="exact"/>
                    <w:jc w:val="left"/>
                    <w:rPr>
                      <w:rFonts w:hint="default" w:ascii="Times New Roman" w:hAnsi="Times New Roman" w:cs="Times New Roman"/>
                      <w:sz w:val="21"/>
                      <w:szCs w:val="21"/>
                    </w:rPr>
                  </w:pPr>
                  <w:r>
                    <w:rPr>
                      <w:rFonts w:hint="default" w:ascii="Times New Roman" w:hAnsi="Times New Roman" w:cs="Times New Roman"/>
                      <w:kern w:val="0"/>
                      <w:sz w:val="21"/>
                      <w:szCs w:val="21"/>
                    </w:rPr>
                    <w:t>工地周边围挡、物料堆放覆盖、土方开挖湿法作业、路面硬化、出入车辆清洗、渣土车辆密闭运输“六个百分之百”，禁止施工工地现场搅拌混凝土、现场配置砂浆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vMerge w:val="restart"/>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环境质量监控全覆盖</w:t>
                  </w:r>
                </w:p>
              </w:tc>
              <w:tc>
                <w:tcPr>
                  <w:tcW w:w="1485" w:type="dxa"/>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建立覆盖全面的空气质量监测网络</w:t>
                  </w:r>
                </w:p>
              </w:tc>
              <w:tc>
                <w:tcPr>
                  <w:tcW w:w="6318" w:type="dxa"/>
                  <w:vAlign w:val="center"/>
                </w:tcPr>
                <w:p>
                  <w:pPr>
                    <w:snapToGrid w:val="0"/>
                    <w:spacing w:line="240" w:lineRule="exact"/>
                    <w:jc w:val="left"/>
                    <w:rPr>
                      <w:rFonts w:hint="default" w:ascii="Times New Roman" w:hAnsi="Times New Roman" w:cs="Times New Roman"/>
                      <w:sz w:val="21"/>
                      <w:szCs w:val="21"/>
                    </w:rPr>
                  </w:pPr>
                  <w:r>
                    <w:rPr>
                      <w:rFonts w:hint="default" w:ascii="Times New Roman" w:hAnsi="Times New Roman" w:eastAsia="TimesNewRomanPSMT" w:cs="Times New Roman"/>
                      <w:kern w:val="0"/>
                      <w:sz w:val="21"/>
                      <w:szCs w:val="21"/>
                    </w:rPr>
                    <w:t>2018</w:t>
                  </w:r>
                  <w:r>
                    <w:rPr>
                      <w:rFonts w:hint="default" w:ascii="Times New Roman" w:hAnsi="Times New Roman" w:cs="Times New Roman"/>
                      <w:kern w:val="0"/>
                      <w:sz w:val="21"/>
                      <w:szCs w:val="21"/>
                    </w:rPr>
                    <w:t>年底前完成所有镇环境空气自动站建设任务。</w:t>
                  </w:r>
                  <w:r>
                    <w:rPr>
                      <w:rFonts w:hint="default" w:ascii="Times New Roman" w:hAnsi="Times New Roman" w:eastAsia="TimesNewRomanPSMT" w:cs="Times New Roman"/>
                      <w:kern w:val="0"/>
                      <w:sz w:val="21"/>
                      <w:szCs w:val="21"/>
                    </w:rPr>
                    <w:t>2019</w:t>
                  </w:r>
                  <w:r>
                    <w:rPr>
                      <w:rFonts w:hint="default" w:ascii="Times New Roman" w:hAnsi="Times New Roman" w:cs="Times New Roman"/>
                      <w:kern w:val="0"/>
                      <w:sz w:val="21"/>
                      <w:szCs w:val="21"/>
                    </w:rPr>
                    <w:t>年底前产业集聚（开发）区、特色园区设置环境空气质量监测站点。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vMerge w:val="continue"/>
                  <w:vAlign w:val="center"/>
                </w:tcPr>
                <w:p>
                  <w:pPr>
                    <w:snapToGrid w:val="0"/>
                    <w:spacing w:line="240" w:lineRule="exact"/>
                    <w:jc w:val="center"/>
                    <w:rPr>
                      <w:rFonts w:hint="default" w:ascii="Times New Roman" w:hAnsi="Times New Roman" w:cs="Times New Roman"/>
                      <w:sz w:val="21"/>
                      <w:szCs w:val="21"/>
                    </w:rPr>
                  </w:pPr>
                </w:p>
              </w:tc>
              <w:tc>
                <w:tcPr>
                  <w:tcW w:w="1485" w:type="dxa"/>
                  <w:vAlign w:val="center"/>
                </w:tcPr>
                <w:p>
                  <w:pPr>
                    <w:autoSpaceDE w:val="0"/>
                    <w:autoSpaceDN w:val="0"/>
                    <w:adjustRightInd w:val="0"/>
                    <w:snapToGrid w:val="0"/>
                    <w:spacing w:line="240" w:lineRule="exact"/>
                    <w:jc w:val="center"/>
                    <w:rPr>
                      <w:rFonts w:hint="default" w:ascii="Times New Roman" w:hAnsi="Times New Roman" w:cs="Times New Roman"/>
                      <w:sz w:val="21"/>
                      <w:szCs w:val="21"/>
                    </w:rPr>
                  </w:pPr>
                  <w:r>
                    <w:rPr>
                      <w:rFonts w:hint="default" w:ascii="Times New Roman" w:hAnsi="Times New Roman" w:cs="Times New Roman"/>
                      <w:kern w:val="0"/>
                      <w:sz w:val="21"/>
                      <w:szCs w:val="21"/>
                    </w:rPr>
                    <w:t>强化污染源自动监控能力</w:t>
                  </w:r>
                </w:p>
              </w:tc>
              <w:tc>
                <w:tcPr>
                  <w:tcW w:w="6318" w:type="dxa"/>
                  <w:vAlign w:val="center"/>
                </w:tcPr>
                <w:p>
                  <w:pPr>
                    <w:autoSpaceDE w:val="0"/>
                    <w:autoSpaceDN w:val="0"/>
                    <w:adjustRightInd w:val="0"/>
                    <w:snapToGrid w:val="0"/>
                    <w:spacing w:line="240" w:lineRule="exact"/>
                    <w:jc w:val="left"/>
                    <w:rPr>
                      <w:rFonts w:hint="default" w:ascii="Times New Roman" w:hAnsi="Times New Roman" w:cs="Times New Roman"/>
                      <w:sz w:val="21"/>
                      <w:szCs w:val="21"/>
                    </w:rPr>
                  </w:pPr>
                  <w:r>
                    <w:rPr>
                      <w:rFonts w:hint="default" w:ascii="Times New Roman" w:hAnsi="Times New Roman" w:eastAsia="TimesNewRomanPSMT" w:cs="Times New Roman"/>
                      <w:kern w:val="0"/>
                      <w:sz w:val="21"/>
                      <w:szCs w:val="21"/>
                    </w:rPr>
                    <w:t>2018</w:t>
                  </w:r>
                  <w:r>
                    <w:rPr>
                      <w:rFonts w:hint="default" w:ascii="Times New Roman" w:hAnsi="Times New Roman" w:cs="Times New Roman"/>
                      <w:kern w:val="0"/>
                      <w:sz w:val="21"/>
                      <w:szCs w:val="21"/>
                    </w:rPr>
                    <w:t>年</w:t>
                  </w:r>
                  <w:r>
                    <w:rPr>
                      <w:rFonts w:hint="default" w:ascii="Times New Roman" w:hAnsi="Times New Roman" w:eastAsia="TimesNewRomanPSMT" w:cs="Times New Roman"/>
                      <w:kern w:val="0"/>
                      <w:sz w:val="21"/>
                      <w:szCs w:val="21"/>
                    </w:rPr>
                    <w:t>9</w:t>
                  </w:r>
                  <w:r>
                    <w:rPr>
                      <w:rFonts w:hint="default" w:ascii="Times New Roman" w:hAnsi="Times New Roman" w:cs="Times New Roman"/>
                      <w:kern w:val="0"/>
                      <w:sz w:val="21"/>
                      <w:szCs w:val="21"/>
                    </w:rPr>
                    <w:t>月底前，满足自动监控设施建设标准的涉气企业全部完成自动监控设施建设；</w:t>
                  </w:r>
                  <w:r>
                    <w:rPr>
                      <w:rFonts w:hint="default" w:ascii="Times New Roman" w:hAnsi="Times New Roman" w:eastAsia="TimesNewRomanPSMT" w:cs="Times New Roman"/>
                      <w:kern w:val="0"/>
                      <w:sz w:val="21"/>
                      <w:szCs w:val="21"/>
                    </w:rPr>
                    <w:t>2019</w:t>
                  </w:r>
                  <w:r>
                    <w:rPr>
                      <w:rFonts w:hint="default" w:ascii="Times New Roman" w:hAnsi="Times New Roman" w:cs="Times New Roman"/>
                      <w:kern w:val="0"/>
                      <w:sz w:val="21"/>
                      <w:szCs w:val="21"/>
                    </w:rPr>
                    <w:t>年对第二次污染源普查的涉气企业进行全面筛查（含排气口高度超过</w:t>
                  </w:r>
                  <w:r>
                    <w:rPr>
                      <w:rFonts w:hint="default" w:ascii="Times New Roman" w:hAnsi="Times New Roman" w:eastAsia="TimesNewRomanPSMT" w:cs="Times New Roman"/>
                      <w:kern w:val="0"/>
                      <w:sz w:val="21"/>
                      <w:szCs w:val="21"/>
                    </w:rPr>
                    <w:t xml:space="preserve">45 </w:t>
                  </w:r>
                  <w:r>
                    <w:rPr>
                      <w:rFonts w:hint="default" w:ascii="Times New Roman" w:hAnsi="Times New Roman" w:cs="Times New Roman"/>
                      <w:kern w:val="0"/>
                      <w:sz w:val="21"/>
                      <w:szCs w:val="21"/>
                    </w:rPr>
                    <w:t>米的高架源），</w:t>
                  </w:r>
                  <w:r>
                    <w:rPr>
                      <w:rFonts w:hint="default" w:ascii="Times New Roman" w:hAnsi="Times New Roman" w:eastAsia="TimesNewRomanPSMT" w:cs="Times New Roman"/>
                      <w:kern w:val="0"/>
                      <w:sz w:val="21"/>
                      <w:szCs w:val="21"/>
                    </w:rPr>
                    <w:t>2019</w:t>
                  </w:r>
                  <w:r>
                    <w:rPr>
                      <w:rFonts w:hint="default" w:ascii="Times New Roman" w:hAnsi="Times New Roman" w:cs="Times New Roman"/>
                      <w:kern w:val="0"/>
                      <w:sz w:val="21"/>
                      <w:szCs w:val="21"/>
                    </w:rPr>
                    <w:t>年</w:t>
                  </w:r>
                  <w:r>
                    <w:rPr>
                      <w:rFonts w:hint="default" w:ascii="Times New Roman" w:hAnsi="Times New Roman" w:eastAsia="TimesNewRomanPSMT" w:cs="Times New Roman"/>
                      <w:kern w:val="0"/>
                      <w:sz w:val="21"/>
                      <w:szCs w:val="21"/>
                    </w:rPr>
                    <w:t>9</w:t>
                  </w:r>
                  <w:r>
                    <w:rPr>
                      <w:rFonts w:hint="default" w:ascii="Times New Roman" w:hAnsi="Times New Roman" w:cs="Times New Roman"/>
                      <w:kern w:val="0"/>
                      <w:sz w:val="21"/>
                      <w:szCs w:val="21"/>
                    </w:rPr>
                    <w:t>月底前，满足建设标准（含无组织排放治理后，设置集气罩并配备除尘设施的工业企业）的排污单位全部完成自动监控设施建设；</w:t>
                  </w:r>
                  <w:r>
                    <w:rPr>
                      <w:rFonts w:hint="default" w:ascii="Times New Roman" w:hAnsi="Times New Roman" w:eastAsia="TimesNewRomanPSMT" w:cs="Times New Roman"/>
                      <w:kern w:val="0"/>
                      <w:sz w:val="21"/>
                      <w:szCs w:val="21"/>
                    </w:rPr>
                    <w:t>2020</w:t>
                  </w:r>
                  <w:r>
                    <w:rPr>
                      <w:rFonts w:hint="default" w:ascii="Times New Roman" w:hAnsi="Times New Roman" w:cs="Times New Roman"/>
                      <w:kern w:val="0"/>
                      <w:sz w:val="21"/>
                      <w:szCs w:val="21"/>
                    </w:rPr>
                    <w:t>年</w:t>
                  </w:r>
                  <w:r>
                    <w:rPr>
                      <w:rFonts w:hint="default" w:ascii="Times New Roman" w:hAnsi="Times New Roman" w:eastAsia="TimesNewRomanPSMT" w:cs="Times New Roman"/>
                      <w:kern w:val="0"/>
                      <w:sz w:val="21"/>
                      <w:szCs w:val="21"/>
                    </w:rPr>
                    <w:t>9</w:t>
                  </w:r>
                  <w:r>
                    <w:rPr>
                      <w:rFonts w:hint="default" w:ascii="Times New Roman" w:hAnsi="Times New Roman" w:cs="Times New Roman"/>
                      <w:kern w:val="0"/>
                      <w:sz w:val="21"/>
                      <w:szCs w:val="21"/>
                    </w:rPr>
                    <w:t>月底前，实现对满足自动监控设施建设标准的涉气企业自动监控全覆盖。</w:t>
                  </w:r>
                </w:p>
              </w:tc>
            </w:tr>
          </w:tbl>
          <w:p>
            <w:pPr>
              <w:keepNext w:val="0"/>
              <w:pageBreakBefore w:val="0"/>
              <w:widowControl w:val="0"/>
              <w:kinsoku/>
              <w:wordWrap/>
              <w:overflowPunct/>
              <w:topLinePunct w:val="0"/>
              <w:autoSpaceDE/>
              <w:autoSpaceDN/>
              <w:bidi w:val="0"/>
              <w:spacing w:line="440" w:lineRule="exact"/>
              <w:ind w:firstLine="480" w:firstLineChars="200"/>
              <w:textAlignment w:val="auto"/>
              <w:rPr>
                <w:sz w:val="24"/>
              </w:rPr>
            </w:pPr>
            <w:r>
              <w:rPr>
                <w:kern w:val="0"/>
                <w:sz w:val="24"/>
              </w:rPr>
              <w:t>在采取以上措施后，济源市区域环境空气质量会逐步改善。</w:t>
            </w:r>
          </w:p>
          <w:p>
            <w:pPr>
              <w:keepNext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eastAsia="黑体"/>
                <w:b/>
                <w:bCs/>
                <w:sz w:val="24"/>
              </w:rPr>
            </w:pPr>
            <w:r>
              <w:rPr>
                <w:rFonts w:hint="eastAsia" w:eastAsia="黑体"/>
                <w:b/>
                <w:bCs/>
                <w:sz w:val="24"/>
              </w:rPr>
              <w:t>2、</w:t>
            </w:r>
            <w:r>
              <w:rPr>
                <w:rFonts w:eastAsia="黑体"/>
                <w:b/>
                <w:bCs/>
                <w:sz w:val="24"/>
              </w:rPr>
              <w:t>环境噪声质量现状：</w:t>
            </w:r>
          </w:p>
          <w:p>
            <w:pPr>
              <w:keepNext w:val="0"/>
              <w:keepLines/>
              <w:pageBreakBefore w:val="0"/>
              <w:widowControl w:val="0"/>
              <w:kinsoku/>
              <w:wordWrap/>
              <w:overflowPunct/>
              <w:topLinePunct w:val="0"/>
              <w:autoSpaceDE/>
              <w:autoSpaceDN/>
              <w:bidi w:val="0"/>
              <w:adjustRightInd/>
              <w:snapToGrid/>
              <w:spacing w:line="440" w:lineRule="exact"/>
              <w:ind w:firstLine="480" w:firstLineChars="200"/>
              <w:textAlignment w:val="auto"/>
              <w:rPr>
                <w:sz w:val="24"/>
              </w:rPr>
            </w:pPr>
            <w:r>
              <w:rPr>
                <w:sz w:val="24"/>
              </w:rPr>
              <w:t>河南</w:t>
            </w:r>
            <w:r>
              <w:rPr>
                <w:rFonts w:hint="eastAsia"/>
                <w:sz w:val="24"/>
                <w:lang w:eastAsia="zh-CN"/>
              </w:rPr>
              <w:t>省科龙环境工程</w:t>
            </w:r>
            <w:r>
              <w:rPr>
                <w:sz w:val="24"/>
              </w:rPr>
              <w:t>限公司于</w:t>
            </w:r>
            <w:r>
              <w:rPr>
                <w:rFonts w:hint="eastAsia"/>
                <w:sz w:val="24"/>
                <w:highlight w:val="none"/>
              </w:rPr>
              <w:t>20</w:t>
            </w:r>
            <w:r>
              <w:rPr>
                <w:rFonts w:hint="eastAsia"/>
                <w:sz w:val="24"/>
                <w:highlight w:val="none"/>
                <w:lang w:val="en-US" w:eastAsia="zh-CN"/>
              </w:rPr>
              <w:t>20</w:t>
            </w:r>
            <w:r>
              <w:rPr>
                <w:sz w:val="24"/>
                <w:highlight w:val="none"/>
              </w:rPr>
              <w:t>年</w:t>
            </w:r>
            <w:r>
              <w:rPr>
                <w:rFonts w:hint="eastAsia"/>
                <w:sz w:val="24"/>
                <w:highlight w:val="none"/>
                <w:lang w:val="en-US" w:eastAsia="zh-CN"/>
              </w:rPr>
              <w:t>4</w:t>
            </w:r>
            <w:r>
              <w:rPr>
                <w:sz w:val="24"/>
                <w:highlight w:val="none"/>
              </w:rPr>
              <w:t>月</w:t>
            </w:r>
            <w:r>
              <w:rPr>
                <w:rFonts w:hint="eastAsia"/>
                <w:sz w:val="24"/>
                <w:highlight w:val="none"/>
                <w:lang w:val="en-US" w:eastAsia="zh-CN"/>
              </w:rPr>
              <w:t>2</w:t>
            </w:r>
            <w:r>
              <w:rPr>
                <w:sz w:val="24"/>
                <w:highlight w:val="none"/>
              </w:rPr>
              <w:t>日</w:t>
            </w:r>
            <w:r>
              <w:rPr>
                <w:rFonts w:hint="eastAsia"/>
                <w:sz w:val="24"/>
                <w:highlight w:val="none"/>
                <w:lang w:eastAsia="zh-CN"/>
              </w:rPr>
              <w:t>至</w:t>
            </w:r>
            <w:r>
              <w:rPr>
                <w:rFonts w:hint="eastAsia"/>
                <w:sz w:val="24"/>
                <w:highlight w:val="none"/>
                <w:lang w:val="en-US" w:eastAsia="zh-CN"/>
              </w:rPr>
              <w:t>3日</w:t>
            </w:r>
            <w:r>
              <w:rPr>
                <w:sz w:val="24"/>
              </w:rPr>
              <w:t>对</w:t>
            </w:r>
            <w:r>
              <w:rPr>
                <w:rFonts w:hint="eastAsia"/>
                <w:sz w:val="24"/>
                <w:lang w:eastAsia="zh-CN"/>
              </w:rPr>
              <w:t>企业四周厂界、涧南庄村及南侧住户噪声</w:t>
            </w:r>
            <w:r>
              <w:rPr>
                <w:sz w:val="24"/>
              </w:rPr>
              <w:t>进行</w:t>
            </w:r>
            <w:r>
              <w:rPr>
                <w:rFonts w:hint="eastAsia"/>
                <w:sz w:val="24"/>
                <w:lang w:eastAsia="zh-CN"/>
              </w:rPr>
              <w:t>了现场</w:t>
            </w:r>
            <w:r>
              <w:rPr>
                <w:sz w:val="24"/>
              </w:rPr>
              <w:t>监测，</w:t>
            </w:r>
            <w:r>
              <w:rPr>
                <w:rFonts w:hint="eastAsia"/>
                <w:sz w:val="24"/>
              </w:rPr>
              <w:t>监测期间现有工程正常生产，生产负荷为</w:t>
            </w:r>
            <w:r>
              <w:rPr>
                <w:rFonts w:hint="eastAsia"/>
                <w:sz w:val="24"/>
                <w:lang w:val="en-US" w:eastAsia="zh-CN"/>
              </w:rPr>
              <w:t>90</w:t>
            </w:r>
            <w:r>
              <w:rPr>
                <w:rFonts w:hint="eastAsia"/>
                <w:sz w:val="24"/>
              </w:rPr>
              <w:t>%，</w:t>
            </w:r>
            <w:r>
              <w:rPr>
                <w:sz w:val="24"/>
              </w:rPr>
              <w:t>监测结果如下：</w:t>
            </w:r>
          </w:p>
          <w:p>
            <w:pPr>
              <w:tabs>
                <w:tab w:val="left" w:pos="993"/>
              </w:tabs>
              <w:spacing w:line="240" w:lineRule="auto"/>
              <w:jc w:val="center"/>
              <w:rPr>
                <w:rFonts w:ascii="黑体" w:hAnsi="黑体" w:eastAsia="黑体" w:cs="黑体"/>
                <w:bCs/>
                <w:sz w:val="24"/>
              </w:rPr>
            </w:pPr>
            <w:r>
              <w:rPr>
                <w:rFonts w:hint="eastAsia"/>
                <w:b/>
                <w:sz w:val="24"/>
              </w:rPr>
              <w:t xml:space="preserve">                    </w:t>
            </w:r>
            <w:r>
              <w:rPr>
                <w:rFonts w:hint="eastAsia" w:ascii="黑体" w:hAnsi="黑体" w:eastAsia="黑体" w:cs="黑体"/>
                <w:bCs/>
                <w:sz w:val="24"/>
              </w:rPr>
              <w:t xml:space="preserve"> 噪声检测结果         单位:Leq [dB(A)]</w:t>
            </w:r>
          </w:p>
          <w:tbl>
            <w:tblPr>
              <w:tblStyle w:val="12"/>
              <w:tblW w:w="8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5"/>
              <w:gridCol w:w="1739"/>
              <w:gridCol w:w="1818"/>
              <w:gridCol w:w="2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5"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jc w:val="center"/>
                    <w:rPr>
                      <w:szCs w:val="21"/>
                    </w:rPr>
                  </w:pPr>
                  <w:r>
                    <w:rPr>
                      <w:szCs w:val="21"/>
                    </w:rPr>
                    <w:t>监测点位</w:t>
                  </w:r>
                </w:p>
              </w:tc>
              <w:tc>
                <w:tcPr>
                  <w:tcW w:w="1739"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jc w:val="center"/>
                    <w:rPr>
                      <w:szCs w:val="21"/>
                    </w:rPr>
                  </w:pPr>
                  <w:r>
                    <w:rPr>
                      <w:szCs w:val="21"/>
                    </w:rPr>
                    <w:t>测量时间</w:t>
                  </w:r>
                </w:p>
              </w:tc>
              <w:tc>
                <w:tcPr>
                  <w:tcW w:w="4128"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jc w:val="center"/>
                    <w:rPr>
                      <w:szCs w:val="21"/>
                    </w:rPr>
                  </w:pPr>
                  <w:r>
                    <w:rPr>
                      <w:szCs w:val="21"/>
                    </w:rPr>
                    <w:t>结    果    值    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5" w:type="dxa"/>
                  <w:vMerge w:val="continue"/>
                  <w:vAlign w:val="center"/>
                </w:tcPr>
                <w:p>
                  <w:pPr>
                    <w:keepNext w:val="0"/>
                    <w:keepLines w:val="0"/>
                    <w:pageBreakBefore w:val="0"/>
                    <w:kinsoku/>
                    <w:wordWrap/>
                    <w:overflowPunct/>
                    <w:topLinePunct w:val="0"/>
                    <w:autoSpaceDE/>
                    <w:autoSpaceDN/>
                    <w:bidi w:val="0"/>
                    <w:adjustRightInd/>
                    <w:snapToGrid/>
                    <w:spacing w:before="160" w:line="240" w:lineRule="exact"/>
                    <w:jc w:val="center"/>
                    <w:rPr>
                      <w:bCs/>
                      <w:szCs w:val="21"/>
                    </w:rPr>
                  </w:pPr>
                </w:p>
              </w:tc>
              <w:tc>
                <w:tcPr>
                  <w:tcW w:w="1739" w:type="dxa"/>
                  <w:vMerge w:val="continue"/>
                  <w:vAlign w:val="center"/>
                </w:tcPr>
                <w:p>
                  <w:pPr>
                    <w:keepNext w:val="0"/>
                    <w:keepLines w:val="0"/>
                    <w:pageBreakBefore w:val="0"/>
                    <w:kinsoku/>
                    <w:wordWrap/>
                    <w:overflowPunct/>
                    <w:topLinePunct w:val="0"/>
                    <w:autoSpaceDE/>
                    <w:autoSpaceDN/>
                    <w:bidi w:val="0"/>
                    <w:adjustRightInd/>
                    <w:snapToGrid/>
                    <w:spacing w:before="160" w:line="240" w:lineRule="exact"/>
                    <w:jc w:val="center"/>
                    <w:rPr>
                      <w:bCs/>
                      <w:szCs w:val="21"/>
                    </w:rPr>
                  </w:pPr>
                </w:p>
              </w:tc>
              <w:tc>
                <w:tcPr>
                  <w:tcW w:w="181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rPr>
                      <w:szCs w:val="21"/>
                    </w:rPr>
                  </w:pPr>
                  <w:r>
                    <w:rPr>
                      <w:szCs w:val="21"/>
                    </w:rPr>
                    <w:t>昼间</w:t>
                  </w:r>
                </w:p>
              </w:tc>
              <w:tc>
                <w:tcPr>
                  <w:tcW w:w="2310"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rPr>
                      <w:szCs w:val="21"/>
                    </w:rPr>
                  </w:pPr>
                  <w:r>
                    <w:rPr>
                      <w:szCs w:val="21"/>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5"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eastAsia="宋体"/>
                      <w:szCs w:val="21"/>
                      <w:lang w:eastAsia="zh-CN"/>
                    </w:rPr>
                  </w:pPr>
                  <w:r>
                    <w:rPr>
                      <w:rFonts w:hint="eastAsia"/>
                      <w:szCs w:val="21"/>
                      <w:lang w:eastAsia="zh-CN"/>
                    </w:rPr>
                    <w:t>东厂界</w:t>
                  </w:r>
                </w:p>
              </w:tc>
              <w:tc>
                <w:tcPr>
                  <w:tcW w:w="1739"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eastAsia="宋体"/>
                      <w:szCs w:val="21"/>
                      <w:highlight w:val="none"/>
                      <w:lang w:val="en-US" w:eastAsia="zh-CN"/>
                    </w:rPr>
                  </w:pPr>
                  <w:r>
                    <w:rPr>
                      <w:rFonts w:hint="eastAsia"/>
                      <w:szCs w:val="21"/>
                      <w:highlight w:val="none"/>
                      <w:lang w:val="en-US" w:eastAsia="zh-CN"/>
                    </w:rPr>
                    <w:t>2020.4.2</w:t>
                  </w:r>
                </w:p>
              </w:tc>
              <w:tc>
                <w:tcPr>
                  <w:tcW w:w="181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51.9</w:t>
                  </w:r>
                </w:p>
              </w:tc>
              <w:tc>
                <w:tcPr>
                  <w:tcW w:w="2310"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41.5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5"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center"/>
                    <w:rPr>
                      <w:szCs w:val="21"/>
                    </w:rPr>
                  </w:pPr>
                </w:p>
              </w:tc>
              <w:tc>
                <w:tcPr>
                  <w:tcW w:w="1739"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eastAsia="宋体"/>
                      <w:szCs w:val="21"/>
                      <w:lang w:val="en-US" w:eastAsia="zh-CN"/>
                    </w:rPr>
                  </w:pPr>
                  <w:r>
                    <w:rPr>
                      <w:rFonts w:hint="eastAsia"/>
                      <w:szCs w:val="21"/>
                      <w:lang w:val="en-US" w:eastAsia="zh-CN"/>
                    </w:rPr>
                    <w:t>2020.4.3</w:t>
                  </w:r>
                </w:p>
              </w:tc>
              <w:tc>
                <w:tcPr>
                  <w:tcW w:w="181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51.6</w:t>
                  </w:r>
                </w:p>
              </w:tc>
              <w:tc>
                <w:tcPr>
                  <w:tcW w:w="2310"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41.6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5"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eastAsia="宋体"/>
                      <w:szCs w:val="21"/>
                      <w:lang w:eastAsia="zh-CN"/>
                    </w:rPr>
                  </w:pPr>
                  <w:r>
                    <w:rPr>
                      <w:rFonts w:hint="eastAsia"/>
                      <w:szCs w:val="21"/>
                      <w:lang w:eastAsia="zh-CN"/>
                    </w:rPr>
                    <w:t>南厂界</w:t>
                  </w:r>
                </w:p>
              </w:tc>
              <w:tc>
                <w:tcPr>
                  <w:tcW w:w="1739"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eastAsia="宋体"/>
                      <w:szCs w:val="21"/>
                      <w:highlight w:val="none"/>
                      <w:lang w:val="en-US" w:eastAsia="zh-CN"/>
                    </w:rPr>
                  </w:pPr>
                  <w:r>
                    <w:rPr>
                      <w:rFonts w:hint="eastAsia"/>
                      <w:szCs w:val="21"/>
                      <w:highlight w:val="none"/>
                      <w:lang w:val="en-US" w:eastAsia="zh-CN"/>
                    </w:rPr>
                    <w:t>2020.4.2</w:t>
                  </w:r>
                </w:p>
              </w:tc>
              <w:tc>
                <w:tcPr>
                  <w:tcW w:w="181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53.6</w:t>
                  </w:r>
                </w:p>
              </w:tc>
              <w:tc>
                <w:tcPr>
                  <w:tcW w:w="2310"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43.3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5"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center"/>
                    <w:rPr>
                      <w:szCs w:val="21"/>
                    </w:rPr>
                  </w:pPr>
                </w:p>
              </w:tc>
              <w:tc>
                <w:tcPr>
                  <w:tcW w:w="1739"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eastAsia="宋体"/>
                      <w:szCs w:val="21"/>
                      <w:highlight w:val="none"/>
                      <w:lang w:val="en-US" w:eastAsia="zh-CN"/>
                    </w:rPr>
                  </w:pPr>
                  <w:r>
                    <w:rPr>
                      <w:rFonts w:hint="eastAsia"/>
                      <w:szCs w:val="21"/>
                      <w:lang w:val="en-US" w:eastAsia="zh-CN"/>
                    </w:rPr>
                    <w:t>2020.4.3</w:t>
                  </w:r>
                </w:p>
              </w:tc>
              <w:tc>
                <w:tcPr>
                  <w:tcW w:w="181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53.9</w:t>
                  </w:r>
                </w:p>
              </w:tc>
              <w:tc>
                <w:tcPr>
                  <w:tcW w:w="2310"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43.8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5"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eastAsia="宋体"/>
                      <w:szCs w:val="21"/>
                      <w:lang w:eastAsia="zh-CN"/>
                    </w:rPr>
                  </w:pPr>
                  <w:r>
                    <w:rPr>
                      <w:rFonts w:hint="eastAsia"/>
                      <w:szCs w:val="21"/>
                      <w:lang w:eastAsia="zh-CN"/>
                    </w:rPr>
                    <w:t>西厂界</w:t>
                  </w:r>
                </w:p>
              </w:tc>
              <w:tc>
                <w:tcPr>
                  <w:tcW w:w="1739"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eastAsia="宋体"/>
                      <w:szCs w:val="21"/>
                      <w:highlight w:val="none"/>
                      <w:lang w:val="en-US" w:eastAsia="zh-CN"/>
                    </w:rPr>
                  </w:pPr>
                  <w:r>
                    <w:rPr>
                      <w:rFonts w:hint="eastAsia"/>
                      <w:szCs w:val="21"/>
                      <w:highlight w:val="none"/>
                      <w:lang w:val="en-US" w:eastAsia="zh-CN"/>
                    </w:rPr>
                    <w:t>2020.4.2</w:t>
                  </w:r>
                </w:p>
              </w:tc>
              <w:tc>
                <w:tcPr>
                  <w:tcW w:w="181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52.4</w:t>
                  </w:r>
                </w:p>
              </w:tc>
              <w:tc>
                <w:tcPr>
                  <w:tcW w:w="2310"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41.8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5"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center"/>
                    <w:rPr>
                      <w:szCs w:val="21"/>
                    </w:rPr>
                  </w:pPr>
                </w:p>
              </w:tc>
              <w:tc>
                <w:tcPr>
                  <w:tcW w:w="1739"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eastAsia="宋体"/>
                      <w:szCs w:val="21"/>
                      <w:highlight w:val="none"/>
                      <w:lang w:val="en-US" w:eastAsia="zh-CN"/>
                    </w:rPr>
                  </w:pPr>
                  <w:r>
                    <w:rPr>
                      <w:rFonts w:hint="eastAsia"/>
                      <w:szCs w:val="21"/>
                      <w:lang w:val="en-US" w:eastAsia="zh-CN"/>
                    </w:rPr>
                    <w:t>2020.4.3</w:t>
                  </w:r>
                </w:p>
              </w:tc>
              <w:tc>
                <w:tcPr>
                  <w:tcW w:w="181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52.1</w:t>
                  </w:r>
                </w:p>
              </w:tc>
              <w:tc>
                <w:tcPr>
                  <w:tcW w:w="2310"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42.5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5"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eastAsia="宋体"/>
                      <w:szCs w:val="21"/>
                      <w:lang w:eastAsia="zh-CN"/>
                    </w:rPr>
                  </w:pPr>
                  <w:r>
                    <w:rPr>
                      <w:rFonts w:hint="eastAsia"/>
                      <w:szCs w:val="21"/>
                      <w:lang w:eastAsia="zh-CN"/>
                    </w:rPr>
                    <w:t>北厂界</w:t>
                  </w:r>
                </w:p>
              </w:tc>
              <w:tc>
                <w:tcPr>
                  <w:tcW w:w="1739"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eastAsia="宋体"/>
                      <w:szCs w:val="21"/>
                      <w:highlight w:val="none"/>
                      <w:lang w:val="en-US" w:eastAsia="zh-CN"/>
                    </w:rPr>
                  </w:pPr>
                  <w:r>
                    <w:rPr>
                      <w:rFonts w:hint="eastAsia"/>
                      <w:szCs w:val="21"/>
                      <w:highlight w:val="none"/>
                      <w:lang w:val="en-US" w:eastAsia="zh-CN"/>
                    </w:rPr>
                    <w:t>2020.4.2</w:t>
                  </w:r>
                </w:p>
              </w:tc>
              <w:tc>
                <w:tcPr>
                  <w:tcW w:w="181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52.7</w:t>
                  </w:r>
                </w:p>
              </w:tc>
              <w:tc>
                <w:tcPr>
                  <w:tcW w:w="2310"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42.9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5"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center"/>
                    <w:rPr>
                      <w:szCs w:val="21"/>
                    </w:rPr>
                  </w:pPr>
                </w:p>
              </w:tc>
              <w:tc>
                <w:tcPr>
                  <w:tcW w:w="1739"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eastAsia="宋体"/>
                      <w:szCs w:val="21"/>
                      <w:highlight w:val="none"/>
                      <w:lang w:val="en-US" w:eastAsia="zh-CN"/>
                    </w:rPr>
                  </w:pPr>
                  <w:r>
                    <w:rPr>
                      <w:rFonts w:hint="eastAsia"/>
                      <w:szCs w:val="21"/>
                      <w:lang w:val="en-US" w:eastAsia="zh-CN"/>
                    </w:rPr>
                    <w:t>2020.4.3</w:t>
                  </w:r>
                </w:p>
              </w:tc>
              <w:tc>
                <w:tcPr>
                  <w:tcW w:w="181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52.5</w:t>
                  </w:r>
                </w:p>
              </w:tc>
              <w:tc>
                <w:tcPr>
                  <w:tcW w:w="2310"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42.8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5"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eastAsia="宋体"/>
                      <w:szCs w:val="21"/>
                      <w:lang w:eastAsia="zh-CN"/>
                    </w:rPr>
                  </w:pPr>
                  <w:r>
                    <w:rPr>
                      <w:rFonts w:hint="eastAsia"/>
                      <w:szCs w:val="21"/>
                      <w:lang w:eastAsia="zh-CN"/>
                    </w:rPr>
                    <w:t>涧南庄村</w:t>
                  </w:r>
                </w:p>
              </w:tc>
              <w:tc>
                <w:tcPr>
                  <w:tcW w:w="1739"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szCs w:val="21"/>
                      <w:lang w:val="en-US" w:eastAsia="zh-CN"/>
                    </w:rPr>
                  </w:pPr>
                  <w:r>
                    <w:rPr>
                      <w:rFonts w:hint="eastAsia"/>
                      <w:szCs w:val="21"/>
                      <w:highlight w:val="none"/>
                      <w:lang w:val="en-US" w:eastAsia="zh-CN"/>
                    </w:rPr>
                    <w:t>2020.4.2</w:t>
                  </w:r>
                </w:p>
              </w:tc>
              <w:tc>
                <w:tcPr>
                  <w:tcW w:w="181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50.1</w:t>
                  </w:r>
                </w:p>
              </w:tc>
              <w:tc>
                <w:tcPr>
                  <w:tcW w:w="2310"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39.3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5"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center"/>
                    <w:rPr>
                      <w:szCs w:val="21"/>
                    </w:rPr>
                  </w:pPr>
                </w:p>
              </w:tc>
              <w:tc>
                <w:tcPr>
                  <w:tcW w:w="1739"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szCs w:val="21"/>
                      <w:lang w:val="en-US" w:eastAsia="zh-CN"/>
                    </w:rPr>
                  </w:pPr>
                  <w:r>
                    <w:rPr>
                      <w:rFonts w:hint="eastAsia"/>
                      <w:szCs w:val="21"/>
                      <w:lang w:val="en-US" w:eastAsia="zh-CN"/>
                    </w:rPr>
                    <w:t>2020.4.3</w:t>
                  </w:r>
                </w:p>
              </w:tc>
              <w:tc>
                <w:tcPr>
                  <w:tcW w:w="181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49.8</w:t>
                  </w:r>
                </w:p>
              </w:tc>
              <w:tc>
                <w:tcPr>
                  <w:tcW w:w="2310"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40.1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5"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eastAsia="宋体"/>
                      <w:szCs w:val="21"/>
                      <w:lang w:eastAsia="zh-CN"/>
                    </w:rPr>
                  </w:pPr>
                  <w:r>
                    <w:rPr>
                      <w:rFonts w:hint="eastAsia"/>
                      <w:szCs w:val="21"/>
                      <w:lang w:eastAsia="zh-CN"/>
                    </w:rPr>
                    <w:t>南侧住户</w:t>
                  </w:r>
                </w:p>
              </w:tc>
              <w:tc>
                <w:tcPr>
                  <w:tcW w:w="1739"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szCs w:val="21"/>
                      <w:lang w:val="en-US" w:eastAsia="zh-CN"/>
                    </w:rPr>
                  </w:pPr>
                  <w:r>
                    <w:rPr>
                      <w:rFonts w:hint="eastAsia"/>
                      <w:szCs w:val="21"/>
                      <w:highlight w:val="none"/>
                      <w:lang w:val="en-US" w:eastAsia="zh-CN"/>
                    </w:rPr>
                    <w:t>2020.4.2</w:t>
                  </w:r>
                </w:p>
              </w:tc>
              <w:tc>
                <w:tcPr>
                  <w:tcW w:w="181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51.1</w:t>
                  </w:r>
                </w:p>
              </w:tc>
              <w:tc>
                <w:tcPr>
                  <w:tcW w:w="2310"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40.6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5"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center"/>
                    <w:rPr>
                      <w:szCs w:val="21"/>
                    </w:rPr>
                  </w:pPr>
                </w:p>
              </w:tc>
              <w:tc>
                <w:tcPr>
                  <w:tcW w:w="1739"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szCs w:val="21"/>
                      <w:lang w:val="en-US" w:eastAsia="zh-CN"/>
                    </w:rPr>
                  </w:pPr>
                  <w:r>
                    <w:rPr>
                      <w:rFonts w:hint="eastAsia"/>
                      <w:szCs w:val="21"/>
                      <w:lang w:val="en-US" w:eastAsia="zh-CN"/>
                    </w:rPr>
                    <w:t>2020.4.3</w:t>
                  </w:r>
                </w:p>
              </w:tc>
              <w:tc>
                <w:tcPr>
                  <w:tcW w:w="181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50.3</w:t>
                  </w:r>
                </w:p>
              </w:tc>
              <w:tc>
                <w:tcPr>
                  <w:tcW w:w="2310"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szCs w:val="21"/>
                      <w:highlight w:val="none"/>
                      <w:lang w:val="en-US" w:eastAsia="zh-CN"/>
                    </w:rPr>
                  </w:pPr>
                  <w:r>
                    <w:rPr>
                      <w:rFonts w:hint="eastAsia"/>
                      <w:szCs w:val="21"/>
                      <w:highlight w:val="none"/>
                      <w:lang w:val="en-US" w:eastAsia="zh-CN"/>
                    </w:rPr>
                    <w:t>41.3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04"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szCs w:val="21"/>
                      <w:highlight w:val="yellow"/>
                    </w:rPr>
                  </w:pPr>
                  <w:r>
                    <w:rPr>
                      <w:rFonts w:hint="eastAsia"/>
                      <w:szCs w:val="21"/>
                    </w:rPr>
                    <w:t>《声环境质量标准》（GB</w:t>
                  </w:r>
                  <w:r>
                    <w:rPr>
                      <w:szCs w:val="21"/>
                    </w:rPr>
                    <w:softHyphen/>
                  </w:r>
                  <w:r>
                    <w:rPr>
                      <w:rFonts w:hint="eastAsia"/>
                      <w:szCs w:val="21"/>
                    </w:rPr>
                    <w:t>3096—2008）</w:t>
                  </w:r>
                  <w:r>
                    <w:rPr>
                      <w:rFonts w:hint="eastAsia"/>
                      <w:szCs w:val="21"/>
                      <w:lang w:val="en-US" w:eastAsia="zh-CN"/>
                    </w:rPr>
                    <w:t>1</w:t>
                  </w:r>
                  <w:r>
                    <w:rPr>
                      <w:rFonts w:hint="eastAsia"/>
                      <w:szCs w:val="21"/>
                    </w:rPr>
                    <w:t>类</w:t>
                  </w:r>
                </w:p>
              </w:tc>
              <w:tc>
                <w:tcPr>
                  <w:tcW w:w="181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eastAsia="宋体"/>
                      <w:szCs w:val="21"/>
                      <w:lang w:val="en-US" w:eastAsia="zh-CN"/>
                    </w:rPr>
                  </w:pPr>
                  <w:r>
                    <w:rPr>
                      <w:rFonts w:hint="eastAsia"/>
                      <w:szCs w:val="21"/>
                      <w:lang w:val="en-US" w:eastAsia="zh-CN"/>
                    </w:rPr>
                    <w:t>55</w:t>
                  </w:r>
                </w:p>
              </w:tc>
              <w:tc>
                <w:tcPr>
                  <w:tcW w:w="2310"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eastAsia="宋体"/>
                      <w:szCs w:val="21"/>
                      <w:lang w:val="en-US" w:eastAsia="zh-CN"/>
                    </w:rPr>
                  </w:pPr>
                  <w:r>
                    <w:rPr>
                      <w:rFonts w:hint="eastAsia"/>
                      <w:szCs w:val="21"/>
                      <w:lang w:val="en-US" w:eastAsia="zh-CN"/>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04"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szCs w:val="21"/>
                    </w:rPr>
                  </w:pPr>
                  <w:r>
                    <w:rPr>
                      <w:kern w:val="0"/>
                      <w:szCs w:val="21"/>
                    </w:rPr>
                    <w:t>达标情况</w:t>
                  </w:r>
                </w:p>
              </w:tc>
              <w:tc>
                <w:tcPr>
                  <w:tcW w:w="181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rPr>
                      <w:szCs w:val="21"/>
                    </w:rPr>
                  </w:pPr>
                  <w:r>
                    <w:rPr>
                      <w:kern w:val="0"/>
                      <w:szCs w:val="21"/>
                    </w:rPr>
                    <w:t>达标</w:t>
                  </w:r>
                </w:p>
              </w:tc>
              <w:tc>
                <w:tcPr>
                  <w:tcW w:w="2310"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rPr>
                      <w:szCs w:val="21"/>
                    </w:rPr>
                  </w:pPr>
                  <w:r>
                    <w:rPr>
                      <w:kern w:val="0"/>
                      <w:szCs w:val="21"/>
                    </w:rPr>
                    <w:t>达标</w:t>
                  </w:r>
                </w:p>
              </w:tc>
            </w:tr>
          </w:tbl>
          <w:p>
            <w:pPr>
              <w:keepNext w:val="0"/>
              <w:keepLines w:val="0"/>
              <w:pageBreakBefore w:val="0"/>
              <w:widowControl w:val="0"/>
              <w:kinsoku/>
              <w:wordWrap/>
              <w:overflowPunct/>
              <w:topLinePunct w:val="0"/>
              <w:autoSpaceDE/>
              <w:autoSpaceDN/>
              <w:bidi w:val="0"/>
              <w:adjustRightInd w:val="0"/>
              <w:snapToGrid w:val="0"/>
              <w:spacing w:line="440" w:lineRule="exact"/>
              <w:ind w:firstLine="588" w:firstLineChars="245"/>
              <w:textAlignment w:val="auto"/>
              <w:rPr>
                <w:sz w:val="24"/>
              </w:rPr>
            </w:pPr>
            <w:r>
              <w:rPr>
                <w:rFonts w:hint="eastAsia"/>
                <w:sz w:val="24"/>
              </w:rPr>
              <w:t>由以上监测结果可知，项目</w:t>
            </w:r>
            <w:r>
              <w:rPr>
                <w:rFonts w:hint="eastAsia"/>
                <w:sz w:val="24"/>
                <w:lang w:eastAsia="zh-CN"/>
              </w:rPr>
              <w:t>四周</w:t>
            </w:r>
            <w:r>
              <w:rPr>
                <w:rFonts w:hint="eastAsia"/>
                <w:sz w:val="24"/>
              </w:rPr>
              <w:t>厂界</w:t>
            </w:r>
            <w:r>
              <w:rPr>
                <w:rFonts w:hint="eastAsia"/>
                <w:sz w:val="24"/>
                <w:lang w:eastAsia="zh-CN"/>
              </w:rPr>
              <w:t>、涧南庄村及南侧住户</w:t>
            </w:r>
            <w:r>
              <w:rPr>
                <w:rFonts w:hint="eastAsia"/>
                <w:sz w:val="24"/>
              </w:rPr>
              <w:t>噪声现状值均满足《声环境质量标准》（GB</w:t>
            </w:r>
            <w:r>
              <w:rPr>
                <w:sz w:val="24"/>
              </w:rPr>
              <w:softHyphen/>
            </w:r>
            <w:r>
              <w:rPr>
                <w:rFonts w:hint="eastAsia"/>
                <w:sz w:val="24"/>
              </w:rPr>
              <w:t>3096—2008）</w:t>
            </w:r>
            <w:r>
              <w:rPr>
                <w:rFonts w:hint="eastAsia"/>
                <w:sz w:val="24"/>
                <w:lang w:val="en-US" w:eastAsia="zh-CN"/>
              </w:rPr>
              <w:t>1</w:t>
            </w:r>
            <w:r>
              <w:rPr>
                <w:rFonts w:hint="eastAsia"/>
                <w:sz w:val="24"/>
              </w:rPr>
              <w:t>类区标准要求，声环境质量现状良好。</w:t>
            </w:r>
          </w:p>
          <w:p>
            <w:pPr>
              <w:keepNext w:val="0"/>
              <w:keepLines/>
              <w:pageBreakBefore w:val="0"/>
              <w:widowControl w:val="0"/>
              <w:kinsoku/>
              <w:wordWrap/>
              <w:overflowPunct/>
              <w:topLinePunct w:val="0"/>
              <w:autoSpaceDE/>
              <w:autoSpaceDN/>
              <w:bidi w:val="0"/>
              <w:spacing w:line="440" w:lineRule="exact"/>
              <w:ind w:firstLine="482" w:firstLineChars="200"/>
              <w:textAlignment w:val="auto"/>
              <w:rPr>
                <w:rFonts w:eastAsia="黑体"/>
                <w:b/>
                <w:bCs/>
                <w:sz w:val="24"/>
              </w:rPr>
            </w:pPr>
            <w:r>
              <w:rPr>
                <w:rFonts w:eastAsia="黑体"/>
                <w:b/>
                <w:bCs/>
                <w:sz w:val="24"/>
              </w:rPr>
              <w:t>3、地表水环境</w:t>
            </w:r>
          </w:p>
          <w:p>
            <w:pPr>
              <w:keepNext w:val="0"/>
              <w:keepLines/>
              <w:pageBreakBefore w:val="0"/>
              <w:widowControl w:val="0"/>
              <w:kinsoku/>
              <w:wordWrap/>
              <w:overflowPunct/>
              <w:topLinePunct w:val="0"/>
              <w:autoSpaceDE/>
              <w:autoSpaceDN/>
              <w:bidi w:val="0"/>
              <w:adjustRightInd/>
              <w:snapToGrid/>
              <w:spacing w:line="440" w:lineRule="exact"/>
              <w:ind w:firstLine="480" w:firstLineChars="200"/>
              <w:textAlignment w:val="auto"/>
              <w:rPr>
                <w:bCs/>
                <w:sz w:val="24"/>
              </w:rPr>
            </w:pPr>
            <w:r>
              <w:rPr>
                <w:rFonts w:hint="eastAsia"/>
                <w:bCs/>
                <w:sz w:val="24"/>
              </w:rPr>
              <w:t>项目所在地表水域为蟒河流域，</w:t>
            </w:r>
            <w:r>
              <w:rPr>
                <w:bCs/>
                <w:sz w:val="24"/>
              </w:rPr>
              <w:t>本次地表水现状调查断面为</w:t>
            </w:r>
            <w:r>
              <w:rPr>
                <w:rFonts w:hint="eastAsia"/>
                <w:bCs/>
                <w:sz w:val="24"/>
              </w:rPr>
              <w:t>蟒河南官庄断面</w:t>
            </w:r>
            <w:r>
              <w:rPr>
                <w:bCs/>
                <w:sz w:val="24"/>
              </w:rPr>
              <w:t>，参考济源市环保局公布的</w:t>
            </w:r>
            <w:r>
              <w:rPr>
                <w:rFonts w:hint="eastAsia"/>
                <w:bCs/>
                <w:sz w:val="24"/>
              </w:rPr>
              <w:t>《济源市环境质量月报》</w:t>
            </w:r>
            <w:r>
              <w:rPr>
                <w:bCs/>
                <w:sz w:val="24"/>
              </w:rPr>
              <w:t>201</w:t>
            </w:r>
            <w:r>
              <w:rPr>
                <w:rFonts w:hint="eastAsia"/>
                <w:bCs/>
                <w:sz w:val="24"/>
              </w:rPr>
              <w:t>8</w:t>
            </w:r>
            <w:r>
              <w:rPr>
                <w:bCs/>
                <w:sz w:val="24"/>
              </w:rPr>
              <w:t>年</w:t>
            </w:r>
            <w:r>
              <w:rPr>
                <w:rFonts w:hint="eastAsia"/>
                <w:bCs/>
                <w:sz w:val="24"/>
              </w:rPr>
              <w:t>1月-12月份</w:t>
            </w:r>
            <w:r>
              <w:rPr>
                <w:bCs/>
                <w:sz w:val="24"/>
              </w:rPr>
              <w:t>中</w:t>
            </w:r>
            <w:r>
              <w:rPr>
                <w:rFonts w:hint="eastAsia"/>
                <w:bCs/>
                <w:sz w:val="24"/>
              </w:rPr>
              <w:t>蟒河南官庄</w:t>
            </w:r>
            <w:r>
              <w:rPr>
                <w:bCs/>
                <w:sz w:val="24"/>
              </w:rPr>
              <w:t>断面的监测数据，其监测结果</w:t>
            </w:r>
            <w:r>
              <w:rPr>
                <w:rFonts w:hint="eastAsia"/>
                <w:bCs/>
                <w:sz w:val="24"/>
              </w:rPr>
              <w:t>统计</w:t>
            </w:r>
            <w:r>
              <w:rPr>
                <w:bCs/>
                <w:sz w:val="24"/>
              </w:rPr>
              <w:t>见下表。</w:t>
            </w:r>
          </w:p>
          <w:p>
            <w:pPr>
              <w:keepNext w:val="0"/>
              <w:pageBreakBefore w:val="0"/>
              <w:widowControl w:val="0"/>
              <w:tabs>
                <w:tab w:val="left" w:pos="993"/>
              </w:tabs>
              <w:kinsoku/>
              <w:wordWrap/>
              <w:overflowPunct/>
              <w:topLinePunct w:val="0"/>
              <w:autoSpaceDE/>
              <w:autoSpaceDN/>
              <w:bidi w:val="0"/>
              <w:adjustRightInd/>
              <w:snapToGrid/>
              <w:spacing w:line="240" w:lineRule="auto"/>
              <w:ind w:left="480"/>
              <w:jc w:val="center"/>
              <w:textAlignment w:val="auto"/>
              <w:rPr>
                <w:rFonts w:eastAsia="黑体"/>
                <w:sz w:val="24"/>
              </w:rPr>
            </w:pPr>
            <w:r>
              <w:rPr>
                <w:rFonts w:eastAsia="黑体"/>
                <w:sz w:val="24"/>
              </w:rPr>
              <w:t xml:space="preserve">         地表水水质监测结果表       单位：mg/L</w:t>
            </w:r>
          </w:p>
          <w:tbl>
            <w:tblPr>
              <w:tblStyle w:val="12"/>
              <w:tblW w:w="84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057"/>
              <w:gridCol w:w="190"/>
              <w:gridCol w:w="997"/>
              <w:gridCol w:w="952"/>
              <w:gridCol w:w="1338"/>
              <w:gridCol w:w="1412"/>
              <w:gridCol w:w="15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05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b/>
                      <w:kern w:val="0"/>
                      <w:szCs w:val="21"/>
                    </w:rPr>
                  </w:pPr>
                  <w:r>
                    <w:rPr>
                      <w:rFonts w:eastAsiaTheme="minorEastAsia"/>
                      <w:b/>
                      <w:kern w:val="0"/>
                      <w:szCs w:val="21"/>
                    </w:rPr>
                    <w:t>监测断面</w:t>
                  </w:r>
                </w:p>
              </w:tc>
              <w:tc>
                <w:tcPr>
                  <w:tcW w:w="213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b/>
                      <w:kern w:val="0"/>
                      <w:szCs w:val="21"/>
                    </w:rPr>
                  </w:pPr>
                  <w:r>
                    <w:rPr>
                      <w:rFonts w:eastAsiaTheme="minorEastAsia"/>
                      <w:b/>
                      <w:kern w:val="0"/>
                      <w:szCs w:val="21"/>
                    </w:rPr>
                    <w:t>时间</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b/>
                      <w:kern w:val="0"/>
                      <w:szCs w:val="21"/>
                    </w:rPr>
                  </w:pPr>
                  <w:r>
                    <w:rPr>
                      <w:rFonts w:eastAsiaTheme="minorEastAsia"/>
                      <w:b/>
                      <w:kern w:val="0"/>
                      <w:szCs w:val="21"/>
                    </w:rPr>
                    <w:t>COD</w:t>
                  </w:r>
                </w:p>
              </w:tc>
              <w:tc>
                <w:tcPr>
                  <w:tcW w:w="14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b/>
                      <w:kern w:val="0"/>
                      <w:szCs w:val="21"/>
                    </w:rPr>
                  </w:pPr>
                  <w:r>
                    <w:rPr>
                      <w:rFonts w:eastAsiaTheme="minorEastAsia"/>
                      <w:b/>
                      <w:kern w:val="0"/>
                      <w:szCs w:val="21"/>
                    </w:rPr>
                    <w:t>NH</w:t>
                  </w:r>
                  <w:r>
                    <w:rPr>
                      <w:rFonts w:eastAsiaTheme="minorEastAsia"/>
                      <w:b/>
                      <w:kern w:val="0"/>
                      <w:szCs w:val="21"/>
                      <w:vertAlign w:val="subscript"/>
                    </w:rPr>
                    <w:t>3</w:t>
                  </w:r>
                  <w:r>
                    <w:rPr>
                      <w:rFonts w:eastAsiaTheme="minorEastAsia"/>
                      <w:b/>
                      <w:kern w:val="0"/>
                      <w:szCs w:val="21"/>
                    </w:rPr>
                    <w:t>-N</w:t>
                  </w:r>
                </w:p>
              </w:tc>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b/>
                      <w:kern w:val="0"/>
                      <w:szCs w:val="21"/>
                    </w:rPr>
                  </w:pPr>
                  <w:r>
                    <w:rPr>
                      <w:rFonts w:eastAsiaTheme="minorEastAsia"/>
                      <w:b/>
                      <w:kern w:val="0"/>
                      <w:szCs w:val="21"/>
                    </w:rPr>
                    <w:t>总磷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057" w:type="dxa"/>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Theme="minorEastAsia"/>
                      <w:kern w:val="0"/>
                      <w:szCs w:val="21"/>
                    </w:rPr>
                    <w:t>蟒河南官庄</w:t>
                  </w:r>
                </w:p>
              </w:tc>
              <w:tc>
                <w:tcPr>
                  <w:tcW w:w="213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2018年1月</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240" w:lineRule="exact"/>
                    <w:jc w:val="center"/>
                    <w:textAlignment w:val="auto"/>
                    <w:rPr>
                      <w:szCs w:val="21"/>
                    </w:rPr>
                  </w:pPr>
                  <w:r>
                    <w:t>20</w:t>
                  </w:r>
                  <w:r>
                    <w:rPr>
                      <w:rFonts w:hint="eastAsia"/>
                    </w:rPr>
                    <w:t>.0</w:t>
                  </w:r>
                </w:p>
              </w:tc>
              <w:tc>
                <w:tcPr>
                  <w:tcW w:w="14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240" w:lineRule="exact"/>
                    <w:jc w:val="center"/>
                    <w:textAlignment w:val="auto"/>
                    <w:rPr>
                      <w:szCs w:val="21"/>
                    </w:rPr>
                  </w:pPr>
                  <w:r>
                    <w:t>1.19</w:t>
                  </w:r>
                </w:p>
              </w:tc>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240" w:lineRule="exact"/>
                    <w:jc w:val="center"/>
                    <w:textAlignment w:val="auto"/>
                    <w:rPr>
                      <w:szCs w:val="21"/>
                    </w:rPr>
                  </w:pPr>
                  <w:r>
                    <w:t>0.37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057"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p>
              </w:tc>
              <w:tc>
                <w:tcPr>
                  <w:tcW w:w="213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2018年2月</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240" w:lineRule="exact"/>
                    <w:jc w:val="center"/>
                    <w:textAlignment w:val="auto"/>
                    <w:rPr>
                      <w:kern w:val="0"/>
                      <w:szCs w:val="21"/>
                    </w:rPr>
                  </w:pPr>
                  <w:r>
                    <w:t>8</w:t>
                  </w:r>
                  <w:r>
                    <w:rPr>
                      <w:rFonts w:hint="eastAsia"/>
                    </w:rPr>
                    <w:t>.0</w:t>
                  </w:r>
                </w:p>
              </w:tc>
              <w:tc>
                <w:tcPr>
                  <w:tcW w:w="1412" w:type="dxa"/>
                  <w:vAlign w:val="center"/>
                </w:tcPr>
                <w:p>
                  <w:pPr>
                    <w:keepNext w:val="0"/>
                    <w:keepLines w:val="0"/>
                    <w:pageBreakBefore w:val="0"/>
                    <w:kinsoku/>
                    <w:wordWrap/>
                    <w:overflowPunct/>
                    <w:topLinePunct w:val="0"/>
                    <w:autoSpaceDE/>
                    <w:autoSpaceDN/>
                    <w:bidi w:val="0"/>
                    <w:spacing w:line="240" w:lineRule="exact"/>
                    <w:jc w:val="center"/>
                    <w:textAlignment w:val="auto"/>
                    <w:rPr>
                      <w:kern w:val="0"/>
                      <w:szCs w:val="21"/>
                    </w:rPr>
                  </w:pPr>
                  <w:r>
                    <w:t>0.96</w:t>
                  </w:r>
                </w:p>
              </w:tc>
              <w:tc>
                <w:tcPr>
                  <w:tcW w:w="1526" w:type="dxa"/>
                  <w:vAlign w:val="center"/>
                </w:tcPr>
                <w:p>
                  <w:pPr>
                    <w:keepNext w:val="0"/>
                    <w:keepLines w:val="0"/>
                    <w:pageBreakBefore w:val="0"/>
                    <w:kinsoku/>
                    <w:wordWrap/>
                    <w:overflowPunct/>
                    <w:topLinePunct w:val="0"/>
                    <w:autoSpaceDE/>
                    <w:autoSpaceDN/>
                    <w:bidi w:val="0"/>
                    <w:spacing w:line="240" w:lineRule="exact"/>
                    <w:jc w:val="center"/>
                    <w:textAlignment w:val="auto"/>
                    <w:rPr>
                      <w:kern w:val="0"/>
                      <w:szCs w:val="21"/>
                    </w:rPr>
                  </w:pPr>
                  <w:r>
                    <w:t>0.33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057"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p>
              </w:tc>
              <w:tc>
                <w:tcPr>
                  <w:tcW w:w="213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2018年3月</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240" w:lineRule="exact"/>
                    <w:jc w:val="center"/>
                    <w:textAlignment w:val="auto"/>
                    <w:rPr>
                      <w:kern w:val="0"/>
                      <w:szCs w:val="21"/>
                    </w:rPr>
                  </w:pPr>
                  <w:r>
                    <w:t>12.0</w:t>
                  </w:r>
                </w:p>
              </w:tc>
              <w:tc>
                <w:tcPr>
                  <w:tcW w:w="1412" w:type="dxa"/>
                  <w:vAlign w:val="center"/>
                </w:tcPr>
                <w:p>
                  <w:pPr>
                    <w:keepNext w:val="0"/>
                    <w:keepLines w:val="0"/>
                    <w:pageBreakBefore w:val="0"/>
                    <w:kinsoku/>
                    <w:wordWrap/>
                    <w:overflowPunct/>
                    <w:topLinePunct w:val="0"/>
                    <w:autoSpaceDE/>
                    <w:autoSpaceDN/>
                    <w:bidi w:val="0"/>
                    <w:spacing w:line="240" w:lineRule="exact"/>
                    <w:jc w:val="center"/>
                    <w:textAlignment w:val="auto"/>
                    <w:rPr>
                      <w:kern w:val="0"/>
                      <w:szCs w:val="21"/>
                    </w:rPr>
                  </w:pPr>
                  <w:r>
                    <w:t>1.05</w:t>
                  </w:r>
                </w:p>
              </w:tc>
              <w:tc>
                <w:tcPr>
                  <w:tcW w:w="1526" w:type="dxa"/>
                  <w:vAlign w:val="center"/>
                </w:tcPr>
                <w:p>
                  <w:pPr>
                    <w:keepNext w:val="0"/>
                    <w:keepLines w:val="0"/>
                    <w:pageBreakBefore w:val="0"/>
                    <w:kinsoku/>
                    <w:wordWrap/>
                    <w:overflowPunct/>
                    <w:topLinePunct w:val="0"/>
                    <w:autoSpaceDE/>
                    <w:autoSpaceDN/>
                    <w:bidi w:val="0"/>
                    <w:spacing w:line="240" w:lineRule="exact"/>
                    <w:jc w:val="center"/>
                    <w:textAlignment w:val="auto"/>
                    <w:rPr>
                      <w:kern w:val="0"/>
                      <w:szCs w:val="21"/>
                    </w:rPr>
                  </w:pPr>
                  <w:r>
                    <w:t>0.17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057"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p>
              </w:tc>
              <w:tc>
                <w:tcPr>
                  <w:tcW w:w="213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2018年4月</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240" w:lineRule="exact"/>
                    <w:jc w:val="center"/>
                    <w:textAlignment w:val="auto"/>
                    <w:rPr>
                      <w:rFonts w:eastAsia="仿宋"/>
                      <w:kern w:val="0"/>
                      <w:szCs w:val="21"/>
                    </w:rPr>
                  </w:pPr>
                  <w:r>
                    <w:t>12.0</w:t>
                  </w:r>
                </w:p>
              </w:tc>
              <w:tc>
                <w:tcPr>
                  <w:tcW w:w="1412" w:type="dxa"/>
                  <w:vAlign w:val="center"/>
                </w:tcPr>
                <w:p>
                  <w:pPr>
                    <w:keepNext w:val="0"/>
                    <w:keepLines w:val="0"/>
                    <w:pageBreakBefore w:val="0"/>
                    <w:kinsoku/>
                    <w:wordWrap/>
                    <w:overflowPunct/>
                    <w:topLinePunct w:val="0"/>
                    <w:autoSpaceDE/>
                    <w:autoSpaceDN/>
                    <w:bidi w:val="0"/>
                    <w:spacing w:line="240" w:lineRule="exact"/>
                    <w:jc w:val="center"/>
                    <w:textAlignment w:val="auto"/>
                    <w:rPr>
                      <w:rFonts w:eastAsia="仿宋"/>
                      <w:kern w:val="0"/>
                      <w:szCs w:val="21"/>
                    </w:rPr>
                  </w:pPr>
                  <w:r>
                    <w:t>0.72</w:t>
                  </w:r>
                </w:p>
              </w:tc>
              <w:tc>
                <w:tcPr>
                  <w:tcW w:w="1526" w:type="dxa"/>
                  <w:vAlign w:val="center"/>
                </w:tcPr>
                <w:p>
                  <w:pPr>
                    <w:keepNext w:val="0"/>
                    <w:keepLines w:val="0"/>
                    <w:pageBreakBefore w:val="0"/>
                    <w:kinsoku/>
                    <w:wordWrap/>
                    <w:overflowPunct/>
                    <w:topLinePunct w:val="0"/>
                    <w:autoSpaceDE/>
                    <w:autoSpaceDN/>
                    <w:bidi w:val="0"/>
                    <w:spacing w:line="240" w:lineRule="exact"/>
                    <w:jc w:val="center"/>
                    <w:textAlignment w:val="auto"/>
                    <w:rPr>
                      <w:rFonts w:eastAsia="仿宋"/>
                      <w:kern w:val="0"/>
                      <w:szCs w:val="21"/>
                    </w:rPr>
                  </w:pPr>
                  <w:r>
                    <w:t>0.29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057"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p>
              </w:tc>
              <w:tc>
                <w:tcPr>
                  <w:tcW w:w="213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2018年5月</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240" w:lineRule="exact"/>
                    <w:jc w:val="center"/>
                    <w:textAlignment w:val="auto"/>
                    <w:rPr>
                      <w:kern w:val="0"/>
                      <w:szCs w:val="21"/>
                    </w:rPr>
                  </w:pPr>
                  <w:r>
                    <w:rPr>
                      <w:rFonts w:hint="eastAsia"/>
                      <w:color w:val="000000"/>
                      <w:kern w:val="0"/>
                      <w:sz w:val="20"/>
                    </w:rPr>
                    <w:t>20.0</w:t>
                  </w:r>
                </w:p>
              </w:tc>
              <w:tc>
                <w:tcPr>
                  <w:tcW w:w="1412" w:type="dxa"/>
                  <w:vAlign w:val="center"/>
                </w:tcPr>
                <w:p>
                  <w:pPr>
                    <w:keepNext w:val="0"/>
                    <w:keepLines w:val="0"/>
                    <w:pageBreakBefore w:val="0"/>
                    <w:widowControl/>
                    <w:kinsoku/>
                    <w:wordWrap/>
                    <w:overflowPunct/>
                    <w:topLinePunct w:val="0"/>
                    <w:autoSpaceDE/>
                    <w:autoSpaceDN/>
                    <w:bidi w:val="0"/>
                    <w:spacing w:line="240" w:lineRule="exact"/>
                    <w:jc w:val="center"/>
                    <w:textAlignment w:val="auto"/>
                    <w:rPr>
                      <w:kern w:val="0"/>
                      <w:szCs w:val="21"/>
                    </w:rPr>
                  </w:pPr>
                  <w:r>
                    <w:rPr>
                      <w:rFonts w:hint="eastAsia"/>
                      <w:color w:val="000000"/>
                      <w:kern w:val="0"/>
                      <w:sz w:val="20"/>
                    </w:rPr>
                    <w:t>1.38</w:t>
                  </w:r>
                </w:p>
              </w:tc>
              <w:tc>
                <w:tcPr>
                  <w:tcW w:w="1526" w:type="dxa"/>
                  <w:vAlign w:val="center"/>
                </w:tcPr>
                <w:p>
                  <w:pPr>
                    <w:keepNext w:val="0"/>
                    <w:keepLines w:val="0"/>
                    <w:pageBreakBefore w:val="0"/>
                    <w:widowControl/>
                    <w:kinsoku/>
                    <w:wordWrap/>
                    <w:overflowPunct/>
                    <w:topLinePunct w:val="0"/>
                    <w:autoSpaceDE/>
                    <w:autoSpaceDN/>
                    <w:bidi w:val="0"/>
                    <w:spacing w:line="240" w:lineRule="exact"/>
                    <w:jc w:val="center"/>
                    <w:textAlignment w:val="auto"/>
                    <w:rPr>
                      <w:kern w:val="0"/>
                      <w:szCs w:val="21"/>
                    </w:rPr>
                  </w:pPr>
                  <w:r>
                    <w:rPr>
                      <w:rFonts w:hint="eastAsia"/>
                      <w:color w:val="000000"/>
                      <w:kern w:val="0"/>
                      <w:sz w:val="20"/>
                    </w:rPr>
                    <w:t>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057"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eastAsia" w:eastAsiaTheme="minorEastAsia"/>
                      <w:kern w:val="0"/>
                      <w:szCs w:val="21"/>
                      <w:lang w:eastAsia="zh-CN"/>
                    </w:rPr>
                  </w:pPr>
                </w:p>
              </w:tc>
              <w:tc>
                <w:tcPr>
                  <w:tcW w:w="213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2018年6月</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240" w:lineRule="exact"/>
                    <w:jc w:val="center"/>
                    <w:textAlignment w:val="auto"/>
                    <w:rPr>
                      <w:kern w:val="0"/>
                      <w:szCs w:val="21"/>
                    </w:rPr>
                  </w:pPr>
                  <w:r>
                    <w:t>33.0</w:t>
                  </w:r>
                </w:p>
              </w:tc>
              <w:tc>
                <w:tcPr>
                  <w:tcW w:w="1412" w:type="dxa"/>
                  <w:vAlign w:val="center"/>
                </w:tcPr>
                <w:p>
                  <w:pPr>
                    <w:keepNext w:val="0"/>
                    <w:keepLines w:val="0"/>
                    <w:pageBreakBefore w:val="0"/>
                    <w:kinsoku/>
                    <w:wordWrap/>
                    <w:overflowPunct/>
                    <w:topLinePunct w:val="0"/>
                    <w:autoSpaceDE/>
                    <w:autoSpaceDN/>
                    <w:bidi w:val="0"/>
                    <w:spacing w:line="240" w:lineRule="exact"/>
                    <w:jc w:val="center"/>
                    <w:textAlignment w:val="auto"/>
                    <w:rPr>
                      <w:kern w:val="0"/>
                      <w:szCs w:val="21"/>
                    </w:rPr>
                  </w:pPr>
                  <w:r>
                    <w:t>1.3</w:t>
                  </w:r>
                </w:p>
              </w:tc>
              <w:tc>
                <w:tcPr>
                  <w:tcW w:w="1526" w:type="dxa"/>
                  <w:vAlign w:val="center"/>
                </w:tcPr>
                <w:p>
                  <w:pPr>
                    <w:keepNext w:val="0"/>
                    <w:keepLines w:val="0"/>
                    <w:pageBreakBefore w:val="0"/>
                    <w:kinsoku/>
                    <w:wordWrap/>
                    <w:overflowPunct/>
                    <w:topLinePunct w:val="0"/>
                    <w:autoSpaceDE/>
                    <w:autoSpaceDN/>
                    <w:bidi w:val="0"/>
                    <w:spacing w:line="240" w:lineRule="exact"/>
                    <w:jc w:val="center"/>
                    <w:textAlignment w:val="auto"/>
                    <w:rPr>
                      <w:kern w:val="0"/>
                      <w:szCs w:val="21"/>
                    </w:rPr>
                  </w:pPr>
                  <w:r>
                    <w:t>0.21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057"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p>
              </w:tc>
              <w:tc>
                <w:tcPr>
                  <w:tcW w:w="213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2018年7月</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240" w:lineRule="exact"/>
                    <w:jc w:val="center"/>
                    <w:textAlignment w:val="auto"/>
                    <w:rPr>
                      <w:rFonts w:eastAsia="仿宋"/>
                      <w:szCs w:val="21"/>
                    </w:rPr>
                  </w:pPr>
                  <w:r>
                    <w:t>15.0</w:t>
                  </w:r>
                </w:p>
              </w:tc>
              <w:tc>
                <w:tcPr>
                  <w:tcW w:w="1412" w:type="dxa"/>
                  <w:vAlign w:val="center"/>
                </w:tcPr>
                <w:p>
                  <w:pPr>
                    <w:keepNext w:val="0"/>
                    <w:keepLines w:val="0"/>
                    <w:pageBreakBefore w:val="0"/>
                    <w:kinsoku/>
                    <w:wordWrap/>
                    <w:overflowPunct/>
                    <w:topLinePunct w:val="0"/>
                    <w:autoSpaceDE/>
                    <w:autoSpaceDN/>
                    <w:bidi w:val="0"/>
                    <w:spacing w:line="240" w:lineRule="exact"/>
                    <w:jc w:val="center"/>
                    <w:textAlignment w:val="auto"/>
                    <w:rPr>
                      <w:rFonts w:eastAsia="仿宋"/>
                      <w:szCs w:val="21"/>
                    </w:rPr>
                  </w:pPr>
                  <w:r>
                    <w:t>1.15</w:t>
                  </w:r>
                </w:p>
              </w:tc>
              <w:tc>
                <w:tcPr>
                  <w:tcW w:w="1526" w:type="dxa"/>
                  <w:vAlign w:val="center"/>
                </w:tcPr>
                <w:p>
                  <w:pPr>
                    <w:keepNext w:val="0"/>
                    <w:keepLines w:val="0"/>
                    <w:pageBreakBefore w:val="0"/>
                    <w:kinsoku/>
                    <w:wordWrap/>
                    <w:overflowPunct/>
                    <w:topLinePunct w:val="0"/>
                    <w:autoSpaceDE/>
                    <w:autoSpaceDN/>
                    <w:bidi w:val="0"/>
                    <w:spacing w:line="240" w:lineRule="exact"/>
                    <w:jc w:val="center"/>
                    <w:textAlignment w:val="auto"/>
                    <w:rPr>
                      <w:rFonts w:eastAsia="仿宋"/>
                      <w:szCs w:val="21"/>
                    </w:rPr>
                  </w:pPr>
                  <w:r>
                    <w:t>0.34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057"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p>
              </w:tc>
              <w:tc>
                <w:tcPr>
                  <w:tcW w:w="213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2018年8月</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240" w:lineRule="exact"/>
                    <w:jc w:val="center"/>
                    <w:textAlignment w:val="auto"/>
                    <w:rPr>
                      <w:rFonts w:eastAsia="仿宋"/>
                      <w:szCs w:val="21"/>
                    </w:rPr>
                  </w:pPr>
                  <w:r>
                    <w:t>30.0</w:t>
                  </w:r>
                </w:p>
              </w:tc>
              <w:tc>
                <w:tcPr>
                  <w:tcW w:w="1412" w:type="dxa"/>
                  <w:vAlign w:val="center"/>
                </w:tcPr>
                <w:p>
                  <w:pPr>
                    <w:keepNext w:val="0"/>
                    <w:keepLines w:val="0"/>
                    <w:pageBreakBefore w:val="0"/>
                    <w:kinsoku/>
                    <w:wordWrap/>
                    <w:overflowPunct/>
                    <w:topLinePunct w:val="0"/>
                    <w:autoSpaceDE/>
                    <w:autoSpaceDN/>
                    <w:bidi w:val="0"/>
                    <w:spacing w:line="240" w:lineRule="exact"/>
                    <w:jc w:val="center"/>
                    <w:textAlignment w:val="auto"/>
                    <w:rPr>
                      <w:rFonts w:eastAsia="仿宋"/>
                      <w:szCs w:val="21"/>
                    </w:rPr>
                  </w:pPr>
                  <w:r>
                    <w:t>1.36</w:t>
                  </w:r>
                </w:p>
              </w:tc>
              <w:tc>
                <w:tcPr>
                  <w:tcW w:w="1526" w:type="dxa"/>
                  <w:vAlign w:val="center"/>
                </w:tcPr>
                <w:p>
                  <w:pPr>
                    <w:keepNext w:val="0"/>
                    <w:keepLines w:val="0"/>
                    <w:pageBreakBefore w:val="0"/>
                    <w:kinsoku/>
                    <w:wordWrap/>
                    <w:overflowPunct/>
                    <w:topLinePunct w:val="0"/>
                    <w:autoSpaceDE/>
                    <w:autoSpaceDN/>
                    <w:bidi w:val="0"/>
                    <w:spacing w:line="240" w:lineRule="exact"/>
                    <w:jc w:val="center"/>
                    <w:textAlignment w:val="auto"/>
                    <w:rPr>
                      <w:rFonts w:eastAsia="仿宋"/>
                      <w:szCs w:val="21"/>
                    </w:rPr>
                  </w:pPr>
                  <w:r>
                    <w:t>0.36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057"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p>
              </w:tc>
              <w:tc>
                <w:tcPr>
                  <w:tcW w:w="213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2018年9月</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240" w:lineRule="exact"/>
                    <w:jc w:val="center"/>
                    <w:textAlignment w:val="auto"/>
                    <w:rPr>
                      <w:rFonts w:eastAsia="仿宋"/>
                      <w:kern w:val="0"/>
                      <w:szCs w:val="21"/>
                    </w:rPr>
                  </w:pPr>
                  <w:r>
                    <w:t>10</w:t>
                  </w:r>
                  <w:r>
                    <w:rPr>
                      <w:rFonts w:hint="eastAsia"/>
                    </w:rPr>
                    <w:t>.0</w:t>
                  </w:r>
                </w:p>
              </w:tc>
              <w:tc>
                <w:tcPr>
                  <w:tcW w:w="1412" w:type="dxa"/>
                  <w:vAlign w:val="center"/>
                </w:tcPr>
                <w:p>
                  <w:pPr>
                    <w:keepNext w:val="0"/>
                    <w:keepLines w:val="0"/>
                    <w:pageBreakBefore w:val="0"/>
                    <w:kinsoku/>
                    <w:wordWrap/>
                    <w:overflowPunct/>
                    <w:topLinePunct w:val="0"/>
                    <w:autoSpaceDE/>
                    <w:autoSpaceDN/>
                    <w:bidi w:val="0"/>
                    <w:spacing w:line="240" w:lineRule="exact"/>
                    <w:jc w:val="center"/>
                    <w:textAlignment w:val="auto"/>
                    <w:rPr>
                      <w:rFonts w:eastAsia="仿宋"/>
                      <w:kern w:val="0"/>
                      <w:szCs w:val="21"/>
                    </w:rPr>
                  </w:pPr>
                  <w:r>
                    <w:t>0</w:t>
                  </w:r>
                  <w:r>
                    <w:cr/>
                  </w:r>
                  <w:r>
                    <w:t>51</w:t>
                  </w:r>
                </w:p>
              </w:tc>
              <w:tc>
                <w:tcPr>
                  <w:tcW w:w="1526" w:type="dxa"/>
                  <w:vAlign w:val="center"/>
                </w:tcPr>
                <w:p>
                  <w:pPr>
                    <w:keepNext w:val="0"/>
                    <w:keepLines w:val="0"/>
                    <w:pageBreakBefore w:val="0"/>
                    <w:kinsoku/>
                    <w:wordWrap/>
                    <w:overflowPunct/>
                    <w:topLinePunct w:val="0"/>
                    <w:autoSpaceDE/>
                    <w:autoSpaceDN/>
                    <w:bidi w:val="0"/>
                    <w:spacing w:line="240" w:lineRule="exact"/>
                    <w:jc w:val="center"/>
                    <w:textAlignment w:val="auto"/>
                    <w:rPr>
                      <w:rFonts w:eastAsia="仿宋"/>
                      <w:kern w:val="0"/>
                      <w:szCs w:val="21"/>
                    </w:rPr>
                  </w:pPr>
                  <w:r>
                    <w:t>0.33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057"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p>
              </w:tc>
              <w:tc>
                <w:tcPr>
                  <w:tcW w:w="213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2018年10月</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240" w:lineRule="exact"/>
                    <w:jc w:val="center"/>
                    <w:textAlignment w:val="auto"/>
                    <w:rPr>
                      <w:rFonts w:eastAsia="仿宋"/>
                      <w:kern w:val="0"/>
                      <w:szCs w:val="21"/>
                    </w:rPr>
                  </w:pPr>
                  <w:r>
                    <w:rPr>
                      <w:rFonts w:hint="eastAsia"/>
                      <w:color w:val="000000"/>
                      <w:kern w:val="0"/>
                      <w:sz w:val="20"/>
                    </w:rPr>
                    <w:t>5.0</w:t>
                  </w:r>
                </w:p>
              </w:tc>
              <w:tc>
                <w:tcPr>
                  <w:tcW w:w="1412" w:type="dxa"/>
                  <w:vAlign w:val="center"/>
                </w:tcPr>
                <w:p>
                  <w:pPr>
                    <w:keepNext w:val="0"/>
                    <w:keepLines w:val="0"/>
                    <w:pageBreakBefore w:val="0"/>
                    <w:widowControl/>
                    <w:kinsoku/>
                    <w:wordWrap/>
                    <w:overflowPunct/>
                    <w:topLinePunct w:val="0"/>
                    <w:autoSpaceDE/>
                    <w:autoSpaceDN/>
                    <w:bidi w:val="0"/>
                    <w:spacing w:line="240" w:lineRule="exact"/>
                    <w:jc w:val="center"/>
                    <w:textAlignment w:val="auto"/>
                    <w:rPr>
                      <w:rFonts w:eastAsia="仿宋"/>
                      <w:kern w:val="0"/>
                      <w:szCs w:val="21"/>
                    </w:rPr>
                  </w:pPr>
                  <w:r>
                    <w:rPr>
                      <w:rFonts w:hint="eastAsia"/>
                      <w:color w:val="000000"/>
                      <w:kern w:val="0"/>
                      <w:sz w:val="20"/>
                    </w:rPr>
                    <w:t>0.50</w:t>
                  </w:r>
                </w:p>
              </w:tc>
              <w:tc>
                <w:tcPr>
                  <w:tcW w:w="1526" w:type="dxa"/>
                  <w:vAlign w:val="center"/>
                </w:tcPr>
                <w:p>
                  <w:pPr>
                    <w:keepNext w:val="0"/>
                    <w:keepLines w:val="0"/>
                    <w:pageBreakBefore w:val="0"/>
                    <w:widowControl/>
                    <w:kinsoku/>
                    <w:wordWrap/>
                    <w:overflowPunct/>
                    <w:topLinePunct w:val="0"/>
                    <w:autoSpaceDE/>
                    <w:autoSpaceDN/>
                    <w:bidi w:val="0"/>
                    <w:spacing w:line="240" w:lineRule="exact"/>
                    <w:jc w:val="center"/>
                    <w:textAlignment w:val="auto"/>
                    <w:rPr>
                      <w:rFonts w:eastAsia="仿宋"/>
                      <w:kern w:val="0"/>
                      <w:szCs w:val="21"/>
                    </w:rPr>
                  </w:pPr>
                  <w:r>
                    <w:rPr>
                      <w:rFonts w:hint="eastAsia"/>
                      <w:color w:val="000000"/>
                      <w:kern w:val="0"/>
                      <w:sz w:val="20"/>
                    </w:rPr>
                    <w:t>0.19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057"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p>
              </w:tc>
              <w:tc>
                <w:tcPr>
                  <w:tcW w:w="213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2018年11月</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240" w:lineRule="exact"/>
                    <w:jc w:val="center"/>
                    <w:textAlignment w:val="auto"/>
                    <w:rPr>
                      <w:kern w:val="0"/>
                      <w:szCs w:val="21"/>
                    </w:rPr>
                  </w:pPr>
                  <w:r>
                    <w:t>8.0</w:t>
                  </w:r>
                </w:p>
              </w:tc>
              <w:tc>
                <w:tcPr>
                  <w:tcW w:w="1412" w:type="dxa"/>
                  <w:vAlign w:val="center"/>
                </w:tcPr>
                <w:p>
                  <w:pPr>
                    <w:keepNext w:val="0"/>
                    <w:keepLines w:val="0"/>
                    <w:pageBreakBefore w:val="0"/>
                    <w:kinsoku/>
                    <w:wordWrap/>
                    <w:overflowPunct/>
                    <w:topLinePunct w:val="0"/>
                    <w:autoSpaceDE/>
                    <w:autoSpaceDN/>
                    <w:bidi w:val="0"/>
                    <w:spacing w:line="240" w:lineRule="exact"/>
                    <w:jc w:val="center"/>
                    <w:textAlignment w:val="auto"/>
                    <w:rPr>
                      <w:kern w:val="0"/>
                      <w:szCs w:val="21"/>
                    </w:rPr>
                  </w:pPr>
                  <w:r>
                    <w:t>0.52</w:t>
                  </w:r>
                </w:p>
              </w:tc>
              <w:tc>
                <w:tcPr>
                  <w:tcW w:w="1526" w:type="dxa"/>
                  <w:vAlign w:val="center"/>
                </w:tcPr>
                <w:p>
                  <w:pPr>
                    <w:keepNext w:val="0"/>
                    <w:keepLines w:val="0"/>
                    <w:pageBreakBefore w:val="0"/>
                    <w:kinsoku/>
                    <w:wordWrap/>
                    <w:overflowPunct/>
                    <w:topLinePunct w:val="0"/>
                    <w:autoSpaceDE/>
                    <w:autoSpaceDN/>
                    <w:bidi w:val="0"/>
                    <w:spacing w:line="240" w:lineRule="exact"/>
                    <w:jc w:val="center"/>
                    <w:textAlignment w:val="auto"/>
                    <w:rPr>
                      <w:kern w:val="0"/>
                      <w:szCs w:val="21"/>
                    </w:rPr>
                  </w:pPr>
                  <w:r>
                    <w:t>0.27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057"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p>
              </w:tc>
              <w:tc>
                <w:tcPr>
                  <w:tcW w:w="213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2018年12月</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240" w:lineRule="exact"/>
                    <w:jc w:val="center"/>
                    <w:textAlignment w:val="auto"/>
                    <w:rPr>
                      <w:kern w:val="0"/>
                      <w:szCs w:val="21"/>
                    </w:rPr>
                  </w:pPr>
                  <w:r>
                    <w:t>10.0</w:t>
                  </w:r>
                </w:p>
              </w:tc>
              <w:tc>
                <w:tcPr>
                  <w:tcW w:w="1412" w:type="dxa"/>
                  <w:vAlign w:val="center"/>
                </w:tcPr>
                <w:p>
                  <w:pPr>
                    <w:keepNext w:val="0"/>
                    <w:keepLines w:val="0"/>
                    <w:pageBreakBefore w:val="0"/>
                    <w:kinsoku/>
                    <w:wordWrap/>
                    <w:overflowPunct/>
                    <w:topLinePunct w:val="0"/>
                    <w:autoSpaceDE/>
                    <w:autoSpaceDN/>
                    <w:bidi w:val="0"/>
                    <w:spacing w:line="240" w:lineRule="exact"/>
                    <w:jc w:val="center"/>
                    <w:textAlignment w:val="auto"/>
                    <w:rPr>
                      <w:kern w:val="0"/>
                      <w:szCs w:val="21"/>
                    </w:rPr>
                  </w:pPr>
                  <w:r>
                    <w:t>1.07</w:t>
                  </w:r>
                </w:p>
              </w:tc>
              <w:tc>
                <w:tcPr>
                  <w:tcW w:w="1526" w:type="dxa"/>
                  <w:vAlign w:val="center"/>
                </w:tcPr>
                <w:p>
                  <w:pPr>
                    <w:keepNext w:val="0"/>
                    <w:keepLines w:val="0"/>
                    <w:pageBreakBefore w:val="0"/>
                    <w:kinsoku/>
                    <w:wordWrap/>
                    <w:overflowPunct/>
                    <w:topLinePunct w:val="0"/>
                    <w:autoSpaceDE/>
                    <w:autoSpaceDN/>
                    <w:bidi w:val="0"/>
                    <w:spacing w:line="240" w:lineRule="exact"/>
                    <w:jc w:val="center"/>
                    <w:textAlignment w:val="auto"/>
                    <w:rPr>
                      <w:kern w:val="0"/>
                      <w:szCs w:val="21"/>
                    </w:rPr>
                  </w:pPr>
                  <w:r>
                    <w:t>0.19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4196"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评价标准（</w:t>
                  </w:r>
                  <w:r>
                    <w:rPr>
                      <w:rFonts w:hint="eastAsia" w:ascii="宋体" w:hAnsi="宋体" w:cs="宋体"/>
                      <w:kern w:val="0"/>
                      <w:szCs w:val="21"/>
                    </w:rPr>
                    <w:t>Ⅲ</w:t>
                  </w:r>
                  <w:r>
                    <w:rPr>
                      <w:rFonts w:eastAsiaTheme="minorEastAsia"/>
                      <w:kern w:val="0"/>
                      <w:szCs w:val="21"/>
                    </w:rPr>
                    <w:t>类）</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≤20</w:t>
                  </w:r>
                </w:p>
              </w:tc>
              <w:tc>
                <w:tcPr>
                  <w:tcW w:w="1412" w:type="dxa"/>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≤1.0</w:t>
                  </w:r>
                </w:p>
              </w:tc>
              <w:tc>
                <w:tcPr>
                  <w:tcW w:w="1526" w:type="dxa"/>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4196"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超标率（%）</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16.7</w:t>
                  </w:r>
                </w:p>
              </w:tc>
              <w:tc>
                <w:tcPr>
                  <w:tcW w:w="1412" w:type="dxa"/>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5</w:t>
                  </w:r>
                  <w:r>
                    <w:rPr>
                      <w:rFonts w:hint="eastAsia" w:eastAsiaTheme="minorEastAsia"/>
                      <w:kern w:val="0"/>
                      <w:szCs w:val="21"/>
                    </w:rPr>
                    <w:t>8.3</w:t>
                  </w:r>
                </w:p>
              </w:tc>
              <w:tc>
                <w:tcPr>
                  <w:tcW w:w="1526" w:type="dxa"/>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Theme="minorEastAsia"/>
                      <w:kern w:val="0"/>
                      <w:szCs w:val="21"/>
                    </w:rPr>
                    <w:t>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4196"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最大超标倍数</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eastAsiaTheme="minorEastAsia"/>
                      <w:kern w:val="0"/>
                      <w:szCs w:val="21"/>
                    </w:rPr>
                    <w:t>0.</w:t>
                  </w:r>
                  <w:r>
                    <w:rPr>
                      <w:rFonts w:hint="eastAsia" w:eastAsiaTheme="minorEastAsia"/>
                      <w:kern w:val="0"/>
                      <w:szCs w:val="21"/>
                    </w:rPr>
                    <w:t>65</w:t>
                  </w:r>
                </w:p>
              </w:tc>
              <w:tc>
                <w:tcPr>
                  <w:tcW w:w="1412" w:type="dxa"/>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Theme="minorEastAsia"/>
                      <w:kern w:val="0"/>
                      <w:szCs w:val="21"/>
                    </w:rPr>
                    <w:t>0.38</w:t>
                  </w:r>
                </w:p>
              </w:tc>
              <w:tc>
                <w:tcPr>
                  <w:tcW w:w="1526" w:type="dxa"/>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Theme="minorEastAsia"/>
                      <w:kern w:val="0"/>
                      <w:szCs w:val="21"/>
                    </w:rPr>
                    <w:t>0.85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247" w:type="dxa"/>
                  <w:gridSpan w:val="2"/>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Theme="minorEastAsia"/>
                      <w:kern w:val="0"/>
                      <w:szCs w:val="21"/>
                    </w:rPr>
                    <w:t>全年</w:t>
                  </w:r>
                </w:p>
              </w:tc>
              <w:tc>
                <w:tcPr>
                  <w:tcW w:w="194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240" w:lineRule="exact"/>
                    <w:jc w:val="center"/>
                    <w:textAlignment w:val="auto"/>
                    <w:rPr>
                      <w:kern w:val="0"/>
                      <w:szCs w:val="21"/>
                    </w:rPr>
                  </w:pPr>
                  <w:r>
                    <w:rPr>
                      <w:kern w:val="0"/>
                      <w:szCs w:val="21"/>
                    </w:rPr>
                    <w:t>监测次数</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Theme="minorEastAsia"/>
                      <w:kern w:val="0"/>
                      <w:szCs w:val="21"/>
                    </w:rPr>
                    <w:t>12</w:t>
                  </w:r>
                </w:p>
              </w:tc>
              <w:tc>
                <w:tcPr>
                  <w:tcW w:w="1412" w:type="dxa"/>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Theme="minorEastAsia"/>
                      <w:kern w:val="0"/>
                      <w:szCs w:val="21"/>
                    </w:rPr>
                    <w:t>12</w:t>
                  </w:r>
                </w:p>
              </w:tc>
              <w:tc>
                <w:tcPr>
                  <w:tcW w:w="1526" w:type="dxa"/>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Theme="minorEastAsia"/>
                      <w:kern w:val="0"/>
                      <w:szCs w:val="21"/>
                    </w:rP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247" w:type="dxa"/>
                  <w:gridSpan w:val="2"/>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p>
              </w:tc>
              <w:tc>
                <w:tcPr>
                  <w:tcW w:w="194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240" w:lineRule="exact"/>
                    <w:jc w:val="center"/>
                    <w:textAlignment w:val="auto"/>
                    <w:rPr>
                      <w:kern w:val="0"/>
                      <w:szCs w:val="21"/>
                    </w:rPr>
                  </w:pPr>
                  <w:r>
                    <w:rPr>
                      <w:kern w:val="0"/>
                      <w:szCs w:val="21"/>
                    </w:rPr>
                    <w:t>最小值</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Theme="minorEastAsia"/>
                      <w:kern w:val="0"/>
                      <w:szCs w:val="21"/>
                    </w:rPr>
                    <w:t>5.0</w:t>
                  </w:r>
                </w:p>
              </w:tc>
              <w:tc>
                <w:tcPr>
                  <w:tcW w:w="1412" w:type="dxa"/>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仿宋"/>
                      <w:szCs w:val="21"/>
                    </w:rPr>
                    <w:t>0.50</w:t>
                  </w:r>
                </w:p>
              </w:tc>
              <w:tc>
                <w:tcPr>
                  <w:tcW w:w="1526" w:type="dxa"/>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kern w:val="0"/>
                      <w:szCs w:val="21"/>
                    </w:rPr>
                    <w:t>0.</w:t>
                  </w:r>
                  <w:r>
                    <w:rPr>
                      <w:rFonts w:hint="eastAsia"/>
                      <w:kern w:val="0"/>
                      <w:szCs w:val="21"/>
                    </w:rPr>
                    <w:t>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247" w:type="dxa"/>
                  <w:gridSpan w:val="2"/>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p>
              </w:tc>
              <w:tc>
                <w:tcPr>
                  <w:tcW w:w="194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240" w:lineRule="exact"/>
                    <w:jc w:val="center"/>
                    <w:textAlignment w:val="auto"/>
                    <w:rPr>
                      <w:kern w:val="0"/>
                      <w:szCs w:val="21"/>
                    </w:rPr>
                  </w:pPr>
                  <w:r>
                    <w:rPr>
                      <w:kern w:val="0"/>
                      <w:szCs w:val="21"/>
                    </w:rPr>
                    <w:t>最大值</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szCs w:val="21"/>
                    </w:rPr>
                    <w:t>33</w:t>
                  </w:r>
                </w:p>
              </w:tc>
              <w:tc>
                <w:tcPr>
                  <w:tcW w:w="1412" w:type="dxa"/>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仿宋"/>
                      <w:kern w:val="0"/>
                      <w:szCs w:val="21"/>
                    </w:rPr>
                    <w:t>1.38</w:t>
                  </w:r>
                </w:p>
              </w:tc>
              <w:tc>
                <w:tcPr>
                  <w:tcW w:w="1526" w:type="dxa"/>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szCs w:val="21"/>
                    </w:rPr>
                    <w:t>0.</w:t>
                  </w:r>
                  <w:r>
                    <w:rPr>
                      <w:rFonts w:hint="eastAsia"/>
                      <w:szCs w:val="21"/>
                    </w:rPr>
                    <w:t>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247" w:type="dxa"/>
                  <w:gridSpan w:val="2"/>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p>
              </w:tc>
              <w:tc>
                <w:tcPr>
                  <w:tcW w:w="997" w:type="dxa"/>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Theme="minorEastAsia"/>
                      <w:kern w:val="0"/>
                      <w:szCs w:val="21"/>
                    </w:rPr>
                    <w:t>平均值</w:t>
                  </w:r>
                </w:p>
              </w:tc>
              <w:tc>
                <w:tcPr>
                  <w:tcW w:w="95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240" w:lineRule="exact"/>
                    <w:jc w:val="center"/>
                    <w:textAlignment w:val="auto"/>
                    <w:rPr>
                      <w:kern w:val="0"/>
                      <w:szCs w:val="21"/>
                    </w:rPr>
                  </w:pPr>
                  <w:r>
                    <w:rPr>
                      <w:kern w:val="0"/>
                      <w:szCs w:val="21"/>
                    </w:rPr>
                    <w:t>均值</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Theme="minorEastAsia"/>
                      <w:kern w:val="0"/>
                      <w:szCs w:val="21"/>
                    </w:rPr>
                    <w:t>15.25</w:t>
                  </w:r>
                </w:p>
              </w:tc>
              <w:tc>
                <w:tcPr>
                  <w:tcW w:w="1412" w:type="dxa"/>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Theme="minorEastAsia"/>
                      <w:kern w:val="0"/>
                      <w:szCs w:val="21"/>
                    </w:rPr>
                    <w:t>0.98</w:t>
                  </w:r>
                </w:p>
              </w:tc>
              <w:tc>
                <w:tcPr>
                  <w:tcW w:w="1526" w:type="dxa"/>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Theme="minorEastAsia"/>
                      <w:kern w:val="0"/>
                      <w:szCs w:val="21"/>
                    </w:rPr>
                    <w:t>0.275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247" w:type="dxa"/>
                  <w:gridSpan w:val="2"/>
                  <w:vMerge w:val="continue"/>
                  <w:tcBorders>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p>
              </w:tc>
              <w:tc>
                <w:tcPr>
                  <w:tcW w:w="997"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p>
              </w:tc>
              <w:tc>
                <w:tcPr>
                  <w:tcW w:w="95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240" w:lineRule="exact"/>
                    <w:jc w:val="center"/>
                    <w:textAlignment w:val="auto"/>
                    <w:rPr>
                      <w:kern w:val="0"/>
                      <w:szCs w:val="21"/>
                    </w:rPr>
                  </w:pPr>
                  <w:r>
                    <w:rPr>
                      <w:kern w:val="0"/>
                      <w:szCs w:val="21"/>
                    </w:rPr>
                    <w:t>达标性</w:t>
                  </w:r>
                </w:p>
              </w:tc>
              <w:tc>
                <w:tcPr>
                  <w:tcW w:w="13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240" w:lineRule="exact"/>
                    <w:jc w:val="center"/>
                    <w:textAlignment w:val="auto"/>
                    <w:rPr>
                      <w:rFonts w:eastAsiaTheme="minorEastAsia"/>
                      <w:kern w:val="0"/>
                      <w:szCs w:val="21"/>
                    </w:rPr>
                  </w:pPr>
                  <w:r>
                    <w:rPr>
                      <w:rFonts w:hint="eastAsia" w:eastAsiaTheme="minorEastAsia"/>
                      <w:kern w:val="0"/>
                      <w:szCs w:val="21"/>
                    </w:rPr>
                    <w:t>超标</w:t>
                  </w:r>
                </w:p>
              </w:tc>
              <w:tc>
                <w:tcPr>
                  <w:tcW w:w="1412" w:type="dxa"/>
                  <w:vAlign w:val="center"/>
                </w:tcPr>
                <w:p>
                  <w:pPr>
                    <w:keepNext w:val="0"/>
                    <w:keepLines w:val="0"/>
                    <w:pageBreakBefore w:val="0"/>
                    <w:kinsoku/>
                    <w:wordWrap/>
                    <w:overflowPunct/>
                    <w:topLinePunct w:val="0"/>
                    <w:autoSpaceDE/>
                    <w:autoSpaceDN/>
                    <w:bidi w:val="0"/>
                    <w:spacing w:line="240" w:lineRule="exact"/>
                    <w:jc w:val="center"/>
                    <w:textAlignment w:val="auto"/>
                    <w:rPr>
                      <w:rFonts w:eastAsiaTheme="minorEastAsia"/>
                      <w:kern w:val="0"/>
                      <w:szCs w:val="21"/>
                    </w:rPr>
                  </w:pPr>
                  <w:r>
                    <w:rPr>
                      <w:rFonts w:hint="eastAsia" w:eastAsiaTheme="minorEastAsia"/>
                      <w:kern w:val="0"/>
                      <w:szCs w:val="21"/>
                    </w:rPr>
                    <w:t>超标</w:t>
                  </w:r>
                </w:p>
              </w:tc>
              <w:tc>
                <w:tcPr>
                  <w:tcW w:w="1526" w:type="dxa"/>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eastAsiaTheme="minorEastAsia"/>
                      <w:kern w:val="0"/>
                      <w:szCs w:val="21"/>
                    </w:rPr>
                  </w:pPr>
                  <w:r>
                    <w:rPr>
                      <w:rFonts w:hint="eastAsia" w:eastAsiaTheme="minorEastAsia"/>
                      <w:kern w:val="0"/>
                      <w:szCs w:val="21"/>
                    </w:rPr>
                    <w:t>超标</w:t>
                  </w:r>
                </w:p>
              </w:tc>
            </w:tr>
          </w:tbl>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sz w:val="24"/>
              </w:rPr>
            </w:pPr>
            <w:r>
              <w:rPr>
                <w:rFonts w:hint="eastAsia"/>
                <w:sz w:val="24"/>
              </w:rPr>
              <w:t xml:space="preserve">    </w:t>
            </w:r>
            <w:r>
              <w:rPr>
                <w:rFonts w:hint="eastAsia"/>
                <w:color w:val="000000" w:themeColor="text1"/>
                <w:sz w:val="24"/>
                <w14:textFill>
                  <w14:solidFill>
                    <w14:schemeClr w14:val="tx1"/>
                  </w14:solidFill>
                </w14:textFill>
              </w:rPr>
              <w:t>通过对照</w:t>
            </w:r>
            <w:r>
              <w:rPr>
                <w:color w:val="000000" w:themeColor="text1"/>
                <w:sz w:val="24"/>
                <w14:textFill>
                  <w14:solidFill>
                    <w14:schemeClr w14:val="tx1"/>
                  </w14:solidFill>
                </w14:textFill>
              </w:rPr>
              <w:t>《地表水环境质量标准》（GB3838—2002）III类标准</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由上表监测结果可以看出，监测断面中</w:t>
            </w:r>
            <w:r>
              <w:rPr>
                <w:rFonts w:hint="eastAsia"/>
                <w:color w:val="000000" w:themeColor="text1"/>
                <w:sz w:val="24"/>
                <w14:textFill>
                  <w14:solidFill>
                    <w14:schemeClr w14:val="tx1"/>
                  </w14:solidFill>
                </w14:textFill>
              </w:rPr>
              <w:t>COD、</w:t>
            </w:r>
            <w:r>
              <w:rPr>
                <w:color w:val="000000" w:themeColor="text1"/>
                <w:sz w:val="24"/>
                <w14:textFill>
                  <w14:solidFill>
                    <w14:schemeClr w14:val="tx1"/>
                  </w14:solidFill>
                </w14:textFill>
              </w:rPr>
              <w:t>氨氮</w:t>
            </w:r>
            <w:r>
              <w:rPr>
                <w:rFonts w:hint="eastAsia"/>
                <w:color w:val="000000" w:themeColor="text1"/>
                <w:sz w:val="24"/>
                <w14:textFill>
                  <w14:solidFill>
                    <w14:schemeClr w14:val="tx1"/>
                  </w14:solidFill>
                </w14:textFill>
              </w:rPr>
              <w:t>、总磷</w:t>
            </w:r>
            <w:r>
              <w:rPr>
                <w:color w:val="000000" w:themeColor="text1"/>
                <w:sz w:val="24"/>
                <w14:textFill>
                  <w14:solidFill>
                    <w14:schemeClr w14:val="tx1"/>
                  </w14:solidFill>
                </w14:textFill>
              </w:rPr>
              <w:t>浓度</w:t>
            </w:r>
            <w:r>
              <w:rPr>
                <w:rFonts w:hint="eastAsia"/>
                <w:color w:val="000000" w:themeColor="text1"/>
                <w:sz w:val="24"/>
                <w14:textFill>
                  <w14:solidFill>
                    <w14:schemeClr w14:val="tx1"/>
                  </w14:solidFill>
                </w14:textFill>
              </w:rPr>
              <w:t>均有不同程度的超标，其中COD超标率16.7%、最大超标0.65倍，氨氮超标率</w:t>
            </w:r>
            <w:r>
              <w:rPr>
                <w:color w:val="000000" w:themeColor="text1"/>
                <w:sz w:val="24"/>
                <w14:textFill>
                  <w14:solidFill>
                    <w14:schemeClr w14:val="tx1"/>
                  </w14:solidFill>
                </w14:textFill>
              </w:rPr>
              <w:t>58.3</w:t>
            </w:r>
            <w:r>
              <w:rPr>
                <w:rFonts w:hint="eastAsia"/>
                <w:color w:val="000000" w:themeColor="text1"/>
                <w:sz w:val="24"/>
                <w14:textFill>
                  <w14:solidFill>
                    <w14:schemeClr w14:val="tx1"/>
                  </w14:solidFill>
                </w14:textFill>
              </w:rPr>
              <w:t>%、最大超标0.38倍，总磷超标率75%、最大超标0.85倍。</w:t>
            </w:r>
            <w:r>
              <w:rPr>
                <w:color w:val="000000" w:themeColor="text1"/>
                <w:sz w:val="24"/>
                <w14:textFill>
                  <w14:solidFill>
                    <w14:schemeClr w14:val="tx1"/>
                  </w14:solidFill>
                </w14:textFill>
              </w:rPr>
              <w:t>依据《济源市2018年大气和水污染防治攻坚战目标责任书》，2018年</w:t>
            </w:r>
            <w:r>
              <w:rPr>
                <w:rFonts w:hint="eastAsia"/>
                <w:color w:val="000000" w:themeColor="text1"/>
                <w:sz w:val="24"/>
                <w14:textFill>
                  <w14:solidFill>
                    <w14:schemeClr w14:val="tx1"/>
                  </w14:solidFill>
                </w14:textFill>
              </w:rPr>
              <w:t>蟒河南官庄断面</w:t>
            </w:r>
            <w:r>
              <w:rPr>
                <w:color w:val="000000" w:themeColor="text1"/>
                <w:sz w:val="24"/>
                <w14:textFill>
                  <w14:solidFill>
                    <w14:schemeClr w14:val="tx1"/>
                  </w14:solidFill>
                </w14:textFill>
              </w:rPr>
              <w:t>目标水质为：COD：</w:t>
            </w:r>
            <w:r>
              <w:rPr>
                <w:rFonts w:hint="eastAsia"/>
                <w:color w:val="000000" w:themeColor="text1"/>
                <w:sz w:val="24"/>
                <w14:textFill>
                  <w14:solidFill>
                    <w14:schemeClr w14:val="tx1"/>
                  </w14:solidFill>
                </w14:textFill>
              </w:rPr>
              <w:t>40</w:t>
            </w:r>
            <w:r>
              <w:rPr>
                <w:color w:val="000000" w:themeColor="text1"/>
                <w:sz w:val="24"/>
                <w14:textFill>
                  <w14:solidFill>
                    <w14:schemeClr w14:val="tx1"/>
                  </w14:solidFill>
                </w14:textFill>
              </w:rPr>
              <w:t>mg/L、氨氮：</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mg/L</w:t>
            </w:r>
            <w:r>
              <w:rPr>
                <w:rFonts w:hint="eastAsia"/>
                <w:color w:val="000000" w:themeColor="text1"/>
                <w:sz w:val="24"/>
                <w14:textFill>
                  <w14:solidFill>
                    <w14:schemeClr w14:val="tx1"/>
                  </w14:solidFill>
                </w14:textFill>
              </w:rPr>
              <w:t>、总磷0.4</w:t>
            </w:r>
            <w:r>
              <w:rPr>
                <w:color w:val="000000" w:themeColor="text1"/>
                <w:sz w:val="24"/>
                <w14:textFill>
                  <w14:solidFill>
                    <w14:schemeClr w14:val="tx1"/>
                  </w14:solidFill>
                </w14:textFill>
              </w:rPr>
              <w:t>mg/L</w:t>
            </w:r>
            <w:r>
              <w:rPr>
                <w:rFonts w:hint="eastAsia"/>
                <w:color w:val="000000" w:themeColor="text1"/>
                <w:sz w:val="24"/>
                <w14:textFill>
                  <w14:solidFill>
                    <w14:schemeClr w14:val="tx1"/>
                  </w14:solidFill>
                </w14:textFill>
              </w:rPr>
              <w:t>，2018年1月-12月份COD、氨氮、总磷均能够满足该目标限值的要求</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另外，</w:t>
            </w:r>
            <w:r>
              <w:rPr>
                <w:color w:val="000000" w:themeColor="text1"/>
                <w:sz w:val="24"/>
                <w14:textFill>
                  <w14:solidFill>
                    <w14:schemeClr w14:val="tx1"/>
                  </w14:solidFill>
                </w14:textFill>
              </w:rPr>
              <w:t>随着《济源市污染防治攻坚战三年行动计划》（2018-2020年）（济政〔2018〕29号）的实施，</w:t>
            </w:r>
            <w:r>
              <w:rPr>
                <w:rFonts w:hint="eastAsia"/>
                <w:color w:val="000000" w:themeColor="text1"/>
                <w:sz w:val="24"/>
                <w14:textFill>
                  <w14:solidFill>
                    <w14:schemeClr w14:val="tx1"/>
                  </w14:solidFill>
                </w14:textFill>
              </w:rPr>
              <w:t>蟒河</w:t>
            </w:r>
            <w:r>
              <w:rPr>
                <w:color w:val="000000" w:themeColor="text1"/>
                <w:sz w:val="24"/>
                <w14:textFill>
                  <w14:solidFill>
                    <w14:schemeClr w14:val="tx1"/>
                  </w14:solidFill>
                </w14:textFill>
              </w:rPr>
              <w:t>水质将逐渐好转</w:t>
            </w:r>
            <w:r>
              <w:rPr>
                <w:bCs/>
                <w:sz w:val="24"/>
              </w:rPr>
              <w:t>，济政〔2018〕29号文针对改善地表水质量主要采取</w:t>
            </w:r>
            <w:r>
              <w:rPr>
                <w:rFonts w:hint="eastAsia"/>
                <w:bCs/>
                <w:sz w:val="24"/>
              </w:rPr>
              <w:t>区</w:t>
            </w:r>
            <w:r>
              <w:rPr>
                <w:bCs/>
                <w:sz w:val="24"/>
              </w:rPr>
              <w:t>实施方案如下</w:t>
            </w:r>
            <w:r>
              <w:rPr>
                <w:rFonts w:hint="eastAsia"/>
                <w:bCs/>
                <w:sz w:val="24"/>
              </w:rPr>
              <w:t>。</w:t>
            </w:r>
          </w:p>
          <w:p>
            <w:pPr>
              <w:spacing w:line="240" w:lineRule="auto"/>
              <w:jc w:val="center"/>
              <w:rPr>
                <w:rFonts w:eastAsia="黑体"/>
                <w:sz w:val="24"/>
              </w:rPr>
            </w:pPr>
            <w:r>
              <w:rPr>
                <w:rFonts w:eastAsia="黑体"/>
                <w:sz w:val="24"/>
              </w:rPr>
              <w:t>济源市三年行动计划目标（地表水）</w:t>
            </w:r>
          </w:p>
          <w:tbl>
            <w:tblPr>
              <w:tblStyle w:val="12"/>
              <w:tblW w:w="8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9"/>
              <w:gridCol w:w="75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59" w:type="dxa"/>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b/>
                      <w:szCs w:val="21"/>
                    </w:rPr>
                  </w:pPr>
                  <w:r>
                    <w:rPr>
                      <w:b/>
                      <w:szCs w:val="21"/>
                    </w:rPr>
                    <w:t>年度</w:t>
                  </w:r>
                </w:p>
              </w:tc>
              <w:tc>
                <w:tcPr>
                  <w:tcW w:w="7581" w:type="dxa"/>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b/>
                      <w:szCs w:val="21"/>
                    </w:rPr>
                  </w:pPr>
                  <w:r>
                    <w:rPr>
                      <w:b/>
                      <w:szCs w:val="21"/>
                    </w:rPr>
                    <w:t>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59" w:type="dxa"/>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eastAsiaTheme="minorEastAsia"/>
                      <w:szCs w:val="21"/>
                    </w:rPr>
                  </w:pPr>
                  <w:r>
                    <w:rPr>
                      <w:rFonts w:eastAsiaTheme="minorEastAsia"/>
                      <w:szCs w:val="21"/>
                    </w:rPr>
                    <w:t>2018年</w:t>
                  </w:r>
                </w:p>
              </w:tc>
              <w:tc>
                <w:tcPr>
                  <w:tcW w:w="7581" w:type="dxa"/>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eastAsiaTheme="minorEastAsia"/>
                      <w:szCs w:val="21"/>
                    </w:rPr>
                  </w:pPr>
                  <w:r>
                    <w:rPr>
                      <w:rFonts w:eastAsiaTheme="minorEastAsia"/>
                      <w:spacing w:val="8"/>
                      <w:kern w:val="0"/>
                      <w:szCs w:val="21"/>
                      <w:shd w:val="clear" w:color="auto" w:fill="FFFFFF"/>
                    </w:rPr>
                    <w:t>全市地表水质量达到或优于</w:t>
                  </w:r>
                  <w:r>
                    <w:rPr>
                      <w:rFonts w:hint="eastAsia" w:ascii="宋体" w:hAnsi="宋体" w:cs="宋体"/>
                      <w:spacing w:val="8"/>
                      <w:kern w:val="0"/>
                      <w:szCs w:val="21"/>
                      <w:shd w:val="clear" w:color="auto" w:fill="FFFFFF"/>
                    </w:rPr>
                    <w:t>Ⅲ</w:t>
                  </w:r>
                  <w:r>
                    <w:rPr>
                      <w:rFonts w:eastAsiaTheme="minorEastAsia"/>
                      <w:spacing w:val="8"/>
                      <w:kern w:val="0"/>
                      <w:szCs w:val="21"/>
                      <w:shd w:val="clear" w:color="auto" w:fill="FFFFFF"/>
                    </w:rPr>
                    <w:t>类水质断面比例总体达到55%以上，基本消除城市黑臭水体，地表水环境质量得到阶段性改善；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59" w:type="dxa"/>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eastAsiaTheme="minorEastAsia"/>
                      <w:szCs w:val="21"/>
                    </w:rPr>
                  </w:pPr>
                  <w:r>
                    <w:rPr>
                      <w:rFonts w:eastAsiaTheme="minorEastAsia"/>
                      <w:szCs w:val="21"/>
                    </w:rPr>
                    <w:t>2019年</w:t>
                  </w:r>
                </w:p>
              </w:tc>
              <w:tc>
                <w:tcPr>
                  <w:tcW w:w="7581" w:type="dxa"/>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eastAsiaTheme="minorEastAsia"/>
                      <w:szCs w:val="21"/>
                    </w:rPr>
                  </w:pPr>
                  <w:r>
                    <w:rPr>
                      <w:rFonts w:eastAsiaTheme="minorEastAsia"/>
                      <w:spacing w:val="8"/>
                      <w:kern w:val="0"/>
                      <w:szCs w:val="21"/>
                      <w:shd w:val="clear" w:color="auto" w:fill="FFFFFF"/>
                    </w:rPr>
                    <w:t>全市地表水质量达到或优于</w:t>
                  </w:r>
                  <w:r>
                    <w:rPr>
                      <w:rFonts w:hint="eastAsia" w:ascii="宋体" w:hAnsi="宋体" w:cs="宋体"/>
                      <w:spacing w:val="8"/>
                      <w:kern w:val="0"/>
                      <w:szCs w:val="21"/>
                      <w:shd w:val="clear" w:color="auto" w:fill="FFFFFF"/>
                    </w:rPr>
                    <w:t>Ⅲ</w:t>
                  </w:r>
                  <w:r>
                    <w:rPr>
                      <w:rFonts w:eastAsiaTheme="minorEastAsia"/>
                      <w:spacing w:val="8"/>
                      <w:kern w:val="0"/>
                      <w:szCs w:val="21"/>
                      <w:shd w:val="clear" w:color="auto" w:fill="FFFFFF"/>
                    </w:rPr>
                    <w:t>类水质断面比例总体达到60%以上，全面消除城市黑臭水体和劣V类水体，地表水环境质量得到总体改善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59" w:type="dxa"/>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eastAsiaTheme="minorEastAsia"/>
                      <w:szCs w:val="21"/>
                    </w:rPr>
                  </w:pPr>
                  <w:r>
                    <w:rPr>
                      <w:rFonts w:eastAsiaTheme="minorEastAsia"/>
                      <w:szCs w:val="21"/>
                    </w:rPr>
                    <w:t>2020年</w:t>
                  </w:r>
                </w:p>
              </w:tc>
              <w:tc>
                <w:tcPr>
                  <w:tcW w:w="7581" w:type="dxa"/>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eastAsiaTheme="minorEastAsia"/>
                      <w:szCs w:val="21"/>
                    </w:rPr>
                  </w:pPr>
                  <w:r>
                    <w:rPr>
                      <w:rFonts w:eastAsiaTheme="minorEastAsia"/>
                      <w:spacing w:val="8"/>
                      <w:kern w:val="0"/>
                      <w:szCs w:val="21"/>
                      <w:shd w:val="clear" w:color="auto" w:fill="FFFFFF"/>
                    </w:rPr>
                    <w:t>全市地表水质量达到或优于</w:t>
                  </w:r>
                  <w:r>
                    <w:rPr>
                      <w:rFonts w:hint="eastAsia" w:ascii="宋体" w:hAnsi="宋体" w:cs="宋体"/>
                      <w:spacing w:val="8"/>
                      <w:kern w:val="0"/>
                      <w:szCs w:val="21"/>
                      <w:shd w:val="clear" w:color="auto" w:fill="FFFFFF"/>
                    </w:rPr>
                    <w:t>Ⅲ</w:t>
                  </w:r>
                  <w:r>
                    <w:rPr>
                      <w:rFonts w:eastAsiaTheme="minorEastAsia"/>
                      <w:spacing w:val="8"/>
                      <w:kern w:val="0"/>
                      <w:szCs w:val="21"/>
                      <w:shd w:val="clear" w:color="auto" w:fill="FFFFFF"/>
                    </w:rPr>
                    <w:t>类水质断面总体比例力争达到全国平均水平70%；所有水体考核断面水质达到</w:t>
                  </w:r>
                  <w:r>
                    <w:rPr>
                      <w:rFonts w:hint="eastAsia" w:ascii="宋体" w:hAnsi="宋体" w:cs="宋体"/>
                      <w:spacing w:val="8"/>
                      <w:kern w:val="0"/>
                      <w:szCs w:val="21"/>
                      <w:shd w:val="clear" w:color="auto" w:fill="FFFFFF"/>
                    </w:rPr>
                    <w:t>Ⅳ</w:t>
                  </w:r>
                  <w:r>
                    <w:rPr>
                      <w:rFonts w:eastAsiaTheme="minorEastAsia"/>
                      <w:spacing w:val="8"/>
                      <w:kern w:val="0"/>
                      <w:szCs w:val="21"/>
                      <w:shd w:val="clear" w:color="auto" w:fill="FFFFFF"/>
                    </w:rPr>
                    <w:t>类以上，地表水环境质量全面改善</w:t>
                  </w:r>
                </w:p>
              </w:tc>
            </w:tr>
          </w:tbl>
          <w:p>
            <w:pPr>
              <w:snapToGrid w:val="0"/>
              <w:spacing w:line="500" w:lineRule="exact"/>
              <w:jc w:val="center"/>
              <w:rPr>
                <w:sz w:val="24"/>
              </w:rPr>
            </w:pPr>
            <w:r>
              <w:rPr>
                <w:rFonts w:eastAsia="黑体"/>
                <w:kern w:val="0"/>
                <w:sz w:val="24"/>
              </w:rPr>
              <w:t>济源市三年行动计划实施方案</w:t>
            </w:r>
            <w:r>
              <w:rPr>
                <w:rFonts w:eastAsia="黑体"/>
                <w:sz w:val="24"/>
              </w:rPr>
              <w:t>（地表水）</w:t>
            </w:r>
          </w:p>
          <w:tbl>
            <w:tblPr>
              <w:tblStyle w:val="12"/>
              <w:tblW w:w="8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7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79" w:type="dxa"/>
                  <w:vAlign w:val="center"/>
                </w:tcPr>
                <w:p>
                  <w:pPr>
                    <w:keepNext w:val="0"/>
                    <w:keepLines w:val="0"/>
                    <w:pageBreakBefore w:val="0"/>
                    <w:widowControl w:val="0"/>
                    <w:kinsoku/>
                    <w:wordWrap/>
                    <w:overflowPunct/>
                    <w:topLinePunct w:val="0"/>
                    <w:bidi w:val="0"/>
                    <w:adjustRightInd w:val="0"/>
                    <w:snapToGrid w:val="0"/>
                    <w:spacing w:line="220" w:lineRule="exact"/>
                    <w:jc w:val="center"/>
                    <w:textAlignment w:val="auto"/>
                    <w:rPr>
                      <w:rFonts w:eastAsiaTheme="minorEastAsia"/>
                      <w:b/>
                      <w:szCs w:val="21"/>
                    </w:rPr>
                  </w:pPr>
                  <w:r>
                    <w:rPr>
                      <w:rFonts w:eastAsiaTheme="minorEastAsia"/>
                      <w:b/>
                      <w:szCs w:val="21"/>
                    </w:rPr>
                    <w:t>类别</w:t>
                  </w:r>
                </w:p>
              </w:tc>
              <w:tc>
                <w:tcPr>
                  <w:tcW w:w="7761" w:type="dxa"/>
                  <w:vAlign w:val="center"/>
                </w:tcPr>
                <w:p>
                  <w:pPr>
                    <w:keepNext w:val="0"/>
                    <w:keepLines w:val="0"/>
                    <w:pageBreakBefore w:val="0"/>
                    <w:widowControl w:val="0"/>
                    <w:kinsoku/>
                    <w:wordWrap/>
                    <w:overflowPunct/>
                    <w:topLinePunct w:val="0"/>
                    <w:bidi w:val="0"/>
                    <w:adjustRightInd w:val="0"/>
                    <w:snapToGrid w:val="0"/>
                    <w:spacing w:line="220" w:lineRule="exact"/>
                    <w:jc w:val="center"/>
                    <w:textAlignment w:val="auto"/>
                    <w:rPr>
                      <w:rFonts w:eastAsiaTheme="minorEastAsia"/>
                      <w:b/>
                      <w:szCs w:val="21"/>
                    </w:rPr>
                  </w:pPr>
                  <w:r>
                    <w:rPr>
                      <w:rFonts w:eastAsiaTheme="minorEastAsia"/>
                      <w:b/>
                      <w:szCs w:val="21"/>
                    </w:rPr>
                    <w:t>具体实施方案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79" w:type="dxa"/>
                  <w:vAlign w:val="center"/>
                </w:tcPr>
                <w:p>
                  <w:pPr>
                    <w:keepNext w:val="0"/>
                    <w:keepLines w:val="0"/>
                    <w:pageBreakBefore w:val="0"/>
                    <w:widowControl w:val="0"/>
                    <w:kinsoku/>
                    <w:wordWrap/>
                    <w:overflowPunct/>
                    <w:topLinePunct w:val="0"/>
                    <w:autoSpaceDE w:val="0"/>
                    <w:autoSpaceDN w:val="0"/>
                    <w:bidi w:val="0"/>
                    <w:adjustRightInd w:val="0"/>
                    <w:snapToGrid w:val="0"/>
                    <w:spacing w:line="220" w:lineRule="exact"/>
                    <w:jc w:val="left"/>
                    <w:textAlignment w:val="auto"/>
                    <w:rPr>
                      <w:rFonts w:eastAsiaTheme="minorEastAsia"/>
                      <w:szCs w:val="21"/>
                    </w:rPr>
                  </w:pPr>
                  <w:r>
                    <w:rPr>
                      <w:rFonts w:eastAsiaTheme="minorEastAsia"/>
                      <w:spacing w:val="8"/>
                      <w:kern w:val="0"/>
                      <w:szCs w:val="21"/>
                      <w:shd w:val="clear" w:color="auto" w:fill="FFFFFF"/>
                    </w:rPr>
                    <w:t>（一）打好城市黑臭水体治理攻坚战役。</w:t>
                  </w:r>
                </w:p>
              </w:tc>
              <w:tc>
                <w:tcPr>
                  <w:tcW w:w="7761" w:type="dxa"/>
                  <w:vAlign w:val="center"/>
                </w:tcPr>
                <w:p>
                  <w:pPr>
                    <w:keepNext w:val="0"/>
                    <w:keepLines w:val="0"/>
                    <w:pageBreakBefore w:val="0"/>
                    <w:widowControl w:val="0"/>
                    <w:kinsoku/>
                    <w:wordWrap/>
                    <w:overflowPunct/>
                    <w:topLinePunct w:val="0"/>
                    <w:autoSpaceDE w:val="0"/>
                    <w:autoSpaceDN w:val="0"/>
                    <w:bidi w:val="0"/>
                    <w:adjustRightInd w:val="0"/>
                    <w:snapToGrid w:val="0"/>
                    <w:spacing w:line="220" w:lineRule="exact"/>
                    <w:jc w:val="lef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通过提升城镇污水处理设施及配套管网建设水平，提高污水收集、处理率，治理黑臭水体，并建立长效机制。</w:t>
                  </w:r>
                </w:p>
                <w:p>
                  <w:pPr>
                    <w:keepNext w:val="0"/>
                    <w:keepLines w:val="0"/>
                    <w:pageBreakBefore w:val="0"/>
                    <w:widowControl w:val="0"/>
                    <w:kinsoku/>
                    <w:wordWrap/>
                    <w:overflowPunct/>
                    <w:topLinePunct w:val="0"/>
                    <w:autoSpaceDE w:val="0"/>
                    <w:autoSpaceDN w:val="0"/>
                    <w:bidi w:val="0"/>
                    <w:adjustRightInd w:val="0"/>
                    <w:snapToGrid w:val="0"/>
                    <w:spacing w:line="220" w:lineRule="exact"/>
                    <w:jc w:val="lef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1.全力推进城市建成区黑臭水体治理。开展城市黑臭水体整治环境保护专项行动，强化监督检查。按照“控源截污、内源治理、生态修复、活水保质”的要求，系统推进城市黑臭水体治理。2018年底，城市建成区黑臭水体基本消除黑臭现象；进一步拉网式排查建成区黑臭水体，建立台账。2019年，城市建成区基本完成黑臭水体（含新排查的）整治工作。2020年底，城市建成区全面消除黑臭水体，实现长治久清。</w:t>
                  </w:r>
                </w:p>
                <w:p>
                  <w:pPr>
                    <w:keepNext w:val="0"/>
                    <w:keepLines w:val="0"/>
                    <w:pageBreakBefore w:val="0"/>
                    <w:widowControl w:val="0"/>
                    <w:kinsoku/>
                    <w:wordWrap/>
                    <w:overflowPunct/>
                    <w:topLinePunct w:val="0"/>
                    <w:autoSpaceDE w:val="0"/>
                    <w:autoSpaceDN w:val="0"/>
                    <w:bidi w:val="0"/>
                    <w:adjustRightInd w:val="0"/>
                    <w:snapToGrid w:val="0"/>
                    <w:spacing w:line="220" w:lineRule="exact"/>
                    <w:jc w:val="lef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2.强力推进城镇污水收集和处理设施建设。</w:t>
                  </w:r>
                </w:p>
                <w:p>
                  <w:pPr>
                    <w:keepNext w:val="0"/>
                    <w:keepLines w:val="0"/>
                    <w:pageBreakBefore w:val="0"/>
                    <w:widowControl w:val="0"/>
                    <w:kinsoku/>
                    <w:wordWrap/>
                    <w:overflowPunct/>
                    <w:topLinePunct w:val="0"/>
                    <w:autoSpaceDE w:val="0"/>
                    <w:autoSpaceDN w:val="0"/>
                    <w:bidi w:val="0"/>
                    <w:adjustRightInd w:val="0"/>
                    <w:snapToGrid w:val="0"/>
                    <w:spacing w:line="220" w:lineRule="exact"/>
                    <w:jc w:val="left"/>
                    <w:textAlignment w:val="auto"/>
                    <w:rPr>
                      <w:rFonts w:eastAsiaTheme="minorEastAsia"/>
                      <w:szCs w:val="21"/>
                    </w:rPr>
                  </w:pPr>
                  <w:r>
                    <w:rPr>
                      <w:rFonts w:eastAsiaTheme="minorEastAsia"/>
                      <w:spacing w:val="8"/>
                      <w:kern w:val="0"/>
                      <w:szCs w:val="21"/>
                      <w:shd w:val="clear" w:color="auto" w:fill="FFFFFF"/>
                    </w:rPr>
                    <w:t>实施城镇污水处理“提质增效”三年行动，加快补齐城镇污水收集和处理设施短板，尽快实现污水管网全覆盖、全收集、全处理。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79" w:type="dxa"/>
                  <w:vAlign w:val="center"/>
                </w:tcPr>
                <w:p>
                  <w:pPr>
                    <w:keepNext w:val="0"/>
                    <w:keepLines w:val="0"/>
                    <w:pageBreakBefore w:val="0"/>
                    <w:widowControl w:val="0"/>
                    <w:kinsoku/>
                    <w:wordWrap/>
                    <w:overflowPunct/>
                    <w:topLinePunct w:val="0"/>
                    <w:autoSpaceDE w:val="0"/>
                    <w:autoSpaceDN w:val="0"/>
                    <w:bidi w:val="0"/>
                    <w:adjustRightInd w:val="0"/>
                    <w:snapToGrid w:val="0"/>
                    <w:spacing w:line="220" w:lineRule="exact"/>
                    <w:jc w:val="lef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（三）打好全域清洁河流攻坚战役。全面贯彻落实“河长制”，保障河流生态流量，逐步恢复水生态。</w:t>
                  </w:r>
                </w:p>
              </w:tc>
              <w:tc>
                <w:tcPr>
                  <w:tcW w:w="7761" w:type="dxa"/>
                  <w:vAlign w:val="center"/>
                </w:tcPr>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1.开展河道综合整治。</w:t>
                  </w:r>
                </w:p>
                <w:p>
                  <w:pPr>
                    <w:keepNext w:val="0"/>
                    <w:keepLines w:val="0"/>
                    <w:pageBreakBefore w:val="0"/>
                    <w:widowControl w:val="0"/>
                    <w:kinsoku/>
                    <w:wordWrap/>
                    <w:overflowPunct/>
                    <w:topLinePunct w:val="0"/>
                    <w:autoSpaceDE w:val="0"/>
                    <w:autoSpaceDN w:val="0"/>
                    <w:bidi w:val="0"/>
                    <w:adjustRightInd w:val="0"/>
                    <w:snapToGrid w:val="0"/>
                    <w:spacing w:line="220" w:lineRule="exact"/>
                    <w:jc w:val="lef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2018年，开展水域岸线管理范围内的垃圾（秸秆）、入河直排口、餐饮、网箱养殖、河道采砂、码头、旱厕和堤身岸坡滩地农作物施肥种植等排查整治；优先完成对全市地表水政府责任目标断面上游5000米、下游500米及河道两侧500米左右范围问题的排查整治，并纳入“一河一策”长效管护机制。2019年基本完成全部入河排污口（沟渠）整治。2020年全面完成整治任务。</w:t>
                  </w:r>
                </w:p>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2.改善河流生态流量。</w:t>
                  </w:r>
                </w:p>
                <w:p>
                  <w:pPr>
                    <w:keepNext w:val="0"/>
                    <w:keepLines w:val="0"/>
                    <w:pageBreakBefore w:val="0"/>
                    <w:widowControl w:val="0"/>
                    <w:kinsoku/>
                    <w:wordWrap/>
                    <w:overflowPunct/>
                    <w:topLinePunct w:val="0"/>
                    <w:autoSpaceDE w:val="0"/>
                    <w:autoSpaceDN w:val="0"/>
                    <w:bidi w:val="0"/>
                    <w:adjustRightInd w:val="0"/>
                    <w:snapToGrid w:val="0"/>
                    <w:spacing w:line="220" w:lineRule="exact"/>
                    <w:jc w:val="lef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完善水资源配置体系，建设水系重大连通工程，充分利用水资源分配量，最大限度地补充河流生态流量。</w:t>
                  </w:r>
                </w:p>
                <w:p>
                  <w:pPr>
                    <w:keepNext w:val="0"/>
                    <w:keepLines w:val="0"/>
                    <w:pageBreakBefore w:val="0"/>
                    <w:widowControl w:val="0"/>
                    <w:kinsoku/>
                    <w:wordWrap/>
                    <w:overflowPunct/>
                    <w:topLinePunct w:val="0"/>
                    <w:autoSpaceDE w:val="0"/>
                    <w:autoSpaceDN w:val="0"/>
                    <w:bidi w:val="0"/>
                    <w:adjustRightInd w:val="0"/>
                    <w:snapToGrid w:val="0"/>
                    <w:spacing w:line="220" w:lineRule="exact"/>
                    <w:jc w:val="lef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3.推进水污染综合整治及水生态保护修复。</w:t>
                  </w:r>
                </w:p>
                <w:p>
                  <w:pPr>
                    <w:keepNext w:val="0"/>
                    <w:keepLines w:val="0"/>
                    <w:pageBreakBefore w:val="0"/>
                    <w:widowControl w:val="0"/>
                    <w:kinsoku/>
                    <w:wordWrap/>
                    <w:overflowPunct/>
                    <w:topLinePunct w:val="0"/>
                    <w:autoSpaceDE w:val="0"/>
                    <w:autoSpaceDN w:val="0"/>
                    <w:bidi w:val="0"/>
                    <w:adjustRightInd w:val="0"/>
                    <w:snapToGrid w:val="0"/>
                    <w:spacing w:line="220" w:lineRule="exact"/>
                    <w:jc w:val="lef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加强河湖水污染综合整治及水生态保护、修复等。水利、住建、环保等相关部门，按照年度目标要求，制定实施我市全域水质整体改善方案；蟒河、济河及其支流要有针对性地制定实施河流水质提升专项方案，确保到2020年断面水质全部达到或好于</w:t>
                  </w:r>
                  <w:r>
                    <w:rPr>
                      <w:rFonts w:hint="eastAsia" w:ascii="宋体" w:hAnsi="宋体" w:cs="宋体"/>
                      <w:spacing w:val="8"/>
                      <w:kern w:val="0"/>
                      <w:szCs w:val="21"/>
                      <w:shd w:val="clear" w:color="auto" w:fill="FFFFFF"/>
                    </w:rPr>
                    <w:t>Ⅳ</w:t>
                  </w:r>
                  <w:r>
                    <w:rPr>
                      <w:rFonts w:eastAsiaTheme="minorEastAsia"/>
                      <w:spacing w:val="8"/>
                      <w:kern w:val="0"/>
                      <w:szCs w:val="21"/>
                      <w:shd w:val="clear" w:color="auto" w:fill="FFFFFF"/>
                    </w:rPr>
                    <w:t>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79" w:type="dxa"/>
                  <w:vAlign w:val="center"/>
                </w:tcPr>
                <w:p>
                  <w:pPr>
                    <w:keepNext w:val="0"/>
                    <w:keepLines w:val="0"/>
                    <w:pageBreakBefore w:val="0"/>
                    <w:widowControl w:val="0"/>
                    <w:kinsoku/>
                    <w:wordWrap/>
                    <w:overflowPunct/>
                    <w:topLinePunct w:val="0"/>
                    <w:autoSpaceDE w:val="0"/>
                    <w:autoSpaceDN w:val="0"/>
                    <w:bidi w:val="0"/>
                    <w:adjustRightInd w:val="0"/>
                    <w:snapToGrid w:val="0"/>
                    <w:spacing w:line="220" w:lineRule="exact"/>
                    <w:jc w:val="lef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（四）打好农业农村污染治理攻坚战役。</w:t>
                  </w:r>
                </w:p>
              </w:tc>
              <w:tc>
                <w:tcPr>
                  <w:tcW w:w="7761" w:type="dxa"/>
                  <w:vAlign w:val="center"/>
                </w:tcPr>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1.治理农村污水、垃圾。</w:t>
                  </w:r>
                </w:p>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全市推进农村生活污水、垃圾处理统一规划、统一建设、统一运行、统一管理。因地制宜采用低成本、低能耗、易维护、高效率的污水处理技术，优先推进饮用水水源保护区、河流两侧、镇政府所在地、交通干线沿线和市界周边乡镇的村庄生活污水治理。</w:t>
                  </w:r>
                </w:p>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2.防控农村改厕后粪污污染。</w:t>
                  </w:r>
                </w:p>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农村改厕后的粪污必须得到有效收集处理或利用，坚决防止污染公共水体。改厕后，污水能进入管网及处理设施的，必须全收集、全处理并达标排放；不能进入污水处理设施的，应采取定期抽运等收集处置方式，予以综合利用，有效管控改厕之后产生的粪污。</w:t>
                  </w:r>
                </w:p>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3.推进畜禽养殖粪污资源化利用。</w:t>
                  </w:r>
                </w:p>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现有规模化畜禽养殖场（小区）要配套建设与养殖规模相适宜的粪便污水防渗防溢流贮存设施，以及粪便污水收集、利用和无害化处理设施。积极引导散养密集区实行畜禽粪便污水分户收集、集中处理利用。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79" w:type="dxa"/>
                  <w:vAlign w:val="center"/>
                </w:tcPr>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（五）统筹推进其他各项水污染防治工作。</w:t>
                  </w:r>
                </w:p>
              </w:tc>
              <w:tc>
                <w:tcPr>
                  <w:tcW w:w="7761" w:type="dxa"/>
                  <w:vAlign w:val="center"/>
                </w:tcPr>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1.调整结构、优化布局。加快城市建成区、重点流域等的重污染企业搬迁改造，2018年年底前，就此制定专项计划并向社会公开。城市建成区内现有的钢铁、有色金属、造纸、印染、原料药制造、化工等污染较重的企业，应有序搬迁改造或依法关闭。</w:t>
                  </w:r>
                </w:p>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2.严格环境准入。</w:t>
                  </w:r>
                </w:p>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对重点区域、重点流域、重点行业和产业布局开展规划环评，严格项目环境准入，严格控制重点流域、重点区域环境风险项目。</w:t>
                  </w:r>
                </w:p>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3.全面推进企业清洁生产。</w:t>
                  </w:r>
                </w:p>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4.提升产业集聚（开发）区污水处理水平。</w:t>
                  </w:r>
                </w:p>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现有省级产业集聚区建成区域必须实现管网全配套，污水集中处理设施必须做到稳定达标运行，同时安装自动在线监控装置；加快推进其他各类各级园区污水管网和集中处理设施建设。排污单位对污水进行预处理后向污水集中处理设施排放的，应当符合集中处理设施的接纳标准。</w:t>
                  </w:r>
                </w:p>
                <w:p>
                  <w:pPr>
                    <w:keepNext w:val="0"/>
                    <w:keepLines w:val="0"/>
                    <w:pageBreakBefore w:val="0"/>
                    <w:widowControl w:val="0"/>
                    <w:kinsoku/>
                    <w:wordWrap/>
                    <w:overflowPunct/>
                    <w:topLinePunct w:val="0"/>
                    <w:bidi w:val="0"/>
                    <w:adjustRightInd w:val="0"/>
                    <w:snapToGrid w:val="0"/>
                    <w:spacing w:line="220" w:lineRule="exact"/>
                    <w:textAlignment w:val="auto"/>
                    <w:rPr>
                      <w:rFonts w:eastAsiaTheme="minorEastAsia"/>
                      <w:spacing w:val="8"/>
                      <w:kern w:val="0"/>
                      <w:szCs w:val="21"/>
                      <w:shd w:val="clear" w:color="auto" w:fill="FFFFFF"/>
                    </w:rPr>
                  </w:pPr>
                  <w:r>
                    <w:rPr>
                      <w:rFonts w:eastAsiaTheme="minorEastAsia"/>
                      <w:spacing w:val="8"/>
                      <w:kern w:val="0"/>
                      <w:szCs w:val="21"/>
                      <w:shd w:val="clear" w:color="auto" w:fill="FFFFFF"/>
                    </w:rPr>
                    <w:t>5.开展交通运输业水污染防治。</w:t>
                  </w:r>
                </w:p>
              </w:tc>
            </w:tr>
          </w:tbl>
          <w:p>
            <w:pPr>
              <w:keepNext w:val="0"/>
              <w:keepLines w:val="0"/>
              <w:pageBreakBefore w:val="0"/>
              <w:widowControl w:val="0"/>
              <w:kinsoku/>
              <w:wordWrap/>
              <w:overflowPunct/>
              <w:topLinePunct w:val="0"/>
              <w:autoSpaceDE w:val="0"/>
              <w:autoSpaceDN w:val="0"/>
              <w:bidi w:val="0"/>
              <w:adjustRightInd w:val="0"/>
              <w:snapToGrid w:val="0"/>
              <w:spacing w:line="400" w:lineRule="exact"/>
              <w:ind w:firstLine="482" w:firstLineChars="200"/>
              <w:jc w:val="left"/>
              <w:textAlignment w:val="auto"/>
              <w:rPr>
                <w:rFonts w:ascii="黑体" w:hAnsi="黑体" w:eastAsia="黑体" w:cs="黑体"/>
                <w:b/>
                <w:bCs/>
                <w:sz w:val="24"/>
              </w:rPr>
            </w:pPr>
            <w:r>
              <w:rPr>
                <w:rFonts w:hint="eastAsia" w:ascii="黑体" w:hAnsi="黑体" w:eastAsia="黑体" w:cs="黑体"/>
                <w:b/>
                <w:bCs/>
                <w:sz w:val="24"/>
              </w:rPr>
              <w:t>4、生态环境现状</w:t>
            </w:r>
          </w:p>
          <w:p>
            <w:pPr>
              <w:keepNext w:val="0"/>
              <w:keepLines w:val="0"/>
              <w:pageBreakBefore w:val="0"/>
              <w:widowControl w:val="0"/>
              <w:kinsoku/>
              <w:wordWrap/>
              <w:overflowPunct/>
              <w:topLinePunct w:val="0"/>
              <w:bidi w:val="0"/>
              <w:snapToGrid w:val="0"/>
              <w:spacing w:line="400" w:lineRule="exact"/>
              <w:ind w:firstLine="470" w:firstLineChars="196"/>
              <w:textAlignment w:val="auto"/>
              <w:rPr>
                <w:sz w:val="28"/>
              </w:rPr>
            </w:pPr>
            <w:r>
              <w:rPr>
                <w:rFonts w:ascii="宋体" w:hAnsi="宋体"/>
                <w:sz w:val="24"/>
              </w:rPr>
              <w:t>本项目</w:t>
            </w:r>
            <w:r>
              <w:rPr>
                <w:rFonts w:hint="eastAsia" w:ascii="宋体" w:hAnsi="宋体"/>
                <w:sz w:val="24"/>
              </w:rPr>
              <w:t>周边</w:t>
            </w:r>
            <w:r>
              <w:rPr>
                <w:rFonts w:hint="eastAsia" w:ascii="宋体" w:hAnsi="宋体"/>
                <w:sz w:val="24"/>
                <w:lang w:eastAsia="zh-CN"/>
              </w:rPr>
              <w:t>多</w:t>
            </w:r>
            <w:r>
              <w:rPr>
                <w:rFonts w:hint="eastAsia" w:ascii="宋体" w:hAnsi="宋体"/>
                <w:sz w:val="24"/>
              </w:rPr>
              <w:t>为其他企业，</w:t>
            </w:r>
            <w:r>
              <w:rPr>
                <w:rFonts w:hint="eastAsia" w:ascii="宋体" w:hAnsi="宋体"/>
                <w:sz w:val="24"/>
                <w:lang w:eastAsia="zh-CN"/>
              </w:rPr>
              <w:t>周围植被以农作物及灌木丛为主，</w:t>
            </w:r>
            <w:r>
              <w:rPr>
                <w:rFonts w:ascii="宋体" w:hAnsi="宋体"/>
                <w:sz w:val="24"/>
              </w:rPr>
              <w:t>无珍稀动植物群落及其它生态敏感点。</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3948" w:hRule="atLeast"/>
          <w:jc w:val="center"/>
        </w:trPr>
        <w:tc>
          <w:tcPr>
            <w:tcW w:w="9018" w:type="dxa"/>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eastAsia="黑体"/>
                <w:sz w:val="24"/>
              </w:rPr>
            </w:pPr>
            <w:r>
              <w:rPr>
                <w:rFonts w:eastAsia="黑体"/>
                <w:sz w:val="24"/>
              </w:rPr>
              <w:t>主要环境保护目标（列出名单及保护级别）</w:t>
            </w:r>
          </w:p>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88" w:firstLineChars="245"/>
              <w:textAlignment w:val="auto"/>
              <w:rPr>
                <w:rFonts w:ascii="Times New Roman" w:hAnsi="Times New Roman"/>
                <w:sz w:val="24"/>
              </w:rPr>
            </w:pPr>
            <w:r>
              <w:rPr>
                <w:rFonts w:ascii="Times New Roman" w:hAnsi="Times New Roman"/>
                <w:sz w:val="24"/>
              </w:rPr>
              <w:t>根据工程污染物的排放特点及其对外界环境的影响程度和环境功能区划的要求，确定主要环境保护目标</w:t>
            </w:r>
            <w:r>
              <w:rPr>
                <w:rFonts w:hint="eastAsia" w:ascii="Times New Roman" w:hAnsi="Times New Roman"/>
                <w:sz w:val="24"/>
              </w:rPr>
              <w:t>见下表</w:t>
            </w:r>
            <w:r>
              <w:rPr>
                <w:rFonts w:ascii="Times New Roman" w:hAnsi="Times New Roman"/>
                <w:sz w:val="24"/>
              </w:rPr>
              <w:t>：</w:t>
            </w:r>
          </w:p>
          <w:p>
            <w:pPr>
              <w:pStyle w:val="8"/>
              <w:keepNext w:val="0"/>
              <w:keepLines w:val="0"/>
              <w:pageBreakBefore w:val="0"/>
              <w:widowControl w:val="0"/>
              <w:kinsoku/>
              <w:wordWrap/>
              <w:overflowPunct/>
              <w:topLinePunct w:val="0"/>
              <w:autoSpaceDE/>
              <w:autoSpaceDN/>
              <w:bidi w:val="0"/>
              <w:adjustRightInd w:val="0"/>
              <w:snapToGrid w:val="0"/>
              <w:spacing w:line="240" w:lineRule="auto"/>
              <w:ind w:firstLine="235" w:firstLineChars="98"/>
              <w:jc w:val="center"/>
              <w:textAlignment w:val="auto"/>
              <w:rPr>
                <w:rFonts w:ascii="黑体" w:hAnsi="Times New Roman" w:eastAsia="黑体"/>
                <w:sz w:val="24"/>
              </w:rPr>
            </w:pPr>
            <w:r>
              <w:rPr>
                <w:rFonts w:hint="eastAsia" w:ascii="黑体" w:hAnsi="Times New Roman" w:eastAsia="黑体"/>
                <w:sz w:val="24"/>
              </w:rPr>
              <w:t>主要环境保护目标</w:t>
            </w:r>
          </w:p>
          <w:tbl>
            <w:tblPr>
              <w:tblStyle w:val="12"/>
              <w:tblW w:w="85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6"/>
              <w:gridCol w:w="1290"/>
              <w:gridCol w:w="1605"/>
              <w:gridCol w:w="1425"/>
              <w:gridCol w:w="2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296" w:type="dxa"/>
                  <w:vAlign w:val="center"/>
                </w:tcPr>
                <w:p>
                  <w:pPr>
                    <w:snapToGrid w:val="0"/>
                    <w:jc w:val="center"/>
                    <w:rPr>
                      <w:szCs w:val="21"/>
                    </w:rPr>
                  </w:pPr>
                  <w:r>
                    <w:rPr>
                      <w:rFonts w:hint="eastAsia"/>
                      <w:szCs w:val="21"/>
                    </w:rPr>
                    <w:t>环境类别</w:t>
                  </w:r>
                </w:p>
              </w:tc>
              <w:tc>
                <w:tcPr>
                  <w:tcW w:w="1290" w:type="dxa"/>
                  <w:vAlign w:val="center"/>
                </w:tcPr>
                <w:p>
                  <w:pPr>
                    <w:snapToGrid w:val="0"/>
                    <w:jc w:val="center"/>
                    <w:rPr>
                      <w:szCs w:val="21"/>
                    </w:rPr>
                  </w:pPr>
                  <w:r>
                    <w:rPr>
                      <w:rFonts w:hint="eastAsia"/>
                      <w:szCs w:val="21"/>
                    </w:rPr>
                    <w:t>保护目标</w:t>
                  </w:r>
                </w:p>
              </w:tc>
              <w:tc>
                <w:tcPr>
                  <w:tcW w:w="1605" w:type="dxa"/>
                  <w:vAlign w:val="center"/>
                </w:tcPr>
                <w:p>
                  <w:pPr>
                    <w:snapToGrid w:val="0"/>
                    <w:jc w:val="center"/>
                    <w:rPr>
                      <w:rFonts w:hint="eastAsia" w:eastAsia="宋体"/>
                      <w:szCs w:val="21"/>
                      <w:lang w:eastAsia="zh-CN"/>
                    </w:rPr>
                  </w:pPr>
                  <w:r>
                    <w:rPr>
                      <w:rFonts w:hint="eastAsia"/>
                      <w:szCs w:val="21"/>
                    </w:rPr>
                    <w:t>现有人口</w:t>
                  </w:r>
                  <w:r>
                    <w:rPr>
                      <w:rFonts w:hint="eastAsia"/>
                      <w:szCs w:val="21"/>
                      <w:lang w:eastAsia="zh-CN"/>
                    </w:rPr>
                    <w:t>（人）</w:t>
                  </w:r>
                </w:p>
              </w:tc>
              <w:tc>
                <w:tcPr>
                  <w:tcW w:w="1425" w:type="dxa"/>
                  <w:vAlign w:val="center"/>
                </w:tcPr>
                <w:p>
                  <w:pPr>
                    <w:snapToGrid w:val="0"/>
                    <w:jc w:val="center"/>
                    <w:rPr>
                      <w:szCs w:val="21"/>
                    </w:rPr>
                  </w:pPr>
                  <w:r>
                    <w:rPr>
                      <w:rFonts w:hint="eastAsia"/>
                      <w:szCs w:val="21"/>
                    </w:rPr>
                    <w:t>与厂界距离</w:t>
                  </w:r>
                </w:p>
              </w:tc>
              <w:tc>
                <w:tcPr>
                  <w:tcW w:w="2891" w:type="dxa"/>
                  <w:vAlign w:val="center"/>
                </w:tcPr>
                <w:p>
                  <w:pPr>
                    <w:snapToGrid w:val="0"/>
                    <w:jc w:val="center"/>
                    <w:rPr>
                      <w:szCs w:val="21"/>
                    </w:rPr>
                  </w:pPr>
                  <w:r>
                    <w:rPr>
                      <w:rFonts w:hint="eastAsia"/>
                      <w:szCs w:val="21"/>
                    </w:rPr>
                    <w:t>保护级别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296" w:type="dxa"/>
                  <w:vAlign w:val="center"/>
                </w:tcPr>
                <w:p>
                  <w:pPr>
                    <w:snapToGrid w:val="0"/>
                    <w:jc w:val="center"/>
                    <w:rPr>
                      <w:szCs w:val="21"/>
                    </w:rPr>
                  </w:pPr>
                  <w:r>
                    <w:rPr>
                      <w:rFonts w:hint="eastAsia"/>
                      <w:szCs w:val="21"/>
                      <w:lang w:eastAsia="zh-CN"/>
                    </w:rPr>
                    <w:t>水环境</w:t>
                  </w:r>
                </w:p>
              </w:tc>
              <w:tc>
                <w:tcPr>
                  <w:tcW w:w="1290" w:type="dxa"/>
                  <w:vAlign w:val="center"/>
                </w:tcPr>
                <w:p>
                  <w:pPr>
                    <w:snapToGrid w:val="0"/>
                    <w:jc w:val="center"/>
                    <w:rPr>
                      <w:rFonts w:hint="default" w:eastAsia="宋体"/>
                      <w:szCs w:val="21"/>
                      <w:lang w:val="en-US" w:eastAsia="zh-CN"/>
                    </w:rPr>
                  </w:pPr>
                  <w:r>
                    <w:rPr>
                      <w:rFonts w:hint="eastAsia"/>
                      <w:szCs w:val="21"/>
                      <w:lang w:val="en-US" w:eastAsia="zh-CN"/>
                    </w:rPr>
                    <w:t>塌七河</w:t>
                  </w:r>
                </w:p>
              </w:tc>
              <w:tc>
                <w:tcPr>
                  <w:tcW w:w="1605" w:type="dxa"/>
                  <w:vAlign w:val="center"/>
                </w:tcPr>
                <w:p>
                  <w:pPr>
                    <w:snapToGrid w:val="0"/>
                    <w:jc w:val="center"/>
                    <w:rPr>
                      <w:rFonts w:hint="default" w:eastAsia="宋体"/>
                      <w:szCs w:val="21"/>
                      <w:lang w:val="en-US" w:eastAsia="zh-CN"/>
                    </w:rPr>
                  </w:pPr>
                  <w:r>
                    <w:rPr>
                      <w:rFonts w:hint="eastAsia"/>
                      <w:szCs w:val="21"/>
                      <w:lang w:val="en-US" w:eastAsia="zh-CN"/>
                    </w:rPr>
                    <w:t>/</w:t>
                  </w:r>
                </w:p>
              </w:tc>
              <w:tc>
                <w:tcPr>
                  <w:tcW w:w="1425" w:type="dxa"/>
                  <w:vAlign w:val="center"/>
                </w:tcPr>
                <w:p>
                  <w:pPr>
                    <w:snapToGrid w:val="0"/>
                    <w:jc w:val="center"/>
                    <w:rPr>
                      <w:rFonts w:hint="default" w:eastAsia="宋体"/>
                      <w:szCs w:val="21"/>
                      <w:lang w:val="en-US" w:eastAsia="zh-CN"/>
                    </w:rPr>
                  </w:pPr>
                  <w:r>
                    <w:rPr>
                      <w:rFonts w:hint="eastAsia"/>
                      <w:szCs w:val="21"/>
                      <w:lang w:val="en-US" w:eastAsia="zh-CN"/>
                    </w:rPr>
                    <w:t>S 310m</w:t>
                  </w:r>
                </w:p>
              </w:tc>
              <w:tc>
                <w:tcPr>
                  <w:tcW w:w="2891" w:type="dxa"/>
                  <w:vAlign w:val="center"/>
                </w:tcPr>
                <w:p>
                  <w:pPr>
                    <w:adjustRightInd w:val="0"/>
                    <w:snapToGrid w:val="0"/>
                    <w:jc w:val="center"/>
                    <w:rPr>
                      <w:rFonts w:hint="default" w:ascii="宋体" w:hAnsi="宋体" w:eastAsia="宋体"/>
                      <w:szCs w:val="21"/>
                      <w:lang w:val="en-US" w:eastAsia="zh-CN"/>
                    </w:rPr>
                  </w:pPr>
                  <w:r>
                    <w:rPr>
                      <w:rFonts w:hint="eastAsia" w:ascii="宋体" w:hAnsi="宋体"/>
                      <w:szCs w:val="21"/>
                      <w:lang w:eastAsia="zh-CN"/>
                    </w:rPr>
                    <w:t>《环境空气质量标准》</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GB3095-2012</w:t>
                  </w:r>
                  <w:r>
                    <w:rPr>
                      <w:rFonts w:hint="default" w:ascii="Times New Roman" w:hAnsi="Times New Roman" w:cs="Times New Roman"/>
                      <w:szCs w:val="21"/>
                      <w:lang w:eastAsia="zh-CN"/>
                    </w:rPr>
                    <w:t>）</w:t>
                  </w:r>
                  <w:r>
                    <w:rPr>
                      <w:rFonts w:hint="eastAsia" w:ascii="宋体" w:hAnsi="宋体"/>
                      <w:szCs w:val="21"/>
                      <w:lang w:eastAsia="zh-CN"/>
                    </w:rPr>
                    <w:t>表</w:t>
                  </w:r>
                  <w:r>
                    <w:rPr>
                      <w:rFonts w:hint="eastAsia" w:ascii="宋体" w:hAnsi="宋体"/>
                      <w:szCs w:val="21"/>
                      <w:lang w:val="en-US" w:eastAsia="zh-CN"/>
                    </w:rPr>
                    <w:t>1二级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296" w:type="dxa"/>
                  <w:vAlign w:val="center"/>
                </w:tcPr>
                <w:p>
                  <w:pPr>
                    <w:snapToGrid w:val="0"/>
                    <w:jc w:val="center"/>
                    <w:rPr>
                      <w:rFonts w:hint="eastAsia" w:eastAsia="宋体"/>
                      <w:szCs w:val="21"/>
                      <w:lang w:eastAsia="zh-CN"/>
                    </w:rPr>
                  </w:pPr>
                  <w:r>
                    <w:rPr>
                      <w:rFonts w:hint="eastAsia"/>
                      <w:szCs w:val="21"/>
                      <w:lang w:eastAsia="zh-CN"/>
                    </w:rPr>
                    <w:t>环境噪声</w:t>
                  </w:r>
                </w:p>
              </w:tc>
              <w:tc>
                <w:tcPr>
                  <w:tcW w:w="1290" w:type="dxa"/>
                  <w:vAlign w:val="center"/>
                </w:tcPr>
                <w:p>
                  <w:pPr>
                    <w:snapToGrid w:val="0"/>
                    <w:jc w:val="center"/>
                    <w:rPr>
                      <w:rFonts w:hint="eastAsia"/>
                      <w:szCs w:val="21"/>
                      <w:lang w:eastAsia="zh-CN"/>
                    </w:rPr>
                  </w:pPr>
                  <w:r>
                    <w:rPr>
                      <w:rFonts w:hint="eastAsia"/>
                      <w:szCs w:val="21"/>
                      <w:lang w:eastAsia="zh-CN"/>
                    </w:rPr>
                    <w:t>涧南庄村</w:t>
                  </w:r>
                </w:p>
              </w:tc>
              <w:tc>
                <w:tcPr>
                  <w:tcW w:w="1605" w:type="dxa"/>
                  <w:vAlign w:val="center"/>
                </w:tcPr>
                <w:p>
                  <w:pPr>
                    <w:snapToGrid w:val="0"/>
                    <w:jc w:val="center"/>
                    <w:rPr>
                      <w:rFonts w:hint="default"/>
                      <w:szCs w:val="21"/>
                      <w:lang w:val="en-US" w:eastAsia="zh-CN"/>
                    </w:rPr>
                  </w:pPr>
                  <w:r>
                    <w:rPr>
                      <w:rFonts w:hint="eastAsia"/>
                      <w:szCs w:val="21"/>
                      <w:lang w:val="en-US" w:eastAsia="zh-CN"/>
                    </w:rPr>
                    <w:t>850</w:t>
                  </w:r>
                </w:p>
              </w:tc>
              <w:tc>
                <w:tcPr>
                  <w:tcW w:w="1425" w:type="dxa"/>
                  <w:vAlign w:val="center"/>
                </w:tcPr>
                <w:p>
                  <w:pPr>
                    <w:snapToGrid w:val="0"/>
                    <w:jc w:val="center"/>
                    <w:rPr>
                      <w:rFonts w:hint="default"/>
                      <w:szCs w:val="21"/>
                      <w:lang w:val="en-US" w:eastAsia="zh-CN"/>
                    </w:rPr>
                  </w:pPr>
                  <w:r>
                    <w:rPr>
                      <w:rFonts w:hint="eastAsia"/>
                      <w:szCs w:val="21"/>
                      <w:lang w:val="en-US" w:eastAsia="zh-CN"/>
                    </w:rPr>
                    <w:t>S 10m</w:t>
                  </w:r>
                </w:p>
              </w:tc>
              <w:tc>
                <w:tcPr>
                  <w:tcW w:w="2891" w:type="dxa"/>
                  <w:vAlign w:val="center"/>
                </w:tcPr>
                <w:p>
                  <w:pPr>
                    <w:adjustRightInd w:val="0"/>
                    <w:snapToGrid w:val="0"/>
                    <w:jc w:val="center"/>
                    <w:rPr>
                      <w:rFonts w:hint="default" w:ascii="宋体" w:hAnsi="宋体" w:eastAsia="宋体"/>
                      <w:szCs w:val="21"/>
                      <w:lang w:val="en-US" w:eastAsia="zh-CN"/>
                    </w:rPr>
                  </w:pPr>
                  <w:r>
                    <w:rPr>
                      <w:rFonts w:hint="eastAsia" w:ascii="宋体" w:hAnsi="宋体"/>
                      <w:szCs w:val="21"/>
                      <w:lang w:eastAsia="zh-CN"/>
                    </w:rPr>
                    <w:t>《声环境质量标准》</w:t>
                  </w:r>
                  <w:r>
                    <w:rPr>
                      <w:rFonts w:hint="eastAsia" w:ascii="宋体" w:hAnsi="宋体"/>
                      <w:szCs w:val="21"/>
                      <w:lang w:val="en-US" w:eastAsia="zh-CN"/>
                    </w:rPr>
                    <w:t>1类</w:t>
                  </w:r>
                </w:p>
              </w:tc>
            </w:tr>
          </w:tbl>
          <w:p>
            <w:pPr>
              <w:pStyle w:val="8"/>
              <w:spacing w:line="360" w:lineRule="exact"/>
              <w:ind w:firstLine="0" w:firstLineChars="0"/>
              <w:rPr>
                <w:rFonts w:ascii="Times New Roman" w:hAnsi="Times New Roman"/>
              </w:rPr>
            </w:pPr>
          </w:p>
        </w:tc>
      </w:tr>
    </w:tbl>
    <w:p>
      <w:pPr>
        <w:rPr>
          <w:rFonts w:eastAsia="黑体"/>
          <w:sz w:val="32"/>
          <w:szCs w:val="32"/>
        </w:rPr>
      </w:pPr>
      <w:r>
        <w:rPr>
          <w:rFonts w:eastAsia="黑体"/>
          <w:sz w:val="32"/>
          <w:szCs w:val="32"/>
        </w:rPr>
        <w:t>评价适用标准</w:t>
      </w:r>
    </w:p>
    <w:tbl>
      <w:tblPr>
        <w:tblStyle w:val="12"/>
        <w:tblW w:w="9338" w:type="dxa"/>
        <w:tblInd w:w="-30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0"/>
        <w:gridCol w:w="864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529" w:hRule="atLeast"/>
        </w:trPr>
        <w:tc>
          <w:tcPr>
            <w:tcW w:w="690" w:type="dxa"/>
            <w:tcBorders>
              <w:top w:val="single" w:color="auto" w:sz="12" w:space="0"/>
            </w:tcBorders>
            <w:textDirection w:val="tbRlV"/>
            <w:vAlign w:val="center"/>
          </w:tcPr>
          <w:p>
            <w:pPr>
              <w:ind w:left="113" w:right="113"/>
              <w:jc w:val="center"/>
              <w:rPr>
                <w:szCs w:val="21"/>
              </w:rPr>
            </w:pPr>
            <w:r>
              <w:rPr>
                <w:szCs w:val="21"/>
              </w:rPr>
              <w:t>环 境 质 量 标 准</w:t>
            </w:r>
          </w:p>
        </w:tc>
        <w:tc>
          <w:tcPr>
            <w:tcW w:w="8648" w:type="dxa"/>
            <w:tcBorders>
              <w:top w:val="single" w:color="auto" w:sz="12" w:space="0"/>
            </w:tcBorders>
            <w:vAlign w:val="center"/>
          </w:tcPr>
          <w:p>
            <w:pPr>
              <w:spacing w:line="360" w:lineRule="auto"/>
              <w:rPr>
                <w:rFonts w:asciiTheme="majorEastAsia" w:hAnsiTheme="majorEastAsia" w:eastAsiaTheme="majorEastAsia" w:cstheme="majorEastAsia"/>
                <w:sz w:val="24"/>
              </w:rPr>
            </w:pPr>
            <w:r>
              <w:rPr>
                <w:rFonts w:hint="default" w:ascii="Times New Roman" w:hAnsi="Times New Roman" w:cs="Times New Roman" w:eastAsiaTheme="majorEastAsia"/>
                <w:sz w:val="24"/>
                <w:lang w:val="en-US" w:eastAsia="zh-CN"/>
              </w:rPr>
              <w:t>1</w:t>
            </w:r>
            <w:r>
              <w:rPr>
                <w:rFonts w:hint="eastAsia" w:asciiTheme="majorEastAsia" w:hAnsiTheme="majorEastAsia" w:eastAsiaTheme="majorEastAsia" w:cstheme="majorEastAsia"/>
                <w:sz w:val="24"/>
                <w:lang w:val="en-US" w:eastAsia="zh-CN"/>
              </w:rPr>
              <w:t>、</w:t>
            </w:r>
            <w:r>
              <w:rPr>
                <w:rFonts w:hint="eastAsia" w:asciiTheme="majorEastAsia" w:hAnsiTheme="majorEastAsia" w:eastAsiaTheme="majorEastAsia" w:cstheme="majorEastAsia"/>
                <w:sz w:val="24"/>
              </w:rPr>
              <w:t>《环境空气质量标准》（</w:t>
            </w:r>
            <w:r>
              <w:rPr>
                <w:rFonts w:eastAsiaTheme="majorEastAsia"/>
                <w:sz w:val="24"/>
              </w:rPr>
              <w:t>GB3095-2012</w:t>
            </w:r>
            <w:r>
              <w:rPr>
                <w:rFonts w:hint="eastAsia" w:asciiTheme="majorEastAsia" w:hAnsiTheme="majorEastAsia" w:eastAsiaTheme="majorEastAsia" w:cstheme="majorEastAsia"/>
                <w:sz w:val="24"/>
              </w:rPr>
              <w:t>）二级</w:t>
            </w:r>
            <w:r>
              <w:rPr>
                <w:rStyle w:val="15"/>
                <w:rFonts w:hint="eastAsia" w:ascii="Times New Roman" w:cs="Times New Roman"/>
                <w:color w:val="auto"/>
                <w:kern w:val="2"/>
                <w:lang w:eastAsia="zh-CN"/>
              </w:rPr>
              <w:t>（</w:t>
            </w:r>
            <w:r>
              <w:rPr>
                <w:rFonts w:hint="eastAsia" w:ascii="Times New Roman" w:cs="Times New Roman" w:eastAsiaTheme="majorEastAsia"/>
                <w:vertAlign w:val="baseline"/>
                <w:lang w:eastAsia="zh-CN"/>
              </w:rPr>
              <w:t>日均值</w:t>
            </w:r>
            <w:r>
              <w:rPr>
                <w:rStyle w:val="15"/>
                <w:rFonts w:hint="eastAsia" w:ascii="Times New Roman" w:cs="Times New Roman"/>
                <w:color w:val="auto"/>
                <w:kern w:val="2"/>
                <w:lang w:eastAsia="zh-CN"/>
              </w:rPr>
              <w:t>）</w:t>
            </w:r>
          </w:p>
          <w:p>
            <w:pPr>
              <w:pStyle w:val="16"/>
              <w:spacing w:line="360" w:lineRule="auto"/>
              <w:ind w:firstLine="240" w:firstLineChars="100"/>
              <w:rPr>
                <w:rFonts w:ascii="Times New Roman" w:cs="Times New Roman" w:eastAsiaTheme="majorEastAsia"/>
              </w:rPr>
            </w:pPr>
            <w:r>
              <w:rPr>
                <w:rFonts w:ascii="Times New Roman" w:cs="Times New Roman" w:eastAsiaTheme="majorEastAsia"/>
              </w:rPr>
              <w:t>PM</w:t>
            </w:r>
            <w:r>
              <w:rPr>
                <w:rFonts w:ascii="Times New Roman" w:cs="Times New Roman" w:eastAsiaTheme="majorEastAsia"/>
                <w:vertAlign w:val="subscript"/>
              </w:rPr>
              <w:t>10</w:t>
            </w:r>
            <w:r>
              <w:rPr>
                <w:rFonts w:ascii="Times New Roman" w:cs="Times New Roman" w:eastAsiaTheme="majorEastAsia"/>
              </w:rPr>
              <w:t>：</w:t>
            </w:r>
            <w:r>
              <w:rPr>
                <w:rFonts w:hint="eastAsia" w:ascii="Times New Roman" w:cs="Times New Roman" w:eastAsiaTheme="majorEastAsia"/>
                <w:lang w:val="en-US" w:eastAsia="zh-CN"/>
              </w:rPr>
              <w:t>150</w:t>
            </w:r>
            <w:r>
              <w:rPr>
                <w:bCs/>
                <w:szCs w:val="21"/>
              </w:rPr>
              <w:t>μ</w:t>
            </w:r>
            <w:r>
              <w:rPr>
                <w:rFonts w:ascii="Times New Roman" w:cs="Times New Roman" w:eastAsiaTheme="majorEastAsia"/>
              </w:rPr>
              <w:t>g/m</w:t>
            </w:r>
            <w:r>
              <w:rPr>
                <w:rFonts w:ascii="Times New Roman" w:cs="Times New Roman" w:eastAsiaTheme="majorEastAsia"/>
                <w:vertAlign w:val="superscript"/>
              </w:rPr>
              <w:t>3</w:t>
            </w:r>
            <w:r>
              <w:rPr>
                <w:rFonts w:ascii="Times New Roman" w:cs="Times New Roman" w:eastAsiaTheme="majorEastAsia"/>
              </w:rPr>
              <w:t xml:space="preserve">  PM</w:t>
            </w:r>
            <w:r>
              <w:rPr>
                <w:rFonts w:ascii="Times New Roman" w:cs="Times New Roman" w:eastAsiaTheme="majorEastAsia"/>
                <w:vertAlign w:val="subscript"/>
              </w:rPr>
              <w:t>2.5</w:t>
            </w:r>
            <w:r>
              <w:rPr>
                <w:rFonts w:ascii="Times New Roman" w:cs="Times New Roman" w:eastAsiaTheme="majorEastAsia"/>
              </w:rPr>
              <w:t>：75</w:t>
            </w:r>
            <w:r>
              <w:rPr>
                <w:bCs/>
                <w:szCs w:val="21"/>
              </w:rPr>
              <w:t>μ</w:t>
            </w:r>
            <w:r>
              <w:rPr>
                <w:rFonts w:ascii="Times New Roman" w:cs="Times New Roman" w:eastAsiaTheme="majorEastAsia"/>
              </w:rPr>
              <w:t>g/m</w:t>
            </w:r>
            <w:r>
              <w:rPr>
                <w:rFonts w:ascii="Times New Roman" w:cs="Times New Roman" w:eastAsiaTheme="majorEastAsia"/>
                <w:vertAlign w:val="superscript"/>
              </w:rPr>
              <w:t>3</w:t>
            </w:r>
            <w:r>
              <w:rPr>
                <w:rFonts w:ascii="Times New Roman" w:cs="Times New Roman" w:eastAsiaTheme="majorEastAsia"/>
              </w:rPr>
              <w:t xml:space="preserve">  SO</w:t>
            </w:r>
            <w:r>
              <w:rPr>
                <w:rFonts w:ascii="Times New Roman" w:cs="Times New Roman" w:eastAsiaTheme="majorEastAsia"/>
                <w:vertAlign w:val="subscript"/>
              </w:rPr>
              <w:t>2</w:t>
            </w:r>
            <w:r>
              <w:rPr>
                <w:rFonts w:ascii="Times New Roman" w:cs="Times New Roman" w:eastAsiaTheme="majorEastAsia"/>
              </w:rPr>
              <w:t>：15</w:t>
            </w:r>
            <w:r>
              <w:rPr>
                <w:rFonts w:hint="eastAsia" w:ascii="Times New Roman" w:cs="Times New Roman" w:eastAsiaTheme="majorEastAsia"/>
                <w:lang w:val="en-US" w:eastAsia="zh-CN"/>
              </w:rPr>
              <w:t>0</w:t>
            </w:r>
            <w:r>
              <w:rPr>
                <w:bCs/>
                <w:szCs w:val="21"/>
              </w:rPr>
              <w:t>μ</w:t>
            </w:r>
            <w:r>
              <w:rPr>
                <w:rFonts w:ascii="Times New Roman" w:cs="Times New Roman" w:eastAsiaTheme="majorEastAsia"/>
              </w:rPr>
              <w:t>g/m</w:t>
            </w:r>
            <w:r>
              <w:rPr>
                <w:rFonts w:ascii="Times New Roman" w:cs="Times New Roman" w:eastAsiaTheme="majorEastAsia"/>
                <w:vertAlign w:val="superscript"/>
              </w:rPr>
              <w:t>3</w:t>
            </w:r>
            <w:r>
              <w:rPr>
                <w:rFonts w:ascii="Times New Roman" w:cs="Times New Roman" w:eastAsiaTheme="majorEastAsia"/>
              </w:rPr>
              <w:t xml:space="preserve"> </w:t>
            </w:r>
          </w:p>
          <w:p>
            <w:pPr>
              <w:pStyle w:val="16"/>
              <w:spacing w:line="360" w:lineRule="auto"/>
              <w:ind w:firstLine="240" w:firstLineChars="100"/>
              <w:rPr>
                <w:rFonts w:hint="eastAsia" w:ascii="Times New Roman" w:cs="Times New Roman" w:eastAsiaTheme="majorEastAsia"/>
                <w:vertAlign w:val="baseline"/>
                <w:lang w:eastAsia="zh-CN"/>
              </w:rPr>
            </w:pPr>
            <w:r>
              <w:rPr>
                <w:rFonts w:ascii="Times New Roman" w:cs="Times New Roman" w:eastAsiaTheme="majorEastAsia"/>
              </w:rPr>
              <w:t>NO</w:t>
            </w:r>
            <w:r>
              <w:rPr>
                <w:rFonts w:ascii="Times New Roman" w:cs="Times New Roman" w:eastAsiaTheme="majorEastAsia"/>
                <w:vertAlign w:val="subscript"/>
              </w:rPr>
              <w:t>2</w:t>
            </w:r>
            <w:r>
              <w:rPr>
                <w:rFonts w:ascii="Times New Roman" w:cs="Times New Roman" w:eastAsiaTheme="majorEastAsia"/>
              </w:rPr>
              <w:t>：15</w:t>
            </w:r>
            <w:r>
              <w:rPr>
                <w:rFonts w:hint="eastAsia" w:ascii="Times New Roman" w:cs="Times New Roman" w:eastAsiaTheme="majorEastAsia"/>
                <w:lang w:val="en-US" w:eastAsia="zh-CN"/>
              </w:rPr>
              <w:t>0</w:t>
            </w:r>
            <w:r>
              <w:rPr>
                <w:bCs/>
                <w:szCs w:val="21"/>
              </w:rPr>
              <w:t>μ</w:t>
            </w:r>
            <w:r>
              <w:rPr>
                <w:rFonts w:ascii="Times New Roman" w:cs="Times New Roman" w:eastAsiaTheme="majorEastAsia"/>
              </w:rPr>
              <w:t>g/m</w:t>
            </w:r>
            <w:r>
              <w:rPr>
                <w:rFonts w:ascii="Times New Roman" w:cs="Times New Roman" w:eastAsiaTheme="majorEastAsia"/>
                <w:vertAlign w:val="superscript"/>
              </w:rPr>
              <w:t>3</w:t>
            </w:r>
            <w:r>
              <w:rPr>
                <w:rFonts w:ascii="Times New Roman" w:cs="Times New Roman" w:eastAsiaTheme="majorEastAsia"/>
              </w:rPr>
              <w:t xml:space="preserve">   CO：4</w:t>
            </w:r>
            <w:r>
              <w:rPr>
                <w:rFonts w:hint="eastAsia" w:ascii="Times New Roman" w:cs="Times New Roman" w:eastAsiaTheme="majorEastAsia"/>
                <w:lang w:val="en-US" w:eastAsia="zh-CN"/>
              </w:rPr>
              <w:t>m</w:t>
            </w:r>
            <w:r>
              <w:rPr>
                <w:rFonts w:ascii="Times New Roman" w:cs="Times New Roman" w:eastAsiaTheme="majorEastAsia"/>
              </w:rPr>
              <w:t>g/m</w:t>
            </w:r>
            <w:r>
              <w:rPr>
                <w:rFonts w:ascii="Times New Roman" w:cs="Times New Roman" w:eastAsiaTheme="majorEastAsia"/>
                <w:vertAlign w:val="superscript"/>
              </w:rPr>
              <w:t>3</w:t>
            </w:r>
            <w:r>
              <w:rPr>
                <w:rFonts w:ascii="Times New Roman" w:cs="Times New Roman" w:eastAsiaTheme="majorEastAsia"/>
              </w:rPr>
              <w:t xml:space="preserve">    O</w:t>
            </w:r>
            <w:r>
              <w:rPr>
                <w:rFonts w:ascii="Times New Roman" w:cs="Times New Roman" w:eastAsiaTheme="majorEastAsia"/>
                <w:vertAlign w:val="subscript"/>
              </w:rPr>
              <w:t>3</w:t>
            </w:r>
            <w:r>
              <w:rPr>
                <w:rFonts w:ascii="Times New Roman" w:cs="Times New Roman" w:eastAsiaTheme="majorEastAsia"/>
              </w:rPr>
              <w:t>：16</w:t>
            </w:r>
            <w:r>
              <w:rPr>
                <w:rFonts w:hint="eastAsia" w:ascii="Times New Roman" w:cs="Times New Roman" w:eastAsiaTheme="majorEastAsia"/>
                <w:lang w:val="en-US" w:eastAsia="zh-CN"/>
              </w:rPr>
              <w:t>0</w:t>
            </w:r>
            <w:r>
              <w:rPr>
                <w:bCs/>
                <w:szCs w:val="21"/>
              </w:rPr>
              <w:t>μ</w:t>
            </w:r>
            <w:r>
              <w:rPr>
                <w:rFonts w:ascii="Times New Roman" w:cs="Times New Roman" w:eastAsiaTheme="majorEastAsia"/>
              </w:rPr>
              <w:t>g/m</w:t>
            </w:r>
            <w:r>
              <w:rPr>
                <w:rFonts w:ascii="Times New Roman" w:cs="Times New Roman" w:eastAsiaTheme="majorEastAsia"/>
                <w:vertAlign w:val="superscript"/>
              </w:rPr>
              <w:t>3</w:t>
            </w:r>
            <w:r>
              <w:rPr>
                <w:rFonts w:hint="eastAsia" w:ascii="Times New Roman" w:cs="Times New Roman" w:eastAsiaTheme="majorEastAsia"/>
                <w:vertAlign w:val="baseline"/>
                <w:lang w:eastAsia="zh-CN"/>
              </w:rPr>
              <w:t>（</w:t>
            </w:r>
            <w:r>
              <w:rPr>
                <w:rFonts w:hint="eastAsia" w:ascii="Times New Roman" w:cs="Times New Roman" w:eastAsiaTheme="majorEastAsia"/>
                <w:sz w:val="21"/>
                <w:szCs w:val="21"/>
                <w:vertAlign w:val="baseline"/>
                <w:lang w:eastAsia="zh-CN"/>
              </w:rPr>
              <w:t>日最大八小时滑动均值</w:t>
            </w:r>
            <w:r>
              <w:rPr>
                <w:rFonts w:hint="eastAsia" w:ascii="Times New Roman" w:cs="Times New Roman" w:eastAsiaTheme="majorEastAsia"/>
                <w:vertAlign w:val="baseline"/>
                <w:lang w:eastAsia="zh-CN"/>
              </w:rPr>
              <w:t>）</w:t>
            </w:r>
          </w:p>
          <w:p>
            <w:pPr>
              <w:spacing w:line="360" w:lineRule="auto"/>
              <w:rPr>
                <w:rFonts w:asciiTheme="majorEastAsia" w:hAnsiTheme="majorEastAsia" w:eastAsiaTheme="majorEastAsia" w:cstheme="majorEastAsia"/>
                <w:sz w:val="24"/>
              </w:rPr>
            </w:pPr>
            <w:r>
              <w:rPr>
                <w:rFonts w:hint="default" w:ascii="Times New Roman" w:hAnsi="Times New Roman" w:eastAsia="宋体" w:cs="Times New Roman"/>
                <w:sz w:val="24"/>
                <w:lang w:val="en-US" w:eastAsia="zh-CN"/>
              </w:rPr>
              <w:t>2</w:t>
            </w:r>
            <w:r>
              <w:rPr>
                <w:rFonts w:hint="eastAsia" w:asciiTheme="majorEastAsia" w:hAnsiTheme="majorEastAsia" w:eastAsiaTheme="majorEastAsia" w:cstheme="majorEastAsia"/>
                <w:sz w:val="24"/>
                <w:lang w:val="en-US" w:eastAsia="zh-CN"/>
              </w:rPr>
              <w:t>、</w:t>
            </w:r>
            <w:r>
              <w:rPr>
                <w:rFonts w:hint="eastAsia" w:asciiTheme="majorEastAsia" w:hAnsiTheme="majorEastAsia" w:eastAsiaTheme="majorEastAsia" w:cstheme="majorEastAsia"/>
                <w:sz w:val="24"/>
              </w:rPr>
              <w:t>《环境空气质量标准》（</w:t>
            </w:r>
            <w:r>
              <w:rPr>
                <w:rFonts w:eastAsiaTheme="majorEastAsia"/>
                <w:sz w:val="24"/>
              </w:rPr>
              <w:t>GB3095-2012</w:t>
            </w:r>
            <w:r>
              <w:rPr>
                <w:rFonts w:hint="eastAsia" w:asciiTheme="majorEastAsia" w:hAnsiTheme="majorEastAsia" w:eastAsiaTheme="majorEastAsia" w:cstheme="majorEastAsia"/>
                <w:sz w:val="24"/>
              </w:rPr>
              <w:t>）二级</w:t>
            </w:r>
            <w:r>
              <w:rPr>
                <w:rStyle w:val="15"/>
                <w:rFonts w:hint="eastAsia" w:ascii="Times New Roman" w:cs="Times New Roman"/>
                <w:color w:val="auto"/>
                <w:kern w:val="2"/>
                <w:lang w:eastAsia="zh-CN"/>
              </w:rPr>
              <w:t>（</w:t>
            </w:r>
            <w:r>
              <w:rPr>
                <w:rFonts w:hint="eastAsia" w:cs="Times New Roman" w:eastAsiaTheme="majorEastAsia"/>
                <w:vertAlign w:val="baseline"/>
                <w:lang w:eastAsia="zh-CN"/>
              </w:rPr>
              <w:t>年均值</w:t>
            </w:r>
            <w:r>
              <w:rPr>
                <w:rStyle w:val="15"/>
                <w:rFonts w:hint="eastAsia" w:ascii="Times New Roman" w:cs="Times New Roman"/>
                <w:color w:val="auto"/>
                <w:kern w:val="2"/>
                <w:lang w:eastAsia="zh-CN"/>
              </w:rPr>
              <w:t>）</w:t>
            </w:r>
          </w:p>
          <w:p>
            <w:pPr>
              <w:pStyle w:val="16"/>
              <w:spacing w:line="360" w:lineRule="auto"/>
              <w:ind w:firstLine="240" w:firstLineChars="100"/>
              <w:rPr>
                <w:rFonts w:ascii="Times New Roman" w:cs="Times New Roman" w:eastAsiaTheme="majorEastAsia"/>
              </w:rPr>
            </w:pPr>
            <w:r>
              <w:rPr>
                <w:rFonts w:ascii="Times New Roman" w:cs="Times New Roman" w:eastAsiaTheme="majorEastAsia"/>
              </w:rPr>
              <w:t>PM</w:t>
            </w:r>
            <w:r>
              <w:rPr>
                <w:rFonts w:ascii="Times New Roman" w:cs="Times New Roman" w:eastAsiaTheme="majorEastAsia"/>
                <w:vertAlign w:val="subscript"/>
              </w:rPr>
              <w:t>10</w:t>
            </w:r>
            <w:r>
              <w:rPr>
                <w:rFonts w:ascii="Times New Roman" w:cs="Times New Roman" w:eastAsiaTheme="majorEastAsia"/>
              </w:rPr>
              <w:t>：</w:t>
            </w:r>
            <w:r>
              <w:rPr>
                <w:rFonts w:hint="eastAsia" w:ascii="Times New Roman" w:cs="Times New Roman" w:eastAsiaTheme="majorEastAsia"/>
                <w:lang w:val="en-US" w:eastAsia="zh-CN"/>
              </w:rPr>
              <w:t>70</w:t>
            </w:r>
            <w:r>
              <w:rPr>
                <w:bCs/>
                <w:szCs w:val="21"/>
              </w:rPr>
              <w:t>μ</w:t>
            </w:r>
            <w:r>
              <w:rPr>
                <w:rFonts w:ascii="Times New Roman" w:cs="Times New Roman" w:eastAsiaTheme="majorEastAsia"/>
              </w:rPr>
              <w:t>g/m</w:t>
            </w:r>
            <w:r>
              <w:rPr>
                <w:rFonts w:ascii="Times New Roman" w:cs="Times New Roman" w:eastAsiaTheme="majorEastAsia"/>
                <w:vertAlign w:val="superscript"/>
              </w:rPr>
              <w:t>3</w:t>
            </w:r>
            <w:r>
              <w:rPr>
                <w:rFonts w:ascii="Times New Roman" w:cs="Times New Roman" w:eastAsiaTheme="majorEastAsia"/>
              </w:rPr>
              <w:t xml:space="preserve">  PM</w:t>
            </w:r>
            <w:r>
              <w:rPr>
                <w:rFonts w:ascii="Times New Roman" w:cs="Times New Roman" w:eastAsiaTheme="majorEastAsia"/>
                <w:vertAlign w:val="subscript"/>
              </w:rPr>
              <w:t>2.5</w:t>
            </w:r>
            <w:r>
              <w:rPr>
                <w:rFonts w:ascii="Times New Roman" w:cs="Times New Roman" w:eastAsiaTheme="majorEastAsia"/>
              </w:rPr>
              <w:t>：</w:t>
            </w:r>
            <w:r>
              <w:rPr>
                <w:rFonts w:hint="eastAsia" w:ascii="Times New Roman" w:cs="Times New Roman" w:eastAsiaTheme="majorEastAsia"/>
                <w:lang w:val="en-US" w:eastAsia="zh-CN"/>
              </w:rPr>
              <w:t>35</w:t>
            </w:r>
            <w:r>
              <w:rPr>
                <w:bCs/>
                <w:szCs w:val="21"/>
              </w:rPr>
              <w:t>μ</w:t>
            </w:r>
            <w:r>
              <w:rPr>
                <w:rFonts w:ascii="Times New Roman" w:cs="Times New Roman" w:eastAsiaTheme="majorEastAsia"/>
              </w:rPr>
              <w:t>g/m</w:t>
            </w:r>
            <w:r>
              <w:rPr>
                <w:rFonts w:ascii="Times New Roman" w:cs="Times New Roman" w:eastAsiaTheme="majorEastAsia"/>
                <w:vertAlign w:val="superscript"/>
              </w:rPr>
              <w:t>3</w:t>
            </w:r>
            <w:r>
              <w:rPr>
                <w:rFonts w:ascii="Times New Roman" w:cs="Times New Roman" w:eastAsiaTheme="majorEastAsia"/>
              </w:rPr>
              <w:t xml:space="preserve">  SO</w:t>
            </w:r>
            <w:r>
              <w:rPr>
                <w:rFonts w:ascii="Times New Roman" w:cs="Times New Roman" w:eastAsiaTheme="majorEastAsia"/>
                <w:vertAlign w:val="subscript"/>
              </w:rPr>
              <w:t>2</w:t>
            </w:r>
            <w:r>
              <w:rPr>
                <w:rFonts w:ascii="Times New Roman" w:cs="Times New Roman" w:eastAsiaTheme="majorEastAsia"/>
              </w:rPr>
              <w:t>：</w:t>
            </w:r>
            <w:r>
              <w:rPr>
                <w:rFonts w:hint="eastAsia" w:ascii="Times New Roman" w:cs="Times New Roman" w:eastAsiaTheme="majorEastAsia"/>
                <w:lang w:val="en-US" w:eastAsia="zh-CN"/>
              </w:rPr>
              <w:t>60</w:t>
            </w:r>
            <w:r>
              <w:rPr>
                <w:bCs/>
                <w:szCs w:val="21"/>
              </w:rPr>
              <w:t>μ</w:t>
            </w:r>
            <w:r>
              <w:rPr>
                <w:rFonts w:ascii="Times New Roman" w:cs="Times New Roman" w:eastAsiaTheme="majorEastAsia"/>
              </w:rPr>
              <w:t>g/m</w:t>
            </w:r>
            <w:r>
              <w:rPr>
                <w:rFonts w:ascii="Times New Roman" w:cs="Times New Roman" w:eastAsiaTheme="majorEastAsia"/>
                <w:vertAlign w:val="superscript"/>
              </w:rPr>
              <w:t>3</w:t>
            </w:r>
            <w:r>
              <w:rPr>
                <w:rFonts w:ascii="Times New Roman" w:cs="Times New Roman" w:eastAsiaTheme="majorEastAsia"/>
              </w:rPr>
              <w:t xml:space="preserve"> </w:t>
            </w:r>
            <w:r>
              <w:rPr>
                <w:rFonts w:hint="eastAsia" w:ascii="Times New Roman" w:cs="Times New Roman" w:eastAsiaTheme="majorEastAsia"/>
                <w:lang w:val="en-US" w:eastAsia="zh-CN"/>
              </w:rPr>
              <w:t xml:space="preserve">  </w:t>
            </w:r>
            <w:r>
              <w:rPr>
                <w:rFonts w:ascii="Times New Roman" w:cs="Times New Roman" w:eastAsiaTheme="majorEastAsia"/>
              </w:rPr>
              <w:t>NO</w:t>
            </w:r>
            <w:r>
              <w:rPr>
                <w:rFonts w:ascii="Times New Roman" w:cs="Times New Roman" w:eastAsiaTheme="majorEastAsia"/>
                <w:vertAlign w:val="subscript"/>
              </w:rPr>
              <w:t>2</w:t>
            </w:r>
            <w:r>
              <w:rPr>
                <w:rFonts w:ascii="Times New Roman" w:cs="Times New Roman" w:eastAsiaTheme="majorEastAsia"/>
              </w:rPr>
              <w:t>：</w:t>
            </w:r>
            <w:r>
              <w:rPr>
                <w:rFonts w:hint="eastAsia" w:ascii="Times New Roman" w:cs="Times New Roman" w:eastAsiaTheme="majorEastAsia"/>
                <w:lang w:val="en-US" w:eastAsia="zh-CN"/>
              </w:rPr>
              <w:t>40</w:t>
            </w:r>
            <w:r>
              <w:rPr>
                <w:bCs/>
                <w:szCs w:val="21"/>
              </w:rPr>
              <w:t>μ</w:t>
            </w:r>
            <w:r>
              <w:rPr>
                <w:rFonts w:ascii="Times New Roman" w:cs="Times New Roman" w:eastAsiaTheme="majorEastAsia"/>
              </w:rPr>
              <w:t>g/m</w:t>
            </w:r>
            <w:r>
              <w:rPr>
                <w:rFonts w:ascii="Times New Roman" w:cs="Times New Roman" w:eastAsiaTheme="majorEastAsia"/>
                <w:vertAlign w:val="superscript"/>
              </w:rPr>
              <w:t>3</w:t>
            </w:r>
            <w:r>
              <w:rPr>
                <w:rFonts w:ascii="Times New Roman" w:cs="Times New Roman" w:eastAsiaTheme="majorEastAsia"/>
              </w:rPr>
              <w:t xml:space="preserve">  </w:t>
            </w:r>
          </w:p>
          <w:p>
            <w:pPr>
              <w:pStyle w:val="16"/>
              <w:spacing w:line="360" w:lineRule="auto"/>
              <w:rPr>
                <w:rFonts w:asciiTheme="majorEastAsia" w:hAnsiTheme="majorEastAsia" w:eastAsiaTheme="majorEastAsia" w:cstheme="majorEastAsia"/>
              </w:rPr>
            </w:pPr>
            <w:r>
              <w:rPr>
                <w:rFonts w:hint="default" w:ascii="Times New Roman" w:hAnsi="Times New Roman" w:cs="Times New Roman" w:eastAsiaTheme="majorEastAsia"/>
                <w:lang w:val="en-US" w:eastAsia="zh-CN"/>
              </w:rPr>
              <w:t>3</w:t>
            </w:r>
            <w:r>
              <w:rPr>
                <w:rFonts w:hint="eastAsia" w:asciiTheme="majorEastAsia" w:hAnsiTheme="majorEastAsia" w:eastAsiaTheme="majorEastAsia" w:cstheme="majorEastAsia"/>
                <w:lang w:val="en-US" w:eastAsia="zh-CN"/>
              </w:rPr>
              <w:t>、</w:t>
            </w:r>
            <w:r>
              <w:rPr>
                <w:rFonts w:hint="eastAsia" w:asciiTheme="majorEastAsia" w:hAnsiTheme="majorEastAsia" w:eastAsiaTheme="majorEastAsia" w:cstheme="majorEastAsia"/>
              </w:rPr>
              <w:t>《声环境质量标准》（</w:t>
            </w:r>
            <w:r>
              <w:rPr>
                <w:rFonts w:ascii="Times New Roman" w:cs="Times New Roman" w:eastAsiaTheme="majorEastAsia"/>
              </w:rPr>
              <w:t>GB3096-2008</w:t>
            </w:r>
            <w:r>
              <w:rPr>
                <w:rFonts w:hint="eastAsia" w:asciiTheme="majorEastAsia" w:hAnsiTheme="majorEastAsia" w:eastAsiaTheme="majorEastAsia" w:cstheme="majorEastAsia"/>
              </w:rPr>
              <w:t>）</w:t>
            </w:r>
          </w:p>
          <w:p>
            <w:pPr>
              <w:pStyle w:val="16"/>
              <w:spacing w:line="360" w:lineRule="auto"/>
              <w:ind w:firstLine="240" w:firstLineChars="100"/>
              <w:rPr>
                <w:rFonts w:asciiTheme="majorEastAsia" w:hAnsiTheme="majorEastAsia" w:eastAsiaTheme="majorEastAsia" w:cstheme="majorEastAsia"/>
              </w:rPr>
            </w:pPr>
            <w:r>
              <w:rPr>
                <w:rFonts w:hint="eastAsia" w:ascii="Times New Roman" w:cs="Times New Roman" w:eastAsiaTheme="majorEastAsia"/>
                <w:lang w:val="en-US" w:eastAsia="zh-CN"/>
              </w:rPr>
              <w:t>1</w:t>
            </w:r>
            <w:r>
              <w:rPr>
                <w:rFonts w:hint="eastAsia" w:asciiTheme="majorEastAsia" w:hAnsiTheme="majorEastAsia" w:eastAsiaTheme="majorEastAsia" w:cstheme="majorEastAsia"/>
              </w:rPr>
              <w:t>类 ：</w:t>
            </w:r>
            <w:r>
              <w:rPr>
                <w:rFonts w:ascii="Times New Roman" w:cs="Times New Roman" w:eastAsiaTheme="majorEastAsia"/>
              </w:rPr>
              <w:t>Leq(A)</w:t>
            </w:r>
            <w:r>
              <w:rPr>
                <w:rFonts w:hint="eastAsia" w:asciiTheme="majorEastAsia" w:hAnsiTheme="majorEastAsia" w:eastAsiaTheme="majorEastAsia" w:cstheme="majorEastAsia"/>
              </w:rPr>
              <w:t xml:space="preserve">：昼间 </w:t>
            </w:r>
            <w:r>
              <w:rPr>
                <w:rFonts w:hint="eastAsia" w:ascii="Times New Roman" w:cs="Times New Roman" w:eastAsiaTheme="majorEastAsia"/>
                <w:lang w:val="en-US" w:eastAsia="zh-CN"/>
              </w:rPr>
              <w:t>55</w:t>
            </w:r>
            <w:r>
              <w:rPr>
                <w:rFonts w:ascii="Times New Roman" w:cs="Times New Roman" w:eastAsiaTheme="majorEastAsia"/>
              </w:rPr>
              <w:t xml:space="preserve">dB </w:t>
            </w:r>
            <w:r>
              <w:rPr>
                <w:rFonts w:hint="eastAsia" w:asciiTheme="majorEastAsia" w:hAnsiTheme="majorEastAsia" w:eastAsiaTheme="majorEastAsia" w:cstheme="majorEastAsia"/>
              </w:rPr>
              <w:t xml:space="preserve">  夜间 </w:t>
            </w:r>
            <w:r>
              <w:rPr>
                <w:rFonts w:hint="eastAsia" w:ascii="Times New Roman" w:cs="Times New Roman" w:eastAsiaTheme="majorEastAsia"/>
                <w:lang w:val="en-US" w:eastAsia="zh-CN"/>
              </w:rPr>
              <w:t>45</w:t>
            </w:r>
            <w:r>
              <w:rPr>
                <w:rFonts w:ascii="Times New Roman" w:cs="Times New Roman" w:eastAsiaTheme="majorEastAsia"/>
              </w:rPr>
              <w:t>dB</w:t>
            </w:r>
          </w:p>
          <w:p>
            <w:pPr>
              <w:pStyle w:val="16"/>
              <w:spacing w:line="360" w:lineRule="auto"/>
              <w:rPr>
                <w:rFonts w:asciiTheme="majorEastAsia" w:hAnsiTheme="majorEastAsia" w:eastAsiaTheme="majorEastAsia" w:cstheme="majorEastAsia"/>
              </w:rPr>
            </w:pPr>
            <w:r>
              <w:rPr>
                <w:rFonts w:hint="default" w:ascii="Times New Roman" w:hAnsi="Times New Roman" w:cs="Times New Roman" w:eastAsiaTheme="majorEastAsia"/>
                <w:lang w:val="en-US" w:eastAsia="zh-CN"/>
              </w:rPr>
              <w:t>4</w:t>
            </w:r>
            <w:r>
              <w:rPr>
                <w:rFonts w:hint="eastAsia" w:asciiTheme="majorEastAsia" w:hAnsiTheme="majorEastAsia" w:eastAsiaTheme="majorEastAsia" w:cstheme="majorEastAsia"/>
                <w:lang w:val="en-US" w:eastAsia="zh-CN"/>
              </w:rPr>
              <w:t>、</w:t>
            </w:r>
            <w:r>
              <w:rPr>
                <w:rFonts w:hint="eastAsia" w:asciiTheme="majorEastAsia" w:hAnsiTheme="majorEastAsia" w:eastAsiaTheme="majorEastAsia" w:cstheme="majorEastAsia"/>
              </w:rPr>
              <w:t>《地表水环境质量标准》</w:t>
            </w:r>
            <w:r>
              <w:rPr>
                <w:rFonts w:ascii="Times New Roman" w:cs="Times New Roman" w:eastAsiaTheme="majorEastAsia"/>
              </w:rPr>
              <w:t>（GB3838-2002）</w:t>
            </w:r>
            <w:r>
              <w:rPr>
                <w:rFonts w:hint="eastAsia" w:asciiTheme="majorEastAsia" w:hAnsiTheme="majorEastAsia" w:eastAsiaTheme="majorEastAsia" w:cstheme="majorEastAsia"/>
              </w:rPr>
              <w:t>Ⅲ类</w:t>
            </w:r>
          </w:p>
          <w:p>
            <w:pPr>
              <w:pStyle w:val="16"/>
              <w:spacing w:line="360" w:lineRule="auto"/>
              <w:ind w:firstLine="240" w:firstLineChars="100"/>
              <w:rPr>
                <w:sz w:val="21"/>
                <w:szCs w:val="21"/>
              </w:rPr>
            </w:pPr>
            <w:r>
              <w:rPr>
                <w:rFonts w:ascii="Times New Roman" w:cs="Times New Roman" w:eastAsiaTheme="majorEastAsia"/>
              </w:rPr>
              <w:t>COD：20mg/L  NH</w:t>
            </w:r>
            <w:r>
              <w:rPr>
                <w:rFonts w:ascii="Times New Roman" w:cs="Times New Roman" w:eastAsiaTheme="majorEastAsia"/>
                <w:vertAlign w:val="subscript"/>
              </w:rPr>
              <w:t>3</w:t>
            </w:r>
            <w:r>
              <w:rPr>
                <w:rFonts w:ascii="Times New Roman" w:cs="Times New Roman" w:eastAsiaTheme="majorEastAsia"/>
              </w:rPr>
              <w:t>-N：1.0mg/L  总磷：0.2mg/L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54" w:hRule="atLeast"/>
        </w:trPr>
        <w:tc>
          <w:tcPr>
            <w:tcW w:w="690" w:type="dxa"/>
            <w:textDirection w:val="tbRlV"/>
            <w:vAlign w:val="center"/>
          </w:tcPr>
          <w:p>
            <w:pPr>
              <w:ind w:left="113" w:right="113"/>
              <w:jc w:val="center"/>
              <w:rPr>
                <w:szCs w:val="21"/>
              </w:rPr>
            </w:pPr>
            <w:r>
              <w:rPr>
                <w:szCs w:val="21"/>
              </w:rPr>
              <w:t>污 染 物 排 放 标 准</w:t>
            </w:r>
          </w:p>
        </w:tc>
        <w:tc>
          <w:tcPr>
            <w:tcW w:w="8648" w:type="dxa"/>
            <w:vAlign w:val="center"/>
          </w:tcPr>
          <w:p>
            <w:pPr>
              <w:pStyle w:val="16"/>
              <w:numPr>
                <w:ilvl w:val="0"/>
                <w:numId w:val="0"/>
              </w:numPr>
              <w:spacing w:line="360" w:lineRule="auto"/>
              <w:rPr>
                <w:rFonts w:hint="eastAsia" w:ascii="Times New Roman" w:cs="Times New Roman" w:eastAsiaTheme="majorEastAsia"/>
                <w:vertAlign w:val="baseline"/>
                <w:lang w:val="en-US" w:eastAsia="zh-CN"/>
              </w:rPr>
            </w:pPr>
            <w:r>
              <w:rPr>
                <w:rFonts w:hint="eastAsia" w:ascii="Times New Roman" w:cs="Times New Roman" w:eastAsiaTheme="majorEastAsia"/>
                <w:vertAlign w:val="baseline"/>
                <w:lang w:val="en-US" w:eastAsia="zh-CN"/>
              </w:rPr>
              <w:t>1、《城镇污水处理厂污染物排放标准》（GB18918-2002）表1一级A</w:t>
            </w:r>
          </w:p>
          <w:p>
            <w:pPr>
              <w:pStyle w:val="16"/>
              <w:numPr>
                <w:ilvl w:val="0"/>
                <w:numId w:val="0"/>
              </w:numPr>
              <w:spacing w:line="360" w:lineRule="auto"/>
              <w:ind w:firstLine="240" w:firstLineChars="100"/>
              <w:rPr>
                <w:rFonts w:hint="eastAsia" w:ascii="Times New Roman" w:cs="Times New Roman" w:eastAsiaTheme="majorEastAsia"/>
                <w:vertAlign w:val="baseline"/>
                <w:lang w:val="en-US" w:eastAsia="zh-CN"/>
              </w:rPr>
            </w:pPr>
            <w:r>
              <w:rPr>
                <w:rFonts w:hint="eastAsia" w:ascii="Times New Roman" w:cs="Times New Roman" w:eastAsiaTheme="majorEastAsia"/>
                <w:vertAlign w:val="baseline"/>
                <w:lang w:val="en-US" w:eastAsia="zh-CN"/>
              </w:rPr>
              <w:t>COD：50mg/L  氨氮：5mg/L  总磷：0.5mg/L  总氮：15mg/L  石油类：1mg/L</w:t>
            </w:r>
          </w:p>
          <w:p>
            <w:pPr>
              <w:pStyle w:val="16"/>
              <w:numPr>
                <w:ilvl w:val="0"/>
                <w:numId w:val="3"/>
              </w:numPr>
              <w:spacing w:line="360" w:lineRule="auto"/>
              <w:ind w:left="0" w:leftChars="0" w:firstLine="0" w:firstLineChars="0"/>
              <w:rPr>
                <w:rFonts w:hint="default" w:ascii="Times New Roman" w:cs="Times New Roman" w:eastAsiaTheme="majorEastAsia"/>
                <w:vertAlign w:val="baseline"/>
                <w:lang w:val="en-US" w:eastAsia="zh-CN"/>
              </w:rPr>
            </w:pPr>
            <w:r>
              <w:rPr>
                <w:rFonts w:hint="eastAsia" w:ascii="Times New Roman" w:cs="Times New Roman" w:eastAsiaTheme="majorEastAsia"/>
                <w:vertAlign w:val="baseline"/>
                <w:lang w:val="en-US" w:eastAsia="zh-CN"/>
              </w:rPr>
              <w:t>《污水综合排放标准》（GB8978-1996）表4三级</w:t>
            </w:r>
          </w:p>
          <w:p>
            <w:pPr>
              <w:pStyle w:val="16"/>
              <w:numPr>
                <w:ilvl w:val="0"/>
                <w:numId w:val="0"/>
              </w:numPr>
              <w:spacing w:line="360" w:lineRule="auto"/>
              <w:ind w:firstLine="240" w:firstLineChars="100"/>
              <w:rPr>
                <w:rFonts w:hint="default" w:ascii="Times New Roman" w:cs="Times New Roman" w:eastAsiaTheme="majorEastAsia"/>
                <w:vertAlign w:val="baseline"/>
                <w:lang w:val="en-US" w:eastAsia="zh-CN"/>
              </w:rPr>
            </w:pPr>
            <w:r>
              <w:rPr>
                <w:rFonts w:hint="eastAsia" w:ascii="Times New Roman" w:cs="Times New Roman" w:eastAsiaTheme="majorEastAsia"/>
                <w:vertAlign w:val="baseline"/>
                <w:lang w:val="en-US" w:eastAsia="zh-CN"/>
              </w:rPr>
              <w:t>COD：500mg/L  石油类：20mg/L</w:t>
            </w:r>
          </w:p>
          <w:p>
            <w:pPr>
              <w:pStyle w:val="16"/>
              <w:numPr>
                <w:ilvl w:val="0"/>
                <w:numId w:val="0"/>
              </w:numPr>
              <w:spacing w:line="360" w:lineRule="auto"/>
              <w:rPr>
                <w:rFonts w:hint="eastAsia" w:ascii="Times New Roman" w:cs="Times New Roman" w:eastAsiaTheme="majorEastAsia"/>
                <w:lang w:val="en-US" w:eastAsia="zh-CN"/>
              </w:rPr>
            </w:pPr>
            <w:r>
              <w:rPr>
                <w:rFonts w:hint="eastAsia" w:ascii="Times New Roman" w:cs="Times New Roman" w:eastAsiaTheme="majorEastAsia"/>
                <w:lang w:val="en-US" w:eastAsia="zh-CN"/>
              </w:rPr>
              <w:t>3、</w:t>
            </w:r>
            <w:r>
              <w:rPr>
                <w:rFonts w:hint="eastAsia" w:ascii="Times New Roman" w:cs="Times New Roman" w:eastAsiaTheme="majorEastAsia"/>
              </w:rPr>
              <w:t>《工业企业厂界环境噪声排放标准》（GB12348-2008）</w:t>
            </w:r>
            <w:r>
              <w:rPr>
                <w:rFonts w:hint="eastAsia" w:ascii="Times New Roman" w:cs="Times New Roman" w:eastAsiaTheme="majorEastAsia"/>
                <w:lang w:eastAsia="zh-CN"/>
              </w:rPr>
              <w:t>表</w:t>
            </w:r>
            <w:r>
              <w:rPr>
                <w:rFonts w:hint="eastAsia" w:ascii="Times New Roman" w:cs="Times New Roman" w:eastAsiaTheme="majorEastAsia"/>
                <w:lang w:val="en-US" w:eastAsia="zh-CN"/>
              </w:rPr>
              <w:t>2</w:t>
            </w:r>
          </w:p>
          <w:p>
            <w:pPr>
              <w:pStyle w:val="16"/>
              <w:spacing w:line="360" w:lineRule="auto"/>
              <w:ind w:firstLine="240" w:firstLineChars="100"/>
              <w:rPr>
                <w:rFonts w:ascii="Times New Roman" w:cs="Times New Roman" w:eastAsiaTheme="majorEastAsia"/>
              </w:rPr>
            </w:pPr>
            <w:r>
              <w:rPr>
                <w:rFonts w:hint="eastAsia" w:ascii="Times New Roman" w:cs="Times New Roman" w:eastAsiaTheme="majorEastAsia"/>
                <w:lang w:val="en-US" w:eastAsia="zh-CN"/>
              </w:rPr>
              <w:t>1</w:t>
            </w:r>
            <w:r>
              <w:rPr>
                <w:rFonts w:ascii="Times New Roman" w:cs="Times New Roman" w:eastAsiaTheme="majorEastAsia"/>
              </w:rPr>
              <w:t xml:space="preserve">类 ：Leq(A)：昼间 </w:t>
            </w:r>
            <w:r>
              <w:rPr>
                <w:rFonts w:hint="eastAsia" w:ascii="Times New Roman" w:cs="Times New Roman" w:eastAsiaTheme="majorEastAsia"/>
                <w:lang w:val="en-US" w:eastAsia="zh-CN"/>
              </w:rPr>
              <w:t>55</w:t>
            </w:r>
            <w:r>
              <w:rPr>
                <w:rFonts w:ascii="Times New Roman" w:cs="Times New Roman" w:eastAsiaTheme="majorEastAsia"/>
              </w:rPr>
              <w:t xml:space="preserve">dB   </w:t>
            </w:r>
          </w:p>
          <w:p>
            <w:pPr>
              <w:pStyle w:val="16"/>
              <w:spacing w:line="360" w:lineRule="auto"/>
              <w:rPr>
                <w:rFonts w:hint="eastAsia" w:ascii="Times New Roman" w:cs="Times New Roman" w:eastAsiaTheme="majorEastAsia"/>
                <w:lang w:eastAsia="zh-CN"/>
              </w:rPr>
            </w:pPr>
            <w:r>
              <w:rPr>
                <w:rFonts w:hint="eastAsia" w:ascii="Times New Roman" w:cs="Times New Roman" w:eastAsiaTheme="majorEastAsia"/>
                <w:lang w:val="en-US" w:eastAsia="zh-CN"/>
              </w:rPr>
              <w:t>4、</w:t>
            </w:r>
            <w:r>
              <w:rPr>
                <w:rFonts w:hint="eastAsia" w:ascii="Times New Roman" w:cs="Times New Roman" w:eastAsiaTheme="majorEastAsia"/>
              </w:rPr>
              <w:t>《一般工业固体废弃物贮存、处置场污染控制标准》（GB18599-2001）及2013年修改单的公告；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955" w:hRule="exact"/>
        </w:trPr>
        <w:tc>
          <w:tcPr>
            <w:tcW w:w="690" w:type="dxa"/>
            <w:tcBorders>
              <w:bottom w:val="single" w:color="auto" w:sz="12" w:space="0"/>
            </w:tcBorders>
            <w:textDirection w:val="tbRlV"/>
            <w:vAlign w:val="center"/>
          </w:tcPr>
          <w:p>
            <w:pPr>
              <w:ind w:left="113" w:right="113"/>
              <w:jc w:val="center"/>
              <w:rPr>
                <w:szCs w:val="21"/>
              </w:rPr>
            </w:pPr>
            <w:r>
              <w:rPr>
                <w:szCs w:val="21"/>
              </w:rPr>
              <w:t>总 量 控 制 指 标</w:t>
            </w:r>
          </w:p>
        </w:tc>
        <w:tc>
          <w:tcPr>
            <w:tcW w:w="8648" w:type="dxa"/>
            <w:tcBorders>
              <w:bottom w:val="single" w:color="auto" w:sz="12" w:space="0"/>
            </w:tcBorders>
            <w:vAlign w:val="center"/>
          </w:tcPr>
          <w:p>
            <w:pPr>
              <w:pStyle w:val="3"/>
              <w:spacing w:line="560" w:lineRule="exact"/>
              <w:rPr>
                <w:rFonts w:hint="eastAsia"/>
                <w:sz w:val="24"/>
                <w:lang w:val="en-US" w:eastAsia="zh-CN"/>
              </w:rPr>
            </w:pPr>
          </w:p>
          <w:p>
            <w:pPr>
              <w:pStyle w:val="3"/>
              <w:spacing w:line="560" w:lineRule="exact"/>
              <w:rPr>
                <w:rFonts w:hint="eastAsia"/>
                <w:sz w:val="24"/>
                <w:lang w:val="en-US" w:eastAsia="zh-CN"/>
              </w:rPr>
            </w:pPr>
          </w:p>
          <w:p>
            <w:pPr>
              <w:pStyle w:val="16"/>
              <w:keepNext w:val="0"/>
              <w:keepLines w:val="0"/>
              <w:pageBreakBefore w:val="0"/>
              <w:widowControl w:val="0"/>
              <w:kinsoku/>
              <w:wordWrap/>
              <w:overflowPunct/>
              <w:topLinePunct w:val="0"/>
              <w:bidi w:val="0"/>
              <w:snapToGrid/>
              <w:spacing w:line="480" w:lineRule="exact"/>
              <w:ind w:firstLine="480" w:firstLineChars="20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本项目完成后建议全厂总量控制如下：</w:t>
            </w:r>
          </w:p>
          <w:p>
            <w:pPr>
              <w:pStyle w:val="16"/>
              <w:keepNext w:val="0"/>
              <w:keepLines w:val="0"/>
              <w:pageBreakBefore w:val="0"/>
              <w:widowControl w:val="0"/>
              <w:kinsoku/>
              <w:wordWrap/>
              <w:overflowPunct/>
              <w:topLinePunct w:val="0"/>
              <w:bidi w:val="0"/>
              <w:snapToGrid/>
              <w:spacing w:line="480" w:lineRule="exact"/>
              <w:ind w:firstLine="480" w:firstLineChars="200"/>
              <w:textAlignment w:val="auto"/>
              <w:rPr>
                <w:rFonts w:hint="default" w:asciiTheme="majorEastAsia" w:hAnsiTheme="majorEastAsia" w:eastAsiaTheme="majorEastAsia" w:cstheme="majorEastAsia"/>
                <w:color w:val="auto"/>
                <w:kern w:val="2"/>
                <w:lang w:val="en-US" w:eastAsia="zh-CN"/>
              </w:rPr>
            </w:pPr>
            <w:r>
              <w:rPr>
                <w:rFonts w:hint="eastAsia" w:ascii="Times New Roman" w:cs="Times New Roman" w:eastAsiaTheme="majorEastAsia"/>
                <w:color w:val="auto"/>
                <w:kern w:val="2"/>
                <w:vertAlign w:val="baseline"/>
                <w:lang w:val="en-US" w:eastAsia="zh-CN"/>
              </w:rPr>
              <w:t>COD 0.0722t/a、氨氮 0.0072t/a</w:t>
            </w:r>
          </w:p>
          <w:p>
            <w:pPr>
              <w:pStyle w:val="3"/>
              <w:spacing w:line="560" w:lineRule="exact"/>
              <w:ind w:firstLine="420" w:firstLineChars="200"/>
              <w:rPr>
                <w:rFonts w:hint="default" w:ascii="Times New Roman" w:hAnsi="Times New Roman"/>
                <w:sz w:val="21"/>
                <w:szCs w:val="21"/>
                <w:lang w:val="en-US"/>
              </w:rPr>
            </w:pPr>
          </w:p>
          <w:p>
            <w:pPr>
              <w:pStyle w:val="3"/>
              <w:spacing w:line="560" w:lineRule="exact"/>
              <w:rPr>
                <w:rFonts w:ascii="Times New Roman" w:hAnsi="Times New Roman"/>
                <w:sz w:val="21"/>
                <w:szCs w:val="21"/>
              </w:rPr>
            </w:pPr>
          </w:p>
          <w:p>
            <w:pPr>
              <w:pStyle w:val="3"/>
              <w:spacing w:line="560" w:lineRule="exact"/>
              <w:rPr>
                <w:rFonts w:ascii="Times New Roman" w:hAnsi="Times New Roman"/>
                <w:sz w:val="21"/>
                <w:szCs w:val="21"/>
              </w:rPr>
            </w:pPr>
          </w:p>
          <w:p>
            <w:pPr>
              <w:spacing w:line="520" w:lineRule="exact"/>
              <w:ind w:firstLine="411" w:firstLineChars="196"/>
              <w:rPr>
                <w:szCs w:val="21"/>
              </w:rPr>
            </w:pPr>
          </w:p>
        </w:tc>
      </w:tr>
    </w:tbl>
    <w:p>
      <w:pPr>
        <w:spacing w:line="480" w:lineRule="exact"/>
        <w:rPr>
          <w:rFonts w:eastAsia="黑体"/>
          <w:sz w:val="32"/>
          <w:szCs w:val="32"/>
        </w:rPr>
      </w:pPr>
      <w:r>
        <w:rPr>
          <w:rFonts w:eastAsia="黑体"/>
          <w:sz w:val="32"/>
          <w:szCs w:val="32"/>
        </w:rPr>
        <w:t>建设项目工程分析</w:t>
      </w:r>
    </w:p>
    <w:tbl>
      <w:tblPr>
        <w:tblStyle w:val="12"/>
        <w:tblW w:w="883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3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56" w:hRule="atLeast"/>
          <w:jc w:val="center"/>
        </w:trPr>
        <w:tc>
          <w:tcPr>
            <w:tcW w:w="8833" w:type="dxa"/>
            <w:tcBorders>
              <w:tl2br w:val="nil"/>
              <w:tr2bl w:val="nil"/>
            </w:tcBorders>
          </w:tcPr>
          <w:p>
            <w:pPr>
              <w:spacing w:line="480" w:lineRule="exact"/>
              <w:rPr>
                <w:rFonts w:eastAsia="黑体"/>
                <w:sz w:val="28"/>
                <w:szCs w:val="28"/>
              </w:rPr>
            </w:pPr>
            <w:r>
              <w:rPr>
                <w:rFonts w:hint="eastAsia" w:eastAsia="黑体"/>
                <w:sz w:val="28"/>
                <w:szCs w:val="28"/>
              </w:rPr>
              <w:t>工艺流程简述（图示）：</w:t>
            </w:r>
          </w:p>
          <w:p>
            <w:pPr>
              <w:keepNext w:val="0"/>
              <w:keepLines w:val="0"/>
              <w:pageBreakBefore w:val="0"/>
              <w:widowControl w:val="0"/>
              <w:numPr>
                <w:ilvl w:val="0"/>
                <w:numId w:val="4"/>
              </w:numPr>
              <w:kinsoku/>
              <w:wordWrap/>
              <w:overflowPunct/>
              <w:topLinePunct w:val="0"/>
              <w:autoSpaceDE/>
              <w:autoSpaceDN/>
              <w:bidi w:val="0"/>
              <w:adjustRightInd/>
              <w:snapToGrid/>
              <w:spacing w:line="440" w:lineRule="exact"/>
              <w:jc w:val="left"/>
              <w:textAlignment w:val="auto"/>
              <w:rPr>
                <w:rFonts w:hint="eastAsia"/>
                <w:sz w:val="28"/>
                <w:szCs w:val="28"/>
                <w:lang w:val="en-US" w:eastAsia="zh-CN"/>
              </w:rPr>
            </w:pPr>
            <w:r>
              <w:rPr>
                <w:rFonts w:hint="eastAsia"/>
                <w:sz w:val="24"/>
                <w:szCs w:val="24"/>
                <w:lang w:val="en-US" w:eastAsia="zh-CN"/>
              </w:rPr>
              <w:t>速冻水饺制作</w:t>
            </w:r>
            <w:r>
              <w:rPr>
                <w:rFonts w:hint="eastAsia"/>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eastAsia"/>
                <w:sz w:val="24"/>
                <w:szCs w:val="24"/>
                <w:lang w:val="en-US" w:eastAsia="zh-CN"/>
              </w:rPr>
            </w:pPr>
            <w:r>
              <w:rPr>
                <w:rFonts w:hint="default"/>
                <w:sz w:val="24"/>
                <w:szCs w:val="24"/>
                <w:lang w:val="en-US" w:eastAsia="zh-CN"/>
              </w:rPr>
              <w:pict>
                <v:shape id="_x0000_s1030" o:spid="_x0000_s1030" o:spt="75" type="#_x0000_t75" style="position:absolute;left:0pt;margin-left:-1.35pt;margin-top:89.4pt;height:84.05pt;width:430.25pt;mso-wrap-distance-bottom:0pt;mso-wrap-distance-left:9pt;mso-wrap-distance-right:9pt;mso-wrap-distance-top:0pt;z-index:252319744;mso-width-relative:page;mso-height-relative:page;" o:ole="t" filled="f" o:preferrelative="t" stroked="f" coordsize="21600,21600">
                  <v:path/>
                  <v:fill on="f" focussize="0,0"/>
                  <v:stroke on="f"/>
                  <v:imagedata r:id="rId7" o:title=""/>
                  <o:lock v:ext="edit" aspectratio="f"/>
                  <w10:wrap type="square"/>
                </v:shape>
                <o:OLEObject Type="Embed" ProgID="Visio.Drawing.11" ShapeID="_x0000_s1030" DrawAspect="Content" ObjectID="_1468075725" r:id="rId6">
                  <o:LockedField>false</o:LockedField>
                </o:OLEObject>
              </w:pict>
            </w:r>
            <w:r>
              <w:rPr>
                <w:rFonts w:hint="eastAsia"/>
                <w:sz w:val="24"/>
                <w:szCs w:val="24"/>
                <w:lang w:val="en-US" w:eastAsia="zh-CN"/>
              </w:rPr>
              <w:t>蔬菜及冷鲜肉清洗后分别由切菜机及绞肉机进行预处理，然后加入配料由拌馅机制馅儿；面粉经和面机制成面团后，将面团及馅料加入饺子成型机中进行制皮和压制成型，成型后饺子经速冻隧道速冻，然后经人工称重、包装后入库储藏。工艺流程图如下：</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eastAsia"/>
                <w:sz w:val="24"/>
                <w:szCs w:val="24"/>
                <w:lang w:val="en-US" w:eastAsia="zh-CN"/>
              </w:rPr>
            </w:pPr>
            <w:r>
              <w:rPr>
                <w:rFonts w:hint="eastAsia"/>
                <w:sz w:val="24"/>
                <w:szCs w:val="24"/>
                <w:lang w:val="en-US" w:eastAsia="zh-CN"/>
              </w:rPr>
              <w:t>饺子生产线工艺流程图</w:t>
            </w:r>
          </w:p>
          <w:p>
            <w:pPr>
              <w:keepNext w:val="0"/>
              <w:keepLines w:val="0"/>
              <w:pageBreakBefore w:val="0"/>
              <w:widowControl w:val="0"/>
              <w:numPr>
                <w:ilvl w:val="0"/>
                <w:numId w:val="4"/>
              </w:numPr>
              <w:kinsoku/>
              <w:wordWrap/>
              <w:overflowPunct/>
              <w:topLinePunct w:val="0"/>
              <w:autoSpaceDE/>
              <w:autoSpaceDN/>
              <w:bidi w:val="0"/>
              <w:adjustRightInd/>
              <w:snapToGrid/>
              <w:spacing w:line="440" w:lineRule="exact"/>
              <w:ind w:left="0" w:leftChars="0" w:firstLine="0" w:firstLineChars="0"/>
              <w:jc w:val="both"/>
              <w:textAlignment w:val="auto"/>
              <w:rPr>
                <w:rFonts w:hint="eastAsia"/>
                <w:sz w:val="24"/>
                <w:szCs w:val="24"/>
                <w:lang w:val="en-US" w:eastAsia="zh-CN"/>
              </w:rPr>
            </w:pPr>
            <w:r>
              <w:rPr>
                <w:rFonts w:hint="eastAsia"/>
                <w:sz w:val="24"/>
                <w:szCs w:val="24"/>
                <w:lang w:val="en-US" w:eastAsia="zh-CN"/>
              </w:rPr>
              <w:t>速冻汤圆制作：</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80" w:firstLineChars="200"/>
              <w:jc w:val="both"/>
              <w:textAlignment w:val="auto"/>
              <w:rPr>
                <w:rFonts w:hint="default"/>
                <w:sz w:val="24"/>
                <w:szCs w:val="24"/>
                <w:lang w:val="en-US" w:eastAsia="zh-CN"/>
              </w:rPr>
            </w:pPr>
            <w:r>
              <w:rPr>
                <w:rFonts w:hint="eastAsia"/>
                <w:sz w:val="24"/>
                <w:szCs w:val="24"/>
                <w:lang w:val="en-US" w:eastAsia="zh-CN"/>
              </w:rPr>
              <w:t>糯米粉经和面机制成面团，然后将面团及外购成品馅料加入汤圆成型机压制成型，成型汤圆经速冻隧道速冻后经人工称重、包装后入库储藏。工艺流程图如下：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59" w:hRule="atLeast"/>
          <w:jc w:val="center"/>
        </w:trPr>
        <w:tc>
          <w:tcPr>
            <w:tcW w:w="8833" w:type="dxa"/>
            <w:tcBorders>
              <w:tl2br w:val="nil"/>
              <w:tr2bl w:val="nil"/>
            </w:tcBorders>
          </w:tcPr>
          <w:p>
            <w:pPr>
              <w:keepNext w:val="0"/>
              <w:keepLines w:val="0"/>
              <w:pageBreakBefore w:val="0"/>
              <w:shd w:val="clear"/>
              <w:kinsoku/>
              <w:wordWrap/>
              <w:overflowPunct/>
              <w:topLinePunct w:val="0"/>
              <w:autoSpaceDE/>
              <w:autoSpaceDN/>
              <w:bidi w:val="0"/>
              <w:adjustRightInd/>
              <w:snapToGrid/>
              <w:spacing w:beforeLines="50" w:line="240" w:lineRule="auto"/>
              <w:textAlignment w:val="auto"/>
              <w:rPr>
                <w:sz w:val="24"/>
                <w:szCs w:val="24"/>
              </w:rPr>
            </w:pPr>
            <w:r>
              <w:rPr>
                <w:rFonts w:hint="eastAsia"/>
                <w:sz w:val="24"/>
                <w:szCs w:val="24"/>
              </w:rPr>
              <w:t>主要污染工序：</w:t>
            </w:r>
          </w:p>
          <w:p>
            <w:pPr>
              <w:keepNext w:val="0"/>
              <w:keepLines w:val="0"/>
              <w:pageBreakBefore w:val="0"/>
              <w:shd w:val="clear"/>
              <w:kinsoku/>
              <w:wordWrap/>
              <w:overflowPunct/>
              <w:topLinePunct w:val="0"/>
              <w:autoSpaceDE/>
              <w:autoSpaceDN/>
              <w:bidi w:val="0"/>
              <w:adjustRightInd/>
              <w:snapToGrid/>
              <w:spacing w:line="440" w:lineRule="exact"/>
              <w:jc w:val="center"/>
              <w:textAlignment w:val="auto"/>
              <w:rPr>
                <w:rFonts w:hint="eastAsia"/>
                <w:sz w:val="24"/>
                <w:szCs w:val="24"/>
                <w:lang w:eastAsia="zh-CN"/>
              </w:rPr>
            </w:pPr>
            <w:r>
              <w:rPr>
                <w:rFonts w:hint="eastAsia"/>
                <w:sz w:val="24"/>
                <w:szCs w:val="24"/>
              </w:rPr>
              <w:pict>
                <v:shape id="_x0000_s1033" o:spid="_x0000_s1033" o:spt="75" type="#_x0000_t75" style="position:absolute;left:0pt;margin-left:1.6pt;margin-top:13.7pt;height:98.4pt;width:430.85pt;mso-wrap-distance-bottom:0pt;mso-wrap-distance-left:9pt;mso-wrap-distance-right:9pt;mso-wrap-distance-top:0pt;z-index:252319744;mso-width-relative:page;mso-height-relative:page;" o:ole="t" filled="f" o:preferrelative="t" stroked="f" coordsize="21600,21600">
                  <v:path/>
                  <v:fill on="f" focussize="0,0"/>
                  <v:stroke on="f"/>
                  <v:imagedata r:id="rId9" o:title=""/>
                  <o:lock v:ext="edit" aspectratio="f"/>
                  <w10:wrap type="square"/>
                </v:shape>
                <o:OLEObject Type="Embed" ProgID="Visio.Drawing.11" ShapeID="_x0000_s1033" DrawAspect="Content" ObjectID="_1468075726" r:id="rId8">
                  <o:LockedField>false</o:LockedField>
                </o:OLEObject>
              </w:pict>
            </w:r>
            <w:r>
              <w:rPr>
                <w:rFonts w:hint="eastAsia"/>
                <w:sz w:val="24"/>
                <w:szCs w:val="24"/>
                <w:lang w:eastAsia="zh-CN"/>
              </w:rPr>
              <w:t>速冻汤圆生产线工艺流程图</w:t>
            </w:r>
          </w:p>
          <w:p>
            <w:pPr>
              <w:keepNext w:val="0"/>
              <w:keepLines w:val="0"/>
              <w:pageBreakBefore w:val="0"/>
              <w:numPr>
                <w:ilvl w:val="0"/>
                <w:numId w:val="4"/>
              </w:numPr>
              <w:shd w:val="clear"/>
              <w:kinsoku/>
              <w:wordWrap/>
              <w:overflowPunct/>
              <w:topLinePunct w:val="0"/>
              <w:autoSpaceDE/>
              <w:autoSpaceDN/>
              <w:bidi w:val="0"/>
              <w:adjustRightInd/>
              <w:snapToGrid/>
              <w:spacing w:line="440" w:lineRule="exact"/>
              <w:ind w:left="0" w:leftChars="0" w:firstLine="0" w:firstLineChars="0"/>
              <w:jc w:val="both"/>
              <w:textAlignment w:val="auto"/>
              <w:rPr>
                <w:rFonts w:hint="eastAsia"/>
                <w:sz w:val="24"/>
                <w:szCs w:val="24"/>
                <w:lang w:val="en-US" w:eastAsia="zh-CN"/>
              </w:rPr>
            </w:pPr>
            <w:r>
              <w:rPr>
                <w:rFonts w:hint="eastAsia"/>
                <w:sz w:val="24"/>
                <w:szCs w:val="24"/>
                <w:lang w:val="en-US" w:eastAsia="zh-CN"/>
              </w:rPr>
              <w:t>速冻粽子制作：</w:t>
            </w:r>
          </w:p>
          <w:p>
            <w:pPr>
              <w:keepNext w:val="0"/>
              <w:keepLines w:val="0"/>
              <w:pageBreakBefore w:val="0"/>
              <w:numPr>
                <w:ilvl w:val="0"/>
                <w:numId w:val="0"/>
              </w:numPr>
              <w:shd w:val="clear"/>
              <w:kinsoku/>
              <w:wordWrap/>
              <w:overflowPunct/>
              <w:topLinePunct w:val="0"/>
              <w:autoSpaceDE/>
              <w:autoSpaceDN/>
              <w:bidi w:val="0"/>
              <w:adjustRightInd/>
              <w:snapToGrid/>
              <w:spacing w:line="440" w:lineRule="exact"/>
              <w:ind w:leftChars="0" w:firstLine="480" w:firstLineChars="200"/>
              <w:jc w:val="both"/>
              <w:textAlignment w:val="auto"/>
              <w:rPr>
                <w:rFonts w:hint="default"/>
                <w:sz w:val="24"/>
                <w:szCs w:val="24"/>
                <w:lang w:val="en-US" w:eastAsia="zh-CN"/>
              </w:rPr>
            </w:pPr>
            <w:r>
              <w:rPr>
                <w:rFonts w:hint="eastAsia"/>
                <w:sz w:val="24"/>
                <w:szCs w:val="24"/>
                <w:lang w:eastAsia="zh-CN"/>
              </w:rPr>
              <w:pict>
                <v:shape id="_x0000_s1034" o:spid="_x0000_s1034" o:spt="75" type="#_x0000_t75" style="position:absolute;left:0pt;margin-left:1.6pt;margin-top:69.35pt;height:69.3pt;width:430.8pt;mso-wrap-distance-bottom:0pt;mso-wrap-distance-left:9pt;mso-wrap-distance-right:9pt;mso-wrap-distance-top:0pt;z-index:252320768;mso-width-relative:page;mso-height-relative:page;" o:ole="t" filled="f" o:preferrelative="t" stroked="f" coordsize="21600,21600">
                  <v:path/>
                  <v:fill on="f" focussize="0,0"/>
                  <v:stroke on="f"/>
                  <v:imagedata r:id="rId11" o:title=""/>
                  <o:lock v:ext="edit" aspectratio="f"/>
                  <w10:wrap type="square"/>
                </v:shape>
                <o:OLEObject Type="Embed" ProgID="Visio.Drawing.11" ShapeID="_x0000_s1034" DrawAspect="Content" ObjectID="_1468075727" r:id="rId10">
                  <o:LockedField>false</o:LockedField>
                </o:OLEObject>
              </w:pict>
            </w:r>
            <w:r>
              <w:rPr>
                <w:rFonts w:hint="eastAsia"/>
                <w:sz w:val="24"/>
                <w:szCs w:val="24"/>
                <w:lang w:val="en-US" w:eastAsia="zh-CN"/>
              </w:rPr>
              <w:t>糯米加入白糖、蜜枣、饮用水等配料进行人工拌陷，然后由人工采用粽子叶进行包制。包制成型的粽子经燃气蒸柜进行蒸制，然后经速冻隧道速冻后进行人工称重、包装，最后入库储藏。工艺流程图如下：</w:t>
            </w:r>
          </w:p>
          <w:p>
            <w:pPr>
              <w:keepNext w:val="0"/>
              <w:keepLines w:val="0"/>
              <w:pageBreakBefore w:val="0"/>
              <w:shd w:val="clear"/>
              <w:kinsoku/>
              <w:wordWrap/>
              <w:overflowPunct/>
              <w:topLinePunct w:val="0"/>
              <w:autoSpaceDE/>
              <w:autoSpaceDN/>
              <w:bidi w:val="0"/>
              <w:adjustRightInd/>
              <w:snapToGrid/>
              <w:spacing w:line="440" w:lineRule="exact"/>
              <w:jc w:val="center"/>
              <w:textAlignment w:val="auto"/>
              <w:rPr>
                <w:sz w:val="24"/>
                <w:szCs w:val="24"/>
              </w:rPr>
            </w:pPr>
            <w:r>
              <w:rPr>
                <w:rFonts w:hint="eastAsia"/>
                <w:sz w:val="24"/>
                <w:szCs w:val="24"/>
                <w:lang w:eastAsia="zh-CN"/>
              </w:rPr>
              <w:t>速冻粽子生产下工艺流程图</w:t>
            </w:r>
          </w:p>
          <w:p>
            <w:pPr>
              <w:keepNext w:val="0"/>
              <w:keepLines w:val="0"/>
              <w:pageBreakBefore w:val="0"/>
              <w:shd w:val="clear"/>
              <w:kinsoku/>
              <w:wordWrap/>
              <w:overflowPunct/>
              <w:topLinePunct w:val="0"/>
              <w:autoSpaceDE/>
              <w:autoSpaceDN/>
              <w:bidi w:val="0"/>
              <w:adjustRightInd/>
              <w:snapToGrid/>
              <w:spacing w:line="440" w:lineRule="exact"/>
              <w:textAlignment w:val="auto"/>
              <w:rPr>
                <w:rFonts w:hint="eastAsia" w:eastAsia="宋体"/>
                <w:sz w:val="24"/>
                <w:szCs w:val="24"/>
                <w:lang w:eastAsia="zh-CN"/>
              </w:rPr>
            </w:pPr>
            <w:r>
              <w:rPr>
                <w:rFonts w:hint="eastAsia"/>
                <w:sz w:val="24"/>
                <w:szCs w:val="24"/>
                <w:lang w:eastAsia="zh-CN"/>
              </w:rPr>
              <w:t>注：和面机和制面粉和糯米粉过程均密闭进行，该过程无粉尘产生。</w:t>
            </w:r>
          </w:p>
          <w:p>
            <w:pPr>
              <w:keepNext w:val="0"/>
              <w:keepLines w:val="0"/>
              <w:pageBreakBefore w:val="0"/>
              <w:shd w:val="clear"/>
              <w:kinsoku/>
              <w:wordWrap/>
              <w:overflowPunct/>
              <w:topLinePunct w:val="0"/>
              <w:autoSpaceDE/>
              <w:autoSpaceDN/>
              <w:bidi w:val="0"/>
              <w:adjustRightInd/>
              <w:snapToGrid/>
              <w:spacing w:line="440" w:lineRule="exact"/>
              <w:ind w:firstLine="480" w:firstLineChars="200"/>
              <w:textAlignment w:val="auto"/>
              <w:rPr>
                <w:sz w:val="24"/>
                <w:szCs w:val="24"/>
              </w:rPr>
            </w:pPr>
            <w:r>
              <w:rPr>
                <w:sz w:val="24"/>
                <w:szCs w:val="24"/>
              </w:rPr>
              <w:t>营运期</w:t>
            </w:r>
          </w:p>
          <w:p>
            <w:pPr>
              <w:keepNext w:val="0"/>
              <w:keepLines w:val="0"/>
              <w:pageBreakBefore w:val="0"/>
              <w:widowControl/>
              <w:numPr>
                <w:ilvl w:val="0"/>
                <w:numId w:val="5"/>
              </w:numPr>
              <w:shd w:val="clear"/>
              <w:kinsoku/>
              <w:wordWrap/>
              <w:overflowPunct/>
              <w:topLinePunct w:val="0"/>
              <w:autoSpaceDE/>
              <w:autoSpaceDN/>
              <w:bidi w:val="0"/>
              <w:adjustRightInd/>
              <w:snapToGrid/>
              <w:spacing w:line="440" w:lineRule="exact"/>
              <w:ind w:left="0" w:leftChars="0" w:firstLine="480" w:firstLineChars="200"/>
              <w:jc w:val="left"/>
              <w:textAlignment w:val="auto"/>
              <w:rPr>
                <w:sz w:val="24"/>
                <w:szCs w:val="24"/>
              </w:rPr>
            </w:pPr>
            <w:r>
              <w:rPr>
                <w:rFonts w:hint="eastAsia"/>
                <w:sz w:val="24"/>
                <w:szCs w:val="24"/>
                <w:lang w:eastAsia="zh-CN"/>
              </w:rPr>
              <w:t>废水：项目废水主要为生产废水、地面冲洗废水及员工生活污水。</w:t>
            </w:r>
          </w:p>
          <w:p>
            <w:pPr>
              <w:keepNext w:val="0"/>
              <w:keepLines w:val="0"/>
              <w:pageBreakBefore w:val="0"/>
              <w:widowControl/>
              <w:numPr>
                <w:ilvl w:val="0"/>
                <w:numId w:val="5"/>
              </w:numPr>
              <w:shd w:val="clear"/>
              <w:kinsoku/>
              <w:wordWrap/>
              <w:overflowPunct/>
              <w:topLinePunct w:val="0"/>
              <w:autoSpaceDE/>
              <w:autoSpaceDN/>
              <w:bidi w:val="0"/>
              <w:adjustRightInd/>
              <w:snapToGrid/>
              <w:spacing w:line="440" w:lineRule="exact"/>
              <w:ind w:left="0" w:leftChars="0" w:firstLine="480" w:firstLineChars="200"/>
              <w:jc w:val="left"/>
              <w:textAlignment w:val="auto"/>
              <w:rPr>
                <w:sz w:val="24"/>
                <w:szCs w:val="24"/>
              </w:rPr>
            </w:pPr>
            <w:r>
              <w:rPr>
                <w:sz w:val="24"/>
                <w:szCs w:val="24"/>
              </w:rPr>
              <w:t>固废：</w:t>
            </w:r>
            <w:r>
              <w:rPr>
                <w:rFonts w:hint="eastAsia"/>
                <w:sz w:val="24"/>
                <w:szCs w:val="24"/>
              </w:rPr>
              <w:t>项目</w:t>
            </w:r>
            <w:r>
              <w:rPr>
                <w:rFonts w:hint="eastAsia"/>
                <w:sz w:val="24"/>
                <w:szCs w:val="24"/>
                <w:lang w:eastAsia="zh-CN"/>
              </w:rPr>
              <w:t>固废主要为原料废包装材料、原料预处理过程中产生的蔬菜边角料及员工生活垃圾</w:t>
            </w:r>
            <w:r>
              <w:rPr>
                <w:rFonts w:hint="eastAsia"/>
                <w:sz w:val="24"/>
                <w:szCs w:val="24"/>
              </w:rPr>
              <w:t>。</w:t>
            </w:r>
          </w:p>
          <w:p>
            <w:pPr>
              <w:keepNext w:val="0"/>
              <w:keepLines w:val="0"/>
              <w:pageBreakBefore w:val="0"/>
              <w:widowControl/>
              <w:numPr>
                <w:ilvl w:val="0"/>
                <w:numId w:val="5"/>
              </w:numPr>
              <w:shd w:val="clear"/>
              <w:kinsoku/>
              <w:wordWrap/>
              <w:overflowPunct/>
              <w:topLinePunct w:val="0"/>
              <w:autoSpaceDE/>
              <w:autoSpaceDN/>
              <w:bidi w:val="0"/>
              <w:adjustRightInd/>
              <w:snapToGrid/>
              <w:spacing w:line="440" w:lineRule="exact"/>
              <w:ind w:left="0" w:leftChars="0" w:firstLine="480" w:firstLineChars="200"/>
              <w:jc w:val="left"/>
              <w:textAlignment w:val="auto"/>
              <w:rPr>
                <w:rFonts w:hint="default"/>
                <w:lang w:val="en-US" w:eastAsia="zh-CN"/>
              </w:rPr>
            </w:pPr>
            <w:r>
              <w:rPr>
                <w:sz w:val="24"/>
                <w:szCs w:val="24"/>
              </w:rPr>
              <w:t>噪声：</w:t>
            </w:r>
            <w:r>
              <w:rPr>
                <w:rFonts w:hint="eastAsia"/>
                <w:sz w:val="24"/>
                <w:szCs w:val="24"/>
                <w:lang w:eastAsia="zh-CN"/>
              </w:rPr>
              <w:t>项目噪声主要为和面机、绞肉机、拌馅机、切菜机、成型机、制冷机等运行噪声</w:t>
            </w:r>
            <w:r>
              <w:rPr>
                <w:rFonts w:hint="eastAsia"/>
                <w:lang w:eastAsia="zh-CN"/>
              </w:rPr>
              <w:t>。</w:t>
            </w:r>
            <w:bookmarkStart w:id="2" w:name="_GoBack"/>
            <w:bookmarkEnd w:id="2"/>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pStyle w:val="2"/>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eastAsia"/>
                <w:lang w:eastAsia="zh-CN"/>
              </w:rPr>
            </w:pPr>
          </w:p>
          <w:p>
            <w:pPr>
              <w:keepNext w:val="0"/>
              <w:keepLines w:val="0"/>
              <w:pageBreakBefore w:val="0"/>
              <w:widowControl/>
              <w:numPr>
                <w:ilvl w:val="0"/>
                <w:numId w:val="0"/>
              </w:numPr>
              <w:shd w:val="clear"/>
              <w:kinsoku/>
              <w:wordWrap/>
              <w:overflowPunct/>
              <w:topLinePunct w:val="0"/>
              <w:autoSpaceDE/>
              <w:autoSpaceDN/>
              <w:bidi w:val="0"/>
              <w:adjustRightInd/>
              <w:snapToGrid/>
              <w:spacing w:line="440" w:lineRule="exact"/>
              <w:jc w:val="left"/>
              <w:textAlignment w:val="auto"/>
              <w:rPr>
                <w:rFonts w:hint="default"/>
                <w:lang w:val="en-US" w:eastAsia="zh-CN"/>
              </w:rPr>
            </w:pPr>
          </w:p>
        </w:tc>
      </w:tr>
    </w:tbl>
    <w:p>
      <w:pPr>
        <w:spacing w:line="440" w:lineRule="exact"/>
        <w:rPr>
          <w:rFonts w:eastAsia="黑体"/>
          <w:sz w:val="32"/>
          <w:szCs w:val="32"/>
        </w:rPr>
      </w:pPr>
      <w:r>
        <w:rPr>
          <w:rFonts w:hint="eastAsia" w:eastAsia="黑体"/>
          <w:sz w:val="32"/>
          <w:szCs w:val="32"/>
          <w:lang w:eastAsia="zh-CN"/>
        </w:rPr>
        <w:t>建项目</w:t>
      </w:r>
      <w:r>
        <w:rPr>
          <w:rFonts w:eastAsia="黑体"/>
          <w:sz w:val="32"/>
          <w:szCs w:val="32"/>
        </w:rPr>
        <w:t>主要污染物产生及排放情况</w:t>
      </w:r>
    </w:p>
    <w:tbl>
      <w:tblPr>
        <w:tblStyle w:val="12"/>
        <w:tblW w:w="974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450"/>
        <w:gridCol w:w="1315"/>
        <w:gridCol w:w="3075"/>
        <w:gridCol w:w="288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1020" w:type="dxa"/>
            <w:vAlign w:val="center"/>
          </w:tcPr>
          <w:p>
            <w:pPr>
              <w:spacing w:line="240" w:lineRule="exact"/>
              <w:ind w:right="-321" w:rightChars="-153"/>
              <w:jc w:val="center"/>
              <w:rPr>
                <w:rFonts w:ascii="宋体" w:hAnsi="宋体"/>
                <w:sz w:val="21"/>
                <w:szCs w:val="21"/>
              </w:rPr>
            </w:pPr>
            <w:r>
              <w:rPr>
                <w:rFonts w:ascii="宋体" w:hAnsi="宋体"/>
                <w:sz w:val="21"/>
                <w:szCs w:val="21"/>
              </w:rPr>
              <mc:AlternateContent>
                <mc:Choice Requires="wps">
                  <w:drawing>
                    <wp:anchor distT="0" distB="0" distL="114300" distR="114300" simplePos="0" relativeHeight="251675648" behindDoc="0" locked="0" layoutInCell="1" allowOverlap="1">
                      <wp:simplePos x="0" y="0"/>
                      <wp:positionH relativeFrom="column">
                        <wp:posOffset>-68580</wp:posOffset>
                      </wp:positionH>
                      <wp:positionV relativeFrom="paragraph">
                        <wp:posOffset>-6350</wp:posOffset>
                      </wp:positionV>
                      <wp:extent cx="574675" cy="611505"/>
                      <wp:effectExtent l="3175" t="3175" r="12700" b="13970"/>
                      <wp:wrapNone/>
                      <wp:docPr id="4" name="直接连接符 4"/>
                      <wp:cNvGraphicFramePr/>
                      <a:graphic xmlns:a="http://schemas.openxmlformats.org/drawingml/2006/main">
                        <a:graphicData uri="http://schemas.microsoft.com/office/word/2010/wordprocessingShape">
                          <wps:wsp>
                            <wps:cNvCnPr/>
                            <wps:spPr>
                              <a:xfrm>
                                <a:off x="0" y="0"/>
                                <a:ext cx="574675" cy="61150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4pt;margin-top:-0.5pt;height:48.15pt;width:45.25pt;z-index:251675648;mso-width-relative:page;mso-height-relative:page;" filled="f" stroked="t" coordsize="21600,21600" o:gfxdata="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mNgnP1gAAAAgBAAAP&#10;AAAAAAAAAAEAIAAAACIAAABkcnMvZG93bnJldi54bWxQSwECFAAUAAAACACHTuJAYt7wG+EBAACo&#10;AwAADgAAAAAAAAABACAAAAAlAQAAZHJzL2Uyb0RvYy54bWxQSwUGAAAAAAYABgBZAQAAeAUAAAAA&#10;">
                      <v:fill on="f" focussize="0,0"/>
                      <v:stroke color="#000000" joinstyle="round"/>
                      <v:imagedata o:title=""/>
                      <o:lock v:ext="edit" aspectratio="f"/>
                    </v:line>
                  </w:pict>
                </mc:Fallback>
              </mc:AlternateContent>
            </w:r>
            <w:r>
              <w:rPr>
                <w:rFonts w:hint="eastAsia" w:ascii="宋体" w:hAnsi="宋体"/>
                <w:sz w:val="21"/>
                <w:szCs w:val="21"/>
              </w:rPr>
              <w:t>内容</w:t>
            </w:r>
          </w:p>
          <w:p>
            <w:pPr>
              <w:pStyle w:val="16"/>
              <w:rPr>
                <w:sz w:val="21"/>
                <w:szCs w:val="21"/>
              </w:rPr>
            </w:pPr>
          </w:p>
          <w:p>
            <w:pPr>
              <w:spacing w:line="240" w:lineRule="exact"/>
              <w:ind w:left="-531" w:leftChars="-253" w:right="-321" w:rightChars="-153"/>
              <w:jc w:val="center"/>
              <w:rPr>
                <w:rFonts w:ascii="宋体" w:hAnsi="宋体"/>
                <w:sz w:val="21"/>
                <w:szCs w:val="21"/>
              </w:rPr>
            </w:pPr>
            <w:r>
              <w:rPr>
                <w:rFonts w:hint="eastAsia" w:ascii="宋体" w:hAnsi="宋体"/>
                <w:sz w:val="21"/>
                <w:szCs w:val="21"/>
              </w:rPr>
              <w:t>类型</w:t>
            </w:r>
          </w:p>
        </w:tc>
        <w:tc>
          <w:tcPr>
            <w:tcW w:w="1450" w:type="dxa"/>
            <w:tcBorders>
              <w:bottom w:val="single" w:color="auto" w:sz="4" w:space="0"/>
            </w:tcBorders>
            <w:vAlign w:val="center"/>
          </w:tcPr>
          <w:p>
            <w:pPr>
              <w:spacing w:line="240" w:lineRule="exact"/>
              <w:jc w:val="center"/>
              <w:rPr>
                <w:rFonts w:ascii="宋体" w:hAnsi="宋体"/>
                <w:sz w:val="21"/>
                <w:szCs w:val="21"/>
              </w:rPr>
            </w:pPr>
            <w:r>
              <w:rPr>
                <w:rFonts w:hint="eastAsia" w:ascii="宋体" w:hAnsi="宋体"/>
                <w:sz w:val="21"/>
                <w:szCs w:val="21"/>
              </w:rPr>
              <w:t>排放源</w:t>
            </w:r>
          </w:p>
        </w:tc>
        <w:tc>
          <w:tcPr>
            <w:tcW w:w="1315" w:type="dxa"/>
            <w:tcBorders>
              <w:bottom w:val="single" w:color="auto" w:sz="4" w:space="0"/>
            </w:tcBorders>
            <w:vAlign w:val="center"/>
          </w:tcPr>
          <w:p>
            <w:pPr>
              <w:spacing w:line="240" w:lineRule="exact"/>
              <w:jc w:val="center"/>
              <w:rPr>
                <w:rFonts w:ascii="宋体" w:hAnsi="宋体"/>
                <w:sz w:val="21"/>
                <w:szCs w:val="21"/>
              </w:rPr>
            </w:pPr>
            <w:r>
              <w:rPr>
                <w:rFonts w:hint="eastAsia" w:ascii="宋体" w:hAnsi="宋体"/>
                <w:sz w:val="21"/>
                <w:szCs w:val="21"/>
              </w:rPr>
              <w:t>污染物名称</w:t>
            </w:r>
          </w:p>
        </w:tc>
        <w:tc>
          <w:tcPr>
            <w:tcW w:w="3075" w:type="dxa"/>
            <w:tcBorders>
              <w:bottom w:val="single" w:color="auto" w:sz="4" w:space="0"/>
            </w:tcBorders>
            <w:vAlign w:val="center"/>
          </w:tcPr>
          <w:p>
            <w:pPr>
              <w:spacing w:line="240" w:lineRule="exact"/>
              <w:jc w:val="center"/>
              <w:rPr>
                <w:rFonts w:ascii="宋体" w:hAnsi="宋体"/>
                <w:sz w:val="21"/>
                <w:szCs w:val="21"/>
              </w:rPr>
            </w:pPr>
            <w:r>
              <w:rPr>
                <w:rFonts w:hint="eastAsia" w:ascii="宋体" w:hAnsi="宋体"/>
                <w:sz w:val="21"/>
                <w:szCs w:val="21"/>
              </w:rPr>
              <w:t>处理前产生浓度及产生量</w:t>
            </w:r>
          </w:p>
        </w:tc>
        <w:tc>
          <w:tcPr>
            <w:tcW w:w="2884" w:type="dxa"/>
            <w:tcBorders>
              <w:bottom w:val="single" w:color="auto" w:sz="4" w:space="0"/>
            </w:tcBorders>
            <w:vAlign w:val="center"/>
          </w:tcPr>
          <w:p>
            <w:pPr>
              <w:spacing w:line="240" w:lineRule="exact"/>
              <w:jc w:val="center"/>
              <w:rPr>
                <w:rFonts w:ascii="宋体" w:hAnsi="宋体"/>
                <w:sz w:val="21"/>
                <w:szCs w:val="21"/>
              </w:rPr>
            </w:pPr>
            <w:r>
              <w:rPr>
                <w:rFonts w:hint="eastAsia" w:ascii="宋体" w:hAnsi="宋体"/>
                <w:sz w:val="21"/>
                <w:szCs w:val="21"/>
              </w:rPr>
              <w:t>排放浓度及排放量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0" w:type="dxa"/>
            <w:vMerge w:val="restart"/>
            <w:shd w:val="clear" w:color="auto" w:fill="auto"/>
            <w:textDirection w:val="tbRlV"/>
            <w:vAlign w:val="center"/>
          </w:tcPr>
          <w:p>
            <w:pPr>
              <w:spacing w:line="240" w:lineRule="exact"/>
              <w:ind w:left="113" w:right="113"/>
              <w:jc w:val="center"/>
              <w:rPr>
                <w:rFonts w:hint="eastAsia" w:ascii="宋体" w:hAnsi="宋体"/>
                <w:sz w:val="21"/>
                <w:szCs w:val="21"/>
                <w:lang w:eastAsia="zh-CN"/>
              </w:rPr>
            </w:pPr>
            <w:r>
              <w:rPr>
                <w:rFonts w:hint="eastAsia" w:ascii="宋体" w:hAnsi="宋体"/>
                <w:sz w:val="21"/>
                <w:szCs w:val="21"/>
                <w:lang w:eastAsia="zh-CN"/>
              </w:rPr>
              <w:t>水污染物</w:t>
            </w:r>
          </w:p>
        </w:tc>
        <w:tc>
          <w:tcPr>
            <w:tcW w:w="1450" w:type="dxa"/>
            <w:vMerge w:val="restart"/>
            <w:shd w:val="clear" w:color="auto" w:fill="auto"/>
            <w:vAlign w:val="center"/>
          </w:tcPr>
          <w:p>
            <w:pPr>
              <w:spacing w:line="240" w:lineRule="exact"/>
              <w:jc w:val="center"/>
              <w:rPr>
                <w:rFonts w:hint="eastAsia"/>
                <w:lang w:eastAsia="zh-CN"/>
              </w:rPr>
            </w:pPr>
            <w:r>
              <w:rPr>
                <w:rFonts w:hint="eastAsia"/>
                <w:lang w:eastAsia="zh-CN"/>
              </w:rPr>
              <w:t>生产废水</w:t>
            </w:r>
          </w:p>
          <w:p>
            <w:pPr>
              <w:pStyle w:val="2"/>
              <w:rPr>
                <w:rFonts w:hint="default"/>
                <w:lang w:val="en-US" w:eastAsia="zh-CN"/>
              </w:rPr>
            </w:pPr>
            <w:r>
              <w:rPr>
                <w:rFonts w:hint="eastAsia" w:ascii="Times New Roman" w:hAnsi="Times New Roman" w:eastAsia="宋体" w:cs="Times New Roman"/>
                <w:kern w:val="2"/>
                <w:sz w:val="21"/>
                <w:szCs w:val="24"/>
                <w:lang w:val="en-US" w:eastAsia="zh-CN" w:bidi="ar-SA"/>
              </w:rPr>
              <w:t>生活污水</w:t>
            </w:r>
          </w:p>
        </w:tc>
        <w:tc>
          <w:tcPr>
            <w:tcW w:w="13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sz w:val="21"/>
                <w:szCs w:val="21"/>
                <w:lang w:val="en-US" w:eastAsia="zh-CN"/>
              </w:rPr>
            </w:pPr>
            <w:r>
              <w:rPr>
                <w:rFonts w:hint="eastAsia"/>
                <w:sz w:val="21"/>
                <w:szCs w:val="21"/>
                <w:lang w:val="en-US" w:eastAsia="zh-CN"/>
              </w:rPr>
              <w:t>COD</w:t>
            </w:r>
          </w:p>
        </w:tc>
        <w:tc>
          <w:tcPr>
            <w:tcW w:w="307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cs="Times New Roman"/>
                <w:b w:val="0"/>
                <w:bCs/>
                <w:kern w:val="2"/>
                <w:sz w:val="21"/>
                <w:szCs w:val="21"/>
                <w:lang w:val="en-US" w:eastAsia="zh-CN" w:bidi="ar-SA"/>
              </w:rPr>
            </w:pPr>
            <w:r>
              <w:rPr>
                <w:rFonts w:hint="eastAsia" w:cs="Times New Roman"/>
                <w:b w:val="0"/>
                <w:bCs/>
                <w:kern w:val="2"/>
                <w:sz w:val="21"/>
                <w:szCs w:val="21"/>
                <w:lang w:val="en-US" w:eastAsia="zh-CN" w:bidi="ar-SA"/>
              </w:rPr>
              <w:t>478.8mg/L  0.6911t/a</w:t>
            </w:r>
          </w:p>
        </w:tc>
        <w:tc>
          <w:tcPr>
            <w:tcW w:w="2884"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cs="Times New Roman"/>
                <w:b w:val="0"/>
                <w:bCs/>
                <w:kern w:val="2"/>
                <w:sz w:val="21"/>
                <w:szCs w:val="21"/>
                <w:lang w:val="en-US" w:eastAsia="zh-CN" w:bidi="ar-SA"/>
              </w:rPr>
            </w:pPr>
            <w:r>
              <w:rPr>
                <w:rFonts w:hint="eastAsia" w:cs="Times New Roman"/>
                <w:b w:val="0"/>
                <w:bCs/>
                <w:kern w:val="2"/>
                <w:sz w:val="21"/>
                <w:szCs w:val="21"/>
                <w:lang w:val="en-US" w:eastAsia="zh-CN" w:bidi="ar-SA"/>
              </w:rPr>
              <w:t>50mg/L  0.0722t/a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0" w:type="dxa"/>
            <w:vMerge w:val="continue"/>
            <w:shd w:val="clear" w:color="auto" w:fill="auto"/>
            <w:textDirection w:val="tbRlV"/>
            <w:vAlign w:val="center"/>
          </w:tcPr>
          <w:p>
            <w:pPr>
              <w:spacing w:line="240" w:lineRule="exact"/>
              <w:ind w:left="113" w:right="113"/>
              <w:jc w:val="center"/>
              <w:rPr>
                <w:rFonts w:hint="eastAsia" w:ascii="宋体" w:hAnsi="宋体"/>
                <w:sz w:val="21"/>
                <w:szCs w:val="21"/>
                <w:lang w:eastAsia="zh-CN"/>
              </w:rPr>
            </w:pPr>
          </w:p>
        </w:tc>
        <w:tc>
          <w:tcPr>
            <w:tcW w:w="1450" w:type="dxa"/>
            <w:vMerge w:val="continue"/>
            <w:shd w:val="clear" w:color="auto" w:fill="auto"/>
            <w:vAlign w:val="center"/>
          </w:tcPr>
          <w:p>
            <w:pPr>
              <w:spacing w:line="240" w:lineRule="exact"/>
              <w:jc w:val="center"/>
              <w:rPr>
                <w:rFonts w:hint="eastAsia" w:ascii="宋体" w:hAnsi="宋体"/>
                <w:sz w:val="21"/>
                <w:szCs w:val="21"/>
                <w:lang w:eastAsia="zh-CN"/>
              </w:rPr>
            </w:pPr>
          </w:p>
        </w:tc>
        <w:tc>
          <w:tcPr>
            <w:tcW w:w="13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sz w:val="21"/>
                <w:szCs w:val="21"/>
                <w:lang w:val="en-US" w:eastAsia="zh-CN"/>
              </w:rPr>
            </w:pPr>
            <w:r>
              <w:rPr>
                <w:rFonts w:hint="eastAsia"/>
                <w:sz w:val="21"/>
                <w:szCs w:val="21"/>
                <w:lang w:val="en-US" w:eastAsia="zh-CN"/>
              </w:rPr>
              <w:t>氨氮</w:t>
            </w:r>
          </w:p>
        </w:tc>
        <w:tc>
          <w:tcPr>
            <w:tcW w:w="307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cs="Times New Roman"/>
                <w:b w:val="0"/>
                <w:bCs/>
                <w:kern w:val="2"/>
                <w:sz w:val="21"/>
                <w:szCs w:val="21"/>
                <w:lang w:val="en-US" w:eastAsia="zh-CN" w:bidi="ar-SA"/>
              </w:rPr>
            </w:pPr>
            <w:r>
              <w:rPr>
                <w:rFonts w:hint="eastAsia" w:cs="Times New Roman"/>
                <w:b w:val="0"/>
                <w:bCs/>
                <w:kern w:val="2"/>
                <w:sz w:val="21"/>
                <w:szCs w:val="21"/>
                <w:lang w:val="en-US" w:eastAsia="zh-CN" w:bidi="ar-SA"/>
              </w:rPr>
              <w:t>20.1mg/L  0.0290t/a</w:t>
            </w:r>
          </w:p>
        </w:tc>
        <w:tc>
          <w:tcPr>
            <w:tcW w:w="2884"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cs="Times New Roman"/>
                <w:b w:val="0"/>
                <w:bCs/>
                <w:kern w:val="2"/>
                <w:sz w:val="21"/>
                <w:szCs w:val="21"/>
                <w:lang w:val="en-US" w:eastAsia="zh-CN" w:bidi="ar-SA"/>
              </w:rPr>
            </w:pPr>
            <w:r>
              <w:rPr>
                <w:rFonts w:hint="eastAsia" w:cs="Times New Roman"/>
                <w:b w:val="0"/>
                <w:bCs/>
                <w:kern w:val="2"/>
                <w:sz w:val="21"/>
                <w:szCs w:val="21"/>
                <w:lang w:val="en-US" w:eastAsia="zh-CN" w:bidi="ar-SA"/>
              </w:rPr>
              <w:t>5mg/L  0.0072t/a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0" w:type="dxa"/>
            <w:vMerge w:val="continue"/>
            <w:shd w:val="clear" w:color="auto" w:fill="auto"/>
            <w:textDirection w:val="tbRlV"/>
            <w:vAlign w:val="center"/>
          </w:tcPr>
          <w:p>
            <w:pPr>
              <w:spacing w:line="240" w:lineRule="exact"/>
              <w:ind w:left="113" w:right="113"/>
              <w:jc w:val="center"/>
              <w:rPr>
                <w:rFonts w:hint="eastAsia" w:ascii="宋体" w:hAnsi="宋体"/>
                <w:sz w:val="21"/>
                <w:szCs w:val="21"/>
                <w:lang w:eastAsia="zh-CN"/>
              </w:rPr>
            </w:pPr>
          </w:p>
        </w:tc>
        <w:tc>
          <w:tcPr>
            <w:tcW w:w="1450" w:type="dxa"/>
            <w:vMerge w:val="continue"/>
            <w:shd w:val="clear" w:color="auto" w:fill="auto"/>
            <w:vAlign w:val="center"/>
          </w:tcPr>
          <w:p>
            <w:pPr>
              <w:spacing w:line="240" w:lineRule="exact"/>
              <w:jc w:val="center"/>
              <w:rPr>
                <w:rFonts w:hint="eastAsia" w:ascii="宋体" w:hAnsi="宋体"/>
                <w:sz w:val="21"/>
                <w:szCs w:val="21"/>
                <w:lang w:eastAsia="zh-CN"/>
              </w:rPr>
            </w:pPr>
          </w:p>
        </w:tc>
        <w:tc>
          <w:tcPr>
            <w:tcW w:w="13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sz w:val="21"/>
                <w:szCs w:val="21"/>
                <w:lang w:val="en-US" w:eastAsia="zh-CN"/>
              </w:rPr>
            </w:pPr>
            <w:r>
              <w:rPr>
                <w:rFonts w:hint="eastAsia"/>
                <w:sz w:val="21"/>
                <w:szCs w:val="21"/>
                <w:lang w:val="en-US" w:eastAsia="zh-CN"/>
              </w:rPr>
              <w:t>总磷</w:t>
            </w:r>
          </w:p>
        </w:tc>
        <w:tc>
          <w:tcPr>
            <w:tcW w:w="307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cs="Times New Roman"/>
                <w:b w:val="0"/>
                <w:bCs/>
                <w:kern w:val="2"/>
                <w:sz w:val="21"/>
                <w:szCs w:val="21"/>
                <w:lang w:val="en-US" w:eastAsia="zh-CN" w:bidi="ar-SA"/>
              </w:rPr>
            </w:pPr>
            <w:r>
              <w:rPr>
                <w:rFonts w:hint="eastAsia" w:cs="Times New Roman"/>
                <w:b w:val="0"/>
                <w:bCs/>
                <w:kern w:val="2"/>
                <w:sz w:val="21"/>
                <w:szCs w:val="21"/>
                <w:lang w:val="en-US" w:eastAsia="zh-CN" w:bidi="ar-SA"/>
              </w:rPr>
              <w:t>3.7mg/L  0.0054t/a</w:t>
            </w:r>
          </w:p>
        </w:tc>
        <w:tc>
          <w:tcPr>
            <w:tcW w:w="2884"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cs="Times New Roman"/>
                <w:b w:val="0"/>
                <w:bCs/>
                <w:kern w:val="2"/>
                <w:sz w:val="21"/>
                <w:szCs w:val="21"/>
                <w:lang w:val="en-US" w:eastAsia="zh-CN" w:bidi="ar-SA"/>
              </w:rPr>
            </w:pPr>
            <w:r>
              <w:rPr>
                <w:rFonts w:hint="eastAsia" w:cs="Times New Roman"/>
                <w:b w:val="0"/>
                <w:bCs/>
                <w:kern w:val="2"/>
                <w:sz w:val="21"/>
                <w:szCs w:val="21"/>
                <w:lang w:val="en-US" w:eastAsia="zh-CN" w:bidi="ar-SA"/>
              </w:rPr>
              <w:t>0.5mg/L  0.0007t/a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0" w:type="dxa"/>
            <w:vMerge w:val="continue"/>
            <w:shd w:val="clear" w:color="auto" w:fill="auto"/>
            <w:textDirection w:val="tbRlV"/>
            <w:vAlign w:val="center"/>
          </w:tcPr>
          <w:p>
            <w:pPr>
              <w:spacing w:line="240" w:lineRule="exact"/>
              <w:ind w:left="113" w:right="113"/>
              <w:jc w:val="center"/>
              <w:rPr>
                <w:rFonts w:hint="eastAsia" w:ascii="宋体" w:hAnsi="宋体"/>
                <w:sz w:val="21"/>
                <w:szCs w:val="21"/>
                <w:lang w:eastAsia="zh-CN"/>
              </w:rPr>
            </w:pPr>
          </w:p>
        </w:tc>
        <w:tc>
          <w:tcPr>
            <w:tcW w:w="1450" w:type="dxa"/>
            <w:vMerge w:val="continue"/>
            <w:shd w:val="clear" w:color="auto" w:fill="auto"/>
            <w:vAlign w:val="center"/>
          </w:tcPr>
          <w:p>
            <w:pPr>
              <w:spacing w:line="240" w:lineRule="exact"/>
              <w:jc w:val="center"/>
              <w:rPr>
                <w:rFonts w:hint="eastAsia" w:ascii="宋体" w:hAnsi="宋体"/>
                <w:sz w:val="21"/>
                <w:szCs w:val="21"/>
                <w:lang w:eastAsia="zh-CN"/>
              </w:rPr>
            </w:pPr>
          </w:p>
        </w:tc>
        <w:tc>
          <w:tcPr>
            <w:tcW w:w="13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sz w:val="21"/>
                <w:szCs w:val="21"/>
                <w:lang w:val="en-US" w:eastAsia="zh-CN"/>
              </w:rPr>
            </w:pPr>
            <w:r>
              <w:rPr>
                <w:rFonts w:hint="eastAsia"/>
                <w:sz w:val="21"/>
                <w:szCs w:val="21"/>
                <w:lang w:val="en-US" w:eastAsia="zh-CN"/>
              </w:rPr>
              <w:t>总氮</w:t>
            </w:r>
          </w:p>
        </w:tc>
        <w:tc>
          <w:tcPr>
            <w:tcW w:w="307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cs="Times New Roman"/>
                <w:b w:val="0"/>
                <w:bCs/>
                <w:kern w:val="2"/>
                <w:sz w:val="21"/>
                <w:szCs w:val="21"/>
                <w:lang w:val="en-US" w:eastAsia="zh-CN" w:bidi="ar-SA"/>
              </w:rPr>
            </w:pPr>
            <w:r>
              <w:rPr>
                <w:rFonts w:hint="eastAsia" w:cs="Times New Roman"/>
                <w:b w:val="0"/>
                <w:bCs/>
                <w:kern w:val="2"/>
                <w:sz w:val="21"/>
                <w:szCs w:val="21"/>
                <w:lang w:val="en-US" w:eastAsia="zh-CN" w:bidi="ar-SA"/>
              </w:rPr>
              <w:t>31.2mg/L  0.0450t/a</w:t>
            </w:r>
          </w:p>
        </w:tc>
        <w:tc>
          <w:tcPr>
            <w:tcW w:w="2884"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cs="Times New Roman"/>
                <w:b w:val="0"/>
                <w:bCs/>
                <w:kern w:val="2"/>
                <w:sz w:val="21"/>
                <w:szCs w:val="21"/>
                <w:lang w:val="en-US" w:eastAsia="zh-CN" w:bidi="ar-SA"/>
              </w:rPr>
            </w:pPr>
            <w:r>
              <w:rPr>
                <w:rFonts w:hint="eastAsia" w:cs="Times New Roman"/>
                <w:b w:val="0"/>
                <w:bCs/>
                <w:kern w:val="2"/>
                <w:sz w:val="21"/>
                <w:szCs w:val="21"/>
                <w:lang w:val="en-US" w:eastAsia="zh-CN" w:bidi="ar-SA"/>
              </w:rPr>
              <w:t>15g/L  0.0217t/a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0" w:type="dxa"/>
            <w:vMerge w:val="continue"/>
            <w:shd w:val="clear" w:color="auto" w:fill="auto"/>
            <w:textDirection w:val="tbRlV"/>
            <w:vAlign w:val="center"/>
          </w:tcPr>
          <w:p>
            <w:pPr>
              <w:spacing w:line="240" w:lineRule="exact"/>
              <w:ind w:left="113" w:right="113"/>
              <w:jc w:val="center"/>
              <w:rPr>
                <w:rFonts w:hint="eastAsia" w:ascii="宋体" w:hAnsi="宋体"/>
                <w:sz w:val="21"/>
                <w:szCs w:val="21"/>
                <w:lang w:eastAsia="zh-CN"/>
              </w:rPr>
            </w:pPr>
          </w:p>
        </w:tc>
        <w:tc>
          <w:tcPr>
            <w:tcW w:w="1450" w:type="dxa"/>
            <w:vMerge w:val="continue"/>
            <w:shd w:val="clear" w:color="auto" w:fill="auto"/>
            <w:vAlign w:val="center"/>
          </w:tcPr>
          <w:p>
            <w:pPr>
              <w:spacing w:line="240" w:lineRule="exact"/>
              <w:jc w:val="center"/>
              <w:rPr>
                <w:rFonts w:hint="eastAsia" w:ascii="宋体" w:hAnsi="宋体"/>
                <w:sz w:val="21"/>
                <w:szCs w:val="21"/>
                <w:lang w:eastAsia="zh-CN"/>
              </w:rPr>
            </w:pPr>
          </w:p>
        </w:tc>
        <w:tc>
          <w:tcPr>
            <w:tcW w:w="13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sz w:val="21"/>
                <w:szCs w:val="21"/>
                <w:lang w:val="en-US" w:eastAsia="zh-CN"/>
              </w:rPr>
            </w:pPr>
            <w:r>
              <w:rPr>
                <w:rFonts w:hint="eastAsia"/>
                <w:sz w:val="21"/>
                <w:szCs w:val="21"/>
                <w:lang w:val="en-US" w:eastAsia="zh-CN"/>
              </w:rPr>
              <w:t>石油类</w:t>
            </w:r>
          </w:p>
        </w:tc>
        <w:tc>
          <w:tcPr>
            <w:tcW w:w="307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cs="Times New Roman"/>
                <w:b w:val="0"/>
                <w:bCs/>
                <w:kern w:val="2"/>
                <w:sz w:val="21"/>
                <w:szCs w:val="21"/>
                <w:lang w:val="en-US" w:eastAsia="zh-CN" w:bidi="ar-SA"/>
              </w:rPr>
            </w:pPr>
            <w:r>
              <w:rPr>
                <w:rFonts w:hint="eastAsia" w:cs="Times New Roman"/>
                <w:b w:val="0"/>
                <w:bCs/>
                <w:kern w:val="2"/>
                <w:sz w:val="21"/>
                <w:szCs w:val="21"/>
                <w:lang w:val="en-US" w:eastAsia="zh-CN" w:bidi="ar-SA"/>
              </w:rPr>
              <w:t>0.6mg/L  0.0008t/a</w:t>
            </w:r>
          </w:p>
        </w:tc>
        <w:tc>
          <w:tcPr>
            <w:tcW w:w="2884"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cs="Times New Roman"/>
                <w:b w:val="0"/>
                <w:bCs/>
                <w:kern w:val="2"/>
                <w:sz w:val="21"/>
                <w:szCs w:val="21"/>
                <w:lang w:val="en-US" w:eastAsia="zh-CN" w:bidi="ar-SA"/>
              </w:rPr>
            </w:pPr>
            <w:r>
              <w:rPr>
                <w:rFonts w:hint="eastAsia" w:cs="Times New Roman"/>
                <w:b w:val="0"/>
                <w:bCs/>
                <w:kern w:val="2"/>
                <w:sz w:val="21"/>
                <w:szCs w:val="21"/>
                <w:lang w:val="en-US" w:eastAsia="zh-CN" w:bidi="ar-SA"/>
              </w:rPr>
              <w:t>1mg/L  0.0014t/a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0" w:type="dxa"/>
            <w:vMerge w:val="restart"/>
            <w:shd w:val="clear" w:color="auto" w:fill="auto"/>
            <w:textDirection w:val="tbRlV"/>
            <w:vAlign w:val="center"/>
          </w:tcPr>
          <w:p>
            <w:pPr>
              <w:spacing w:line="240" w:lineRule="exact"/>
              <w:ind w:left="113" w:right="113"/>
              <w:jc w:val="center"/>
              <w:rPr>
                <w:rFonts w:hint="eastAsia" w:ascii="宋体" w:hAnsi="宋体" w:eastAsia="宋体"/>
                <w:sz w:val="21"/>
                <w:szCs w:val="21"/>
                <w:lang w:eastAsia="zh-CN"/>
              </w:rPr>
            </w:pPr>
            <w:r>
              <w:rPr>
                <w:rFonts w:hint="eastAsia" w:ascii="宋体" w:hAnsi="宋体"/>
                <w:sz w:val="21"/>
                <w:szCs w:val="21"/>
                <w:lang w:eastAsia="zh-CN"/>
              </w:rPr>
              <w:t>固体废物</w:t>
            </w:r>
          </w:p>
        </w:tc>
        <w:tc>
          <w:tcPr>
            <w:tcW w:w="2765" w:type="dxa"/>
            <w:gridSpan w:val="2"/>
            <w:shd w:val="clear" w:color="auto" w:fill="auto"/>
            <w:vAlign w:val="center"/>
          </w:tcPr>
          <w:p>
            <w:pPr>
              <w:spacing w:line="240" w:lineRule="exact"/>
              <w:jc w:val="center"/>
              <w:rPr>
                <w:rFonts w:hint="default" w:eastAsia="宋体"/>
                <w:sz w:val="21"/>
                <w:szCs w:val="21"/>
                <w:lang w:val="en-US" w:eastAsia="zh-CN"/>
              </w:rPr>
            </w:pPr>
            <w:r>
              <w:rPr>
                <w:rFonts w:hint="eastAsia"/>
                <w:sz w:val="21"/>
                <w:szCs w:val="21"/>
                <w:lang w:val="en-US" w:eastAsia="zh-CN"/>
              </w:rPr>
              <w:t>废包装材料</w:t>
            </w:r>
          </w:p>
        </w:tc>
        <w:tc>
          <w:tcPr>
            <w:tcW w:w="3075" w:type="dxa"/>
            <w:shd w:val="clear" w:color="auto" w:fill="auto"/>
            <w:vAlign w:val="center"/>
          </w:tcPr>
          <w:p>
            <w:pPr>
              <w:spacing w:line="240" w:lineRule="exact"/>
              <w:jc w:val="center"/>
              <w:rPr>
                <w:sz w:val="21"/>
                <w:szCs w:val="21"/>
              </w:rPr>
            </w:pPr>
            <w:r>
              <w:rPr>
                <w:rFonts w:hint="eastAsia"/>
                <w:sz w:val="21"/>
                <w:szCs w:val="21"/>
                <w:lang w:val="en-US" w:eastAsia="zh-CN"/>
              </w:rPr>
              <w:t>0.2</w:t>
            </w:r>
            <w:r>
              <w:rPr>
                <w:rFonts w:hint="eastAsia"/>
                <w:sz w:val="21"/>
                <w:szCs w:val="21"/>
              </w:rPr>
              <w:t>t/a</w:t>
            </w:r>
          </w:p>
        </w:tc>
        <w:tc>
          <w:tcPr>
            <w:tcW w:w="2884" w:type="dxa"/>
            <w:shd w:val="clear" w:color="auto" w:fill="auto"/>
            <w:vAlign w:val="center"/>
          </w:tcPr>
          <w:p>
            <w:pPr>
              <w:spacing w:line="240" w:lineRule="exact"/>
              <w:jc w:val="center"/>
              <w:rPr>
                <w:sz w:val="21"/>
                <w:szCs w:val="21"/>
              </w:rPr>
            </w:pPr>
            <w:r>
              <w:rPr>
                <w:rFonts w:hint="eastAsia"/>
                <w:sz w:val="21"/>
                <w:szCs w:val="21"/>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0" w:type="dxa"/>
            <w:vMerge w:val="continue"/>
            <w:shd w:val="clear" w:color="auto" w:fill="auto"/>
            <w:textDirection w:val="tbRlV"/>
            <w:vAlign w:val="center"/>
          </w:tcPr>
          <w:p>
            <w:pPr>
              <w:spacing w:line="240" w:lineRule="exact"/>
              <w:ind w:left="113" w:right="113"/>
              <w:jc w:val="center"/>
              <w:rPr>
                <w:rFonts w:hint="eastAsia" w:ascii="宋体" w:hAnsi="宋体"/>
                <w:sz w:val="21"/>
                <w:szCs w:val="21"/>
                <w:lang w:eastAsia="zh-CN"/>
              </w:rPr>
            </w:pPr>
          </w:p>
        </w:tc>
        <w:tc>
          <w:tcPr>
            <w:tcW w:w="2765" w:type="dxa"/>
            <w:gridSpan w:val="2"/>
            <w:shd w:val="clear" w:color="auto" w:fill="auto"/>
            <w:vAlign w:val="center"/>
          </w:tcPr>
          <w:p>
            <w:pPr>
              <w:spacing w:line="240" w:lineRule="exact"/>
              <w:jc w:val="center"/>
              <w:rPr>
                <w:rFonts w:hint="eastAsia"/>
                <w:sz w:val="21"/>
                <w:szCs w:val="21"/>
                <w:lang w:eastAsia="zh-CN"/>
              </w:rPr>
            </w:pPr>
            <w:r>
              <w:rPr>
                <w:rFonts w:hint="eastAsia"/>
                <w:sz w:val="21"/>
                <w:szCs w:val="21"/>
                <w:lang w:eastAsia="zh-CN"/>
              </w:rPr>
              <w:t>边角料</w:t>
            </w:r>
          </w:p>
        </w:tc>
        <w:tc>
          <w:tcPr>
            <w:tcW w:w="3075" w:type="dxa"/>
            <w:shd w:val="clear" w:color="auto" w:fill="auto"/>
            <w:vAlign w:val="center"/>
          </w:tcPr>
          <w:p>
            <w:pPr>
              <w:spacing w:line="240" w:lineRule="exact"/>
              <w:jc w:val="center"/>
              <w:rPr>
                <w:rFonts w:hint="default"/>
                <w:sz w:val="21"/>
                <w:szCs w:val="21"/>
                <w:lang w:val="en-US" w:eastAsia="zh-CN"/>
              </w:rPr>
            </w:pPr>
            <w:r>
              <w:rPr>
                <w:rFonts w:hint="eastAsia"/>
                <w:sz w:val="21"/>
                <w:szCs w:val="21"/>
                <w:lang w:val="en-US" w:eastAsia="zh-CN"/>
              </w:rPr>
              <w:t>3t/a</w:t>
            </w:r>
          </w:p>
        </w:tc>
        <w:tc>
          <w:tcPr>
            <w:tcW w:w="2884" w:type="dxa"/>
            <w:shd w:val="clear" w:color="auto" w:fill="auto"/>
            <w:vAlign w:val="center"/>
          </w:tcPr>
          <w:p>
            <w:pPr>
              <w:spacing w:line="240" w:lineRule="exact"/>
              <w:jc w:val="center"/>
              <w:rPr>
                <w:rFonts w:hint="eastAsia" w:eastAsia="宋体"/>
                <w:sz w:val="21"/>
                <w:szCs w:val="21"/>
                <w:lang w:val="en-US" w:eastAsia="zh-CN"/>
              </w:rPr>
            </w:pPr>
            <w:r>
              <w:rPr>
                <w:rFonts w:hint="eastAsia"/>
                <w:sz w:val="21"/>
                <w:szCs w:val="21"/>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0" w:type="dxa"/>
            <w:vMerge w:val="continue"/>
            <w:shd w:val="clear" w:color="auto" w:fill="auto"/>
            <w:textDirection w:val="tbRlV"/>
            <w:vAlign w:val="center"/>
          </w:tcPr>
          <w:p>
            <w:pPr>
              <w:spacing w:line="240" w:lineRule="exact"/>
              <w:ind w:left="113" w:right="113"/>
              <w:jc w:val="center"/>
              <w:rPr>
                <w:rFonts w:hint="eastAsia" w:ascii="宋体" w:hAnsi="宋体"/>
                <w:sz w:val="21"/>
                <w:szCs w:val="21"/>
                <w:lang w:eastAsia="zh-CN"/>
              </w:rPr>
            </w:pPr>
          </w:p>
        </w:tc>
        <w:tc>
          <w:tcPr>
            <w:tcW w:w="2765" w:type="dxa"/>
            <w:gridSpan w:val="2"/>
            <w:shd w:val="clear" w:color="auto" w:fill="auto"/>
            <w:vAlign w:val="center"/>
          </w:tcPr>
          <w:p>
            <w:pPr>
              <w:spacing w:line="240" w:lineRule="exact"/>
              <w:jc w:val="center"/>
              <w:rPr>
                <w:rFonts w:hint="eastAsia"/>
                <w:sz w:val="21"/>
                <w:szCs w:val="21"/>
                <w:lang w:eastAsia="zh-CN"/>
              </w:rPr>
            </w:pPr>
            <w:r>
              <w:rPr>
                <w:rFonts w:hint="eastAsia"/>
                <w:sz w:val="21"/>
                <w:szCs w:val="21"/>
                <w:lang w:eastAsia="zh-CN"/>
              </w:rPr>
              <w:t>员工生活垃圾</w:t>
            </w:r>
          </w:p>
        </w:tc>
        <w:tc>
          <w:tcPr>
            <w:tcW w:w="3075" w:type="dxa"/>
            <w:shd w:val="clear" w:color="auto" w:fill="auto"/>
            <w:vAlign w:val="center"/>
          </w:tcPr>
          <w:p>
            <w:pPr>
              <w:spacing w:line="240" w:lineRule="exact"/>
              <w:jc w:val="center"/>
              <w:rPr>
                <w:rFonts w:hint="eastAsia"/>
                <w:sz w:val="21"/>
                <w:szCs w:val="21"/>
                <w:lang w:val="en-US" w:eastAsia="zh-CN"/>
              </w:rPr>
            </w:pPr>
            <w:r>
              <w:rPr>
                <w:rFonts w:hint="eastAsia"/>
                <w:sz w:val="21"/>
                <w:szCs w:val="21"/>
                <w:lang w:val="en-US" w:eastAsia="zh-CN"/>
              </w:rPr>
              <w:t>2.25t/a</w:t>
            </w:r>
          </w:p>
        </w:tc>
        <w:tc>
          <w:tcPr>
            <w:tcW w:w="2884" w:type="dxa"/>
            <w:shd w:val="clear" w:color="auto" w:fill="auto"/>
            <w:vAlign w:val="center"/>
          </w:tcPr>
          <w:p>
            <w:pPr>
              <w:spacing w:line="240" w:lineRule="exact"/>
              <w:jc w:val="center"/>
              <w:rPr>
                <w:rFonts w:hint="default"/>
                <w:sz w:val="21"/>
                <w:szCs w:val="21"/>
                <w:lang w:val="en-US" w:eastAsia="zh-CN"/>
              </w:rPr>
            </w:pPr>
            <w:r>
              <w:rPr>
                <w:rFonts w:hint="eastAsia"/>
                <w:sz w:val="21"/>
                <w:szCs w:val="21"/>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0" w:hRule="exact"/>
          <w:jc w:val="center"/>
        </w:trPr>
        <w:tc>
          <w:tcPr>
            <w:tcW w:w="1020" w:type="dxa"/>
            <w:textDirection w:val="tbRlV"/>
            <w:vAlign w:val="center"/>
          </w:tcPr>
          <w:p>
            <w:pPr>
              <w:spacing w:line="240" w:lineRule="exact"/>
              <w:jc w:val="center"/>
              <w:rPr>
                <w:rFonts w:ascii="宋体" w:hAnsi="宋体"/>
                <w:sz w:val="21"/>
                <w:szCs w:val="21"/>
              </w:rPr>
            </w:pPr>
            <w:r>
              <w:rPr>
                <w:rFonts w:hint="eastAsia" w:ascii="宋体" w:hAnsi="宋体"/>
                <w:sz w:val="21"/>
                <w:szCs w:val="21"/>
              </w:rPr>
              <w:t>噪声</w:t>
            </w:r>
          </w:p>
        </w:tc>
        <w:tc>
          <w:tcPr>
            <w:tcW w:w="8724" w:type="dxa"/>
            <w:gridSpan w:val="4"/>
            <w:vAlign w:val="center"/>
          </w:tcPr>
          <w:p>
            <w:pPr>
              <w:spacing w:line="360" w:lineRule="auto"/>
              <w:ind w:firstLine="522" w:firstLineChars="249"/>
              <w:rPr>
                <w:rFonts w:ascii="宋体" w:hAnsi="宋体"/>
                <w:sz w:val="21"/>
                <w:szCs w:val="21"/>
                <w:highlight w:val="yellow"/>
              </w:rPr>
            </w:pPr>
            <w:r>
              <w:rPr>
                <w:rFonts w:hint="eastAsia" w:ascii="宋体" w:hAnsi="宋体"/>
                <w:sz w:val="21"/>
                <w:szCs w:val="21"/>
              </w:rPr>
              <w:t>主要为</w:t>
            </w:r>
            <w:r>
              <w:rPr>
                <w:rFonts w:hint="eastAsia"/>
                <w:sz w:val="21"/>
                <w:szCs w:val="21"/>
                <w:lang w:eastAsia="zh-CN"/>
              </w:rPr>
              <w:t>和面机、绞肉机、拌馅机、切菜机、成型机、制冷机、燃气蒸柜</w:t>
            </w:r>
            <w:r>
              <w:rPr>
                <w:rFonts w:hint="eastAsia" w:ascii="宋体" w:hAnsi="宋体"/>
                <w:sz w:val="21"/>
                <w:szCs w:val="21"/>
                <w:lang w:eastAsia="zh-CN"/>
              </w:rPr>
              <w:t>等设备</w:t>
            </w:r>
            <w:r>
              <w:rPr>
                <w:rFonts w:hint="eastAsia"/>
                <w:sz w:val="21"/>
                <w:szCs w:val="21"/>
                <w:lang w:eastAsia="zh-CN"/>
              </w:rPr>
              <w:t>运行产生的噪声</w:t>
            </w:r>
            <w:r>
              <w:rPr>
                <w:rFonts w:hint="eastAsia" w:ascii="宋体" w:hAnsi="宋体"/>
                <w:sz w:val="21"/>
                <w:szCs w:val="21"/>
              </w:rPr>
              <w:t>，</w:t>
            </w:r>
            <w:r>
              <w:rPr>
                <w:rFonts w:ascii="宋体" w:hAnsi="宋体"/>
                <w:sz w:val="21"/>
                <w:szCs w:val="21"/>
              </w:rPr>
              <w:t>噪声</w:t>
            </w:r>
            <w:r>
              <w:rPr>
                <w:rFonts w:hint="eastAsia" w:ascii="宋体" w:hAnsi="宋体"/>
                <w:sz w:val="21"/>
                <w:szCs w:val="21"/>
              </w:rPr>
              <w:t>源强在</w:t>
            </w:r>
            <w:r>
              <w:rPr>
                <w:rFonts w:hint="eastAsia"/>
                <w:sz w:val="21"/>
                <w:szCs w:val="21"/>
                <w:lang w:val="en-US" w:eastAsia="zh-CN"/>
              </w:rPr>
              <w:t>60~80</w:t>
            </w:r>
            <w:r>
              <w:rPr>
                <w:sz w:val="21"/>
                <w:szCs w:val="21"/>
              </w:rPr>
              <w:t>dB（A</w:t>
            </w:r>
            <w:r>
              <w:rPr>
                <w:rFonts w:ascii="宋体" w:hAnsi="宋体"/>
                <w:sz w:val="21"/>
                <w:szCs w:val="21"/>
              </w:rPr>
              <w:t>）</w:t>
            </w:r>
            <w:r>
              <w:rPr>
                <w:rFonts w:hint="eastAsia" w:ascii="宋体" w:hAnsi="宋体"/>
                <w:sz w:val="21"/>
                <w:szCs w:val="21"/>
              </w:rPr>
              <w:t>之间。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exact"/>
          <w:jc w:val="center"/>
        </w:trPr>
        <w:tc>
          <w:tcPr>
            <w:tcW w:w="1020" w:type="dxa"/>
            <w:textDirection w:val="tbRlV"/>
            <w:vAlign w:val="center"/>
          </w:tcPr>
          <w:p>
            <w:pPr>
              <w:spacing w:line="240" w:lineRule="exact"/>
              <w:jc w:val="center"/>
              <w:rPr>
                <w:rFonts w:ascii="宋体" w:hAnsi="宋体"/>
                <w:sz w:val="21"/>
                <w:szCs w:val="21"/>
              </w:rPr>
            </w:pPr>
            <w:r>
              <w:rPr>
                <w:rFonts w:hint="eastAsia" w:ascii="宋体" w:hAnsi="宋体"/>
                <w:sz w:val="21"/>
                <w:szCs w:val="21"/>
              </w:rPr>
              <w:t>其它</w:t>
            </w:r>
          </w:p>
        </w:tc>
        <w:tc>
          <w:tcPr>
            <w:tcW w:w="8724" w:type="dxa"/>
            <w:gridSpan w:val="4"/>
            <w:vAlign w:val="center"/>
          </w:tcPr>
          <w:p>
            <w:pPr>
              <w:spacing w:line="240" w:lineRule="exact"/>
              <w:jc w:val="center"/>
              <w:rPr>
                <w:rFonts w:ascii="宋体" w:hAnsi="宋体"/>
                <w:sz w:val="21"/>
                <w:szCs w:val="21"/>
              </w:rPr>
            </w:pPr>
            <w:r>
              <w:rPr>
                <w:rFonts w:hint="eastAsia" w:ascii="宋体" w:hAnsi="宋体"/>
                <w:sz w:val="21"/>
                <w:szCs w:val="21"/>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11" w:hRule="atLeast"/>
          <w:jc w:val="center"/>
        </w:trPr>
        <w:tc>
          <w:tcPr>
            <w:tcW w:w="9744" w:type="dxa"/>
            <w:gridSpan w:val="5"/>
          </w:tcPr>
          <w:p>
            <w:pPr>
              <w:spacing w:line="480" w:lineRule="exact"/>
              <w:rPr>
                <w:sz w:val="21"/>
                <w:szCs w:val="21"/>
              </w:rPr>
            </w:pPr>
            <w:r>
              <w:rPr>
                <w:rFonts w:hint="eastAsia"/>
                <w:sz w:val="21"/>
                <w:szCs w:val="21"/>
              </w:rPr>
              <w:t>主要生态影响：</w:t>
            </w:r>
          </w:p>
          <w:p>
            <w:pPr>
              <w:spacing w:line="480" w:lineRule="exact"/>
              <w:ind w:firstLine="420" w:firstLineChars="200"/>
              <w:rPr>
                <w:sz w:val="21"/>
                <w:szCs w:val="21"/>
              </w:rPr>
            </w:pPr>
            <w:r>
              <w:rPr>
                <w:rFonts w:hint="eastAsia"/>
                <w:sz w:val="21"/>
                <w:szCs w:val="21"/>
              </w:rPr>
              <w:t>该项目周围无珍稀动植物种群和其他生态敏感点</w:t>
            </w:r>
            <w:r>
              <w:rPr>
                <w:rFonts w:hint="eastAsia"/>
                <w:sz w:val="21"/>
                <w:szCs w:val="21"/>
                <w:lang w:eastAsia="zh-CN"/>
              </w:rPr>
              <w:t>，</w:t>
            </w:r>
            <w:r>
              <w:rPr>
                <w:rFonts w:hint="eastAsia" w:ascii="宋体" w:hAnsi="宋体" w:eastAsia="宋体" w:cs="宋体"/>
                <w:color w:val="000000"/>
                <w:kern w:val="0"/>
                <w:sz w:val="21"/>
                <w:szCs w:val="21"/>
                <w:lang w:val="en-US" w:eastAsia="zh-CN" w:bidi="ar"/>
              </w:rPr>
              <w:t>营运期污染物采取有效措施后，不会对生态环境产生大的影响。</w:t>
            </w: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p>
            <w:pPr>
              <w:pStyle w:val="2"/>
              <w:spacing w:line="240" w:lineRule="exact"/>
              <w:ind w:left="0" w:leftChars="0" w:firstLine="0" w:firstLineChars="0"/>
              <w:rPr>
                <w:sz w:val="21"/>
                <w:szCs w:val="21"/>
              </w:rPr>
            </w:pPr>
          </w:p>
        </w:tc>
      </w:tr>
    </w:tbl>
    <w:p>
      <w:pPr>
        <w:spacing w:line="520" w:lineRule="exact"/>
        <w:rPr>
          <w:rFonts w:eastAsia="黑体"/>
          <w:sz w:val="32"/>
          <w:szCs w:val="32"/>
        </w:rPr>
      </w:pPr>
      <w:r>
        <w:rPr>
          <w:rFonts w:eastAsia="黑体"/>
          <w:sz w:val="32"/>
          <w:szCs w:val="32"/>
        </w:rPr>
        <w:t>环境影响分析</w:t>
      </w:r>
    </w:p>
    <w:tbl>
      <w:tblPr>
        <w:tblStyle w:val="12"/>
        <w:tblW w:w="9027" w:type="dxa"/>
        <w:jc w:val="center"/>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
      <w:tblGrid>
        <w:gridCol w:w="9027"/>
      </w:tblGrid>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3241" w:hRule="atLeast"/>
          <w:jc w:val="center"/>
        </w:trPr>
        <w:tc>
          <w:tcPr>
            <w:tcW w:w="9027" w:type="dxa"/>
          </w:tcPr>
          <w:p>
            <w:pPr>
              <w:spacing w:line="440" w:lineRule="exact"/>
              <w:rPr>
                <w:bCs/>
                <w:sz w:val="28"/>
              </w:rPr>
            </w:pPr>
            <w:r>
              <w:rPr>
                <w:b/>
                <w:sz w:val="28"/>
              </w:rPr>
              <w:t>施工期环境影响简要分析</w:t>
            </w:r>
            <w:r>
              <w:rPr>
                <w:bCs/>
                <w:sz w:val="28"/>
              </w:rPr>
              <w:t>：</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b w:val="0"/>
                <w:bCs w:val="0"/>
                <w:sz w:val="24"/>
                <w:szCs w:val="24"/>
                <w:u w:val="none"/>
                <w:lang w:val="en-US" w:eastAsia="zh-CN"/>
              </w:rPr>
            </w:pPr>
            <w:r>
              <w:rPr>
                <w:rFonts w:hint="default" w:ascii="Times New Roman" w:hAnsi="Times New Roman" w:cs="Times New Roman"/>
                <w:b w:val="0"/>
                <w:bCs w:val="0"/>
                <w:sz w:val="24"/>
                <w:szCs w:val="24"/>
                <w:u w:val="none"/>
                <w:lang w:val="en-US" w:eastAsia="zh-CN"/>
              </w:rPr>
              <w:t>本项目施工内容主要包括：1座200m</w:t>
            </w:r>
            <w:r>
              <w:rPr>
                <w:rFonts w:hint="default" w:ascii="Times New Roman" w:hAnsi="Times New Roman" w:cs="Times New Roman"/>
                <w:b w:val="0"/>
                <w:bCs w:val="0"/>
                <w:sz w:val="24"/>
                <w:szCs w:val="24"/>
                <w:u w:val="none"/>
                <w:vertAlign w:val="superscript"/>
                <w:lang w:val="en-US" w:eastAsia="zh-CN"/>
              </w:rPr>
              <w:t>2</w:t>
            </w:r>
            <w:r>
              <w:rPr>
                <w:rFonts w:hint="default" w:ascii="Times New Roman" w:hAnsi="Times New Roman" w:cs="Times New Roman"/>
                <w:b w:val="0"/>
                <w:bCs w:val="0"/>
                <w:sz w:val="24"/>
                <w:szCs w:val="24"/>
                <w:u w:val="none"/>
                <w:lang w:val="en-US" w:eastAsia="zh-CN"/>
              </w:rPr>
              <w:t>生产车间、1座450m</w:t>
            </w:r>
            <w:r>
              <w:rPr>
                <w:rFonts w:hint="default" w:ascii="Times New Roman" w:hAnsi="Times New Roman" w:cs="Times New Roman"/>
                <w:b w:val="0"/>
                <w:bCs w:val="0"/>
                <w:sz w:val="24"/>
                <w:szCs w:val="24"/>
                <w:u w:val="none"/>
                <w:vertAlign w:val="superscript"/>
                <w:lang w:val="en-US" w:eastAsia="zh-CN"/>
              </w:rPr>
              <w:t>2</w:t>
            </w:r>
            <w:r>
              <w:rPr>
                <w:rFonts w:hint="default" w:ascii="Times New Roman" w:hAnsi="Times New Roman" w:cs="Times New Roman"/>
                <w:b w:val="0"/>
                <w:bCs w:val="0"/>
                <w:sz w:val="24"/>
                <w:szCs w:val="24"/>
                <w:u w:val="none"/>
                <w:lang w:val="en-US" w:eastAsia="zh-CN"/>
              </w:rPr>
              <w:t>原料仓库、1座350m</w:t>
            </w:r>
            <w:r>
              <w:rPr>
                <w:rFonts w:hint="default" w:ascii="Times New Roman" w:hAnsi="Times New Roman" w:cs="Times New Roman"/>
                <w:b w:val="0"/>
                <w:bCs w:val="0"/>
                <w:sz w:val="24"/>
                <w:szCs w:val="24"/>
                <w:u w:val="none"/>
                <w:vertAlign w:val="superscript"/>
                <w:lang w:val="en-US" w:eastAsia="zh-CN"/>
              </w:rPr>
              <w:t>2</w:t>
            </w:r>
            <w:r>
              <w:rPr>
                <w:rFonts w:hint="default" w:ascii="Times New Roman" w:hAnsi="Times New Roman" w:cs="Times New Roman"/>
                <w:b w:val="0"/>
                <w:bCs w:val="0"/>
                <w:sz w:val="24"/>
                <w:szCs w:val="24"/>
                <w:u w:val="none"/>
                <w:lang w:val="en-US" w:eastAsia="zh-CN"/>
              </w:rPr>
              <w:t>冷冻仓库。</w:t>
            </w:r>
          </w:p>
          <w:p>
            <w:pPr>
              <w:spacing w:line="440" w:lineRule="exact"/>
              <w:ind w:firstLine="480" w:firstLineChars="200"/>
              <w:rPr>
                <w:b w:val="0"/>
                <w:bCs w:val="0"/>
                <w:sz w:val="24"/>
              </w:rPr>
            </w:pPr>
            <w:r>
              <w:rPr>
                <w:b w:val="0"/>
                <w:bCs w:val="0"/>
                <w:sz w:val="24"/>
              </w:rPr>
              <w:t>一、施工期</w:t>
            </w:r>
            <w:r>
              <w:rPr>
                <w:rFonts w:hint="eastAsia"/>
                <w:b w:val="0"/>
                <w:bCs w:val="0"/>
                <w:sz w:val="24"/>
                <w:lang w:eastAsia="zh-CN"/>
              </w:rPr>
              <w:t>大气</w:t>
            </w:r>
            <w:r>
              <w:rPr>
                <w:b w:val="0"/>
                <w:bCs w:val="0"/>
                <w:sz w:val="24"/>
              </w:rPr>
              <w:t>影响分析</w:t>
            </w:r>
          </w:p>
          <w:p>
            <w:pPr>
              <w:spacing w:line="440" w:lineRule="exact"/>
              <w:ind w:firstLine="480" w:firstLineChars="200"/>
              <w:rPr>
                <w:sz w:val="24"/>
              </w:rPr>
            </w:pPr>
            <w:r>
              <w:rPr>
                <w:sz w:val="24"/>
              </w:rPr>
              <w:t>施工期产生扬尘主要</w:t>
            </w:r>
            <w:r>
              <w:rPr>
                <w:rFonts w:hint="eastAsia"/>
                <w:sz w:val="24"/>
              </w:rPr>
              <w:t>为：</w:t>
            </w:r>
            <w:r>
              <w:rPr>
                <w:sz w:val="24"/>
              </w:rPr>
              <w:t>地基开挖、场地平整</w:t>
            </w:r>
            <w:r>
              <w:rPr>
                <w:rFonts w:hint="eastAsia"/>
                <w:sz w:val="24"/>
              </w:rPr>
              <w:t>等过程产生的扬尘、车辆运输、物料堆放及装卸等</w:t>
            </w:r>
            <w:r>
              <w:rPr>
                <w:sz w:val="24"/>
              </w:rPr>
              <w:t>过程产生的扬尘。</w:t>
            </w:r>
          </w:p>
          <w:p>
            <w:pPr>
              <w:spacing w:line="440" w:lineRule="exact"/>
              <w:ind w:firstLine="480" w:firstLineChars="200"/>
              <w:rPr>
                <w:color w:val="000000" w:themeColor="text1"/>
                <w:sz w:val="24"/>
                <w14:textFill>
                  <w14:solidFill>
                    <w14:schemeClr w14:val="tx1"/>
                  </w14:solidFill>
                </w14:textFill>
              </w:rPr>
            </w:pPr>
            <w:r>
              <w:rPr>
                <w:sz w:val="24"/>
              </w:rPr>
              <w:t>为防止和减少施工期间扬尘的污染，</w:t>
            </w:r>
            <w:r>
              <w:rPr>
                <w:rFonts w:hint="eastAsia"/>
                <w:sz w:val="24"/>
              </w:rPr>
              <w:t>建设</w:t>
            </w:r>
            <w:r>
              <w:rPr>
                <w:sz w:val="24"/>
              </w:rPr>
              <w:t>单位应加强统一、严格、规范管理制度和措施，将</w:t>
            </w:r>
            <w:r>
              <w:rPr>
                <w:rFonts w:hint="eastAsia"/>
                <w:sz w:val="24"/>
              </w:rPr>
              <w:t>施工期</w:t>
            </w:r>
            <w:r>
              <w:rPr>
                <w:sz w:val="24"/>
              </w:rPr>
              <w:t>环保工作纳入本单位管理程序</w:t>
            </w:r>
            <w:r>
              <w:rPr>
                <w:rFonts w:hint="eastAsia"/>
                <w:sz w:val="24"/>
              </w:rPr>
              <w:t>。</w:t>
            </w:r>
            <w:r>
              <w:rPr>
                <w:color w:val="000000" w:themeColor="text1"/>
                <w:sz w:val="24"/>
                <w14:textFill>
                  <w14:solidFill>
                    <w14:schemeClr w14:val="tx1"/>
                  </w14:solidFill>
                </w14:textFill>
              </w:rPr>
              <w:t>项目在施工期应严格按照《河南省污染防治攻坚战三年行动计划(2018—2020年)》及《济源市污染防治攻坚战三年行动计划（2018—2020年）》</w:t>
            </w:r>
            <w:r>
              <w:rPr>
                <w:rFonts w:hint="eastAsia"/>
                <w:color w:val="000000" w:themeColor="text1"/>
                <w:sz w:val="24"/>
                <w:lang w:eastAsia="zh-CN"/>
                <w14:textFill>
                  <w14:solidFill>
                    <w14:schemeClr w14:val="tx1"/>
                  </w14:solidFill>
                </w14:textFill>
              </w:rPr>
              <w:t>等文件</w:t>
            </w:r>
            <w:r>
              <w:rPr>
                <w:color w:val="000000" w:themeColor="text1"/>
                <w:sz w:val="24"/>
                <w14:textFill>
                  <w14:solidFill>
                    <w14:schemeClr w14:val="tx1"/>
                  </w14:solidFill>
                </w14:textFill>
              </w:rPr>
              <w:t>中与施工期有关的规定：</w:t>
            </w:r>
          </w:p>
          <w:p>
            <w:pPr>
              <w:spacing w:line="440" w:lineRule="exact"/>
              <w:ind w:firstLine="480" w:firstLineChars="200"/>
              <w:rPr>
                <w:sz w:val="24"/>
              </w:rPr>
            </w:pPr>
            <w:r>
              <w:rPr>
                <w:rFonts w:hint="eastAsia"/>
                <w:sz w:val="24"/>
              </w:rPr>
              <w:t>（1）项目对施工工地设置硬质围挡，并采取覆盖、分段作业、择时施工、洒水抑尘、冲洗地面和车辆等有效防尘降尘措施。建筑土方、工程渣土、建筑垃圾及时清运；在场地内堆存的，采用密闭式防尘网遮盖。工程渣土、建筑垃圾进行资源化处理。在施工工地公示扬尘污染防治措施、负责人、扬尘监督管理主管部门等信息。</w:t>
            </w:r>
            <w:r>
              <w:rPr>
                <w:sz w:val="24"/>
              </w:rPr>
              <w:t xml:space="preserve"> </w:t>
            </w:r>
          </w:p>
          <w:p>
            <w:pPr>
              <w:spacing w:line="440" w:lineRule="exact"/>
              <w:ind w:firstLine="480" w:firstLineChars="200"/>
              <w:rPr>
                <w:sz w:val="24"/>
              </w:rPr>
            </w:pPr>
            <w:r>
              <w:rPr>
                <w:rFonts w:hint="eastAsia"/>
                <w:sz w:val="24"/>
              </w:rPr>
              <w:t>（2）加强建筑施工工地监管，严格落实</w:t>
            </w:r>
            <w:r>
              <w:rPr>
                <w:sz w:val="24"/>
              </w:rPr>
              <w:t>“</w:t>
            </w:r>
            <w:r>
              <w:rPr>
                <w:rFonts w:hint="eastAsia"/>
                <w:sz w:val="24"/>
              </w:rPr>
              <w:t>六个百分之百</w:t>
            </w:r>
            <w:r>
              <w:rPr>
                <w:sz w:val="24"/>
              </w:rPr>
              <w:t>”</w:t>
            </w:r>
            <w:r>
              <w:rPr>
                <w:rFonts w:hint="eastAsia"/>
                <w:sz w:val="24"/>
              </w:rPr>
              <w:t>扬尘防治要求，即建筑施工现场</w:t>
            </w:r>
            <w:r>
              <w:rPr>
                <w:sz w:val="24"/>
              </w:rPr>
              <w:t>100%</w:t>
            </w:r>
            <w:r>
              <w:rPr>
                <w:rFonts w:hint="eastAsia"/>
                <w:sz w:val="24"/>
              </w:rPr>
              <w:t>围挡，工地裸土</w:t>
            </w:r>
            <w:r>
              <w:rPr>
                <w:sz w:val="24"/>
              </w:rPr>
              <w:t>100%</w:t>
            </w:r>
            <w:r>
              <w:rPr>
                <w:rFonts w:hint="eastAsia"/>
                <w:sz w:val="24"/>
              </w:rPr>
              <w:t>覆盖，工地主要路面</w:t>
            </w:r>
            <w:r>
              <w:rPr>
                <w:sz w:val="24"/>
              </w:rPr>
              <w:t>100%</w:t>
            </w:r>
            <w:r>
              <w:rPr>
                <w:rFonts w:hint="eastAsia"/>
                <w:sz w:val="24"/>
              </w:rPr>
              <w:t>硬化，拆除工程</w:t>
            </w:r>
            <w:r>
              <w:rPr>
                <w:sz w:val="24"/>
              </w:rPr>
              <w:t>100%</w:t>
            </w:r>
            <w:r>
              <w:rPr>
                <w:rFonts w:hint="eastAsia"/>
                <w:sz w:val="24"/>
              </w:rPr>
              <w:t>洒水抑尘，出工地车辆</w:t>
            </w:r>
            <w:r>
              <w:rPr>
                <w:sz w:val="24"/>
              </w:rPr>
              <w:t>100%</w:t>
            </w:r>
            <w:r>
              <w:rPr>
                <w:rFonts w:hint="eastAsia"/>
                <w:sz w:val="24"/>
              </w:rPr>
              <w:t>冲净无撒漏，裸露场地</w:t>
            </w:r>
            <w:r>
              <w:rPr>
                <w:sz w:val="24"/>
              </w:rPr>
              <w:t>100%</w:t>
            </w:r>
            <w:r>
              <w:rPr>
                <w:rFonts w:hint="eastAsia"/>
                <w:sz w:val="24"/>
              </w:rPr>
              <w:t>覆盖。</w:t>
            </w:r>
            <w:r>
              <w:rPr>
                <w:sz w:val="24"/>
              </w:rPr>
              <w:t xml:space="preserve"> </w:t>
            </w:r>
          </w:p>
          <w:p>
            <w:pPr>
              <w:spacing w:line="440" w:lineRule="exact"/>
              <w:ind w:firstLine="480" w:firstLineChars="200"/>
              <w:rPr>
                <w:sz w:val="24"/>
              </w:rPr>
            </w:pPr>
            <w:r>
              <w:rPr>
                <w:rFonts w:hint="eastAsia"/>
                <w:sz w:val="24"/>
              </w:rPr>
              <w:t>（3）建材散流体露天堆场应采取“防扬散、防流失、防渗漏”的“三防措施”，实现空中不飞扬，地面不流失，地下不渗漏。散流体存放必须实施地面硬化、周边围挡、表面覆盖措施。散流体装卸必须按照湿法作业，扬尘较大的应当建设局部封闭或半封闭措施，建设收尘设施，加装喷淋装置。散流体运输必须实行密闭运输，堆场进出口建设车辆冲洗设施，自动实施车辆冲洗，不携尘带泥上路，确保车辆行驶中不沿途抛撒。散流体使用应当采取定向开口渐进式作业，禁止敞开式作业，禁止现场搅拌水泥砂浆，禁止将废弃的散流体物料与生活垃圾混合存放。</w:t>
            </w:r>
          </w:p>
          <w:p>
            <w:pPr>
              <w:spacing w:line="440" w:lineRule="exact"/>
              <w:ind w:firstLine="480" w:firstLineChars="200"/>
              <w:rPr>
                <w:sz w:val="24"/>
              </w:rPr>
            </w:pPr>
            <w:r>
              <w:rPr>
                <w:rFonts w:hint="eastAsia"/>
                <w:sz w:val="24"/>
              </w:rPr>
              <w:t>（4）</w:t>
            </w:r>
            <w:r>
              <w:rPr>
                <w:sz w:val="24"/>
              </w:rPr>
              <w:t>安排员工定期对施工场地洒水以减少扬尘量，洒水次数根据天气状况而定，一般每天洒水1～2次，若遇到大风或干燥天气可适当增加洒水次数。</w:t>
            </w:r>
          </w:p>
          <w:p>
            <w:pPr>
              <w:spacing w:line="440" w:lineRule="exact"/>
              <w:ind w:firstLine="480" w:firstLineChars="200"/>
              <w:rPr>
                <w:sz w:val="24"/>
              </w:rPr>
            </w:pPr>
            <w:r>
              <w:rPr>
                <w:rFonts w:hint="eastAsia"/>
                <w:sz w:val="24"/>
              </w:rPr>
              <w:t>（5）</w:t>
            </w:r>
            <w:r>
              <w:rPr>
                <w:sz w:val="24"/>
              </w:rPr>
              <w:t>施工期间，施工现场设置车辆清洗设施和泥浆沉淀设施，运输车辆需及时清理，避免附着泥沙上路。工程车辆进出工地必须清洗，洗车时要保证车辆车身洁净，车轮不带泥，出口路面见本色。从事土方、渣土和施工垃圾等运输应采用密闭式运输车辆。车辆行驶路线应尽量避开居民区和镇中心。</w:t>
            </w:r>
          </w:p>
          <w:p>
            <w:pPr>
              <w:spacing w:line="440" w:lineRule="exact"/>
              <w:ind w:firstLine="480" w:firstLineChars="200"/>
              <w:rPr>
                <w:sz w:val="24"/>
              </w:rPr>
            </w:pPr>
            <w:r>
              <w:rPr>
                <w:sz w:val="24"/>
              </w:rPr>
              <w:t>（</w:t>
            </w:r>
            <w:r>
              <w:rPr>
                <w:rFonts w:hint="eastAsia"/>
                <w:sz w:val="24"/>
              </w:rPr>
              <w:t>6</w:t>
            </w:r>
            <w:r>
              <w:rPr>
                <w:sz w:val="24"/>
              </w:rPr>
              <w:t>）采用自动密闭的渣土运输车辆，并在所有渣土运输车辆统一安装卫星定位装置并与公安交管部门联网，实现动态跟踪监管。</w:t>
            </w:r>
          </w:p>
          <w:p>
            <w:pPr>
              <w:spacing w:line="440" w:lineRule="exact"/>
              <w:ind w:firstLine="480" w:firstLineChars="200"/>
              <w:rPr>
                <w:sz w:val="24"/>
              </w:rPr>
            </w:pPr>
            <w:r>
              <w:rPr>
                <w:sz w:val="24"/>
              </w:rPr>
              <w:t>（</w:t>
            </w:r>
            <w:r>
              <w:rPr>
                <w:rFonts w:hint="eastAsia"/>
                <w:sz w:val="24"/>
              </w:rPr>
              <w:t>7</w:t>
            </w:r>
            <w:r>
              <w:rPr>
                <w:sz w:val="24"/>
              </w:rPr>
              <w:t>）对于运输沙、石、水泥、建筑垃圾、固体废物的车辆装载高度应低于车箱上沿，不得超高超载。实行封闭运输，以免车辆颠簸撒漏。坚持文明装卸，避免袋装水泥散包；运输车辆卸完货后应清洗车厢。施工车辆在驶出施工区之前，需要清泥除尘处理，不得将泥土尘土带出工地。</w:t>
            </w:r>
          </w:p>
          <w:p>
            <w:pPr>
              <w:spacing w:line="440" w:lineRule="exact"/>
              <w:ind w:firstLine="480" w:firstLineChars="200"/>
              <w:rPr>
                <w:sz w:val="24"/>
              </w:rPr>
            </w:pPr>
            <w:r>
              <w:rPr>
                <w:sz w:val="24"/>
              </w:rPr>
              <w:t>（</w:t>
            </w:r>
            <w:r>
              <w:rPr>
                <w:rFonts w:hint="eastAsia"/>
                <w:sz w:val="24"/>
              </w:rPr>
              <w:t>8</w:t>
            </w:r>
            <w:r>
              <w:rPr>
                <w:sz w:val="24"/>
              </w:rPr>
              <w:t>）加强对机械、车辆的维修保养，禁止以柴油为燃料的施工机械超负荷工作，减少烟气和颗料物排放。</w:t>
            </w:r>
          </w:p>
          <w:p>
            <w:pPr>
              <w:spacing w:line="440" w:lineRule="exact"/>
              <w:ind w:firstLine="480" w:firstLineChars="200"/>
              <w:rPr>
                <w:sz w:val="24"/>
              </w:rPr>
            </w:pPr>
            <w:r>
              <w:rPr>
                <w:rFonts w:hint="eastAsia"/>
                <w:sz w:val="24"/>
              </w:rPr>
              <w:t>在采取以上措施后施工扬尘对周围环境影响不大。而且随着施工活动的结束，这些污染也将消失。</w:t>
            </w:r>
          </w:p>
          <w:p>
            <w:pPr>
              <w:spacing w:line="440" w:lineRule="exact"/>
              <w:ind w:firstLine="480" w:firstLineChars="200"/>
              <w:rPr>
                <w:b w:val="0"/>
                <w:bCs w:val="0"/>
                <w:sz w:val="24"/>
              </w:rPr>
            </w:pPr>
            <w:r>
              <w:rPr>
                <w:b w:val="0"/>
                <w:bCs w:val="0"/>
                <w:sz w:val="24"/>
              </w:rPr>
              <w:t>二、施工期噪声影响分析</w:t>
            </w:r>
          </w:p>
          <w:p>
            <w:pPr>
              <w:spacing w:line="440" w:lineRule="exact"/>
              <w:ind w:firstLine="480" w:firstLineChars="200"/>
              <w:rPr>
                <w:sz w:val="24"/>
              </w:rPr>
            </w:pPr>
            <w:r>
              <w:rPr>
                <w:sz w:val="24"/>
              </w:rPr>
              <w:t>本项目开始启动后，建筑施工等作业中，将使用施工作业设备和机械，主要有前斗装卸机、挖掘机、混凝土振捣泵、起重机等，因而不可避免地产生建筑施工噪声。</w:t>
            </w:r>
          </w:p>
          <w:p>
            <w:pPr>
              <w:spacing w:line="440" w:lineRule="exact"/>
              <w:ind w:firstLine="480" w:firstLineChars="200"/>
              <w:rPr>
                <w:sz w:val="24"/>
              </w:rPr>
            </w:pPr>
            <w:r>
              <w:rPr>
                <w:sz w:val="24"/>
              </w:rPr>
              <w:t>类比调查得到的常用施工机械在作业时的噪声范围，详见下表。</w:t>
            </w:r>
          </w:p>
          <w:p>
            <w:pPr>
              <w:tabs>
                <w:tab w:val="left" w:pos="993"/>
              </w:tabs>
              <w:spacing w:line="440" w:lineRule="exact"/>
              <w:jc w:val="center"/>
              <w:rPr>
                <w:rFonts w:ascii="黑体" w:hAnsi="黑体" w:eastAsia="黑体" w:cs="黑体"/>
                <w:bCs/>
                <w:sz w:val="24"/>
                <w:szCs w:val="24"/>
              </w:rPr>
            </w:pPr>
            <w:r>
              <w:rPr>
                <w:rFonts w:hint="eastAsia" w:ascii="黑体" w:hAnsi="黑体" w:eastAsia="黑体" w:cs="黑体"/>
                <w:bCs/>
                <w:sz w:val="24"/>
                <w:szCs w:val="24"/>
              </w:rPr>
              <w:t>施工各阶段噪声源强一览表</w:t>
            </w:r>
          </w:p>
          <w:tbl>
            <w:tblPr>
              <w:tblStyle w:val="12"/>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6"/>
              <w:gridCol w:w="2766"/>
              <w:gridCol w:w="2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66" w:type="dxa"/>
                  <w:shd w:val="clear" w:color="auto" w:fill="auto"/>
                  <w:vAlign w:val="center"/>
                </w:tcPr>
                <w:p>
                  <w:pPr>
                    <w:widowControl/>
                    <w:spacing w:line="240" w:lineRule="exact"/>
                    <w:contextualSpacing/>
                    <w:jc w:val="center"/>
                    <w:rPr>
                      <w:szCs w:val="21"/>
                    </w:rPr>
                  </w:pPr>
                  <w:r>
                    <w:rPr>
                      <w:szCs w:val="21"/>
                    </w:rPr>
                    <w:t>施工阶段</w:t>
                  </w:r>
                </w:p>
              </w:tc>
              <w:tc>
                <w:tcPr>
                  <w:tcW w:w="2766" w:type="dxa"/>
                  <w:shd w:val="clear" w:color="auto" w:fill="auto"/>
                  <w:vAlign w:val="center"/>
                </w:tcPr>
                <w:p>
                  <w:pPr>
                    <w:widowControl/>
                    <w:spacing w:line="240" w:lineRule="exact"/>
                    <w:contextualSpacing/>
                    <w:jc w:val="center"/>
                    <w:rPr>
                      <w:szCs w:val="21"/>
                    </w:rPr>
                  </w:pPr>
                  <w:r>
                    <w:rPr>
                      <w:szCs w:val="21"/>
                    </w:rPr>
                    <w:t>主要噪声源</w:t>
                  </w:r>
                </w:p>
              </w:tc>
              <w:tc>
                <w:tcPr>
                  <w:tcW w:w="2764" w:type="dxa"/>
                  <w:shd w:val="clear" w:color="auto" w:fill="auto"/>
                  <w:vAlign w:val="center"/>
                </w:tcPr>
                <w:p>
                  <w:pPr>
                    <w:widowControl/>
                    <w:spacing w:line="240" w:lineRule="exact"/>
                    <w:contextualSpacing/>
                    <w:jc w:val="center"/>
                    <w:rPr>
                      <w:szCs w:val="21"/>
                    </w:rPr>
                  </w:pPr>
                  <w:r>
                    <w:rPr>
                      <w:szCs w:val="21"/>
                    </w:rPr>
                    <w:t>声压级（dB（A））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66" w:type="dxa"/>
                  <w:shd w:val="clear" w:color="auto" w:fill="auto"/>
                  <w:vAlign w:val="center"/>
                </w:tcPr>
                <w:p>
                  <w:pPr>
                    <w:widowControl/>
                    <w:spacing w:line="240" w:lineRule="exact"/>
                    <w:contextualSpacing/>
                    <w:jc w:val="center"/>
                    <w:rPr>
                      <w:szCs w:val="21"/>
                    </w:rPr>
                  </w:pPr>
                  <w:r>
                    <w:rPr>
                      <w:szCs w:val="21"/>
                    </w:rPr>
                    <w:t>土石方阶段</w:t>
                  </w:r>
                </w:p>
              </w:tc>
              <w:tc>
                <w:tcPr>
                  <w:tcW w:w="2766" w:type="dxa"/>
                  <w:shd w:val="clear" w:color="auto" w:fill="auto"/>
                  <w:vAlign w:val="center"/>
                </w:tcPr>
                <w:p>
                  <w:pPr>
                    <w:widowControl/>
                    <w:spacing w:line="240" w:lineRule="exact"/>
                    <w:contextualSpacing/>
                    <w:jc w:val="center"/>
                    <w:rPr>
                      <w:szCs w:val="21"/>
                    </w:rPr>
                  </w:pPr>
                  <w:r>
                    <w:rPr>
                      <w:szCs w:val="21"/>
                    </w:rPr>
                    <w:t>挖掘机</w:t>
                  </w:r>
                </w:p>
              </w:tc>
              <w:tc>
                <w:tcPr>
                  <w:tcW w:w="2764" w:type="dxa"/>
                  <w:shd w:val="clear" w:color="auto" w:fill="auto"/>
                  <w:vAlign w:val="center"/>
                </w:tcPr>
                <w:p>
                  <w:pPr>
                    <w:widowControl/>
                    <w:spacing w:line="240" w:lineRule="exact"/>
                    <w:contextualSpacing/>
                    <w:jc w:val="center"/>
                    <w:rPr>
                      <w:szCs w:val="21"/>
                    </w:rPr>
                  </w:pPr>
                  <w:r>
                    <w:rPr>
                      <w:szCs w:val="21"/>
                    </w:rPr>
                    <w:t>92-95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66" w:type="dxa"/>
                  <w:shd w:val="clear" w:color="auto" w:fill="auto"/>
                  <w:vAlign w:val="center"/>
                </w:tcPr>
                <w:p>
                  <w:pPr>
                    <w:widowControl/>
                    <w:spacing w:line="240" w:lineRule="exact"/>
                    <w:contextualSpacing/>
                    <w:jc w:val="center"/>
                    <w:rPr>
                      <w:szCs w:val="21"/>
                    </w:rPr>
                  </w:pPr>
                  <w:r>
                    <w:rPr>
                      <w:szCs w:val="21"/>
                    </w:rPr>
                    <w:t>基础阶段</w:t>
                  </w:r>
                </w:p>
              </w:tc>
              <w:tc>
                <w:tcPr>
                  <w:tcW w:w="2766" w:type="dxa"/>
                  <w:shd w:val="clear" w:color="auto" w:fill="auto"/>
                  <w:vAlign w:val="center"/>
                </w:tcPr>
                <w:p>
                  <w:pPr>
                    <w:widowControl/>
                    <w:spacing w:line="240" w:lineRule="exact"/>
                    <w:contextualSpacing/>
                    <w:jc w:val="center"/>
                    <w:rPr>
                      <w:szCs w:val="21"/>
                    </w:rPr>
                  </w:pPr>
                  <w:r>
                    <w:rPr>
                      <w:szCs w:val="21"/>
                    </w:rPr>
                    <w:t>打桩机、空压机</w:t>
                  </w:r>
                </w:p>
              </w:tc>
              <w:tc>
                <w:tcPr>
                  <w:tcW w:w="2764" w:type="dxa"/>
                  <w:shd w:val="clear" w:color="auto" w:fill="auto"/>
                  <w:vAlign w:val="center"/>
                </w:tcPr>
                <w:p>
                  <w:pPr>
                    <w:widowControl/>
                    <w:spacing w:line="240" w:lineRule="exact"/>
                    <w:contextualSpacing/>
                    <w:jc w:val="center"/>
                    <w:rPr>
                      <w:szCs w:val="21"/>
                    </w:rPr>
                  </w:pPr>
                  <w:r>
                    <w:rPr>
                      <w:szCs w:val="21"/>
                    </w:rPr>
                    <w:t>90-105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66" w:type="dxa"/>
                  <w:shd w:val="clear" w:color="auto" w:fill="auto"/>
                  <w:vAlign w:val="center"/>
                </w:tcPr>
                <w:p>
                  <w:pPr>
                    <w:widowControl/>
                    <w:spacing w:line="240" w:lineRule="exact"/>
                    <w:contextualSpacing/>
                    <w:jc w:val="center"/>
                    <w:rPr>
                      <w:szCs w:val="21"/>
                    </w:rPr>
                  </w:pPr>
                  <w:r>
                    <w:rPr>
                      <w:szCs w:val="21"/>
                    </w:rPr>
                    <w:t>结构阶段</w:t>
                  </w:r>
                </w:p>
              </w:tc>
              <w:tc>
                <w:tcPr>
                  <w:tcW w:w="2766" w:type="dxa"/>
                  <w:shd w:val="clear" w:color="auto" w:fill="auto"/>
                  <w:vAlign w:val="center"/>
                </w:tcPr>
                <w:p>
                  <w:pPr>
                    <w:widowControl/>
                    <w:spacing w:line="240" w:lineRule="exact"/>
                    <w:contextualSpacing/>
                    <w:jc w:val="center"/>
                    <w:rPr>
                      <w:szCs w:val="21"/>
                    </w:rPr>
                  </w:pPr>
                  <w:r>
                    <w:rPr>
                      <w:szCs w:val="21"/>
                    </w:rPr>
                    <w:t>混凝土振捣棒</w:t>
                  </w:r>
                </w:p>
              </w:tc>
              <w:tc>
                <w:tcPr>
                  <w:tcW w:w="2764" w:type="dxa"/>
                  <w:shd w:val="clear" w:color="auto" w:fill="auto"/>
                  <w:vAlign w:val="center"/>
                </w:tcPr>
                <w:p>
                  <w:pPr>
                    <w:widowControl/>
                    <w:spacing w:line="240" w:lineRule="exact"/>
                    <w:contextualSpacing/>
                    <w:jc w:val="center"/>
                    <w:rPr>
                      <w:szCs w:val="21"/>
                    </w:rPr>
                  </w:pPr>
                  <w:r>
                    <w:rPr>
                      <w:szCs w:val="21"/>
                    </w:rPr>
                    <w:t>95-105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66" w:type="dxa"/>
                  <w:shd w:val="clear" w:color="auto" w:fill="auto"/>
                  <w:vAlign w:val="center"/>
                </w:tcPr>
                <w:p>
                  <w:pPr>
                    <w:widowControl/>
                    <w:spacing w:line="240" w:lineRule="exact"/>
                    <w:contextualSpacing/>
                    <w:jc w:val="center"/>
                    <w:rPr>
                      <w:szCs w:val="21"/>
                    </w:rPr>
                  </w:pPr>
                  <w:r>
                    <w:rPr>
                      <w:szCs w:val="21"/>
                    </w:rPr>
                    <w:t>装修阶段</w:t>
                  </w:r>
                </w:p>
              </w:tc>
              <w:tc>
                <w:tcPr>
                  <w:tcW w:w="2766" w:type="dxa"/>
                  <w:shd w:val="clear" w:color="auto" w:fill="auto"/>
                  <w:vAlign w:val="center"/>
                </w:tcPr>
                <w:p>
                  <w:pPr>
                    <w:widowControl/>
                    <w:spacing w:line="240" w:lineRule="exact"/>
                    <w:contextualSpacing/>
                    <w:jc w:val="center"/>
                    <w:rPr>
                      <w:szCs w:val="21"/>
                    </w:rPr>
                  </w:pPr>
                  <w:r>
                    <w:rPr>
                      <w:szCs w:val="21"/>
                    </w:rPr>
                    <w:t>偶发声源</w:t>
                  </w:r>
                </w:p>
              </w:tc>
              <w:tc>
                <w:tcPr>
                  <w:tcW w:w="2764" w:type="dxa"/>
                  <w:shd w:val="clear" w:color="auto" w:fill="auto"/>
                  <w:vAlign w:val="center"/>
                </w:tcPr>
                <w:p>
                  <w:pPr>
                    <w:widowControl/>
                    <w:spacing w:line="240" w:lineRule="exact"/>
                    <w:contextualSpacing/>
                    <w:jc w:val="center"/>
                    <w:rPr>
                      <w:szCs w:val="21"/>
                    </w:rPr>
                  </w:pPr>
                  <w:r>
                    <w:rPr>
                      <w:szCs w:val="21"/>
                    </w:rPr>
                    <w:t>85-90</w:t>
                  </w:r>
                </w:p>
              </w:tc>
            </w:tr>
          </w:tbl>
          <w:p>
            <w:pPr>
              <w:keepNext w:val="0"/>
              <w:keepLines w:val="0"/>
              <w:pageBreakBefore w:val="0"/>
              <w:widowControl w:val="0"/>
              <w:kinsoku/>
              <w:wordWrap/>
              <w:overflowPunct/>
              <w:topLinePunct w:val="0"/>
              <w:bidi w:val="0"/>
              <w:spacing w:line="440" w:lineRule="exact"/>
              <w:ind w:firstLine="480" w:firstLineChars="200"/>
              <w:textAlignment w:val="auto"/>
              <w:rPr>
                <w:sz w:val="24"/>
              </w:rPr>
            </w:pPr>
            <w:r>
              <w:rPr>
                <w:sz w:val="24"/>
              </w:rPr>
              <w:t>这些声源具有噪声高、无规则等特点，如不加以控制，往往会对附近敏感点产生噪声污染。为减少噪声对外环境的影响，建议采取以下措施：</w:t>
            </w:r>
          </w:p>
          <w:p>
            <w:pPr>
              <w:keepNext w:val="0"/>
              <w:keepLines w:val="0"/>
              <w:pageBreakBefore w:val="0"/>
              <w:widowControl w:val="0"/>
              <w:kinsoku/>
              <w:wordWrap/>
              <w:overflowPunct/>
              <w:topLinePunct w:val="0"/>
              <w:bidi w:val="0"/>
              <w:spacing w:line="440" w:lineRule="exact"/>
              <w:ind w:firstLine="480" w:firstLineChars="200"/>
              <w:textAlignment w:val="auto"/>
              <w:rPr>
                <w:sz w:val="24"/>
              </w:rPr>
            </w:pPr>
            <w:r>
              <w:rPr>
                <w:sz w:val="24"/>
              </w:rPr>
              <w:t>（1）严格执行《建筑施工场界环境噪声排放限值》（GB12523－2011）中施工阶段的噪声要求。</w:t>
            </w:r>
          </w:p>
          <w:p>
            <w:pPr>
              <w:keepNext w:val="0"/>
              <w:keepLines w:val="0"/>
              <w:pageBreakBefore w:val="0"/>
              <w:widowControl w:val="0"/>
              <w:kinsoku/>
              <w:wordWrap/>
              <w:overflowPunct/>
              <w:topLinePunct w:val="0"/>
              <w:bidi w:val="0"/>
              <w:spacing w:line="440" w:lineRule="exact"/>
              <w:ind w:firstLine="480" w:firstLineChars="200"/>
              <w:textAlignment w:val="auto"/>
              <w:rPr>
                <w:sz w:val="24"/>
              </w:rPr>
            </w:pPr>
            <w:r>
              <w:rPr>
                <w:sz w:val="24"/>
              </w:rPr>
              <w:t>（2）从声源上控制，建设单位在与施工单位签订合同时，应要求其使用的主要机械设备为低噪声机械设备，同时在施工过程中施工单位应设专人对设备进行定期保养和维护，并负责对现场工作人员进行培训，严格按操作规范使用各类机械。</w:t>
            </w:r>
          </w:p>
          <w:p>
            <w:pPr>
              <w:keepNext w:val="0"/>
              <w:keepLines w:val="0"/>
              <w:pageBreakBefore w:val="0"/>
              <w:widowControl w:val="0"/>
              <w:kinsoku/>
              <w:wordWrap/>
              <w:overflowPunct/>
              <w:topLinePunct w:val="0"/>
              <w:bidi w:val="0"/>
              <w:spacing w:line="440" w:lineRule="exact"/>
              <w:ind w:firstLine="480" w:firstLineChars="200"/>
              <w:textAlignment w:val="auto"/>
              <w:rPr>
                <w:sz w:val="24"/>
              </w:rPr>
            </w:pPr>
            <w:r>
              <w:rPr>
                <w:sz w:val="24"/>
              </w:rPr>
              <w:t>（3）采用距离防护措施，在不影响施工情况下将强噪声设备尽量集中安排施工。</w:t>
            </w:r>
          </w:p>
          <w:p>
            <w:pPr>
              <w:keepNext w:val="0"/>
              <w:keepLines w:val="0"/>
              <w:pageBreakBefore w:val="0"/>
              <w:widowControl w:val="0"/>
              <w:kinsoku/>
              <w:wordWrap/>
              <w:overflowPunct/>
              <w:topLinePunct w:val="0"/>
              <w:bidi w:val="0"/>
              <w:spacing w:line="440" w:lineRule="exact"/>
              <w:ind w:firstLine="480" w:firstLineChars="200"/>
              <w:textAlignment w:val="auto"/>
              <w:rPr>
                <w:sz w:val="24"/>
              </w:rPr>
            </w:pPr>
            <w:r>
              <w:rPr>
                <w:sz w:val="24"/>
              </w:rPr>
              <w:t>（4）在施工的结构阶段和装修阶段，对建筑物的外部采取围挡</w:t>
            </w:r>
            <w:r>
              <w:rPr>
                <w:rFonts w:hint="eastAsia"/>
                <w:sz w:val="24"/>
                <w:lang w:eastAsia="zh-CN"/>
              </w:rPr>
              <w:t>，</w:t>
            </w:r>
            <w:r>
              <w:rPr>
                <w:sz w:val="24"/>
              </w:rPr>
              <w:t>减轻施工噪声对外环境及居民的影响。</w:t>
            </w:r>
          </w:p>
          <w:p>
            <w:pPr>
              <w:keepNext w:val="0"/>
              <w:keepLines w:val="0"/>
              <w:pageBreakBefore w:val="0"/>
              <w:widowControl w:val="0"/>
              <w:kinsoku/>
              <w:wordWrap/>
              <w:overflowPunct/>
              <w:topLinePunct w:val="0"/>
              <w:bidi w:val="0"/>
              <w:spacing w:line="440" w:lineRule="exact"/>
              <w:ind w:firstLine="480" w:firstLineChars="200"/>
              <w:textAlignment w:val="auto"/>
              <w:rPr>
                <w:sz w:val="24"/>
              </w:rPr>
            </w:pPr>
            <w:r>
              <w:rPr>
                <w:sz w:val="24"/>
              </w:rPr>
              <w:t>（5）施工车辆出入现场时应低速、禁鸣。</w:t>
            </w:r>
          </w:p>
          <w:p>
            <w:pPr>
              <w:keepNext w:val="0"/>
              <w:keepLines w:val="0"/>
              <w:pageBreakBefore w:val="0"/>
              <w:widowControl w:val="0"/>
              <w:kinsoku/>
              <w:wordWrap/>
              <w:overflowPunct/>
              <w:topLinePunct w:val="0"/>
              <w:bidi w:val="0"/>
              <w:spacing w:line="440" w:lineRule="exact"/>
              <w:ind w:firstLine="480" w:firstLineChars="200"/>
              <w:textAlignment w:val="auto"/>
              <w:rPr>
                <w:sz w:val="24"/>
              </w:rPr>
            </w:pPr>
            <w:r>
              <w:rPr>
                <w:sz w:val="24"/>
              </w:rPr>
              <w:t>（6）加强对施工工地的噪声管理，施工企业也应对施工噪声进行自律，文明施工，避免因施工噪声产生纠纷。</w:t>
            </w:r>
          </w:p>
          <w:p>
            <w:pPr>
              <w:keepNext w:val="0"/>
              <w:keepLines w:val="0"/>
              <w:pageBreakBefore w:val="0"/>
              <w:widowControl w:val="0"/>
              <w:kinsoku/>
              <w:wordWrap/>
              <w:overflowPunct/>
              <w:topLinePunct w:val="0"/>
              <w:bidi w:val="0"/>
              <w:spacing w:line="440" w:lineRule="exact"/>
              <w:ind w:firstLine="480" w:firstLineChars="200"/>
              <w:textAlignment w:val="auto"/>
              <w:rPr>
                <w:sz w:val="24"/>
              </w:rPr>
            </w:pPr>
            <w:r>
              <w:rPr>
                <w:sz w:val="24"/>
              </w:rPr>
              <w:t>采取以上措施后，可使施工场界噪声满足标准要求，不会对周围声环境产生较大影响。</w:t>
            </w:r>
          </w:p>
          <w:p>
            <w:pPr>
              <w:keepNext w:val="0"/>
              <w:keepLines w:val="0"/>
              <w:pageBreakBefore w:val="0"/>
              <w:widowControl w:val="0"/>
              <w:kinsoku/>
              <w:wordWrap/>
              <w:overflowPunct/>
              <w:topLinePunct w:val="0"/>
              <w:bidi w:val="0"/>
              <w:spacing w:line="440" w:lineRule="exact"/>
              <w:ind w:firstLine="480" w:firstLineChars="200"/>
              <w:textAlignment w:val="auto"/>
              <w:rPr>
                <w:sz w:val="24"/>
              </w:rPr>
            </w:pPr>
            <w:r>
              <w:rPr>
                <w:sz w:val="24"/>
              </w:rPr>
              <w:t>三、施工期生活污水影响分析</w:t>
            </w:r>
          </w:p>
          <w:p>
            <w:pPr>
              <w:keepNext w:val="0"/>
              <w:keepLines w:val="0"/>
              <w:pageBreakBefore w:val="0"/>
              <w:widowControl w:val="0"/>
              <w:kinsoku/>
              <w:wordWrap/>
              <w:overflowPunct/>
              <w:topLinePunct w:val="0"/>
              <w:bidi w:val="0"/>
              <w:spacing w:line="440" w:lineRule="exact"/>
              <w:ind w:firstLine="480" w:firstLineChars="200"/>
              <w:textAlignment w:val="auto"/>
              <w:rPr>
                <w:sz w:val="24"/>
              </w:rPr>
            </w:pPr>
            <w:r>
              <w:rPr>
                <w:sz w:val="24"/>
              </w:rPr>
              <w:t>本项目施工期间，施工人员日常生活需排放一定量的生活污水，若处置不当，会给附近造成污染。严格管理施工队伍生活污水排放，</w:t>
            </w:r>
            <w:r>
              <w:rPr>
                <w:rFonts w:hint="eastAsia"/>
                <w:sz w:val="24"/>
              </w:rPr>
              <w:t>项目</w:t>
            </w:r>
            <w:r>
              <w:rPr>
                <w:rFonts w:hint="eastAsia"/>
                <w:sz w:val="24"/>
                <w:lang w:eastAsia="zh-CN"/>
              </w:rPr>
              <w:t>施工期生活污水依托厂区现有化粪池收集处理后</w:t>
            </w:r>
            <w:r>
              <w:rPr>
                <w:sz w:val="24"/>
              </w:rPr>
              <w:t>，</w:t>
            </w:r>
            <w:r>
              <w:rPr>
                <w:rFonts w:hint="eastAsia"/>
                <w:sz w:val="24"/>
                <w:lang w:eastAsia="zh-CN"/>
              </w:rPr>
              <w:t>由城市污水管网进入涧南庄村污水处理站进一步处理</w:t>
            </w:r>
            <w:r>
              <w:rPr>
                <w:sz w:val="24"/>
              </w:rPr>
              <w:t>。</w:t>
            </w:r>
          </w:p>
          <w:p>
            <w:pPr>
              <w:keepNext w:val="0"/>
              <w:keepLines w:val="0"/>
              <w:pageBreakBefore w:val="0"/>
              <w:widowControl w:val="0"/>
              <w:kinsoku/>
              <w:wordWrap/>
              <w:overflowPunct/>
              <w:topLinePunct w:val="0"/>
              <w:bidi w:val="0"/>
              <w:spacing w:line="440" w:lineRule="exact"/>
              <w:ind w:firstLine="480" w:firstLineChars="200"/>
              <w:textAlignment w:val="auto"/>
              <w:rPr>
                <w:sz w:val="24"/>
              </w:rPr>
            </w:pPr>
            <w:r>
              <w:rPr>
                <w:sz w:val="24"/>
              </w:rPr>
              <w:t>做好建筑材料和建筑废料的管理，防止其成为地面水的二次污染源，施工废水经沉淀处理后用于场地地面和道路洒水。</w:t>
            </w:r>
          </w:p>
          <w:p>
            <w:pPr>
              <w:keepNext w:val="0"/>
              <w:keepLines w:val="0"/>
              <w:pageBreakBefore w:val="0"/>
              <w:widowControl w:val="0"/>
              <w:kinsoku/>
              <w:wordWrap/>
              <w:overflowPunct/>
              <w:topLinePunct w:val="0"/>
              <w:bidi w:val="0"/>
              <w:spacing w:line="440" w:lineRule="exact"/>
              <w:ind w:firstLine="480" w:firstLineChars="200"/>
              <w:textAlignment w:val="auto"/>
              <w:rPr>
                <w:sz w:val="24"/>
              </w:rPr>
            </w:pPr>
            <w:r>
              <w:rPr>
                <w:sz w:val="24"/>
              </w:rPr>
              <w:t>四、施工期固体废物影响分析</w:t>
            </w:r>
          </w:p>
          <w:p>
            <w:pPr>
              <w:keepNext w:val="0"/>
              <w:keepLines w:val="0"/>
              <w:pageBreakBefore w:val="0"/>
              <w:widowControl w:val="0"/>
              <w:kinsoku/>
              <w:wordWrap/>
              <w:overflowPunct/>
              <w:topLinePunct w:val="0"/>
              <w:bidi w:val="0"/>
              <w:spacing w:line="440" w:lineRule="exact"/>
              <w:ind w:firstLine="480" w:firstLineChars="200"/>
              <w:textAlignment w:val="auto"/>
              <w:rPr>
                <w:rFonts w:hint="eastAsia" w:eastAsia="宋体"/>
                <w:sz w:val="24"/>
                <w:szCs w:val="22"/>
                <w:lang w:eastAsia="zh-CN"/>
              </w:rPr>
            </w:pPr>
            <w:r>
              <w:rPr>
                <w:rFonts w:hint="eastAsia"/>
                <w:sz w:val="24"/>
                <w:szCs w:val="22"/>
              </w:rPr>
              <w:t>（1）建筑垃圾：建筑施工过程中将产生一定量的建筑垃圾，包括开挖产生的少量土</w:t>
            </w:r>
            <w:r>
              <w:rPr>
                <w:rFonts w:hint="eastAsia"/>
                <w:sz w:val="24"/>
                <w:szCs w:val="22"/>
                <w:lang w:eastAsia="zh-CN"/>
              </w:rPr>
              <w:t>方</w:t>
            </w:r>
            <w:r>
              <w:rPr>
                <w:rFonts w:hint="eastAsia"/>
                <w:sz w:val="24"/>
                <w:szCs w:val="22"/>
              </w:rPr>
              <w:t>及其它建筑施工过程中废弃的少量建筑材料，若处置不当，遇降水等会被冲刷流失到环境中。建设单位应要求施工单位规范运输、施工，不得随意倾倒和堆放建筑垃圾，施工时建筑垃圾及时清理并覆盖堆存。</w:t>
            </w:r>
            <w:r>
              <w:rPr>
                <w:rFonts w:hint="eastAsia"/>
                <w:sz w:val="24"/>
                <w:szCs w:val="22"/>
                <w:lang w:eastAsia="zh-CN"/>
              </w:rPr>
              <w:t>施工作业结束后，少量土方用作为绿化用土综合利用；少量金属类建筑垃圾外售于废品收购站，非金属类建筑垃圾临时覆盖堆存，待本次改扩建项目完成后经破碎工序处理后作为制砖原料回用。</w:t>
            </w:r>
          </w:p>
          <w:p>
            <w:pPr>
              <w:keepNext w:val="0"/>
              <w:keepLines w:val="0"/>
              <w:pageBreakBefore w:val="0"/>
              <w:widowControl w:val="0"/>
              <w:kinsoku/>
              <w:wordWrap/>
              <w:overflowPunct/>
              <w:topLinePunct w:val="0"/>
              <w:bidi w:val="0"/>
              <w:spacing w:line="440" w:lineRule="exact"/>
              <w:ind w:firstLine="480" w:firstLineChars="200"/>
              <w:textAlignment w:val="auto"/>
              <w:rPr>
                <w:sz w:val="24"/>
                <w:szCs w:val="22"/>
              </w:rPr>
            </w:pPr>
            <w:r>
              <w:rPr>
                <w:rFonts w:hint="eastAsia"/>
                <w:sz w:val="24"/>
                <w:szCs w:val="22"/>
              </w:rPr>
              <w:t>（2）生活垃圾：</w:t>
            </w:r>
            <w:r>
              <w:rPr>
                <w:sz w:val="24"/>
                <w:szCs w:val="22"/>
              </w:rPr>
              <w:t>施工期间施工队伍的生活垃圾要及时收集，并由当地环卫部门统一处理。</w:t>
            </w:r>
          </w:p>
          <w:p>
            <w:pPr>
              <w:pStyle w:val="3"/>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sz w:val="24"/>
              </w:rPr>
            </w:pPr>
            <w:r>
              <w:rPr>
                <w:sz w:val="24"/>
              </w:rPr>
              <w:t>施工期间严格落实以上措施，将施工对周边环境的影响降低到最低水平。</w:t>
            </w:r>
          </w:p>
          <w:p>
            <w:pPr>
              <w:pStyle w:val="3"/>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Times New Roman" w:hAnsi="Times New Roman" w:eastAsia="黑体"/>
                <w:szCs w:val="28"/>
              </w:rPr>
            </w:pPr>
            <w:r>
              <w:rPr>
                <w:rFonts w:ascii="Times New Roman" w:hAnsi="Times New Roman" w:eastAsia="黑体"/>
                <w:szCs w:val="28"/>
              </w:rPr>
              <w:t>营运期环境影响分析</w:t>
            </w:r>
          </w:p>
          <w:p>
            <w:pPr>
              <w:pStyle w:val="3"/>
              <w:keepNext w:val="0"/>
              <w:keepLines w:val="0"/>
              <w:pageBreakBefore w:val="0"/>
              <w:widowControl w:val="0"/>
              <w:numPr>
                <w:ilvl w:val="0"/>
                <w:numId w:val="6"/>
              </w:numPr>
              <w:kinsoku/>
              <w:wordWrap/>
              <w:overflowPunct/>
              <w:topLinePunct w:val="0"/>
              <w:autoSpaceDE/>
              <w:autoSpaceDN/>
              <w:bidi w:val="0"/>
              <w:snapToGrid/>
              <w:spacing w:line="440" w:lineRule="exact"/>
              <w:ind w:left="0" w:leftChars="0" w:firstLine="482" w:firstLineChars="200"/>
              <w:textAlignment w:val="auto"/>
              <w:rPr>
                <w:rFonts w:hint="eastAsia" w:ascii="Times New Roman" w:hAnsi="Times New Roman"/>
                <w:b/>
                <w:sz w:val="24"/>
                <w:lang w:val="en-US" w:eastAsia="zh-CN"/>
              </w:rPr>
            </w:pPr>
            <w:r>
              <w:rPr>
                <w:rFonts w:hint="eastAsia" w:ascii="Times New Roman" w:hAnsi="Times New Roman"/>
                <w:b/>
                <w:sz w:val="24"/>
                <w:lang w:val="en-US" w:eastAsia="zh-CN"/>
              </w:rPr>
              <w:t>水环境影响评价</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eastAsia" w:ascii="Times New Roman" w:hAnsi="Times New Roman"/>
                <w:b w:val="0"/>
                <w:bCs/>
                <w:sz w:val="24"/>
                <w:lang w:val="en-US" w:eastAsia="zh-CN"/>
              </w:rPr>
            </w:pPr>
            <w:r>
              <w:rPr>
                <w:rFonts w:hint="eastAsia" w:ascii="Times New Roman" w:hAnsi="Times New Roman"/>
                <w:b w:val="0"/>
                <w:bCs/>
                <w:sz w:val="24"/>
                <w:lang w:val="en-US" w:eastAsia="zh-CN"/>
              </w:rPr>
              <w:t>项目</w:t>
            </w:r>
            <w:r>
              <w:rPr>
                <w:rFonts w:hint="eastAsia"/>
                <w:b w:val="0"/>
                <w:bCs/>
                <w:sz w:val="24"/>
                <w:lang w:val="en-US" w:eastAsia="zh-CN"/>
              </w:rPr>
              <w:t>废水主要为生产废水（包括原料清洗用水、设备清洗废水及车间地面清洗废水）、及员工生活污水</w:t>
            </w:r>
            <w:r>
              <w:rPr>
                <w:rFonts w:hint="eastAsia" w:ascii="Times New Roman" w:hAnsi="Times New Roman"/>
                <w:b w:val="0"/>
                <w:bCs/>
                <w:sz w:val="24"/>
                <w:lang w:val="en-US" w:eastAsia="zh-CN"/>
              </w:rPr>
              <w:t>。</w:t>
            </w:r>
            <w:r>
              <w:rPr>
                <w:rFonts w:hint="eastAsia"/>
                <w:b w:val="0"/>
                <w:bCs/>
                <w:sz w:val="24"/>
                <w:lang w:val="en-US" w:eastAsia="zh-CN"/>
              </w:rPr>
              <w:t>员工生活污水与生产废水同时经村镇污水管网进入涧南庄村污水处理站处理。</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eastAsia"/>
                <w:b w:val="0"/>
                <w:bCs/>
                <w:sz w:val="24"/>
                <w:lang w:val="en-US" w:eastAsia="zh-CN"/>
              </w:rPr>
            </w:pPr>
            <w:r>
              <w:rPr>
                <w:rFonts w:hint="eastAsia"/>
                <w:b w:val="0"/>
                <w:bCs/>
                <w:sz w:val="24"/>
                <w:lang w:val="en-US" w:eastAsia="zh-CN"/>
              </w:rPr>
              <w:t>1.1生产废水</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default"/>
                <w:b w:val="0"/>
                <w:bCs/>
                <w:sz w:val="24"/>
                <w:lang w:val="en-US" w:eastAsia="zh-CN"/>
              </w:rPr>
            </w:pPr>
            <w:r>
              <w:rPr>
                <w:rFonts w:hint="eastAsia"/>
                <w:b w:val="0"/>
                <w:bCs/>
                <w:sz w:val="24"/>
                <w:lang w:val="en-US" w:eastAsia="zh-CN"/>
              </w:rPr>
              <w:t>1.1.1速冻饺子生产线废水</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eastAsia"/>
                <w:b w:val="0"/>
                <w:bCs/>
                <w:sz w:val="24"/>
                <w:highlight w:val="none"/>
                <w:lang w:val="en-US" w:eastAsia="zh-CN"/>
              </w:rPr>
            </w:pPr>
            <w:r>
              <w:rPr>
                <w:rFonts w:hint="eastAsia"/>
                <w:b w:val="0"/>
                <w:bCs/>
                <w:sz w:val="24"/>
                <w:lang w:val="en-US" w:eastAsia="zh-CN"/>
              </w:rPr>
              <w:t>根据《第二次污染源普查产排污系数手册》中速冻食品行业系数手册，年产量小于30000吨的速冻水饺生产线废水产生量为5.592t/t产品，COD产生量为3528.932g/t产品，氨氮产生量为48.513g/t产品，总磷产生量为24.479g/t产品，总氮产生量为77.513g/t产品，石油类产生量为5.317g/t产品。项目速冻饺子年产</w:t>
            </w:r>
            <w:r>
              <w:rPr>
                <w:rFonts w:hint="eastAsia"/>
                <w:b w:val="0"/>
                <w:bCs/>
                <w:sz w:val="24"/>
                <w:highlight w:val="none"/>
                <w:lang w:val="en-US" w:eastAsia="zh-CN"/>
              </w:rPr>
              <w:t>100吨，则饺子生产线废水产生量为559.2t/a，COD、氨氮、总磷、总氮、石油类产生量分别为0.3029t/a、0.0048t/a、0.0024t/a、0.0078t/a、0.0006t/a。</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eastAsia"/>
                <w:b w:val="0"/>
                <w:bCs/>
                <w:sz w:val="24"/>
                <w:highlight w:val="none"/>
                <w:lang w:val="en-US" w:eastAsia="zh-CN"/>
              </w:rPr>
            </w:pPr>
            <w:r>
              <w:rPr>
                <w:rFonts w:hint="eastAsia"/>
                <w:b w:val="0"/>
                <w:bCs/>
                <w:sz w:val="24"/>
                <w:highlight w:val="none"/>
                <w:lang w:val="en-US" w:eastAsia="zh-CN"/>
              </w:rPr>
              <w:t>1.1.2速冻汤圆生产线废水</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eastAsia"/>
                <w:b w:val="0"/>
                <w:bCs/>
                <w:sz w:val="24"/>
                <w:highlight w:val="none"/>
                <w:lang w:val="en-US" w:eastAsia="zh-CN"/>
              </w:rPr>
            </w:pPr>
            <w:r>
              <w:rPr>
                <w:rFonts w:hint="eastAsia"/>
                <w:b w:val="0"/>
                <w:bCs/>
                <w:sz w:val="24"/>
                <w:highlight w:val="none"/>
                <w:lang w:val="en-US" w:eastAsia="zh-CN"/>
              </w:rPr>
              <w:t>根据《第二次污染源普查产排污系数手册》中速冻食品行业系数手册，速冻汤圆生产线废水产生量为1.642t/t产品，COD产生量为1866.644g/t产品，氨氮产生量为25.015g/t产品，总磷产生量为0.943g/t产品，总氮产生量为47.660g/t产品，石油类产生量为2.484g/t产品。项目速冻汤圆年产100吨，则汤圆生产线废水产生量为164.2t/a，COD、氨氮、总磷、总氮、石油类产生量分别为0.1866t/a、0.0026t/a、0.0001t/a、0.0048t/a、0.0002t/a。</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eastAsia"/>
                <w:b w:val="0"/>
                <w:bCs/>
                <w:sz w:val="24"/>
                <w:highlight w:val="none"/>
                <w:lang w:val="en-US" w:eastAsia="zh-CN"/>
              </w:rPr>
            </w:pPr>
            <w:r>
              <w:rPr>
                <w:rFonts w:hint="eastAsia"/>
                <w:b w:val="0"/>
                <w:bCs/>
                <w:sz w:val="24"/>
                <w:highlight w:val="none"/>
                <w:lang w:val="en-US" w:eastAsia="zh-CN"/>
              </w:rPr>
              <w:t>1.2员工生活污水</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eastAsia"/>
                <w:sz w:val="24"/>
                <w:highlight w:val="none"/>
              </w:rPr>
            </w:pPr>
            <w:r>
              <w:rPr>
                <w:rFonts w:hint="eastAsia"/>
                <w:b w:val="0"/>
                <w:bCs/>
                <w:sz w:val="24"/>
                <w:highlight w:val="none"/>
                <w:lang w:val="en-US" w:eastAsia="zh-CN"/>
              </w:rPr>
              <w:t>项目拟使用员工30人，</w:t>
            </w:r>
            <w:r>
              <w:rPr>
                <w:rFonts w:hint="eastAsia"/>
                <w:sz w:val="24"/>
                <w:highlight w:val="none"/>
              </w:rPr>
              <w:t>均不在厂内食宿，生活用水量按</w:t>
            </w:r>
            <w:r>
              <w:rPr>
                <w:rFonts w:hint="eastAsia"/>
                <w:sz w:val="24"/>
                <w:highlight w:val="none"/>
                <w:lang w:val="en-US" w:eastAsia="zh-CN"/>
              </w:rPr>
              <w:t>100</w:t>
            </w:r>
            <w:r>
              <w:rPr>
                <w:rFonts w:hint="eastAsia"/>
                <w:sz w:val="24"/>
                <w:highlight w:val="none"/>
              </w:rPr>
              <w:t>L/d人计，则总用水量为</w:t>
            </w:r>
            <w:r>
              <w:rPr>
                <w:rFonts w:hint="eastAsia"/>
                <w:sz w:val="24"/>
                <w:highlight w:val="none"/>
                <w:lang w:val="en-US" w:eastAsia="zh-CN"/>
              </w:rPr>
              <w:t>900</w:t>
            </w:r>
            <w:r>
              <w:rPr>
                <w:rFonts w:hint="eastAsia"/>
                <w:sz w:val="24"/>
                <w:highlight w:val="none"/>
              </w:rPr>
              <w:t>t/a，污水产生量按用水量80%计算，则废水产生量为</w:t>
            </w:r>
            <w:r>
              <w:rPr>
                <w:rFonts w:hint="eastAsia"/>
                <w:sz w:val="24"/>
                <w:highlight w:val="none"/>
                <w:lang w:val="en-US" w:eastAsia="zh-CN"/>
              </w:rPr>
              <w:t>720</w:t>
            </w:r>
            <w:r>
              <w:rPr>
                <w:rFonts w:hint="eastAsia"/>
                <w:sz w:val="24"/>
                <w:highlight w:val="none"/>
              </w:rPr>
              <w:t>t/a，其中COD、氨氮、总磷、总氮产生浓度分别为280mg/L、30mg/L、4mg/L、45mg/L，产生量分别为</w:t>
            </w:r>
            <w:r>
              <w:rPr>
                <w:rFonts w:hint="eastAsia"/>
                <w:sz w:val="24"/>
                <w:highlight w:val="none"/>
                <w:lang w:val="en-US" w:eastAsia="zh-CN"/>
              </w:rPr>
              <w:t>0.2016</w:t>
            </w:r>
            <w:r>
              <w:rPr>
                <w:rFonts w:hint="eastAsia"/>
                <w:sz w:val="24"/>
                <w:highlight w:val="none"/>
              </w:rPr>
              <w:t>t/a、</w:t>
            </w:r>
            <w:r>
              <w:rPr>
                <w:rFonts w:hint="eastAsia"/>
                <w:sz w:val="24"/>
                <w:highlight w:val="none"/>
                <w:lang w:val="en-US" w:eastAsia="zh-CN"/>
              </w:rPr>
              <w:t>0.0216</w:t>
            </w:r>
            <w:r>
              <w:rPr>
                <w:rFonts w:hint="eastAsia"/>
                <w:sz w:val="24"/>
                <w:highlight w:val="none"/>
              </w:rPr>
              <w:t>t/a、</w:t>
            </w:r>
            <w:r>
              <w:rPr>
                <w:rFonts w:hint="eastAsia"/>
                <w:sz w:val="24"/>
                <w:highlight w:val="none"/>
                <w:lang w:val="en-US" w:eastAsia="zh-CN"/>
              </w:rPr>
              <w:t>0.0029</w:t>
            </w:r>
            <w:r>
              <w:rPr>
                <w:rFonts w:hint="eastAsia"/>
                <w:sz w:val="24"/>
                <w:highlight w:val="none"/>
              </w:rPr>
              <w:t>t/a、</w:t>
            </w:r>
            <w:r>
              <w:rPr>
                <w:rFonts w:hint="eastAsia"/>
                <w:sz w:val="24"/>
                <w:highlight w:val="none"/>
                <w:lang w:val="en-US" w:eastAsia="zh-CN"/>
              </w:rPr>
              <w:t>0.0324</w:t>
            </w:r>
            <w:r>
              <w:rPr>
                <w:rFonts w:hint="eastAsia"/>
                <w:sz w:val="24"/>
                <w:highlight w:val="none"/>
              </w:rPr>
              <w:t>t/a。</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default"/>
                <w:b w:val="0"/>
                <w:bCs/>
                <w:sz w:val="24"/>
                <w:lang w:val="en-US" w:eastAsia="zh-CN"/>
              </w:rPr>
            </w:pPr>
            <w:r>
              <w:rPr>
                <w:rFonts w:hint="eastAsia"/>
                <w:b w:val="0"/>
                <w:bCs/>
                <w:sz w:val="24"/>
                <w:highlight w:val="none"/>
                <w:lang w:val="en-US" w:eastAsia="zh-CN"/>
              </w:rPr>
              <w:t>由以上源强计算可知，企业总排水量为1443.4t/a，COD、氨氮、总磷、总氮、石油类年排放量分别为0.6911t/a、0.0290t/a、0.0054t/a、0.0450t/a、0.0008t/a，</w:t>
            </w:r>
            <w:r>
              <w:rPr>
                <w:rFonts w:hint="eastAsia"/>
                <w:b w:val="0"/>
                <w:bCs/>
                <w:sz w:val="24"/>
                <w:lang w:val="en-US" w:eastAsia="zh-CN"/>
              </w:rPr>
              <w:t>则项目废水中COD、氨氮、总磷、总氮、石油类排放浓度分别为478.8mg/L、20.1mg/L、3.7mg/L、31.2mg/L、0.6mg/L，能够满足《污水综合排放标准》表4三级标准要求。</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default"/>
                <w:b w:val="0"/>
                <w:bCs/>
                <w:sz w:val="24"/>
                <w:lang w:val="en-US" w:eastAsia="zh-CN"/>
              </w:rPr>
            </w:pPr>
            <w:r>
              <w:rPr>
                <w:sz w:val="24"/>
              </w:rPr>
              <w:t>根据《环境影响评价技术导则 地表水环境》（HJ2.3-2018）规定的评价工作级别的划分原则和方法，本次地表水评价等级为三级B</w:t>
            </w:r>
            <w:r>
              <w:rPr>
                <w:rFonts w:hint="eastAsia"/>
                <w:sz w:val="24"/>
                <w:lang w:eastAsia="zh-CN"/>
              </w:rPr>
              <w:t>；</w:t>
            </w:r>
            <w:r>
              <w:rPr>
                <w:rFonts w:hint="eastAsia"/>
                <w:sz w:val="24"/>
                <w:lang w:val="en-US" w:eastAsia="zh-CN"/>
              </w:rPr>
              <w:t>根据《环境影响评价技术导则 地下水环境》（HJ610-2016），本项目属于“N轻工”中“107、其他食品制造”类报告表项目，地下水环境影响评价项目类别为</w:t>
            </w:r>
            <w:r>
              <w:rPr>
                <w:rFonts w:hint="eastAsia" w:ascii="宋体" w:hAnsi="宋体" w:eastAsia="宋体" w:cs="宋体"/>
                <w:sz w:val="24"/>
                <w:lang w:val="en-US" w:eastAsia="zh-CN"/>
              </w:rPr>
              <w:t>Ⅳ类，不再开展地下水环境影响</w:t>
            </w:r>
            <w:r>
              <w:rPr>
                <w:rFonts w:hint="eastAsia" w:ascii="宋体" w:hAnsi="宋体" w:cs="宋体"/>
                <w:sz w:val="24"/>
                <w:lang w:val="en-US" w:eastAsia="zh-CN"/>
              </w:rPr>
              <w:t>分析</w:t>
            </w:r>
            <w:r>
              <w:rPr>
                <w:rFonts w:hint="eastAsia" w:ascii="宋体" w:hAnsi="宋体" w:eastAsia="宋体" w:cs="宋体"/>
                <w:sz w:val="24"/>
                <w:lang w:val="en-US" w:eastAsia="zh-CN"/>
              </w:rPr>
              <w:t>。</w:t>
            </w:r>
            <w:r>
              <w:rPr>
                <w:rFonts w:hint="eastAsia" w:ascii="宋体" w:hAnsi="宋体" w:cs="宋体"/>
                <w:sz w:val="24"/>
                <w:lang w:val="en-US" w:eastAsia="zh-CN"/>
              </w:rPr>
              <w:t>项目</w:t>
            </w:r>
            <w:r>
              <w:rPr>
                <w:rFonts w:hint="eastAsia"/>
                <w:b w:val="0"/>
                <w:bCs/>
                <w:sz w:val="24"/>
                <w:lang w:val="en-US" w:eastAsia="zh-CN"/>
              </w:rPr>
              <w:t>废水依托涧南庄村污水处理站的环境可行性分析如下：</w:t>
            </w:r>
          </w:p>
          <w:p>
            <w:pPr>
              <w:keepNext w:val="0"/>
              <w:keepLines w:val="0"/>
              <w:pageBreakBefore w:val="0"/>
              <w:widowControl w:val="0"/>
              <w:kinsoku/>
              <w:wordWrap/>
              <w:overflowPunct/>
              <w:topLinePunct w:val="0"/>
              <w:bidi w:val="0"/>
              <w:spacing w:line="440" w:lineRule="exact"/>
              <w:ind w:firstLine="480" w:firstLineChars="200"/>
              <w:textAlignment w:val="auto"/>
              <w:rPr>
                <w:rFonts w:hint="eastAsia" w:eastAsia="宋体"/>
                <w:sz w:val="24"/>
                <w:lang w:val="en-US" w:eastAsia="zh-CN"/>
              </w:rPr>
            </w:pPr>
            <w:r>
              <w:rPr>
                <w:rFonts w:hint="eastAsia"/>
                <w:b w:val="0"/>
                <w:bCs/>
                <w:sz w:val="24"/>
                <w:lang w:val="en-US" w:eastAsia="zh-CN"/>
              </w:rPr>
              <w:t>涧南庄村污水处理站位于济源市思礼镇涧南庄村东30m处，总占地面积150m</w:t>
            </w:r>
            <w:r>
              <w:rPr>
                <w:rFonts w:hint="eastAsia"/>
                <w:b w:val="0"/>
                <w:bCs/>
                <w:sz w:val="24"/>
                <w:vertAlign w:val="superscript"/>
                <w:lang w:val="en-US" w:eastAsia="zh-CN"/>
              </w:rPr>
              <w:t>2</w:t>
            </w:r>
            <w:r>
              <w:rPr>
                <w:rFonts w:hint="eastAsia"/>
                <w:b w:val="0"/>
                <w:bCs/>
                <w:sz w:val="24"/>
                <w:lang w:val="en-US" w:eastAsia="zh-CN"/>
              </w:rPr>
              <w:t>，处理规模60t/d，采用缺氧+好氧+沉淀+高效沉淀处理工艺（TPA</w:t>
            </w:r>
            <w:r>
              <w:rPr>
                <w:rFonts w:hint="eastAsia"/>
                <w:b w:val="0"/>
                <w:bCs/>
                <w:sz w:val="24"/>
                <w:vertAlign w:val="superscript"/>
                <w:lang w:val="en-US" w:eastAsia="zh-CN"/>
              </w:rPr>
              <w:t>2</w:t>
            </w:r>
            <w:r>
              <w:rPr>
                <w:rFonts w:hint="eastAsia"/>
                <w:b w:val="0"/>
                <w:bCs/>
                <w:sz w:val="24"/>
                <w:lang w:val="en-US" w:eastAsia="zh-CN"/>
              </w:rPr>
              <w:t>O工艺）。其出水水质可达到《城镇污水处理厂污染物排放标准》（GB18918-2002）表1一级A标准要求。涧南庄村共有居民约850人，生活用水量按60L/d人，污水产生量按用水量80%计算，则涧南庄村生活污水产生量为40.8t/a，</w:t>
            </w:r>
            <w:r>
              <w:rPr>
                <w:sz w:val="24"/>
              </w:rPr>
              <w:t>本项目废水产生量</w:t>
            </w:r>
            <w:r>
              <w:rPr>
                <w:rFonts w:hint="eastAsia"/>
                <w:sz w:val="24"/>
                <w:lang w:val="en-US" w:eastAsia="zh-CN"/>
              </w:rPr>
              <w:t>4.81</w:t>
            </w:r>
            <w:r>
              <w:rPr>
                <w:sz w:val="24"/>
              </w:rPr>
              <w:t>t/d</w:t>
            </w:r>
            <w:r>
              <w:rPr>
                <w:rFonts w:hint="eastAsia"/>
                <w:sz w:val="24"/>
                <w:lang w:eastAsia="zh-CN"/>
              </w:rPr>
              <w:t>（</w:t>
            </w:r>
            <w:r>
              <w:rPr>
                <w:rFonts w:hint="eastAsia"/>
                <w:sz w:val="24"/>
                <w:lang w:val="en-US" w:eastAsia="zh-CN"/>
              </w:rPr>
              <w:t>1443.4t/a</w:t>
            </w:r>
            <w:r>
              <w:rPr>
                <w:rFonts w:hint="eastAsia"/>
                <w:sz w:val="24"/>
                <w:lang w:eastAsia="zh-CN"/>
              </w:rPr>
              <w:t>）</w:t>
            </w:r>
            <w:r>
              <w:rPr>
                <w:sz w:val="24"/>
              </w:rPr>
              <w:t>，项目废水日产生量在</w:t>
            </w:r>
            <w:r>
              <w:rPr>
                <w:rFonts w:hint="eastAsia"/>
                <w:sz w:val="24"/>
                <w:lang w:eastAsia="zh-CN"/>
              </w:rPr>
              <w:t>涧南庄村污水处理站</w:t>
            </w:r>
            <w:r>
              <w:rPr>
                <w:sz w:val="24"/>
              </w:rPr>
              <w:t>富余处理能力范围内。</w:t>
            </w:r>
            <w:r>
              <w:rPr>
                <w:rFonts w:hint="eastAsia"/>
                <w:sz w:val="24"/>
                <w:lang w:eastAsia="zh-CN"/>
              </w:rPr>
              <w:t>同时该污水处理站对进水水质无明确要求，因此项目废水进入涧南庄村污水处理站处理可行。</w:t>
            </w:r>
            <w:r>
              <w:rPr>
                <w:sz w:val="24"/>
              </w:rPr>
              <w:t>随着《济源市污染防治攻坚战三年行动计划》（2018-2020年）的实施，</w:t>
            </w:r>
            <w:r>
              <w:rPr>
                <w:bCs/>
                <w:sz w:val="24"/>
              </w:rPr>
              <w:t>蟒河</w:t>
            </w:r>
            <w:r>
              <w:rPr>
                <w:rFonts w:hint="eastAsia"/>
                <w:bCs/>
                <w:sz w:val="24"/>
                <w:lang w:eastAsia="zh-CN"/>
              </w:rPr>
              <w:t>水系</w:t>
            </w:r>
            <w:r>
              <w:rPr>
                <w:bCs/>
                <w:sz w:val="24"/>
              </w:rPr>
              <w:t>水质将逐渐好转</w:t>
            </w:r>
            <w:r>
              <w:rPr>
                <w:sz w:val="24"/>
              </w:rPr>
              <w:t>。评价认为本项目对地表水环境影响可以接受。</w:t>
            </w: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Theme="majorEastAsia" w:hAnsiTheme="majorEastAsia" w:eastAsiaTheme="majorEastAsia" w:cstheme="majorEastAsia"/>
                <w:b/>
                <w:sz w:val="24"/>
              </w:rPr>
            </w:pP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Theme="majorEastAsia" w:hAnsiTheme="majorEastAsia" w:eastAsiaTheme="majorEastAsia" w:cstheme="majorEastAsia"/>
                <w:b/>
                <w:sz w:val="24"/>
              </w:rPr>
            </w:pPr>
            <w:r>
              <w:rPr>
                <w:rFonts w:hint="eastAsia" w:asciiTheme="majorEastAsia" w:hAnsiTheme="majorEastAsia" w:eastAsiaTheme="majorEastAsia" w:cstheme="majorEastAsia"/>
                <w:b/>
                <w:sz w:val="24"/>
              </w:rPr>
              <w:t>污染物排放量核算：</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项目废水污染物排放信息如下：</w:t>
            </w:r>
          </w:p>
          <w:p>
            <w:pPr>
              <w:spacing w:line="240" w:lineRule="auto"/>
              <w:jc w:val="center"/>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废水类别、污染物及污染治理设施信息表</w:t>
            </w:r>
          </w:p>
          <w:tbl>
            <w:tblPr>
              <w:tblStyle w:val="12"/>
              <w:tblW w:w="8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85"/>
              <w:gridCol w:w="681"/>
              <w:gridCol w:w="546"/>
              <w:gridCol w:w="815"/>
              <w:gridCol w:w="956"/>
              <w:gridCol w:w="952"/>
              <w:gridCol w:w="957"/>
              <w:gridCol w:w="817"/>
              <w:gridCol w:w="955"/>
              <w:gridCol w:w="1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585" w:type="dxa"/>
                  <w:vMerge w:val="restart"/>
                  <w:tcBorders>
                    <w:tl2br w:val="nil"/>
                    <w:tr2bl w:val="nil"/>
                  </w:tcBorders>
                  <w:shd w:val="clear" w:color="auto" w:fill="auto"/>
                  <w:vAlign w:val="center"/>
                </w:tcPr>
                <w:p>
                  <w:pPr>
                    <w:pStyle w:val="19"/>
                    <w:shd w:val="clear" w:color="auto" w:fill="auto"/>
                    <w:snapToGrid w:val="0"/>
                    <w:spacing w:after="0" w:line="240" w:lineRule="exact"/>
                    <w:rPr>
                      <w:rStyle w:val="20"/>
                      <w:rFonts w:ascii="Times New Roman" w:hAnsi="Times New Roman" w:eastAsia="宋体" w:cs="Times New Roman"/>
                      <w:color w:val="auto"/>
                      <w:sz w:val="21"/>
                      <w:szCs w:val="21"/>
                    </w:rPr>
                  </w:pPr>
                  <w:r>
                    <w:rPr>
                      <w:rStyle w:val="20"/>
                      <w:rFonts w:ascii="Times New Roman" w:hAnsi="Times New Roman" w:eastAsia="宋体" w:cs="Times New Roman"/>
                      <w:color w:val="auto"/>
                      <w:sz w:val="21"/>
                      <w:szCs w:val="21"/>
                    </w:rPr>
                    <w:t>废水</w:t>
                  </w:r>
                </w:p>
                <w:p>
                  <w:pPr>
                    <w:pStyle w:val="19"/>
                    <w:shd w:val="clear" w:color="auto" w:fill="auto"/>
                    <w:snapToGrid w:val="0"/>
                    <w:spacing w:after="0" w:line="240" w:lineRule="exact"/>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类别</w:t>
                  </w:r>
                </w:p>
              </w:tc>
              <w:tc>
                <w:tcPr>
                  <w:tcW w:w="681" w:type="dxa"/>
                  <w:vMerge w:val="restart"/>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污染物种类</w:t>
                  </w:r>
                </w:p>
              </w:tc>
              <w:tc>
                <w:tcPr>
                  <w:tcW w:w="546" w:type="dxa"/>
                  <w:vMerge w:val="restart"/>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排放去向</w:t>
                  </w:r>
                </w:p>
              </w:tc>
              <w:tc>
                <w:tcPr>
                  <w:tcW w:w="815" w:type="dxa"/>
                  <w:vMerge w:val="restart"/>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排放规律</w:t>
                  </w:r>
                </w:p>
              </w:tc>
              <w:tc>
                <w:tcPr>
                  <w:tcW w:w="2865" w:type="dxa"/>
                  <w:gridSpan w:val="3"/>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污染治理设施</w:t>
                  </w:r>
                </w:p>
              </w:tc>
              <w:tc>
                <w:tcPr>
                  <w:tcW w:w="817" w:type="dxa"/>
                  <w:vMerge w:val="restart"/>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排放口编号</w:t>
                  </w:r>
                </w:p>
              </w:tc>
              <w:tc>
                <w:tcPr>
                  <w:tcW w:w="955" w:type="dxa"/>
                  <w:vMerge w:val="restart"/>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排放口设置是否符合要求</w:t>
                  </w:r>
                </w:p>
              </w:tc>
              <w:tc>
                <w:tcPr>
                  <w:tcW w:w="1616" w:type="dxa"/>
                  <w:vMerge w:val="restart"/>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排放口</w:t>
                  </w:r>
                </w:p>
                <w:p>
                  <w:pPr>
                    <w:pStyle w:val="19"/>
                    <w:shd w:val="clear" w:color="auto" w:fill="auto"/>
                    <w:snapToGrid w:val="0"/>
                    <w:spacing w:after="0" w:line="240" w:lineRule="exact"/>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585" w:type="dxa"/>
                  <w:vMerge w:val="continue"/>
                  <w:tcBorders>
                    <w:tl2br w:val="nil"/>
                    <w:tr2bl w:val="nil"/>
                  </w:tcBorders>
                  <w:shd w:val="clear" w:color="auto" w:fill="auto"/>
                  <w:vAlign w:val="center"/>
                </w:tcPr>
                <w:p>
                  <w:pPr>
                    <w:snapToGrid w:val="0"/>
                    <w:spacing w:line="240" w:lineRule="exact"/>
                    <w:jc w:val="center"/>
                    <w:rPr>
                      <w:szCs w:val="21"/>
                    </w:rPr>
                  </w:pPr>
                </w:p>
              </w:tc>
              <w:tc>
                <w:tcPr>
                  <w:tcW w:w="681" w:type="dxa"/>
                  <w:vMerge w:val="continue"/>
                  <w:tcBorders>
                    <w:tl2br w:val="nil"/>
                    <w:tr2bl w:val="nil"/>
                  </w:tcBorders>
                  <w:shd w:val="clear" w:color="auto" w:fill="auto"/>
                  <w:vAlign w:val="center"/>
                </w:tcPr>
                <w:p>
                  <w:pPr>
                    <w:snapToGrid w:val="0"/>
                    <w:spacing w:line="240" w:lineRule="exact"/>
                    <w:jc w:val="center"/>
                    <w:rPr>
                      <w:szCs w:val="21"/>
                    </w:rPr>
                  </w:pPr>
                </w:p>
              </w:tc>
              <w:tc>
                <w:tcPr>
                  <w:tcW w:w="546" w:type="dxa"/>
                  <w:vMerge w:val="continue"/>
                  <w:tcBorders>
                    <w:tl2br w:val="nil"/>
                    <w:tr2bl w:val="nil"/>
                  </w:tcBorders>
                  <w:shd w:val="clear" w:color="auto" w:fill="auto"/>
                  <w:vAlign w:val="center"/>
                </w:tcPr>
                <w:p>
                  <w:pPr>
                    <w:snapToGrid w:val="0"/>
                    <w:spacing w:line="240" w:lineRule="exact"/>
                    <w:jc w:val="center"/>
                    <w:rPr>
                      <w:szCs w:val="21"/>
                    </w:rPr>
                  </w:pPr>
                </w:p>
              </w:tc>
              <w:tc>
                <w:tcPr>
                  <w:tcW w:w="815" w:type="dxa"/>
                  <w:vMerge w:val="continue"/>
                  <w:tcBorders>
                    <w:tl2br w:val="nil"/>
                    <w:tr2bl w:val="nil"/>
                  </w:tcBorders>
                  <w:shd w:val="clear" w:color="auto" w:fill="auto"/>
                  <w:vAlign w:val="center"/>
                </w:tcPr>
                <w:p>
                  <w:pPr>
                    <w:snapToGrid w:val="0"/>
                    <w:spacing w:line="240" w:lineRule="exact"/>
                    <w:jc w:val="center"/>
                    <w:rPr>
                      <w:szCs w:val="21"/>
                    </w:rPr>
                  </w:pPr>
                </w:p>
              </w:tc>
              <w:tc>
                <w:tcPr>
                  <w:tcW w:w="956" w:type="dxa"/>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污染治理设施编号</w:t>
                  </w:r>
                </w:p>
              </w:tc>
              <w:tc>
                <w:tcPr>
                  <w:tcW w:w="952" w:type="dxa"/>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污染治理设施名称</w:t>
                  </w:r>
                </w:p>
              </w:tc>
              <w:tc>
                <w:tcPr>
                  <w:tcW w:w="957" w:type="dxa"/>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污染治理设施工艺</w:t>
                  </w:r>
                </w:p>
              </w:tc>
              <w:tc>
                <w:tcPr>
                  <w:tcW w:w="817" w:type="dxa"/>
                  <w:vMerge w:val="continue"/>
                  <w:tcBorders>
                    <w:tl2br w:val="nil"/>
                    <w:tr2bl w:val="nil"/>
                  </w:tcBorders>
                  <w:shd w:val="clear" w:color="auto" w:fill="auto"/>
                  <w:vAlign w:val="center"/>
                </w:tcPr>
                <w:p>
                  <w:pPr>
                    <w:snapToGrid w:val="0"/>
                    <w:spacing w:line="240" w:lineRule="exact"/>
                    <w:jc w:val="center"/>
                    <w:rPr>
                      <w:szCs w:val="21"/>
                    </w:rPr>
                  </w:pPr>
                </w:p>
              </w:tc>
              <w:tc>
                <w:tcPr>
                  <w:tcW w:w="955" w:type="dxa"/>
                  <w:vMerge w:val="continue"/>
                  <w:tcBorders>
                    <w:tl2br w:val="nil"/>
                    <w:tr2bl w:val="nil"/>
                  </w:tcBorders>
                  <w:shd w:val="clear" w:color="auto" w:fill="auto"/>
                  <w:vAlign w:val="center"/>
                </w:tcPr>
                <w:p>
                  <w:pPr>
                    <w:snapToGrid w:val="0"/>
                    <w:spacing w:line="240" w:lineRule="exact"/>
                    <w:jc w:val="center"/>
                    <w:rPr>
                      <w:szCs w:val="21"/>
                    </w:rPr>
                  </w:pPr>
                </w:p>
              </w:tc>
              <w:tc>
                <w:tcPr>
                  <w:tcW w:w="1616" w:type="dxa"/>
                  <w:vMerge w:val="continue"/>
                  <w:tcBorders>
                    <w:tl2br w:val="nil"/>
                    <w:tr2bl w:val="nil"/>
                  </w:tcBorders>
                  <w:shd w:val="clear" w:color="auto" w:fill="auto"/>
                  <w:vAlign w:val="center"/>
                </w:tcPr>
                <w:p>
                  <w:pPr>
                    <w:snapToGrid w:val="0"/>
                    <w:spacing w:line="2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585" w:type="dxa"/>
                  <w:tcBorders>
                    <w:tl2br w:val="nil"/>
                    <w:tr2bl w:val="nil"/>
                  </w:tcBorders>
                  <w:shd w:val="clear" w:color="auto" w:fill="auto"/>
                  <w:vAlign w:val="center"/>
                </w:tcPr>
                <w:p>
                  <w:pPr>
                    <w:snapToGrid w:val="0"/>
                    <w:spacing w:line="240" w:lineRule="exact"/>
                    <w:jc w:val="center"/>
                    <w:rPr>
                      <w:rFonts w:hint="eastAsia" w:eastAsia="宋体"/>
                      <w:szCs w:val="21"/>
                      <w:lang w:eastAsia="zh-CN"/>
                    </w:rPr>
                  </w:pPr>
                  <w:r>
                    <w:rPr>
                      <w:rFonts w:hint="eastAsia"/>
                      <w:szCs w:val="21"/>
                      <w:lang w:eastAsia="zh-CN"/>
                    </w:rPr>
                    <w:t>生产废水</w:t>
                  </w:r>
                </w:p>
              </w:tc>
              <w:tc>
                <w:tcPr>
                  <w:tcW w:w="681" w:type="dxa"/>
                  <w:tcBorders>
                    <w:tl2br w:val="nil"/>
                    <w:tr2bl w:val="nil"/>
                  </w:tcBorders>
                  <w:shd w:val="clear" w:color="auto" w:fill="auto"/>
                  <w:vAlign w:val="center"/>
                </w:tcPr>
                <w:p>
                  <w:pPr>
                    <w:snapToGrid w:val="0"/>
                    <w:spacing w:line="240" w:lineRule="exact"/>
                    <w:jc w:val="center"/>
                  </w:pPr>
                  <w:r>
                    <w:t>COD氨氮</w:t>
                  </w:r>
                </w:p>
                <w:p>
                  <w:pPr>
                    <w:snapToGrid w:val="0"/>
                    <w:spacing w:line="240" w:lineRule="exact"/>
                    <w:jc w:val="center"/>
                    <w:rPr>
                      <w:rFonts w:hint="eastAsia"/>
                    </w:rPr>
                  </w:pPr>
                  <w:r>
                    <w:rPr>
                      <w:rFonts w:hint="eastAsia"/>
                    </w:rPr>
                    <w:t>总磷</w:t>
                  </w:r>
                </w:p>
                <w:p>
                  <w:pPr>
                    <w:snapToGrid w:val="0"/>
                    <w:spacing w:line="240" w:lineRule="exact"/>
                    <w:jc w:val="center"/>
                    <w:rPr>
                      <w:rFonts w:hint="eastAsia"/>
                      <w:lang w:eastAsia="zh-CN"/>
                    </w:rPr>
                  </w:pPr>
                  <w:r>
                    <w:rPr>
                      <w:rFonts w:hint="eastAsia"/>
                    </w:rPr>
                    <w:t>总氮</w:t>
                  </w:r>
                </w:p>
                <w:p>
                  <w:pPr>
                    <w:pStyle w:val="2"/>
                    <w:ind w:left="0" w:leftChars="0" w:firstLine="0" w:firstLineChars="0"/>
                    <w:jc w:val="center"/>
                    <w:rPr>
                      <w:rFonts w:hint="eastAsia"/>
                      <w:lang w:eastAsia="zh-CN"/>
                    </w:rPr>
                  </w:pPr>
                  <w:r>
                    <w:rPr>
                      <w:rFonts w:hint="eastAsia" w:ascii="Times New Roman" w:hAnsi="Times New Roman" w:eastAsia="宋体" w:cs="Times New Roman"/>
                      <w:kern w:val="2"/>
                      <w:sz w:val="21"/>
                      <w:szCs w:val="24"/>
                      <w:lang w:val="en-US" w:eastAsia="zh-CN" w:bidi="ar-SA"/>
                    </w:rPr>
                    <w:t>石油类</w:t>
                  </w:r>
                </w:p>
              </w:tc>
              <w:tc>
                <w:tcPr>
                  <w:tcW w:w="546" w:type="dxa"/>
                  <w:vMerge w:val="restart"/>
                  <w:tcBorders>
                    <w:tl2br w:val="nil"/>
                    <w:tr2bl w:val="nil"/>
                  </w:tcBorders>
                  <w:shd w:val="clear" w:color="auto" w:fill="auto"/>
                  <w:vAlign w:val="center"/>
                </w:tcPr>
                <w:p>
                  <w:pPr>
                    <w:snapToGrid w:val="0"/>
                    <w:spacing w:line="240" w:lineRule="exact"/>
                    <w:jc w:val="center"/>
                    <w:rPr>
                      <w:rFonts w:hint="eastAsia" w:eastAsia="宋体"/>
                      <w:szCs w:val="21"/>
                      <w:lang w:eastAsia="zh-CN"/>
                    </w:rPr>
                  </w:pPr>
                  <w:r>
                    <w:rPr>
                      <w:rFonts w:hint="eastAsia"/>
                      <w:szCs w:val="21"/>
                      <w:lang w:eastAsia="zh-CN"/>
                    </w:rPr>
                    <w:t>涧南庄村污水处理站</w:t>
                  </w:r>
                </w:p>
              </w:tc>
              <w:tc>
                <w:tcPr>
                  <w:tcW w:w="815" w:type="dxa"/>
                  <w:vMerge w:val="restart"/>
                  <w:tcBorders>
                    <w:tl2br w:val="nil"/>
                    <w:tr2bl w:val="nil"/>
                  </w:tcBorders>
                  <w:shd w:val="clear" w:color="auto" w:fill="auto"/>
                  <w:vAlign w:val="center"/>
                </w:tcPr>
                <w:p>
                  <w:pPr>
                    <w:snapToGrid w:val="0"/>
                    <w:spacing w:line="240" w:lineRule="exact"/>
                    <w:jc w:val="center"/>
                    <w:rPr>
                      <w:szCs w:val="21"/>
                    </w:rPr>
                  </w:pPr>
                  <w:r>
                    <w:rPr>
                      <w:szCs w:val="21"/>
                    </w:rPr>
                    <w:t>连续稳定排放</w:t>
                  </w:r>
                </w:p>
              </w:tc>
              <w:tc>
                <w:tcPr>
                  <w:tcW w:w="956" w:type="dxa"/>
                  <w:vMerge w:val="restart"/>
                  <w:tcBorders>
                    <w:tl2br w:val="nil"/>
                    <w:tr2bl w:val="nil"/>
                  </w:tcBorders>
                  <w:shd w:val="clear" w:color="auto" w:fill="auto"/>
                  <w:vAlign w:val="center"/>
                </w:tcPr>
                <w:p>
                  <w:pPr>
                    <w:snapToGrid w:val="0"/>
                    <w:spacing w:line="240" w:lineRule="exact"/>
                    <w:jc w:val="center"/>
                    <w:rPr>
                      <w:szCs w:val="21"/>
                    </w:rPr>
                  </w:pPr>
                  <w:r>
                    <w:rPr>
                      <w:szCs w:val="21"/>
                    </w:rPr>
                    <w:t>TW001</w:t>
                  </w:r>
                </w:p>
              </w:tc>
              <w:tc>
                <w:tcPr>
                  <w:tcW w:w="952" w:type="dxa"/>
                  <w:vMerge w:val="restart"/>
                  <w:tcBorders>
                    <w:tl2br w:val="nil"/>
                    <w:tr2bl w:val="nil"/>
                  </w:tcBorders>
                  <w:shd w:val="clear" w:color="auto" w:fill="auto"/>
                  <w:vAlign w:val="center"/>
                </w:tcPr>
                <w:p>
                  <w:pPr>
                    <w:snapToGrid w:val="0"/>
                    <w:spacing w:line="240" w:lineRule="exact"/>
                    <w:jc w:val="center"/>
                    <w:rPr>
                      <w:rFonts w:hint="eastAsia" w:eastAsia="宋体"/>
                      <w:szCs w:val="21"/>
                      <w:lang w:eastAsia="zh-CN"/>
                    </w:rPr>
                  </w:pPr>
                  <w:r>
                    <w:rPr>
                      <w:rFonts w:hint="eastAsia"/>
                      <w:szCs w:val="21"/>
                      <w:lang w:eastAsia="zh-CN"/>
                    </w:rPr>
                    <w:t>涧南庄村污水处理站</w:t>
                  </w:r>
                </w:p>
              </w:tc>
              <w:tc>
                <w:tcPr>
                  <w:tcW w:w="957" w:type="dxa"/>
                  <w:vMerge w:val="restart"/>
                  <w:tcBorders>
                    <w:tl2br w:val="nil"/>
                    <w:tr2bl w:val="nil"/>
                  </w:tcBorders>
                  <w:shd w:val="clear" w:color="auto" w:fill="auto"/>
                  <w:vAlign w:val="center"/>
                </w:tcPr>
                <w:p>
                  <w:pPr>
                    <w:snapToGrid w:val="0"/>
                    <w:spacing w:line="240" w:lineRule="exact"/>
                    <w:jc w:val="center"/>
                    <w:rPr>
                      <w:szCs w:val="21"/>
                    </w:rPr>
                  </w:pPr>
                  <w:r>
                    <w:rPr>
                      <w:rFonts w:hint="eastAsia"/>
                      <w:b w:val="0"/>
                      <w:bCs/>
                      <w:sz w:val="24"/>
                      <w:lang w:val="en-US" w:eastAsia="zh-CN"/>
                    </w:rPr>
                    <w:t>TPA</w:t>
                  </w:r>
                  <w:r>
                    <w:rPr>
                      <w:rFonts w:hint="eastAsia"/>
                      <w:b w:val="0"/>
                      <w:bCs/>
                      <w:sz w:val="24"/>
                      <w:vertAlign w:val="superscript"/>
                      <w:lang w:val="en-US" w:eastAsia="zh-CN"/>
                    </w:rPr>
                    <w:t>2</w:t>
                  </w:r>
                  <w:r>
                    <w:rPr>
                      <w:rFonts w:hint="eastAsia"/>
                      <w:b w:val="0"/>
                      <w:bCs/>
                      <w:sz w:val="24"/>
                      <w:lang w:val="en-US" w:eastAsia="zh-CN"/>
                    </w:rPr>
                    <w:t>O工艺</w:t>
                  </w:r>
                </w:p>
              </w:tc>
              <w:tc>
                <w:tcPr>
                  <w:tcW w:w="817" w:type="dxa"/>
                  <w:vMerge w:val="restart"/>
                  <w:tcBorders>
                    <w:tl2br w:val="nil"/>
                    <w:tr2bl w:val="nil"/>
                  </w:tcBorders>
                  <w:shd w:val="clear" w:color="auto" w:fill="auto"/>
                  <w:vAlign w:val="center"/>
                </w:tcPr>
                <w:p>
                  <w:pPr>
                    <w:snapToGrid w:val="0"/>
                    <w:spacing w:line="240" w:lineRule="exact"/>
                    <w:jc w:val="center"/>
                    <w:rPr>
                      <w:szCs w:val="21"/>
                    </w:rPr>
                  </w:pPr>
                  <w:r>
                    <w:rPr>
                      <w:szCs w:val="21"/>
                    </w:rPr>
                    <w:t>DW001</w:t>
                  </w:r>
                </w:p>
              </w:tc>
              <w:tc>
                <w:tcPr>
                  <w:tcW w:w="955" w:type="dxa"/>
                  <w:vMerge w:val="restart"/>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eastAsia="宋体" w:cs="Times New Roman"/>
                      <w:sz w:val="21"/>
                      <w:szCs w:val="21"/>
                    </w:rPr>
                  </w:pPr>
                  <w:r>
                    <w:rPr>
                      <w:rFonts w:ascii="Times New Roman" w:hAnsi="Times New Roman" w:cs="Times New Roman"/>
                      <w:sz w:val="21"/>
                      <w:szCs w:val="21"/>
                    </w:rPr>
                    <w:sym w:font="Wingdings" w:char="F0FE"/>
                  </w:r>
                  <w:r>
                    <w:rPr>
                      <w:rStyle w:val="20"/>
                      <w:rFonts w:ascii="Times New Roman" w:hAnsi="Times New Roman" w:eastAsia="宋体" w:cs="Times New Roman"/>
                      <w:color w:val="auto"/>
                      <w:sz w:val="21"/>
                      <w:szCs w:val="21"/>
                    </w:rPr>
                    <w:t>是</w:t>
                  </w:r>
                </w:p>
                <w:p>
                  <w:pPr>
                    <w:pStyle w:val="19"/>
                    <w:shd w:val="clear" w:color="auto" w:fill="auto"/>
                    <w:snapToGrid w:val="0"/>
                    <w:spacing w:after="0" w:line="240" w:lineRule="exact"/>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sym w:font="Wingdings 2" w:char="00A3"/>
                  </w:r>
                  <w:r>
                    <w:rPr>
                      <w:rStyle w:val="20"/>
                      <w:rFonts w:ascii="Times New Roman" w:hAnsi="Times New Roman" w:eastAsia="宋体" w:cs="Times New Roman"/>
                      <w:color w:val="auto"/>
                      <w:sz w:val="21"/>
                      <w:szCs w:val="21"/>
                    </w:rPr>
                    <w:t>否</w:t>
                  </w:r>
                </w:p>
              </w:tc>
              <w:tc>
                <w:tcPr>
                  <w:tcW w:w="1616" w:type="dxa"/>
                  <w:vMerge w:val="restart"/>
                  <w:tcBorders>
                    <w:tl2br w:val="nil"/>
                    <w:tr2bl w:val="nil"/>
                  </w:tcBorders>
                  <w:shd w:val="clear" w:color="auto" w:fill="auto"/>
                  <w:vAlign w:val="center"/>
                </w:tcPr>
                <w:p>
                  <w:pPr>
                    <w:pStyle w:val="19"/>
                    <w:shd w:val="clear" w:color="auto" w:fill="auto"/>
                    <w:snapToGrid w:val="0"/>
                    <w:spacing w:after="0" w:line="240" w:lineRule="exact"/>
                    <w:jc w:val="left"/>
                    <w:rPr>
                      <w:rStyle w:val="20"/>
                      <w:rFonts w:ascii="Times New Roman" w:hAnsi="Times New Roman" w:eastAsia="宋体" w:cs="Times New Roman"/>
                      <w:color w:val="auto"/>
                      <w:sz w:val="21"/>
                      <w:szCs w:val="21"/>
                    </w:rPr>
                  </w:pPr>
                  <w:r>
                    <w:rPr>
                      <w:rFonts w:ascii="Times New Roman" w:hAnsi="Times New Roman" w:cs="Times New Roman"/>
                      <w:sz w:val="21"/>
                      <w:szCs w:val="21"/>
                    </w:rPr>
                    <w:sym w:font="Wingdings" w:char="F0FE"/>
                  </w:r>
                  <w:r>
                    <w:rPr>
                      <w:rStyle w:val="20"/>
                      <w:rFonts w:ascii="Times New Roman" w:hAnsi="Times New Roman" w:eastAsia="宋体" w:cs="Times New Roman"/>
                      <w:color w:val="auto"/>
                      <w:sz w:val="21"/>
                      <w:szCs w:val="21"/>
                    </w:rPr>
                    <w:t>企业总排</w:t>
                  </w:r>
                </w:p>
                <w:p>
                  <w:pPr>
                    <w:pStyle w:val="19"/>
                    <w:shd w:val="clear" w:color="auto" w:fill="auto"/>
                    <w:snapToGrid w:val="0"/>
                    <w:spacing w:after="0" w:line="240" w:lineRule="exact"/>
                    <w:jc w:val="left"/>
                    <w:rPr>
                      <w:rStyle w:val="20"/>
                      <w:rFonts w:ascii="Times New Roman" w:hAnsi="Times New Roman" w:eastAsia="宋体" w:cs="Times New Roman"/>
                      <w:color w:val="auto"/>
                      <w:sz w:val="21"/>
                      <w:szCs w:val="21"/>
                    </w:rPr>
                  </w:pPr>
                  <w:r>
                    <w:rPr>
                      <w:rStyle w:val="20"/>
                      <w:rFonts w:ascii="Times New Roman" w:hAnsi="Times New Roman" w:eastAsia="宋体" w:cs="Times New Roman"/>
                      <w:color w:val="auto"/>
                      <w:sz w:val="21"/>
                      <w:szCs w:val="21"/>
                    </w:rPr>
                    <w:t>□雨水排放</w:t>
                  </w:r>
                </w:p>
                <w:p>
                  <w:pPr>
                    <w:pStyle w:val="19"/>
                    <w:shd w:val="clear" w:color="auto" w:fill="auto"/>
                    <w:snapToGrid w:val="0"/>
                    <w:spacing w:after="0" w:line="240" w:lineRule="exact"/>
                    <w:jc w:val="left"/>
                    <w:rPr>
                      <w:rStyle w:val="20"/>
                      <w:rFonts w:ascii="Times New Roman" w:hAnsi="Times New Roman" w:eastAsia="宋体" w:cs="Times New Roman"/>
                      <w:color w:val="auto"/>
                      <w:sz w:val="21"/>
                      <w:szCs w:val="21"/>
                    </w:rPr>
                  </w:pPr>
                  <w:r>
                    <w:rPr>
                      <w:rStyle w:val="20"/>
                      <w:rFonts w:ascii="Times New Roman" w:hAnsi="Times New Roman" w:eastAsia="宋体" w:cs="Times New Roman"/>
                      <w:color w:val="auto"/>
                      <w:sz w:val="21"/>
                      <w:szCs w:val="21"/>
                    </w:rPr>
                    <w:t>□清净下水排放</w:t>
                  </w:r>
                </w:p>
                <w:p>
                  <w:pPr>
                    <w:pStyle w:val="19"/>
                    <w:shd w:val="clear" w:color="auto" w:fill="auto"/>
                    <w:snapToGrid w:val="0"/>
                    <w:spacing w:after="0" w:line="240" w:lineRule="exact"/>
                    <w:jc w:val="left"/>
                    <w:rPr>
                      <w:rStyle w:val="20"/>
                      <w:rFonts w:ascii="Times New Roman" w:hAnsi="Times New Roman" w:eastAsia="宋体" w:cs="Times New Roman"/>
                      <w:color w:val="auto"/>
                      <w:sz w:val="21"/>
                      <w:szCs w:val="21"/>
                    </w:rPr>
                  </w:pPr>
                  <w:r>
                    <w:rPr>
                      <w:rStyle w:val="20"/>
                      <w:rFonts w:ascii="Times New Roman" w:hAnsi="Times New Roman" w:eastAsia="宋体" w:cs="Times New Roman"/>
                      <w:color w:val="auto"/>
                      <w:sz w:val="21"/>
                      <w:szCs w:val="21"/>
                    </w:rPr>
                    <w:t>□温排水排放</w:t>
                  </w:r>
                </w:p>
                <w:p>
                  <w:pPr>
                    <w:pStyle w:val="19"/>
                    <w:shd w:val="clear" w:color="auto" w:fill="auto"/>
                    <w:snapToGrid w:val="0"/>
                    <w:spacing w:after="0" w:line="240" w:lineRule="exact"/>
                    <w:jc w:val="left"/>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□车间或车间处理设施排放口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585" w:type="dxa"/>
                  <w:tcBorders>
                    <w:tl2br w:val="nil"/>
                    <w:tr2bl w:val="nil"/>
                  </w:tcBorders>
                  <w:shd w:val="clear" w:color="auto" w:fill="auto"/>
                  <w:vAlign w:val="center"/>
                </w:tcPr>
                <w:p>
                  <w:pPr>
                    <w:snapToGrid w:val="0"/>
                    <w:spacing w:line="240" w:lineRule="exact"/>
                    <w:jc w:val="center"/>
                    <w:rPr>
                      <w:szCs w:val="21"/>
                    </w:rPr>
                  </w:pPr>
                  <w:r>
                    <w:rPr>
                      <w:szCs w:val="21"/>
                    </w:rPr>
                    <w:t>生活废水</w:t>
                  </w:r>
                </w:p>
              </w:tc>
              <w:tc>
                <w:tcPr>
                  <w:tcW w:w="681" w:type="dxa"/>
                  <w:tcBorders>
                    <w:tl2br w:val="nil"/>
                    <w:tr2bl w:val="nil"/>
                  </w:tcBorders>
                  <w:shd w:val="clear" w:color="auto" w:fill="auto"/>
                  <w:vAlign w:val="center"/>
                </w:tcPr>
                <w:p>
                  <w:pPr>
                    <w:snapToGrid w:val="0"/>
                    <w:spacing w:line="240" w:lineRule="exact"/>
                    <w:jc w:val="center"/>
                    <w:rPr>
                      <w:szCs w:val="21"/>
                    </w:rPr>
                  </w:pPr>
                  <w:r>
                    <w:rPr>
                      <w:szCs w:val="21"/>
                    </w:rPr>
                    <w:t>COD</w:t>
                  </w:r>
                </w:p>
                <w:p>
                  <w:pPr>
                    <w:snapToGrid w:val="0"/>
                    <w:spacing w:line="240" w:lineRule="exact"/>
                    <w:jc w:val="center"/>
                    <w:rPr>
                      <w:szCs w:val="21"/>
                    </w:rPr>
                  </w:pPr>
                  <w:r>
                    <w:rPr>
                      <w:rFonts w:hint="eastAsia"/>
                      <w:szCs w:val="21"/>
                      <w:lang w:eastAsia="zh-CN"/>
                    </w:rPr>
                    <w:t>氨</w:t>
                  </w:r>
                  <w:r>
                    <w:rPr>
                      <w:szCs w:val="21"/>
                    </w:rPr>
                    <w:t>氮</w:t>
                  </w:r>
                </w:p>
                <w:p>
                  <w:pPr>
                    <w:snapToGrid w:val="0"/>
                    <w:spacing w:line="240" w:lineRule="exact"/>
                    <w:jc w:val="center"/>
                    <w:rPr>
                      <w:rFonts w:hint="eastAsia"/>
                      <w:szCs w:val="21"/>
                    </w:rPr>
                  </w:pPr>
                  <w:r>
                    <w:rPr>
                      <w:rFonts w:hint="eastAsia"/>
                      <w:szCs w:val="21"/>
                    </w:rPr>
                    <w:t>总磷</w:t>
                  </w:r>
                </w:p>
                <w:p>
                  <w:pPr>
                    <w:snapToGrid w:val="0"/>
                    <w:spacing w:line="240" w:lineRule="exact"/>
                    <w:jc w:val="center"/>
                    <w:rPr>
                      <w:szCs w:val="21"/>
                    </w:rPr>
                  </w:pPr>
                  <w:r>
                    <w:rPr>
                      <w:rFonts w:hint="eastAsia"/>
                      <w:szCs w:val="21"/>
                    </w:rPr>
                    <w:t>总氮</w:t>
                  </w:r>
                </w:p>
              </w:tc>
              <w:tc>
                <w:tcPr>
                  <w:tcW w:w="546" w:type="dxa"/>
                  <w:vMerge w:val="continue"/>
                  <w:tcBorders>
                    <w:tl2br w:val="nil"/>
                    <w:tr2bl w:val="nil"/>
                  </w:tcBorders>
                  <w:shd w:val="clear" w:color="auto" w:fill="auto"/>
                  <w:vAlign w:val="center"/>
                </w:tcPr>
                <w:p>
                  <w:pPr>
                    <w:snapToGrid w:val="0"/>
                    <w:spacing w:line="240" w:lineRule="exact"/>
                    <w:jc w:val="center"/>
                    <w:rPr>
                      <w:rFonts w:hint="eastAsia"/>
                      <w:szCs w:val="21"/>
                    </w:rPr>
                  </w:pPr>
                </w:p>
              </w:tc>
              <w:tc>
                <w:tcPr>
                  <w:tcW w:w="815" w:type="dxa"/>
                  <w:vMerge w:val="continue"/>
                  <w:tcBorders>
                    <w:tl2br w:val="nil"/>
                    <w:tr2bl w:val="nil"/>
                  </w:tcBorders>
                  <w:shd w:val="clear" w:color="auto" w:fill="auto"/>
                  <w:vAlign w:val="center"/>
                </w:tcPr>
                <w:p>
                  <w:pPr>
                    <w:snapToGrid w:val="0"/>
                    <w:spacing w:line="240" w:lineRule="exact"/>
                    <w:jc w:val="center"/>
                    <w:rPr>
                      <w:szCs w:val="21"/>
                    </w:rPr>
                  </w:pPr>
                </w:p>
              </w:tc>
              <w:tc>
                <w:tcPr>
                  <w:tcW w:w="956" w:type="dxa"/>
                  <w:vMerge w:val="continue"/>
                  <w:tcBorders>
                    <w:tl2br w:val="nil"/>
                    <w:tr2bl w:val="nil"/>
                  </w:tcBorders>
                  <w:shd w:val="clear" w:color="auto" w:fill="auto"/>
                  <w:vAlign w:val="center"/>
                </w:tcPr>
                <w:p>
                  <w:pPr>
                    <w:snapToGrid w:val="0"/>
                    <w:spacing w:line="240" w:lineRule="exact"/>
                    <w:jc w:val="center"/>
                    <w:rPr>
                      <w:szCs w:val="21"/>
                    </w:rPr>
                  </w:pPr>
                </w:p>
              </w:tc>
              <w:tc>
                <w:tcPr>
                  <w:tcW w:w="952" w:type="dxa"/>
                  <w:vMerge w:val="continue"/>
                  <w:tcBorders>
                    <w:tl2br w:val="nil"/>
                    <w:tr2bl w:val="nil"/>
                  </w:tcBorders>
                  <w:shd w:val="clear" w:color="auto" w:fill="auto"/>
                  <w:vAlign w:val="center"/>
                </w:tcPr>
                <w:p>
                  <w:pPr>
                    <w:snapToGrid w:val="0"/>
                    <w:spacing w:line="240" w:lineRule="exact"/>
                    <w:jc w:val="center"/>
                    <w:rPr>
                      <w:rFonts w:hint="eastAsia"/>
                      <w:szCs w:val="21"/>
                    </w:rPr>
                  </w:pPr>
                </w:p>
              </w:tc>
              <w:tc>
                <w:tcPr>
                  <w:tcW w:w="957" w:type="dxa"/>
                  <w:vMerge w:val="continue"/>
                  <w:tcBorders>
                    <w:tl2br w:val="nil"/>
                    <w:tr2bl w:val="nil"/>
                  </w:tcBorders>
                  <w:shd w:val="clear" w:color="auto" w:fill="auto"/>
                  <w:vAlign w:val="center"/>
                </w:tcPr>
                <w:p>
                  <w:pPr>
                    <w:snapToGrid w:val="0"/>
                    <w:spacing w:line="240" w:lineRule="exact"/>
                    <w:jc w:val="center"/>
                    <w:rPr>
                      <w:rFonts w:hint="eastAsia"/>
                      <w:szCs w:val="21"/>
                    </w:rPr>
                  </w:pPr>
                </w:p>
              </w:tc>
              <w:tc>
                <w:tcPr>
                  <w:tcW w:w="817" w:type="dxa"/>
                  <w:vMerge w:val="continue"/>
                  <w:tcBorders>
                    <w:tl2br w:val="nil"/>
                    <w:tr2bl w:val="nil"/>
                  </w:tcBorders>
                  <w:shd w:val="clear" w:color="auto" w:fill="auto"/>
                  <w:vAlign w:val="center"/>
                </w:tcPr>
                <w:p>
                  <w:pPr>
                    <w:snapToGrid w:val="0"/>
                    <w:spacing w:line="240" w:lineRule="exact"/>
                    <w:jc w:val="center"/>
                    <w:rPr>
                      <w:szCs w:val="21"/>
                    </w:rPr>
                  </w:pPr>
                </w:p>
              </w:tc>
              <w:tc>
                <w:tcPr>
                  <w:tcW w:w="955" w:type="dxa"/>
                  <w:vMerge w:val="continue"/>
                  <w:tcBorders>
                    <w:tl2br w:val="nil"/>
                    <w:tr2bl w:val="nil"/>
                  </w:tcBorders>
                  <w:shd w:val="clear" w:color="auto" w:fill="auto"/>
                  <w:vAlign w:val="center"/>
                </w:tcPr>
                <w:p>
                  <w:pPr>
                    <w:pStyle w:val="19"/>
                    <w:shd w:val="clear" w:color="auto" w:fill="auto"/>
                    <w:snapToGrid w:val="0"/>
                    <w:spacing w:after="0" w:line="240" w:lineRule="exact"/>
                    <w:rPr>
                      <w:rStyle w:val="20"/>
                      <w:rFonts w:ascii="Times New Roman" w:hAnsi="Times New Roman" w:eastAsia="宋体" w:cs="Times New Roman"/>
                      <w:color w:val="auto"/>
                      <w:sz w:val="21"/>
                      <w:szCs w:val="21"/>
                    </w:rPr>
                  </w:pPr>
                </w:p>
              </w:tc>
              <w:tc>
                <w:tcPr>
                  <w:tcW w:w="1616" w:type="dxa"/>
                  <w:vMerge w:val="continue"/>
                  <w:tcBorders>
                    <w:tl2br w:val="nil"/>
                    <w:tr2bl w:val="nil"/>
                  </w:tcBorders>
                  <w:shd w:val="clear" w:color="auto" w:fill="auto"/>
                  <w:vAlign w:val="center"/>
                </w:tcPr>
                <w:p>
                  <w:pPr>
                    <w:pStyle w:val="19"/>
                    <w:shd w:val="clear" w:color="auto" w:fill="auto"/>
                    <w:snapToGrid w:val="0"/>
                    <w:spacing w:after="0" w:line="240" w:lineRule="exact"/>
                    <w:jc w:val="left"/>
                    <w:rPr>
                      <w:rStyle w:val="20"/>
                      <w:rFonts w:ascii="Times New Roman" w:hAnsi="Times New Roman" w:eastAsia="宋体" w:cs="Times New Roman"/>
                      <w:color w:val="auto"/>
                      <w:sz w:val="21"/>
                      <w:szCs w:val="21"/>
                    </w:rPr>
                  </w:pPr>
                </w:p>
              </w:tc>
            </w:tr>
          </w:tbl>
          <w:p>
            <w:pPr>
              <w:spacing w:line="240" w:lineRule="auto"/>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废水间接排放口基本情况表</w:t>
            </w:r>
          </w:p>
          <w:tbl>
            <w:tblPr>
              <w:tblStyle w:val="12"/>
              <w:tblW w:w="8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22"/>
              <w:gridCol w:w="767"/>
              <w:gridCol w:w="780"/>
              <w:gridCol w:w="836"/>
              <w:gridCol w:w="903"/>
              <w:gridCol w:w="585"/>
              <w:gridCol w:w="480"/>
              <w:gridCol w:w="840"/>
              <w:gridCol w:w="770"/>
              <w:gridCol w:w="21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trPr>
              <w:tc>
                <w:tcPr>
                  <w:tcW w:w="722" w:type="dxa"/>
                  <w:vMerge w:val="restart"/>
                  <w:tcBorders>
                    <w:tl2br w:val="nil"/>
                    <w:tr2bl w:val="nil"/>
                  </w:tcBorders>
                  <w:shd w:val="clear" w:color="auto" w:fill="auto"/>
                  <w:vAlign w:val="center"/>
                </w:tcPr>
                <w:p>
                  <w:pPr>
                    <w:pStyle w:val="19"/>
                    <w:shd w:val="clear" w:color="auto" w:fill="auto"/>
                    <w:snapToGrid w:val="0"/>
                    <w:spacing w:after="0" w:line="240" w:lineRule="exact"/>
                    <w:rPr>
                      <w:rStyle w:val="20"/>
                      <w:rFonts w:ascii="Times New Roman" w:hAnsi="Times New Roman" w:cs="Times New Roman" w:eastAsiaTheme="minorEastAsia"/>
                      <w:color w:val="auto"/>
                      <w:sz w:val="21"/>
                      <w:szCs w:val="21"/>
                    </w:rPr>
                  </w:pPr>
                  <w:r>
                    <w:rPr>
                      <w:rStyle w:val="20"/>
                      <w:rFonts w:ascii="Times New Roman" w:hAnsi="Times New Roman" w:cs="Times New Roman" w:eastAsiaTheme="minorEastAsia"/>
                      <w:color w:val="auto"/>
                      <w:sz w:val="21"/>
                      <w:szCs w:val="21"/>
                    </w:rPr>
                    <w:t>排放口</w:t>
                  </w:r>
                </w:p>
                <w:p>
                  <w:pPr>
                    <w:pStyle w:val="19"/>
                    <w:shd w:val="clear" w:color="auto" w:fill="auto"/>
                    <w:snapToGrid w:val="0"/>
                    <w:spacing w:after="0" w:line="240" w:lineRule="exact"/>
                    <w:rPr>
                      <w:rFonts w:ascii="Times New Roman" w:hAnsi="Times New Roman" w:cs="Times New Roman" w:eastAsiaTheme="minorEastAsia"/>
                      <w:sz w:val="21"/>
                      <w:szCs w:val="21"/>
                    </w:rPr>
                  </w:pPr>
                  <w:r>
                    <w:rPr>
                      <w:rStyle w:val="20"/>
                      <w:rFonts w:ascii="Times New Roman" w:hAnsi="Times New Roman" w:cs="Times New Roman" w:eastAsiaTheme="minorEastAsia"/>
                      <w:color w:val="auto"/>
                      <w:sz w:val="21"/>
                      <w:szCs w:val="21"/>
                    </w:rPr>
                    <w:t>编号</w:t>
                  </w:r>
                </w:p>
              </w:tc>
              <w:tc>
                <w:tcPr>
                  <w:tcW w:w="1547" w:type="dxa"/>
                  <w:gridSpan w:val="2"/>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r>
                    <w:rPr>
                      <w:rStyle w:val="20"/>
                      <w:rFonts w:ascii="Times New Roman" w:hAnsi="Times New Roman" w:cs="Times New Roman" w:eastAsiaTheme="minorEastAsia"/>
                      <w:color w:val="auto"/>
                      <w:sz w:val="21"/>
                      <w:szCs w:val="21"/>
                    </w:rPr>
                    <w:t>排放口地理坐标</w:t>
                  </w:r>
                </w:p>
              </w:tc>
              <w:tc>
                <w:tcPr>
                  <w:tcW w:w="836" w:type="dxa"/>
                  <w:vMerge w:val="restart"/>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r>
                    <w:rPr>
                      <w:rStyle w:val="20"/>
                      <w:rFonts w:ascii="Times New Roman" w:hAnsi="Times New Roman" w:cs="Times New Roman" w:eastAsiaTheme="minorEastAsia"/>
                      <w:color w:val="auto"/>
                      <w:sz w:val="21"/>
                      <w:szCs w:val="21"/>
                      <w:shd w:val="clear" w:color="auto" w:fill="auto"/>
                    </w:rPr>
                    <w:t>废水排放量</w:t>
                  </w:r>
                  <w:r>
                    <w:rPr>
                      <w:rStyle w:val="22"/>
                      <w:rFonts w:ascii="Times New Roman" w:hAnsi="Times New Roman" w:cs="Times New Roman" w:eastAsiaTheme="minorEastAsia"/>
                      <w:color w:val="auto"/>
                      <w:sz w:val="21"/>
                      <w:szCs w:val="21"/>
                      <w:shd w:val="clear" w:color="auto" w:fill="auto"/>
                      <w:lang w:val="zh-TW"/>
                    </w:rPr>
                    <w:t>/</w:t>
                  </w:r>
                </w:p>
                <w:p>
                  <w:pPr>
                    <w:pStyle w:val="19"/>
                    <w:snapToGrid w:val="0"/>
                    <w:spacing w:after="0" w:line="240" w:lineRule="exact"/>
                    <w:rPr>
                      <w:rFonts w:ascii="Times New Roman" w:hAnsi="Times New Roman" w:cs="Times New Roman" w:eastAsiaTheme="minorEastAsia"/>
                      <w:sz w:val="21"/>
                      <w:szCs w:val="21"/>
                    </w:rPr>
                  </w:pPr>
                  <w:r>
                    <w:rPr>
                      <w:rStyle w:val="20"/>
                      <w:rFonts w:ascii="Times New Roman" w:hAnsi="Times New Roman" w:cs="Times New Roman" w:eastAsiaTheme="minorEastAsia"/>
                      <w:color w:val="auto"/>
                      <w:sz w:val="21"/>
                      <w:szCs w:val="21"/>
                      <w:shd w:val="clear" w:color="auto" w:fill="auto"/>
                    </w:rPr>
                    <w:t>(</w:t>
                  </w:r>
                  <w:r>
                    <w:rPr>
                      <w:rStyle w:val="22"/>
                      <w:rFonts w:ascii="Times New Roman" w:hAnsi="Times New Roman" w:cs="Times New Roman" w:eastAsiaTheme="minorEastAsia"/>
                      <w:color w:val="auto"/>
                      <w:sz w:val="21"/>
                      <w:szCs w:val="21"/>
                      <w:shd w:val="clear" w:color="auto" w:fill="auto"/>
                    </w:rPr>
                    <w:t>t/a)</w:t>
                  </w:r>
                </w:p>
              </w:tc>
              <w:tc>
                <w:tcPr>
                  <w:tcW w:w="903" w:type="dxa"/>
                  <w:vMerge w:val="restart"/>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r>
                    <w:rPr>
                      <w:rStyle w:val="20"/>
                      <w:rFonts w:ascii="Times New Roman" w:hAnsi="Times New Roman" w:cs="Times New Roman" w:eastAsiaTheme="minorEastAsia"/>
                      <w:color w:val="auto"/>
                      <w:sz w:val="21"/>
                      <w:szCs w:val="21"/>
                      <w:shd w:val="clear" w:color="auto" w:fill="auto"/>
                    </w:rPr>
                    <w:t>排放</w:t>
                  </w:r>
                </w:p>
                <w:p>
                  <w:pPr>
                    <w:pStyle w:val="19"/>
                    <w:snapToGrid w:val="0"/>
                    <w:spacing w:after="0" w:line="240" w:lineRule="exact"/>
                    <w:rPr>
                      <w:rFonts w:ascii="Times New Roman" w:hAnsi="Times New Roman" w:cs="Times New Roman" w:eastAsiaTheme="minorEastAsia"/>
                      <w:sz w:val="21"/>
                      <w:szCs w:val="21"/>
                    </w:rPr>
                  </w:pPr>
                  <w:r>
                    <w:rPr>
                      <w:rStyle w:val="20"/>
                      <w:rFonts w:ascii="Times New Roman" w:hAnsi="Times New Roman" w:cs="Times New Roman" w:eastAsiaTheme="minorEastAsia"/>
                      <w:color w:val="auto"/>
                      <w:sz w:val="21"/>
                      <w:szCs w:val="21"/>
                      <w:shd w:val="clear" w:color="auto" w:fill="auto"/>
                    </w:rPr>
                    <w:t>去向</w:t>
                  </w:r>
                </w:p>
              </w:tc>
              <w:tc>
                <w:tcPr>
                  <w:tcW w:w="585" w:type="dxa"/>
                  <w:vMerge w:val="restart"/>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r>
                    <w:rPr>
                      <w:rStyle w:val="20"/>
                      <w:rFonts w:ascii="Times New Roman" w:hAnsi="Times New Roman" w:cs="Times New Roman" w:eastAsiaTheme="minorEastAsia"/>
                      <w:color w:val="auto"/>
                      <w:sz w:val="21"/>
                      <w:szCs w:val="21"/>
                      <w:shd w:val="clear" w:color="auto" w:fill="auto"/>
                    </w:rPr>
                    <w:t>排放</w:t>
                  </w:r>
                </w:p>
                <w:p>
                  <w:pPr>
                    <w:pStyle w:val="19"/>
                    <w:snapToGrid w:val="0"/>
                    <w:spacing w:after="0" w:line="240" w:lineRule="exact"/>
                    <w:rPr>
                      <w:rFonts w:ascii="Times New Roman" w:hAnsi="Times New Roman" w:cs="Times New Roman" w:eastAsiaTheme="minorEastAsia"/>
                      <w:sz w:val="21"/>
                      <w:szCs w:val="21"/>
                    </w:rPr>
                  </w:pPr>
                  <w:r>
                    <w:rPr>
                      <w:rStyle w:val="20"/>
                      <w:rFonts w:ascii="Times New Roman" w:hAnsi="Times New Roman" w:cs="Times New Roman" w:eastAsiaTheme="minorEastAsia"/>
                      <w:color w:val="auto"/>
                      <w:sz w:val="21"/>
                      <w:szCs w:val="21"/>
                      <w:shd w:val="clear" w:color="auto" w:fill="auto"/>
                    </w:rPr>
                    <w:t>规律</w:t>
                  </w:r>
                </w:p>
              </w:tc>
              <w:tc>
                <w:tcPr>
                  <w:tcW w:w="480" w:type="dxa"/>
                  <w:vMerge w:val="restart"/>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r>
                    <w:rPr>
                      <w:rStyle w:val="20"/>
                      <w:rFonts w:ascii="Times New Roman" w:hAnsi="Times New Roman" w:cs="Times New Roman" w:eastAsiaTheme="minorEastAsia"/>
                      <w:color w:val="auto"/>
                      <w:sz w:val="21"/>
                      <w:szCs w:val="21"/>
                    </w:rPr>
                    <w:t>间歇排放时段</w:t>
                  </w:r>
                </w:p>
              </w:tc>
              <w:tc>
                <w:tcPr>
                  <w:tcW w:w="3747" w:type="dxa"/>
                  <w:gridSpan w:val="3"/>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r>
                    <w:rPr>
                      <w:rFonts w:ascii="Times New Roman" w:hAnsi="Times New Roman" w:cs="Times New Roman" w:eastAsiaTheme="minorEastAsia"/>
                      <w:sz w:val="21"/>
                      <w:szCs w:val="21"/>
                    </w:rPr>
                    <w:t>受纳污水处理厂信息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trPr>
              <w:tc>
                <w:tcPr>
                  <w:tcW w:w="722" w:type="dxa"/>
                  <w:vMerge w:val="continue"/>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p>
              </w:tc>
              <w:tc>
                <w:tcPr>
                  <w:tcW w:w="767" w:type="dxa"/>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r>
                    <w:rPr>
                      <w:rStyle w:val="20"/>
                      <w:rFonts w:ascii="Times New Roman" w:hAnsi="Times New Roman" w:cs="Times New Roman" w:eastAsiaTheme="minorEastAsia"/>
                      <w:color w:val="auto"/>
                      <w:sz w:val="21"/>
                      <w:szCs w:val="21"/>
                    </w:rPr>
                    <w:t>经度</w:t>
                  </w:r>
                </w:p>
              </w:tc>
              <w:tc>
                <w:tcPr>
                  <w:tcW w:w="780" w:type="dxa"/>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r>
                    <w:rPr>
                      <w:rStyle w:val="20"/>
                      <w:rFonts w:ascii="Times New Roman" w:hAnsi="Times New Roman" w:cs="Times New Roman" w:eastAsiaTheme="minorEastAsia"/>
                      <w:color w:val="auto"/>
                      <w:sz w:val="21"/>
                      <w:szCs w:val="21"/>
                    </w:rPr>
                    <w:t>纬度</w:t>
                  </w:r>
                </w:p>
              </w:tc>
              <w:tc>
                <w:tcPr>
                  <w:tcW w:w="836" w:type="dxa"/>
                  <w:vMerge w:val="continue"/>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p>
              </w:tc>
              <w:tc>
                <w:tcPr>
                  <w:tcW w:w="903" w:type="dxa"/>
                  <w:vMerge w:val="continue"/>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p>
              </w:tc>
              <w:tc>
                <w:tcPr>
                  <w:tcW w:w="585" w:type="dxa"/>
                  <w:vMerge w:val="continue"/>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p>
              </w:tc>
              <w:tc>
                <w:tcPr>
                  <w:tcW w:w="480" w:type="dxa"/>
                  <w:vMerge w:val="continue"/>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p>
              </w:tc>
              <w:tc>
                <w:tcPr>
                  <w:tcW w:w="840" w:type="dxa"/>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r>
                    <w:rPr>
                      <w:rStyle w:val="20"/>
                      <w:rFonts w:ascii="Times New Roman" w:hAnsi="Times New Roman" w:cs="Times New Roman" w:eastAsiaTheme="minorEastAsia"/>
                      <w:color w:val="auto"/>
                      <w:sz w:val="21"/>
                      <w:szCs w:val="21"/>
                    </w:rPr>
                    <w:t>名称</w:t>
                  </w:r>
                </w:p>
              </w:tc>
              <w:tc>
                <w:tcPr>
                  <w:tcW w:w="770" w:type="dxa"/>
                  <w:tcBorders>
                    <w:tl2br w:val="nil"/>
                    <w:tr2bl w:val="nil"/>
                  </w:tcBorders>
                  <w:shd w:val="clear" w:color="auto" w:fill="auto"/>
                  <w:vAlign w:val="center"/>
                </w:tcPr>
                <w:p>
                  <w:pPr>
                    <w:pStyle w:val="19"/>
                    <w:shd w:val="clear" w:color="auto" w:fill="auto"/>
                    <w:snapToGrid w:val="0"/>
                    <w:spacing w:after="0" w:line="240" w:lineRule="exact"/>
                    <w:rPr>
                      <w:rStyle w:val="20"/>
                      <w:rFonts w:ascii="Times New Roman" w:hAnsi="Times New Roman" w:cs="Times New Roman" w:eastAsiaTheme="minorEastAsia"/>
                      <w:color w:val="auto"/>
                      <w:sz w:val="21"/>
                      <w:szCs w:val="21"/>
                    </w:rPr>
                  </w:pPr>
                  <w:r>
                    <w:rPr>
                      <w:rStyle w:val="20"/>
                      <w:rFonts w:ascii="Times New Roman" w:hAnsi="Times New Roman" w:cs="Times New Roman" w:eastAsiaTheme="minorEastAsia"/>
                      <w:color w:val="auto"/>
                      <w:sz w:val="21"/>
                      <w:szCs w:val="21"/>
                    </w:rPr>
                    <w:t>污染物</w:t>
                  </w:r>
                </w:p>
                <w:p>
                  <w:pPr>
                    <w:pStyle w:val="19"/>
                    <w:shd w:val="clear" w:color="auto" w:fill="auto"/>
                    <w:snapToGrid w:val="0"/>
                    <w:spacing w:after="0" w:line="240" w:lineRule="exact"/>
                    <w:rPr>
                      <w:rFonts w:ascii="Times New Roman" w:hAnsi="Times New Roman" w:cs="Times New Roman" w:eastAsiaTheme="minorEastAsia"/>
                      <w:sz w:val="21"/>
                      <w:szCs w:val="21"/>
                    </w:rPr>
                  </w:pPr>
                  <w:r>
                    <w:rPr>
                      <w:rStyle w:val="20"/>
                      <w:rFonts w:ascii="Times New Roman" w:hAnsi="Times New Roman" w:cs="Times New Roman" w:eastAsiaTheme="minorEastAsia"/>
                      <w:color w:val="auto"/>
                      <w:sz w:val="21"/>
                      <w:szCs w:val="21"/>
                    </w:rPr>
                    <w:t>种类</w:t>
                  </w:r>
                </w:p>
              </w:tc>
              <w:tc>
                <w:tcPr>
                  <w:tcW w:w="2137" w:type="dxa"/>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r>
                    <w:rPr>
                      <w:rFonts w:ascii="Times New Roman" w:hAnsi="Times New Roman" w:cs="Times New Roman" w:eastAsiaTheme="minorEastAsia"/>
                      <w:sz w:val="21"/>
                      <w:szCs w:val="21"/>
                    </w:rPr>
                    <w:t>国家或地方污染物排放标准浓度限值/（mg/L）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trPr>
              <w:tc>
                <w:tcPr>
                  <w:tcW w:w="722" w:type="dxa"/>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eastAsiaTheme="minorEastAsia"/>
                      <w:sz w:val="21"/>
                      <w:szCs w:val="21"/>
                    </w:rPr>
                  </w:pPr>
                  <w:r>
                    <w:rPr>
                      <w:rFonts w:ascii="Times New Roman" w:hAnsi="Times New Roman" w:cs="Times New Roman" w:eastAsiaTheme="minorEastAsia"/>
                      <w:sz w:val="21"/>
                      <w:szCs w:val="21"/>
                    </w:rPr>
                    <w:t>DW001</w:t>
                  </w:r>
                </w:p>
              </w:tc>
              <w:tc>
                <w:tcPr>
                  <w:tcW w:w="767" w:type="dxa"/>
                  <w:tcBorders>
                    <w:tl2br w:val="nil"/>
                    <w:tr2bl w:val="nil"/>
                  </w:tcBorders>
                  <w:shd w:val="clear" w:color="auto" w:fill="auto"/>
                  <w:vAlign w:val="center"/>
                </w:tcPr>
                <w:p>
                  <w:pPr>
                    <w:pStyle w:val="19"/>
                    <w:shd w:val="clear" w:color="auto" w:fill="auto"/>
                    <w:snapToGrid w:val="0"/>
                    <w:spacing w:after="0" w:line="240" w:lineRule="exact"/>
                    <w:rPr>
                      <w:rStyle w:val="20"/>
                      <w:rFonts w:hint="default" w:ascii="Times New Roman" w:hAnsi="Times New Roman" w:cs="Times New Roman" w:eastAsiaTheme="minorEastAsia"/>
                      <w:color w:val="auto"/>
                      <w:sz w:val="21"/>
                      <w:szCs w:val="21"/>
                      <w:lang w:val="en-US" w:eastAsia="zh-CN"/>
                    </w:rPr>
                  </w:pPr>
                  <w:r>
                    <w:rPr>
                      <w:rStyle w:val="20"/>
                      <w:rFonts w:hint="eastAsia" w:ascii="Times New Roman" w:hAnsi="Times New Roman" w:cs="Times New Roman" w:eastAsiaTheme="minorEastAsia"/>
                      <w:color w:val="auto"/>
                      <w:sz w:val="21"/>
                      <w:szCs w:val="21"/>
                      <w:lang w:val="en-US" w:eastAsia="zh-CN"/>
                    </w:rPr>
                    <w:t>112.493836</w:t>
                  </w:r>
                </w:p>
              </w:tc>
              <w:tc>
                <w:tcPr>
                  <w:tcW w:w="780" w:type="dxa"/>
                  <w:tcBorders>
                    <w:tl2br w:val="nil"/>
                    <w:tr2bl w:val="nil"/>
                  </w:tcBorders>
                  <w:shd w:val="clear" w:color="auto" w:fill="auto"/>
                  <w:vAlign w:val="center"/>
                </w:tcPr>
                <w:p>
                  <w:pPr>
                    <w:pStyle w:val="19"/>
                    <w:shd w:val="clear" w:color="auto" w:fill="auto"/>
                    <w:snapToGrid w:val="0"/>
                    <w:spacing w:after="0" w:line="240" w:lineRule="exact"/>
                    <w:rPr>
                      <w:rStyle w:val="20"/>
                      <w:rFonts w:hint="default" w:ascii="Times New Roman" w:hAnsi="Times New Roman" w:cs="Times New Roman" w:eastAsiaTheme="minorEastAsia"/>
                      <w:color w:val="auto"/>
                      <w:sz w:val="21"/>
                      <w:szCs w:val="21"/>
                      <w:lang w:val="en-US" w:eastAsia="zh-CN"/>
                    </w:rPr>
                  </w:pPr>
                  <w:r>
                    <w:rPr>
                      <w:rStyle w:val="20"/>
                      <w:rFonts w:hint="eastAsia" w:ascii="Times New Roman" w:hAnsi="Times New Roman" w:cs="Times New Roman" w:eastAsiaTheme="minorEastAsia"/>
                      <w:color w:val="auto"/>
                      <w:sz w:val="21"/>
                      <w:szCs w:val="21"/>
                      <w:lang w:val="en-US" w:eastAsia="zh-CN"/>
                    </w:rPr>
                    <w:t>35.106251</w:t>
                  </w:r>
                </w:p>
              </w:tc>
              <w:tc>
                <w:tcPr>
                  <w:tcW w:w="836" w:type="dxa"/>
                  <w:tcBorders>
                    <w:tl2br w:val="nil"/>
                    <w:tr2bl w:val="nil"/>
                  </w:tcBorders>
                  <w:shd w:val="clear" w:color="auto" w:fill="auto"/>
                  <w:vAlign w:val="center"/>
                </w:tcPr>
                <w:p>
                  <w:pPr>
                    <w:pStyle w:val="19"/>
                    <w:shd w:val="clear" w:color="auto" w:fill="auto"/>
                    <w:snapToGrid w:val="0"/>
                    <w:spacing w:after="0" w:line="240" w:lineRule="exac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1416.5</w:t>
                  </w:r>
                </w:p>
              </w:tc>
              <w:tc>
                <w:tcPr>
                  <w:tcW w:w="903" w:type="dxa"/>
                  <w:tcBorders>
                    <w:tl2br w:val="nil"/>
                    <w:tr2bl w:val="nil"/>
                  </w:tcBorders>
                  <w:shd w:val="clear" w:color="auto" w:fill="auto"/>
                  <w:vAlign w:val="center"/>
                </w:tcPr>
                <w:p>
                  <w:pPr>
                    <w:pStyle w:val="19"/>
                    <w:shd w:val="clear" w:color="auto" w:fill="auto"/>
                    <w:snapToGrid w:val="0"/>
                    <w:spacing w:after="0" w:line="240" w:lineRule="exact"/>
                    <w:rPr>
                      <w:rStyle w:val="20"/>
                      <w:rFonts w:hint="eastAsia" w:ascii="Times New Roman" w:hAnsi="Times New Roman" w:cs="Times New Roman" w:eastAsiaTheme="minorEastAsia"/>
                      <w:color w:val="auto"/>
                      <w:sz w:val="21"/>
                      <w:szCs w:val="21"/>
                      <w:lang w:val="en-US" w:eastAsia="zh-CN"/>
                    </w:rPr>
                  </w:pPr>
                  <w:r>
                    <w:rPr>
                      <w:rStyle w:val="20"/>
                      <w:rFonts w:hint="eastAsia" w:ascii="Times New Roman" w:hAnsi="Times New Roman" w:cs="Times New Roman" w:eastAsiaTheme="minorEastAsia"/>
                      <w:color w:val="auto"/>
                      <w:sz w:val="21"/>
                      <w:szCs w:val="21"/>
                      <w:lang w:val="en-US" w:eastAsia="zh-CN"/>
                    </w:rPr>
                    <w:t>涧南庄村污水处理站</w:t>
                  </w:r>
                </w:p>
              </w:tc>
              <w:tc>
                <w:tcPr>
                  <w:tcW w:w="585" w:type="dxa"/>
                  <w:tcBorders>
                    <w:tl2br w:val="nil"/>
                    <w:tr2bl w:val="nil"/>
                  </w:tcBorders>
                  <w:shd w:val="clear" w:color="auto" w:fill="auto"/>
                  <w:vAlign w:val="center"/>
                </w:tcPr>
                <w:p>
                  <w:pPr>
                    <w:pStyle w:val="19"/>
                    <w:shd w:val="clear" w:color="auto" w:fill="auto"/>
                    <w:snapToGrid w:val="0"/>
                    <w:spacing w:after="0" w:line="240" w:lineRule="exact"/>
                    <w:rPr>
                      <w:rStyle w:val="20"/>
                      <w:rFonts w:ascii="Times New Roman" w:hAnsi="Times New Roman" w:cs="Times New Roman" w:eastAsiaTheme="minorEastAsia"/>
                      <w:color w:val="auto"/>
                      <w:sz w:val="21"/>
                      <w:szCs w:val="21"/>
                    </w:rPr>
                  </w:pPr>
                  <w:r>
                    <w:rPr>
                      <w:rStyle w:val="20"/>
                      <w:rFonts w:ascii="Times New Roman" w:hAnsi="Times New Roman" w:cs="Times New Roman" w:eastAsiaTheme="minorEastAsia"/>
                      <w:color w:val="auto"/>
                      <w:sz w:val="21"/>
                      <w:szCs w:val="21"/>
                    </w:rPr>
                    <w:t>连续稳定排放</w:t>
                  </w:r>
                </w:p>
              </w:tc>
              <w:tc>
                <w:tcPr>
                  <w:tcW w:w="480" w:type="dxa"/>
                  <w:tcBorders>
                    <w:tl2br w:val="nil"/>
                    <w:tr2bl w:val="nil"/>
                  </w:tcBorders>
                  <w:shd w:val="clear" w:color="auto" w:fill="auto"/>
                  <w:vAlign w:val="center"/>
                </w:tcPr>
                <w:p>
                  <w:pPr>
                    <w:pStyle w:val="19"/>
                    <w:shd w:val="clear" w:color="auto" w:fill="auto"/>
                    <w:snapToGrid w:val="0"/>
                    <w:spacing w:after="0" w:line="240" w:lineRule="exact"/>
                    <w:rPr>
                      <w:rStyle w:val="20"/>
                      <w:rFonts w:ascii="Times New Roman" w:hAnsi="Times New Roman" w:cs="Times New Roman" w:eastAsiaTheme="minorEastAsia"/>
                      <w:color w:val="auto"/>
                      <w:sz w:val="21"/>
                      <w:szCs w:val="21"/>
                    </w:rPr>
                  </w:pPr>
                  <w:r>
                    <w:rPr>
                      <w:rStyle w:val="20"/>
                      <w:rFonts w:ascii="Times New Roman" w:hAnsi="Times New Roman" w:cs="Times New Roman" w:eastAsiaTheme="minorEastAsia"/>
                      <w:color w:val="auto"/>
                      <w:sz w:val="21"/>
                      <w:szCs w:val="21"/>
                    </w:rPr>
                    <w:t>/</w:t>
                  </w:r>
                </w:p>
              </w:tc>
              <w:tc>
                <w:tcPr>
                  <w:tcW w:w="840" w:type="dxa"/>
                  <w:tcBorders>
                    <w:tl2br w:val="nil"/>
                    <w:tr2bl w:val="nil"/>
                  </w:tcBorders>
                  <w:shd w:val="clear" w:color="auto" w:fill="auto"/>
                  <w:vAlign w:val="center"/>
                </w:tcPr>
                <w:p>
                  <w:pPr>
                    <w:pStyle w:val="19"/>
                    <w:shd w:val="clear" w:color="auto" w:fill="auto"/>
                    <w:snapToGrid w:val="0"/>
                    <w:spacing w:after="0" w:line="240" w:lineRule="exact"/>
                    <w:rPr>
                      <w:rStyle w:val="20"/>
                      <w:rFonts w:hint="eastAsia" w:ascii="Times New Roman" w:hAnsi="Times New Roman" w:cs="Times New Roman" w:eastAsiaTheme="minorEastAsia"/>
                      <w:color w:val="auto"/>
                      <w:sz w:val="21"/>
                      <w:szCs w:val="21"/>
                      <w:lang w:val="en-US" w:eastAsia="zh-CN"/>
                    </w:rPr>
                  </w:pPr>
                  <w:r>
                    <w:rPr>
                      <w:rStyle w:val="20"/>
                      <w:rFonts w:hint="eastAsia" w:ascii="Times New Roman" w:hAnsi="Times New Roman" w:cs="Times New Roman" w:eastAsiaTheme="minorEastAsia"/>
                      <w:color w:val="auto"/>
                      <w:sz w:val="21"/>
                      <w:szCs w:val="21"/>
                      <w:lang w:val="en-US" w:eastAsia="zh-CN"/>
                    </w:rPr>
                    <w:t>涧南庄村污水处理站</w:t>
                  </w:r>
                </w:p>
              </w:tc>
              <w:tc>
                <w:tcPr>
                  <w:tcW w:w="770" w:type="dxa"/>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sz w:val="21"/>
                      <w:szCs w:val="21"/>
                    </w:rPr>
                  </w:pPr>
                  <w:r>
                    <w:rPr>
                      <w:rFonts w:ascii="Times New Roman" w:hAnsi="Times New Roman" w:cs="Times New Roman"/>
                      <w:sz w:val="21"/>
                      <w:szCs w:val="21"/>
                    </w:rPr>
                    <w:t>COD</w:t>
                  </w:r>
                </w:p>
                <w:p>
                  <w:pPr>
                    <w:pStyle w:val="19"/>
                    <w:shd w:val="clear" w:color="auto" w:fill="auto"/>
                    <w:snapToGrid w:val="0"/>
                    <w:spacing w:after="0" w:line="240" w:lineRule="exact"/>
                    <w:rPr>
                      <w:rFonts w:hint="eastAsia" w:ascii="宋体" w:hAnsi="宋体" w:eastAsia="宋体" w:cs="宋体"/>
                      <w:sz w:val="21"/>
                      <w:szCs w:val="21"/>
                    </w:rPr>
                  </w:pPr>
                  <w:r>
                    <w:rPr>
                      <w:rFonts w:hint="eastAsia" w:ascii="宋体" w:hAnsi="宋体" w:eastAsia="宋体" w:cs="宋体"/>
                      <w:sz w:val="21"/>
                      <w:szCs w:val="21"/>
                    </w:rPr>
                    <w:t>氨氮</w:t>
                  </w:r>
                </w:p>
                <w:p>
                  <w:pPr>
                    <w:pStyle w:val="19"/>
                    <w:shd w:val="clear" w:color="auto" w:fill="auto"/>
                    <w:snapToGrid w:val="0"/>
                    <w:spacing w:after="0" w:line="240" w:lineRule="exact"/>
                    <w:rPr>
                      <w:rFonts w:hint="eastAsia" w:ascii="宋体" w:hAnsi="宋体" w:eastAsia="宋体" w:cs="宋体"/>
                      <w:sz w:val="21"/>
                      <w:szCs w:val="21"/>
                    </w:rPr>
                  </w:pPr>
                  <w:r>
                    <w:rPr>
                      <w:rFonts w:hint="eastAsia" w:ascii="宋体" w:hAnsi="宋体" w:eastAsia="宋体" w:cs="宋体"/>
                      <w:sz w:val="21"/>
                      <w:szCs w:val="21"/>
                    </w:rPr>
                    <w:t>总磷</w:t>
                  </w:r>
                </w:p>
                <w:p>
                  <w:pPr>
                    <w:pStyle w:val="19"/>
                    <w:shd w:val="clear" w:color="auto" w:fill="auto"/>
                    <w:snapToGrid w:val="0"/>
                    <w:spacing w:after="0" w:line="240" w:lineRule="exact"/>
                    <w:rPr>
                      <w:rFonts w:hint="eastAsia" w:ascii="宋体" w:hAnsi="宋体" w:eastAsia="宋体" w:cs="宋体"/>
                      <w:sz w:val="21"/>
                      <w:szCs w:val="21"/>
                      <w:lang w:eastAsia="zh-CN"/>
                    </w:rPr>
                  </w:pPr>
                  <w:r>
                    <w:rPr>
                      <w:rFonts w:hint="eastAsia" w:ascii="宋体" w:hAnsi="宋体" w:eastAsia="宋体" w:cs="宋体"/>
                      <w:sz w:val="21"/>
                      <w:szCs w:val="21"/>
                    </w:rPr>
                    <w:t>总氮</w:t>
                  </w:r>
                </w:p>
                <w:p>
                  <w:pPr>
                    <w:pStyle w:val="19"/>
                    <w:shd w:val="clear" w:color="auto" w:fill="auto"/>
                    <w:snapToGrid w:val="0"/>
                    <w:spacing w:after="0" w:line="240" w:lineRule="exact"/>
                    <w:rPr>
                      <w:rStyle w:val="20"/>
                      <w:rFonts w:hint="eastAsia" w:ascii="Times New Roman" w:hAnsi="Times New Roman" w:eastAsia="宋体" w:cs="Times New Roman"/>
                      <w:color w:val="auto"/>
                      <w:sz w:val="21"/>
                      <w:szCs w:val="21"/>
                      <w:lang w:val="en-US" w:eastAsia="zh-CN"/>
                    </w:rPr>
                  </w:pPr>
                  <w:r>
                    <w:rPr>
                      <w:rFonts w:hint="eastAsia" w:ascii="宋体" w:hAnsi="宋体" w:eastAsia="宋体" w:cs="宋体"/>
                      <w:sz w:val="21"/>
                      <w:szCs w:val="21"/>
                      <w:lang w:eastAsia="zh-CN"/>
                    </w:rPr>
                    <w:t>石油类</w:t>
                  </w:r>
                </w:p>
              </w:tc>
              <w:tc>
                <w:tcPr>
                  <w:tcW w:w="2137" w:type="dxa"/>
                  <w:tcBorders>
                    <w:tl2br w:val="nil"/>
                    <w:tr2bl w:val="nil"/>
                  </w:tcBorders>
                  <w:shd w:val="clear" w:color="auto" w:fill="auto"/>
                  <w:vAlign w:val="center"/>
                </w:tcPr>
                <w:p>
                  <w:pPr>
                    <w:pStyle w:val="19"/>
                    <w:shd w:val="clear" w:color="auto" w:fill="auto"/>
                    <w:snapToGrid w:val="0"/>
                    <w:spacing w:after="0" w:line="240" w:lineRule="exact"/>
                    <w:rPr>
                      <w:rFonts w:ascii="Times New Roman" w:hAnsi="Times New Roman" w:cs="Times New Roman"/>
                      <w:sz w:val="21"/>
                      <w:szCs w:val="21"/>
                    </w:rPr>
                  </w:pPr>
                  <w:r>
                    <w:rPr>
                      <w:rFonts w:ascii="Times New Roman" w:hAnsi="Times New Roman" w:cs="Times New Roman"/>
                      <w:sz w:val="21"/>
                      <w:szCs w:val="21"/>
                    </w:rPr>
                    <w:t>COD</w:t>
                  </w:r>
                  <w:r>
                    <w:rPr>
                      <w:rFonts w:hint="eastAsia" w:ascii="Times New Roman" w:hAnsi="Times New Roman" w:eastAsia="宋体" w:cs="Times New Roman"/>
                      <w:sz w:val="21"/>
                      <w:szCs w:val="21"/>
                    </w:rPr>
                    <w:t xml:space="preserve"> </w:t>
                  </w:r>
                  <w:r>
                    <w:rPr>
                      <w:rFonts w:hint="eastAsia" w:ascii="Times New Roman" w:hAnsi="Times New Roman" w:eastAsia="宋体" w:cs="Times New Roman"/>
                      <w:sz w:val="21"/>
                      <w:szCs w:val="21"/>
                      <w:lang w:val="en-US" w:eastAsia="zh-CN"/>
                    </w:rPr>
                    <w:t>50</w:t>
                  </w:r>
                  <w:r>
                    <w:rPr>
                      <w:rFonts w:ascii="Times New Roman" w:hAnsi="Times New Roman" w:cs="Times New Roman" w:eastAsiaTheme="minorEastAsia"/>
                      <w:sz w:val="21"/>
                      <w:szCs w:val="21"/>
                    </w:rPr>
                    <w:t>mg/L</w:t>
                  </w:r>
                </w:p>
                <w:p>
                  <w:pPr>
                    <w:pStyle w:val="19"/>
                    <w:shd w:val="clear" w:color="auto" w:fill="auto"/>
                    <w:snapToGrid w:val="0"/>
                    <w:spacing w:after="0" w:line="240" w:lineRule="exact"/>
                    <w:rPr>
                      <w:rFonts w:hint="eastAsia" w:ascii="宋体" w:hAnsi="宋体" w:eastAsia="宋体" w:cs="宋体"/>
                      <w:sz w:val="21"/>
                      <w:szCs w:val="21"/>
                    </w:rPr>
                  </w:pPr>
                  <w:r>
                    <w:rPr>
                      <w:rFonts w:hint="eastAsia" w:ascii="宋体" w:hAnsi="宋体" w:eastAsia="宋体" w:cs="宋体"/>
                      <w:sz w:val="21"/>
                      <w:szCs w:val="21"/>
                    </w:rPr>
                    <w:t xml:space="preserve">氨氮 </w:t>
                  </w:r>
                  <w:r>
                    <w:rPr>
                      <w:rFonts w:hint="eastAsia" w:ascii="Times New Roman" w:hAnsi="Times New Roman" w:eastAsia="宋体" w:cs="Times New Roman"/>
                      <w:sz w:val="21"/>
                      <w:szCs w:val="21"/>
                      <w:lang w:val="en-US" w:eastAsia="zh-CN"/>
                    </w:rPr>
                    <w:t>5</w:t>
                  </w:r>
                  <w:r>
                    <w:rPr>
                      <w:rFonts w:hint="default" w:ascii="Times New Roman" w:hAnsi="Times New Roman" w:eastAsia="宋体" w:cs="Times New Roman"/>
                      <w:sz w:val="21"/>
                      <w:szCs w:val="21"/>
                    </w:rPr>
                    <w:t>mg/L</w:t>
                  </w:r>
                </w:p>
                <w:p>
                  <w:pPr>
                    <w:pStyle w:val="19"/>
                    <w:shd w:val="clear" w:color="auto" w:fill="auto"/>
                    <w:snapToGrid w:val="0"/>
                    <w:spacing w:after="0" w:line="240" w:lineRule="exact"/>
                    <w:rPr>
                      <w:rFonts w:hint="eastAsia" w:ascii="宋体" w:hAnsi="宋体" w:eastAsia="宋体" w:cs="宋体"/>
                      <w:sz w:val="21"/>
                      <w:szCs w:val="21"/>
                    </w:rPr>
                  </w:pPr>
                  <w:r>
                    <w:rPr>
                      <w:rFonts w:hint="eastAsia" w:ascii="宋体" w:hAnsi="宋体" w:eastAsia="宋体" w:cs="宋体"/>
                      <w:sz w:val="21"/>
                      <w:szCs w:val="21"/>
                    </w:rPr>
                    <w:t xml:space="preserve">总磷 </w:t>
                  </w:r>
                  <w:r>
                    <w:rPr>
                      <w:rFonts w:hint="eastAsia" w:ascii="Times New Roman" w:hAnsi="Times New Roman" w:eastAsia="宋体" w:cs="Times New Roman"/>
                      <w:sz w:val="21"/>
                      <w:szCs w:val="21"/>
                      <w:lang w:val="en-US" w:eastAsia="zh-CN"/>
                    </w:rPr>
                    <w:t>0.5</w:t>
                  </w:r>
                  <w:r>
                    <w:rPr>
                      <w:rFonts w:hint="default" w:ascii="Times New Roman" w:hAnsi="Times New Roman" w:eastAsia="宋体" w:cs="Times New Roman"/>
                      <w:sz w:val="21"/>
                      <w:szCs w:val="21"/>
                    </w:rPr>
                    <w:t>mg/L</w:t>
                  </w:r>
                </w:p>
                <w:p>
                  <w:pPr>
                    <w:pStyle w:val="19"/>
                    <w:shd w:val="clear" w:color="auto" w:fill="auto"/>
                    <w:snapToGrid w:val="0"/>
                    <w:spacing w:after="0" w:line="240" w:lineRule="exact"/>
                    <w:rPr>
                      <w:rFonts w:hint="eastAsia" w:ascii="Times New Roman" w:hAnsi="Times New Roman" w:cs="Times New Roman" w:eastAsiaTheme="minorEastAsia"/>
                      <w:sz w:val="21"/>
                      <w:szCs w:val="21"/>
                      <w:lang w:eastAsia="zh-CN"/>
                    </w:rPr>
                  </w:pPr>
                  <w:r>
                    <w:rPr>
                      <w:rFonts w:hint="eastAsia" w:ascii="宋体" w:hAnsi="宋体" w:eastAsia="宋体" w:cs="宋体"/>
                      <w:sz w:val="21"/>
                      <w:szCs w:val="21"/>
                    </w:rPr>
                    <w:t>总氮</w:t>
                  </w:r>
                  <w:r>
                    <w:rPr>
                      <w:rFonts w:ascii="Times New Roman" w:hAnsi="Times New Roman" w:cs="Times New Roman"/>
                      <w:sz w:val="21"/>
                      <w:szCs w:val="21"/>
                    </w:rPr>
                    <w:t xml:space="preserve"> 15</w:t>
                  </w:r>
                  <w:r>
                    <w:rPr>
                      <w:rFonts w:ascii="Times New Roman" w:hAnsi="Times New Roman" w:cs="Times New Roman" w:eastAsiaTheme="minorEastAsia"/>
                      <w:sz w:val="21"/>
                      <w:szCs w:val="21"/>
                    </w:rPr>
                    <w:t>mg/L</w:t>
                  </w:r>
                </w:p>
                <w:p>
                  <w:pPr>
                    <w:pStyle w:val="19"/>
                    <w:shd w:val="clear" w:color="auto" w:fill="auto"/>
                    <w:snapToGrid w:val="0"/>
                    <w:spacing w:after="0" w:line="240" w:lineRule="exac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eastAsia="zh-CN"/>
                    </w:rPr>
                    <w:t>石油类</w:t>
                  </w:r>
                  <w:r>
                    <w:rPr>
                      <w:rFonts w:hint="eastAsia" w:ascii="Times New Roman" w:hAnsi="Times New Roman" w:cs="Times New Roman" w:eastAsiaTheme="minorEastAsia"/>
                      <w:sz w:val="21"/>
                      <w:szCs w:val="21"/>
                      <w:lang w:val="en-US" w:eastAsia="zh-CN"/>
                    </w:rPr>
                    <w:t xml:space="preserve"> 1</w:t>
                  </w:r>
                  <w:r>
                    <w:rPr>
                      <w:rFonts w:ascii="Times New Roman" w:hAnsi="Times New Roman" w:cs="Times New Roman" w:eastAsiaTheme="minorEastAsia"/>
                      <w:sz w:val="21"/>
                      <w:szCs w:val="21"/>
                    </w:rPr>
                    <w:t>mg/L</w:t>
                  </w:r>
                </w:p>
              </w:tc>
            </w:tr>
          </w:tbl>
          <w:p>
            <w:pPr>
              <w:spacing w:line="240" w:lineRule="auto"/>
              <w:jc w:val="center"/>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废水污染物排放执行标准表</w:t>
            </w:r>
          </w:p>
          <w:tbl>
            <w:tblPr>
              <w:tblStyle w:val="12"/>
              <w:tblW w:w="8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86"/>
              <w:gridCol w:w="954"/>
              <w:gridCol w:w="862"/>
              <w:gridCol w:w="4030"/>
              <w:gridCol w:w="2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trPr>
              <w:tc>
                <w:tcPr>
                  <w:tcW w:w="786" w:type="dxa"/>
                  <w:vMerge w:val="restart"/>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序号</w:t>
                  </w:r>
                </w:p>
              </w:tc>
              <w:tc>
                <w:tcPr>
                  <w:tcW w:w="954" w:type="dxa"/>
                  <w:vMerge w:val="restart"/>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排放口编号</w:t>
                  </w:r>
                </w:p>
              </w:tc>
              <w:tc>
                <w:tcPr>
                  <w:tcW w:w="862" w:type="dxa"/>
                  <w:vMerge w:val="restart"/>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污染物种类</w:t>
                  </w:r>
                </w:p>
              </w:tc>
              <w:tc>
                <w:tcPr>
                  <w:tcW w:w="6238" w:type="dxa"/>
                  <w:gridSpan w:val="2"/>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国家或地方污染物排放标准及其他按规定商定的排放协议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trPr>
              <w:tc>
                <w:tcPr>
                  <w:tcW w:w="786" w:type="dxa"/>
                  <w:vMerge w:val="continue"/>
                  <w:tcBorders>
                    <w:tl2br w:val="nil"/>
                    <w:tr2bl w:val="nil"/>
                  </w:tcBorders>
                  <w:shd w:val="clear" w:color="auto" w:fill="auto"/>
                  <w:vAlign w:val="center"/>
                </w:tcPr>
                <w:p>
                  <w:pPr>
                    <w:snapToGrid w:val="0"/>
                    <w:jc w:val="center"/>
                    <w:rPr>
                      <w:szCs w:val="21"/>
                    </w:rPr>
                  </w:pPr>
                </w:p>
              </w:tc>
              <w:tc>
                <w:tcPr>
                  <w:tcW w:w="954" w:type="dxa"/>
                  <w:vMerge w:val="continue"/>
                  <w:tcBorders>
                    <w:tl2br w:val="nil"/>
                    <w:tr2bl w:val="nil"/>
                  </w:tcBorders>
                  <w:shd w:val="clear" w:color="auto" w:fill="auto"/>
                  <w:vAlign w:val="center"/>
                </w:tcPr>
                <w:p>
                  <w:pPr>
                    <w:snapToGrid w:val="0"/>
                    <w:jc w:val="center"/>
                    <w:rPr>
                      <w:szCs w:val="21"/>
                    </w:rPr>
                  </w:pPr>
                </w:p>
              </w:tc>
              <w:tc>
                <w:tcPr>
                  <w:tcW w:w="862" w:type="dxa"/>
                  <w:vMerge w:val="continue"/>
                  <w:tcBorders>
                    <w:tl2br w:val="nil"/>
                    <w:tr2bl w:val="nil"/>
                  </w:tcBorders>
                  <w:shd w:val="clear" w:color="auto" w:fill="auto"/>
                  <w:vAlign w:val="center"/>
                </w:tcPr>
                <w:p>
                  <w:pPr>
                    <w:snapToGrid w:val="0"/>
                    <w:jc w:val="center"/>
                    <w:rPr>
                      <w:szCs w:val="21"/>
                    </w:rPr>
                  </w:pPr>
                </w:p>
              </w:tc>
              <w:tc>
                <w:tcPr>
                  <w:tcW w:w="4030" w:type="dxa"/>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名称</w:t>
                  </w:r>
                </w:p>
              </w:tc>
              <w:tc>
                <w:tcPr>
                  <w:tcW w:w="2208" w:type="dxa"/>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浓度限值</w:t>
                  </w:r>
                  <w:r>
                    <w:rPr>
                      <w:rStyle w:val="22"/>
                      <w:rFonts w:ascii="Times New Roman" w:hAnsi="Times New Roman" w:eastAsia="宋体" w:cs="Times New Roman"/>
                      <w:color w:val="auto"/>
                      <w:sz w:val="21"/>
                      <w:szCs w:val="21"/>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trPr>
              <w:tc>
                <w:tcPr>
                  <w:tcW w:w="786" w:type="dxa"/>
                  <w:vMerge w:val="restart"/>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Fonts w:ascii="Times New Roman" w:hAnsi="Times New Roman" w:eastAsia="宋体" w:cs="Times New Roman"/>
                      <w:sz w:val="21"/>
                      <w:szCs w:val="21"/>
                    </w:rPr>
                    <w:t>1</w:t>
                  </w:r>
                </w:p>
              </w:tc>
              <w:tc>
                <w:tcPr>
                  <w:tcW w:w="954" w:type="dxa"/>
                  <w:vMerge w:val="restart"/>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Fonts w:ascii="Times New Roman" w:hAnsi="Times New Roman" w:cs="Times New Roman"/>
                      <w:sz w:val="21"/>
                      <w:szCs w:val="21"/>
                    </w:rPr>
                    <w:t>DW001</w:t>
                  </w:r>
                </w:p>
              </w:tc>
              <w:tc>
                <w:tcPr>
                  <w:tcW w:w="862" w:type="dxa"/>
                  <w:tcBorders>
                    <w:tl2br w:val="nil"/>
                    <w:tr2bl w:val="nil"/>
                  </w:tcBorders>
                  <w:shd w:val="clear" w:color="auto" w:fill="auto"/>
                  <w:vAlign w:val="center"/>
                </w:tcPr>
                <w:p>
                  <w:pPr>
                    <w:snapToGrid w:val="0"/>
                    <w:jc w:val="center"/>
                    <w:rPr>
                      <w:szCs w:val="21"/>
                    </w:rPr>
                  </w:pPr>
                  <w:r>
                    <w:rPr>
                      <w:kern w:val="0"/>
                      <w:szCs w:val="21"/>
                    </w:rPr>
                    <w:t>COD</w:t>
                  </w:r>
                </w:p>
              </w:tc>
              <w:tc>
                <w:tcPr>
                  <w:tcW w:w="4030" w:type="dxa"/>
                  <w:vMerge w:val="restart"/>
                  <w:tcBorders>
                    <w:tl2br w:val="nil"/>
                    <w:tr2bl w:val="nil"/>
                  </w:tcBorders>
                  <w:shd w:val="clear" w:color="auto" w:fill="auto"/>
                  <w:vAlign w:val="center"/>
                </w:tcPr>
                <w:p>
                  <w:pPr>
                    <w:snapToGrid w:val="0"/>
                    <w:jc w:val="center"/>
                    <w:rPr>
                      <w:szCs w:val="21"/>
                    </w:rPr>
                  </w:pPr>
                  <w:r>
                    <w:rPr>
                      <w:rFonts w:hint="eastAsia"/>
                      <w:szCs w:val="21"/>
                    </w:rPr>
                    <w:t>《污水综合排放标准》</w:t>
                  </w:r>
                </w:p>
                <w:p>
                  <w:pPr>
                    <w:snapToGrid w:val="0"/>
                    <w:jc w:val="center"/>
                    <w:rPr>
                      <w:szCs w:val="21"/>
                    </w:rPr>
                  </w:pPr>
                  <w:r>
                    <w:rPr>
                      <w:rFonts w:hint="eastAsia"/>
                      <w:szCs w:val="21"/>
                    </w:rPr>
                    <w:t>（GB8978-1996）表4三级</w:t>
                  </w:r>
                  <w:r>
                    <w:rPr>
                      <w:szCs w:val="21"/>
                    </w:rPr>
                    <w:t>、</w:t>
                  </w:r>
                </w:p>
              </w:tc>
              <w:tc>
                <w:tcPr>
                  <w:tcW w:w="2208" w:type="dxa"/>
                  <w:tcBorders>
                    <w:tl2br w:val="nil"/>
                    <w:tr2bl w:val="nil"/>
                  </w:tcBorders>
                  <w:shd w:val="clear" w:color="auto" w:fill="auto"/>
                  <w:vAlign w:val="center"/>
                </w:tcPr>
                <w:p>
                  <w:pPr>
                    <w:snapToGrid w:val="0"/>
                    <w:jc w:val="center"/>
                    <w:rPr>
                      <w:rFonts w:hint="default" w:eastAsia="宋体"/>
                      <w:szCs w:val="21"/>
                      <w:lang w:val="en-US" w:eastAsia="zh-CN"/>
                    </w:rPr>
                  </w:pPr>
                  <w:r>
                    <w:rPr>
                      <w:rFonts w:hint="eastAsia"/>
                      <w:szCs w:val="21"/>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trPr>
              <w:tc>
                <w:tcPr>
                  <w:tcW w:w="786" w:type="dxa"/>
                  <w:vMerge w:val="continue"/>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p>
              </w:tc>
              <w:tc>
                <w:tcPr>
                  <w:tcW w:w="954" w:type="dxa"/>
                  <w:vMerge w:val="continue"/>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cs="Times New Roman"/>
                      <w:sz w:val="21"/>
                      <w:szCs w:val="21"/>
                    </w:rPr>
                  </w:pPr>
                </w:p>
              </w:tc>
              <w:tc>
                <w:tcPr>
                  <w:tcW w:w="862" w:type="dxa"/>
                  <w:tcBorders>
                    <w:tl2br w:val="nil"/>
                    <w:tr2bl w:val="nil"/>
                  </w:tcBorders>
                  <w:shd w:val="clear" w:color="auto" w:fill="auto"/>
                  <w:vAlign w:val="center"/>
                </w:tcPr>
                <w:p>
                  <w:pPr>
                    <w:snapToGrid w:val="0"/>
                    <w:jc w:val="center"/>
                    <w:rPr>
                      <w:kern w:val="0"/>
                      <w:szCs w:val="21"/>
                    </w:rPr>
                  </w:pPr>
                  <w:r>
                    <w:rPr>
                      <w:kern w:val="0"/>
                      <w:szCs w:val="21"/>
                    </w:rPr>
                    <w:t>NH</w:t>
                  </w:r>
                  <w:r>
                    <w:rPr>
                      <w:kern w:val="0"/>
                      <w:szCs w:val="21"/>
                      <w:vertAlign w:val="subscript"/>
                    </w:rPr>
                    <w:t>3</w:t>
                  </w:r>
                  <w:r>
                    <w:rPr>
                      <w:kern w:val="0"/>
                      <w:szCs w:val="21"/>
                    </w:rPr>
                    <w:t>-N</w:t>
                  </w:r>
                </w:p>
              </w:tc>
              <w:tc>
                <w:tcPr>
                  <w:tcW w:w="4030" w:type="dxa"/>
                  <w:vMerge w:val="continue"/>
                  <w:tcBorders>
                    <w:tl2br w:val="nil"/>
                    <w:tr2bl w:val="nil"/>
                  </w:tcBorders>
                  <w:shd w:val="clear" w:color="auto" w:fill="auto"/>
                  <w:vAlign w:val="center"/>
                </w:tcPr>
                <w:p>
                  <w:pPr>
                    <w:snapToGrid w:val="0"/>
                    <w:jc w:val="center"/>
                    <w:rPr>
                      <w:szCs w:val="21"/>
                    </w:rPr>
                  </w:pPr>
                </w:p>
              </w:tc>
              <w:tc>
                <w:tcPr>
                  <w:tcW w:w="2208" w:type="dxa"/>
                  <w:tcBorders>
                    <w:tl2br w:val="nil"/>
                    <w:tr2bl w:val="nil"/>
                  </w:tcBorders>
                  <w:shd w:val="clear" w:color="auto" w:fill="auto"/>
                  <w:vAlign w:val="center"/>
                </w:tcPr>
                <w:p>
                  <w:pPr>
                    <w:snapToGrid w:val="0"/>
                    <w:jc w:val="center"/>
                    <w:rPr>
                      <w:rFonts w:hint="eastAsia" w:eastAsia="宋体"/>
                      <w:kern w:val="0"/>
                      <w:szCs w:val="21"/>
                      <w:lang w:val="en-US" w:eastAsia="zh-CN"/>
                    </w:rPr>
                  </w:pPr>
                  <w:r>
                    <w:rPr>
                      <w:rFonts w:hint="eastAsia"/>
                      <w:kern w:val="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trPr>
              <w:tc>
                <w:tcPr>
                  <w:tcW w:w="786" w:type="dxa"/>
                  <w:vMerge w:val="continue"/>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p>
              </w:tc>
              <w:tc>
                <w:tcPr>
                  <w:tcW w:w="954" w:type="dxa"/>
                  <w:vMerge w:val="continue"/>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cs="Times New Roman"/>
                      <w:sz w:val="21"/>
                      <w:szCs w:val="21"/>
                    </w:rPr>
                  </w:pPr>
                </w:p>
              </w:tc>
              <w:tc>
                <w:tcPr>
                  <w:tcW w:w="862" w:type="dxa"/>
                  <w:tcBorders>
                    <w:tl2br w:val="nil"/>
                    <w:tr2bl w:val="nil"/>
                  </w:tcBorders>
                  <w:shd w:val="clear" w:color="auto" w:fill="auto"/>
                  <w:vAlign w:val="center"/>
                </w:tcPr>
                <w:p>
                  <w:pPr>
                    <w:snapToGrid w:val="0"/>
                    <w:jc w:val="center"/>
                    <w:rPr>
                      <w:kern w:val="0"/>
                      <w:szCs w:val="21"/>
                    </w:rPr>
                  </w:pPr>
                  <w:r>
                    <w:rPr>
                      <w:rFonts w:hint="eastAsia"/>
                      <w:kern w:val="0"/>
                      <w:szCs w:val="21"/>
                    </w:rPr>
                    <w:t>TP</w:t>
                  </w:r>
                </w:p>
              </w:tc>
              <w:tc>
                <w:tcPr>
                  <w:tcW w:w="4030" w:type="dxa"/>
                  <w:vMerge w:val="continue"/>
                  <w:tcBorders>
                    <w:tl2br w:val="nil"/>
                    <w:tr2bl w:val="nil"/>
                  </w:tcBorders>
                  <w:shd w:val="clear" w:color="auto" w:fill="auto"/>
                  <w:vAlign w:val="center"/>
                </w:tcPr>
                <w:p>
                  <w:pPr>
                    <w:snapToGrid w:val="0"/>
                    <w:jc w:val="center"/>
                    <w:rPr>
                      <w:szCs w:val="21"/>
                    </w:rPr>
                  </w:pPr>
                </w:p>
              </w:tc>
              <w:tc>
                <w:tcPr>
                  <w:tcW w:w="2208" w:type="dxa"/>
                  <w:tcBorders>
                    <w:tl2br w:val="nil"/>
                    <w:tr2bl w:val="nil"/>
                  </w:tcBorders>
                  <w:shd w:val="clear" w:color="auto" w:fill="auto"/>
                  <w:vAlign w:val="center"/>
                </w:tcPr>
                <w:p>
                  <w:pPr>
                    <w:snapToGrid w:val="0"/>
                    <w:jc w:val="center"/>
                    <w:rPr>
                      <w:rFonts w:hint="eastAsia" w:eastAsia="宋体"/>
                      <w:kern w:val="0"/>
                      <w:szCs w:val="21"/>
                      <w:lang w:val="en-US" w:eastAsia="zh-CN"/>
                    </w:rPr>
                  </w:pPr>
                  <w:r>
                    <w:rPr>
                      <w:rFonts w:hint="eastAsia"/>
                      <w:kern w:val="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trPr>
              <w:tc>
                <w:tcPr>
                  <w:tcW w:w="786" w:type="dxa"/>
                  <w:vMerge w:val="continue"/>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p>
              </w:tc>
              <w:tc>
                <w:tcPr>
                  <w:tcW w:w="954" w:type="dxa"/>
                  <w:vMerge w:val="continue"/>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cs="Times New Roman"/>
                      <w:sz w:val="21"/>
                      <w:szCs w:val="21"/>
                    </w:rPr>
                  </w:pPr>
                </w:p>
              </w:tc>
              <w:tc>
                <w:tcPr>
                  <w:tcW w:w="862" w:type="dxa"/>
                  <w:tcBorders>
                    <w:tl2br w:val="nil"/>
                    <w:tr2bl w:val="nil"/>
                  </w:tcBorders>
                  <w:shd w:val="clear" w:color="auto" w:fill="auto"/>
                  <w:vAlign w:val="center"/>
                </w:tcPr>
                <w:p>
                  <w:pPr>
                    <w:snapToGrid w:val="0"/>
                    <w:jc w:val="center"/>
                    <w:rPr>
                      <w:kern w:val="0"/>
                      <w:szCs w:val="21"/>
                    </w:rPr>
                  </w:pPr>
                  <w:r>
                    <w:rPr>
                      <w:rFonts w:hint="eastAsia"/>
                      <w:kern w:val="0"/>
                      <w:szCs w:val="21"/>
                    </w:rPr>
                    <w:t>TN</w:t>
                  </w:r>
                </w:p>
              </w:tc>
              <w:tc>
                <w:tcPr>
                  <w:tcW w:w="4030" w:type="dxa"/>
                  <w:vMerge w:val="continue"/>
                  <w:tcBorders>
                    <w:tl2br w:val="nil"/>
                    <w:tr2bl w:val="nil"/>
                  </w:tcBorders>
                  <w:shd w:val="clear" w:color="auto" w:fill="auto"/>
                  <w:vAlign w:val="center"/>
                </w:tcPr>
                <w:p>
                  <w:pPr>
                    <w:snapToGrid w:val="0"/>
                    <w:jc w:val="center"/>
                    <w:rPr>
                      <w:szCs w:val="21"/>
                    </w:rPr>
                  </w:pPr>
                </w:p>
              </w:tc>
              <w:tc>
                <w:tcPr>
                  <w:tcW w:w="2208" w:type="dxa"/>
                  <w:tcBorders>
                    <w:tl2br w:val="nil"/>
                    <w:tr2bl w:val="nil"/>
                  </w:tcBorders>
                  <w:shd w:val="clear" w:color="auto" w:fill="auto"/>
                  <w:vAlign w:val="center"/>
                </w:tcPr>
                <w:p>
                  <w:pPr>
                    <w:snapToGrid w:val="0"/>
                    <w:jc w:val="center"/>
                    <w:rPr>
                      <w:rFonts w:hint="eastAsia" w:eastAsia="宋体"/>
                      <w:kern w:val="0"/>
                      <w:szCs w:val="21"/>
                      <w:lang w:val="en-US" w:eastAsia="zh-CN"/>
                    </w:rPr>
                  </w:pPr>
                  <w:r>
                    <w:rPr>
                      <w:rFonts w:hint="eastAsia"/>
                      <w:kern w:val="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trPr>
              <w:tc>
                <w:tcPr>
                  <w:tcW w:w="786" w:type="dxa"/>
                  <w:vMerge w:val="continue"/>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p>
              </w:tc>
              <w:tc>
                <w:tcPr>
                  <w:tcW w:w="954" w:type="dxa"/>
                  <w:vMerge w:val="continue"/>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cs="Times New Roman"/>
                      <w:sz w:val="21"/>
                      <w:szCs w:val="21"/>
                    </w:rPr>
                  </w:pPr>
                </w:p>
              </w:tc>
              <w:tc>
                <w:tcPr>
                  <w:tcW w:w="862" w:type="dxa"/>
                  <w:tcBorders>
                    <w:tl2br w:val="nil"/>
                    <w:tr2bl w:val="nil"/>
                  </w:tcBorders>
                  <w:shd w:val="clear" w:color="auto" w:fill="auto"/>
                  <w:vAlign w:val="center"/>
                </w:tcPr>
                <w:p>
                  <w:pPr>
                    <w:snapToGrid w:val="0"/>
                    <w:jc w:val="center"/>
                    <w:rPr>
                      <w:rFonts w:hint="eastAsia" w:eastAsia="宋体"/>
                      <w:kern w:val="0"/>
                      <w:szCs w:val="21"/>
                      <w:lang w:eastAsia="zh-CN"/>
                    </w:rPr>
                  </w:pPr>
                  <w:r>
                    <w:rPr>
                      <w:rFonts w:hint="eastAsia"/>
                      <w:kern w:val="0"/>
                      <w:szCs w:val="21"/>
                      <w:lang w:eastAsia="zh-CN"/>
                    </w:rPr>
                    <w:t>石油类</w:t>
                  </w:r>
                </w:p>
              </w:tc>
              <w:tc>
                <w:tcPr>
                  <w:tcW w:w="4030" w:type="dxa"/>
                  <w:vMerge w:val="continue"/>
                  <w:tcBorders>
                    <w:tl2br w:val="nil"/>
                    <w:tr2bl w:val="nil"/>
                  </w:tcBorders>
                  <w:shd w:val="clear" w:color="auto" w:fill="auto"/>
                  <w:vAlign w:val="center"/>
                </w:tcPr>
                <w:p>
                  <w:pPr>
                    <w:snapToGrid w:val="0"/>
                    <w:jc w:val="center"/>
                    <w:rPr>
                      <w:szCs w:val="21"/>
                    </w:rPr>
                  </w:pPr>
                </w:p>
              </w:tc>
              <w:tc>
                <w:tcPr>
                  <w:tcW w:w="2208" w:type="dxa"/>
                  <w:tcBorders>
                    <w:tl2br w:val="nil"/>
                    <w:tr2bl w:val="nil"/>
                  </w:tcBorders>
                  <w:shd w:val="clear" w:color="auto" w:fill="auto"/>
                  <w:vAlign w:val="center"/>
                </w:tcPr>
                <w:p>
                  <w:pPr>
                    <w:snapToGrid w:val="0"/>
                    <w:jc w:val="center"/>
                    <w:rPr>
                      <w:rFonts w:hint="default" w:eastAsia="宋体"/>
                      <w:kern w:val="0"/>
                      <w:szCs w:val="21"/>
                      <w:lang w:val="en-US" w:eastAsia="zh-CN"/>
                    </w:rPr>
                  </w:pPr>
                  <w:r>
                    <w:rPr>
                      <w:rFonts w:hint="eastAsia"/>
                      <w:kern w:val="0"/>
                      <w:szCs w:val="21"/>
                      <w:lang w:val="en-US" w:eastAsia="zh-CN"/>
                    </w:rPr>
                    <w:t>20</w:t>
                  </w:r>
                </w:p>
              </w:tc>
            </w:tr>
          </w:tbl>
          <w:p>
            <w:pPr>
              <w:spacing w:line="240" w:lineRule="auto"/>
              <w:jc w:val="center"/>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废水污染物排放信息表</w:t>
            </w:r>
          </w:p>
          <w:tbl>
            <w:tblPr>
              <w:tblStyle w:val="12"/>
              <w:tblW w:w="884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 w:type="dxa"/>
                <w:bottom w:w="0" w:type="dxa"/>
                <w:right w:w="10" w:type="dxa"/>
              </w:tblCellMar>
            </w:tblPr>
            <w:tblGrid>
              <w:gridCol w:w="582"/>
              <w:gridCol w:w="1232"/>
              <w:gridCol w:w="1215"/>
              <w:gridCol w:w="1770"/>
              <w:gridCol w:w="1515"/>
              <w:gridCol w:w="25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 w:type="dxa"/>
                  <w:bottom w:w="0" w:type="dxa"/>
                  <w:right w:w="10" w:type="dxa"/>
                </w:tblCellMar>
              </w:tblPrEx>
              <w:trPr>
                <w:trHeight w:val="340" w:hRule="atLeast"/>
              </w:trPr>
              <w:tc>
                <w:tcPr>
                  <w:tcW w:w="582" w:type="dxa"/>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序号</w:t>
                  </w:r>
                </w:p>
              </w:tc>
              <w:tc>
                <w:tcPr>
                  <w:tcW w:w="1232" w:type="dxa"/>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排放口编号</w:t>
                  </w:r>
                </w:p>
              </w:tc>
              <w:tc>
                <w:tcPr>
                  <w:tcW w:w="1215" w:type="dxa"/>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污染物种类</w:t>
                  </w:r>
                </w:p>
              </w:tc>
              <w:tc>
                <w:tcPr>
                  <w:tcW w:w="1770" w:type="dxa"/>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排放浓度</w:t>
                  </w:r>
                  <w:r>
                    <w:rPr>
                      <w:rStyle w:val="22"/>
                      <w:rFonts w:ascii="Times New Roman" w:hAnsi="Times New Roman" w:eastAsia="宋体" w:cs="Times New Roman"/>
                      <w:color w:val="auto"/>
                      <w:sz w:val="21"/>
                      <w:szCs w:val="21"/>
                      <w:lang w:val="zh-TW"/>
                    </w:rPr>
                    <w:t xml:space="preserve">/ </w:t>
                  </w:r>
                  <w:r>
                    <w:rPr>
                      <w:rStyle w:val="22"/>
                      <w:rFonts w:ascii="Times New Roman" w:hAnsi="Times New Roman" w:eastAsia="宋体" w:cs="Times New Roman"/>
                      <w:color w:val="auto"/>
                      <w:sz w:val="21"/>
                      <w:szCs w:val="21"/>
                    </w:rPr>
                    <w:t>(mg/L)</w:t>
                  </w:r>
                </w:p>
              </w:tc>
              <w:tc>
                <w:tcPr>
                  <w:tcW w:w="1515" w:type="dxa"/>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日排放量</w:t>
                  </w:r>
                  <w:r>
                    <w:rPr>
                      <w:rStyle w:val="22"/>
                      <w:rFonts w:ascii="Times New Roman" w:hAnsi="Times New Roman" w:eastAsia="宋体" w:cs="Times New Roman"/>
                      <w:color w:val="auto"/>
                      <w:sz w:val="21"/>
                      <w:szCs w:val="21"/>
                      <w:lang w:val="zh-TW"/>
                    </w:rPr>
                    <w:t>/</w:t>
                  </w:r>
                  <w:r>
                    <w:rPr>
                      <w:rStyle w:val="22"/>
                      <w:rFonts w:ascii="Times New Roman" w:hAnsi="Times New Roman" w:eastAsia="宋体" w:cs="Times New Roman"/>
                      <w:color w:val="auto"/>
                      <w:sz w:val="21"/>
                      <w:szCs w:val="21"/>
                    </w:rPr>
                    <w:t>(t/d)</w:t>
                  </w:r>
                </w:p>
              </w:tc>
              <w:tc>
                <w:tcPr>
                  <w:tcW w:w="2526" w:type="dxa"/>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年排放量</w:t>
                  </w:r>
                  <w:r>
                    <w:rPr>
                      <w:rStyle w:val="22"/>
                      <w:rFonts w:ascii="Times New Roman" w:hAnsi="Times New Roman" w:eastAsia="宋体" w:cs="Times New Roman"/>
                      <w:color w:val="auto"/>
                      <w:sz w:val="21"/>
                      <w:szCs w:val="21"/>
                      <w:lang w:val="zh-TW"/>
                    </w:rPr>
                    <w:t>/</w:t>
                  </w:r>
                  <w:r>
                    <w:rPr>
                      <w:rStyle w:val="22"/>
                      <w:rFonts w:ascii="Times New Roman" w:hAnsi="Times New Roman" w:eastAsia="宋体" w:cs="Times New Roman"/>
                      <w:color w:val="auto"/>
                      <w:sz w:val="21"/>
                      <w:szCs w:val="21"/>
                    </w:rPr>
                    <w:t>(t/a)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 w:type="dxa"/>
                  <w:bottom w:w="0" w:type="dxa"/>
                  <w:right w:w="10" w:type="dxa"/>
                </w:tblCellMar>
              </w:tblPrEx>
              <w:trPr>
                <w:trHeight w:val="340" w:hRule="atLeast"/>
              </w:trPr>
              <w:tc>
                <w:tcPr>
                  <w:tcW w:w="582" w:type="dxa"/>
                  <w:vMerge w:val="restart"/>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Fonts w:ascii="Times New Roman" w:hAnsi="Times New Roman" w:eastAsia="宋体" w:cs="Times New Roman"/>
                      <w:sz w:val="21"/>
                      <w:szCs w:val="21"/>
                    </w:rPr>
                    <w:t>1</w:t>
                  </w:r>
                </w:p>
              </w:tc>
              <w:tc>
                <w:tcPr>
                  <w:tcW w:w="1232" w:type="dxa"/>
                  <w:vMerge w:val="restart"/>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Fonts w:ascii="Times New Roman" w:hAnsi="Times New Roman" w:cs="Times New Roman"/>
                      <w:sz w:val="21"/>
                      <w:szCs w:val="21"/>
                    </w:rPr>
                    <w:t>DW001</w:t>
                  </w:r>
                </w:p>
              </w:tc>
              <w:tc>
                <w:tcPr>
                  <w:tcW w:w="1215" w:type="dxa"/>
                  <w:tcBorders>
                    <w:tl2br w:val="nil"/>
                    <w:tr2bl w:val="nil"/>
                  </w:tcBorders>
                  <w:shd w:val="clear" w:color="auto" w:fill="auto"/>
                  <w:vAlign w:val="center"/>
                </w:tcPr>
                <w:p>
                  <w:pPr>
                    <w:snapToGrid w:val="0"/>
                    <w:jc w:val="center"/>
                    <w:rPr>
                      <w:szCs w:val="21"/>
                    </w:rPr>
                  </w:pPr>
                  <w:r>
                    <w:rPr>
                      <w:kern w:val="0"/>
                      <w:szCs w:val="21"/>
                    </w:rPr>
                    <w:t>COD</w:t>
                  </w:r>
                </w:p>
              </w:tc>
              <w:tc>
                <w:tcPr>
                  <w:tcW w:w="1770" w:type="dxa"/>
                  <w:tcBorders>
                    <w:tl2br w:val="nil"/>
                    <w:tr2bl w:val="nil"/>
                  </w:tcBorders>
                  <w:shd w:val="clear" w:color="auto" w:fill="auto"/>
                  <w:vAlign w:val="center"/>
                </w:tcPr>
                <w:p>
                  <w:pPr>
                    <w:snapToGrid w:val="0"/>
                    <w:jc w:val="center"/>
                    <w:rPr>
                      <w:rFonts w:hint="default" w:eastAsia="宋体"/>
                      <w:szCs w:val="21"/>
                      <w:lang w:val="en-US" w:eastAsia="zh-CN"/>
                    </w:rPr>
                  </w:pPr>
                  <w:r>
                    <w:rPr>
                      <w:rFonts w:hint="eastAsia"/>
                      <w:szCs w:val="21"/>
                      <w:lang w:val="en-US" w:eastAsia="zh-CN"/>
                    </w:rPr>
                    <w:t>50</w:t>
                  </w:r>
                </w:p>
              </w:tc>
              <w:tc>
                <w:tcPr>
                  <w:tcW w:w="1515" w:type="dxa"/>
                  <w:tcBorders>
                    <w:tl2br w:val="nil"/>
                    <w:tr2bl w:val="nil"/>
                  </w:tcBorders>
                  <w:shd w:val="clear" w:color="auto" w:fill="auto"/>
                  <w:vAlign w:val="center"/>
                </w:tcPr>
                <w:p>
                  <w:pPr>
                    <w:snapToGrid w:val="0"/>
                    <w:jc w:val="center"/>
                    <w:rPr>
                      <w:rFonts w:hint="default" w:eastAsia="宋体"/>
                      <w:szCs w:val="21"/>
                      <w:lang w:val="en-US" w:eastAsia="zh-CN"/>
                    </w:rPr>
                  </w:pPr>
                  <w:r>
                    <w:rPr>
                      <w:rFonts w:hint="eastAsia"/>
                      <w:szCs w:val="21"/>
                      <w:lang w:val="en-US" w:eastAsia="zh-CN"/>
                    </w:rPr>
                    <w:t>2.41</w:t>
                  </w:r>
                  <w:r>
                    <w:rPr>
                      <w:rFonts w:hint="default" w:ascii="Arial" w:hAnsi="Arial" w:cs="Arial"/>
                      <w:szCs w:val="21"/>
                      <w:lang w:val="en-US" w:eastAsia="zh-CN"/>
                    </w:rPr>
                    <w:t>×</w:t>
                  </w:r>
                  <w:r>
                    <w:rPr>
                      <w:rFonts w:hint="eastAsia"/>
                      <w:szCs w:val="21"/>
                      <w:lang w:val="en-US" w:eastAsia="zh-CN"/>
                    </w:rPr>
                    <w:t>10</w:t>
                  </w:r>
                  <w:r>
                    <w:rPr>
                      <w:rFonts w:hint="eastAsia"/>
                      <w:szCs w:val="21"/>
                      <w:vertAlign w:val="superscript"/>
                      <w:lang w:val="en-US" w:eastAsia="zh-CN"/>
                    </w:rPr>
                    <w:t>-4</w:t>
                  </w:r>
                </w:p>
              </w:tc>
              <w:tc>
                <w:tcPr>
                  <w:tcW w:w="2526" w:type="dxa"/>
                  <w:tcBorders>
                    <w:tl2br w:val="nil"/>
                    <w:tr2bl w:val="nil"/>
                  </w:tcBorders>
                  <w:shd w:val="clear" w:color="auto" w:fill="auto"/>
                  <w:vAlign w:val="center"/>
                </w:tcPr>
                <w:p>
                  <w:pPr>
                    <w:jc w:val="center"/>
                    <w:rPr>
                      <w:rFonts w:hint="default"/>
                      <w:lang w:val="en-US" w:eastAsia="zh-CN"/>
                    </w:rPr>
                  </w:pPr>
                  <w:r>
                    <w:rPr>
                      <w:rFonts w:hint="eastAsia"/>
                      <w:lang w:val="en-US" w:eastAsia="zh-CN"/>
                    </w:rPr>
                    <w:t>0.0722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 w:type="dxa"/>
                  <w:bottom w:w="0" w:type="dxa"/>
                  <w:right w:w="10" w:type="dxa"/>
                </w:tblCellMar>
              </w:tblPrEx>
              <w:trPr>
                <w:trHeight w:val="340" w:hRule="atLeast"/>
              </w:trPr>
              <w:tc>
                <w:tcPr>
                  <w:tcW w:w="582" w:type="dxa"/>
                  <w:vMerge w:val="continue"/>
                  <w:tcBorders>
                    <w:tl2br w:val="nil"/>
                    <w:tr2bl w:val="nil"/>
                  </w:tcBorders>
                  <w:shd w:val="clear" w:color="auto" w:fill="auto"/>
                  <w:vAlign w:val="center"/>
                </w:tcPr>
                <w:p>
                  <w:pPr>
                    <w:snapToGrid w:val="0"/>
                    <w:jc w:val="center"/>
                    <w:rPr>
                      <w:szCs w:val="21"/>
                    </w:rPr>
                  </w:pPr>
                </w:p>
              </w:tc>
              <w:tc>
                <w:tcPr>
                  <w:tcW w:w="1232" w:type="dxa"/>
                  <w:vMerge w:val="continue"/>
                  <w:tcBorders>
                    <w:tl2br w:val="nil"/>
                    <w:tr2bl w:val="nil"/>
                  </w:tcBorders>
                  <w:shd w:val="clear" w:color="auto" w:fill="auto"/>
                  <w:vAlign w:val="center"/>
                </w:tcPr>
                <w:p>
                  <w:pPr>
                    <w:snapToGrid w:val="0"/>
                    <w:jc w:val="center"/>
                    <w:rPr>
                      <w:szCs w:val="21"/>
                    </w:rPr>
                  </w:pPr>
                </w:p>
              </w:tc>
              <w:tc>
                <w:tcPr>
                  <w:tcW w:w="1215" w:type="dxa"/>
                  <w:tcBorders>
                    <w:tl2br w:val="nil"/>
                    <w:tr2bl w:val="nil"/>
                  </w:tcBorders>
                  <w:shd w:val="clear" w:color="auto" w:fill="auto"/>
                  <w:vAlign w:val="center"/>
                </w:tcPr>
                <w:p>
                  <w:pPr>
                    <w:snapToGrid w:val="0"/>
                    <w:jc w:val="center"/>
                    <w:rPr>
                      <w:kern w:val="0"/>
                      <w:szCs w:val="21"/>
                    </w:rPr>
                  </w:pPr>
                  <w:r>
                    <w:rPr>
                      <w:kern w:val="0"/>
                      <w:szCs w:val="21"/>
                    </w:rPr>
                    <w:t>NH</w:t>
                  </w:r>
                  <w:r>
                    <w:rPr>
                      <w:kern w:val="0"/>
                      <w:szCs w:val="21"/>
                      <w:vertAlign w:val="subscript"/>
                    </w:rPr>
                    <w:t>3</w:t>
                  </w:r>
                  <w:r>
                    <w:rPr>
                      <w:kern w:val="0"/>
                      <w:szCs w:val="21"/>
                    </w:rPr>
                    <w:t>-N</w:t>
                  </w:r>
                </w:p>
              </w:tc>
              <w:tc>
                <w:tcPr>
                  <w:tcW w:w="1770" w:type="dxa"/>
                  <w:tcBorders>
                    <w:tl2br w:val="nil"/>
                    <w:tr2bl w:val="nil"/>
                  </w:tcBorders>
                  <w:shd w:val="clear" w:color="auto" w:fill="auto"/>
                  <w:vAlign w:val="center"/>
                </w:tcPr>
                <w:p>
                  <w:pPr>
                    <w:snapToGrid w:val="0"/>
                    <w:jc w:val="center"/>
                    <w:rPr>
                      <w:rFonts w:hint="eastAsia" w:eastAsia="宋体"/>
                      <w:kern w:val="0"/>
                      <w:szCs w:val="21"/>
                      <w:lang w:val="en-US" w:eastAsia="zh-CN"/>
                    </w:rPr>
                  </w:pPr>
                  <w:r>
                    <w:rPr>
                      <w:rFonts w:hint="eastAsia"/>
                      <w:kern w:val="0"/>
                      <w:szCs w:val="21"/>
                      <w:lang w:val="en-US" w:eastAsia="zh-CN"/>
                    </w:rPr>
                    <w:t>5</w:t>
                  </w:r>
                </w:p>
              </w:tc>
              <w:tc>
                <w:tcPr>
                  <w:tcW w:w="1515" w:type="dxa"/>
                  <w:tcBorders>
                    <w:tl2br w:val="nil"/>
                    <w:tr2bl w:val="nil"/>
                  </w:tcBorders>
                  <w:shd w:val="clear" w:color="auto" w:fill="auto"/>
                  <w:vAlign w:val="center"/>
                </w:tcPr>
                <w:p>
                  <w:pPr>
                    <w:snapToGrid w:val="0"/>
                    <w:jc w:val="center"/>
                    <w:rPr>
                      <w:rFonts w:hint="default" w:eastAsia="宋体"/>
                      <w:szCs w:val="21"/>
                      <w:lang w:val="en-US" w:eastAsia="zh-CN"/>
                    </w:rPr>
                  </w:pPr>
                  <w:r>
                    <w:rPr>
                      <w:rFonts w:hint="eastAsia"/>
                      <w:szCs w:val="21"/>
                      <w:lang w:val="en-US" w:eastAsia="zh-CN"/>
                    </w:rPr>
                    <w:t>2.41</w:t>
                  </w:r>
                  <w:r>
                    <w:rPr>
                      <w:rFonts w:hint="default" w:ascii="Arial" w:hAnsi="Arial" w:cs="Arial"/>
                      <w:szCs w:val="21"/>
                      <w:lang w:val="en-US" w:eastAsia="zh-CN"/>
                    </w:rPr>
                    <w:t>×</w:t>
                  </w:r>
                  <w:r>
                    <w:rPr>
                      <w:rFonts w:hint="eastAsia"/>
                      <w:szCs w:val="21"/>
                      <w:lang w:val="en-US" w:eastAsia="zh-CN"/>
                    </w:rPr>
                    <w:t>10</w:t>
                  </w:r>
                  <w:r>
                    <w:rPr>
                      <w:rFonts w:hint="eastAsia"/>
                      <w:szCs w:val="21"/>
                      <w:vertAlign w:val="superscript"/>
                      <w:lang w:val="en-US" w:eastAsia="zh-CN"/>
                    </w:rPr>
                    <w:t>-5</w:t>
                  </w:r>
                </w:p>
              </w:tc>
              <w:tc>
                <w:tcPr>
                  <w:tcW w:w="2526" w:type="dxa"/>
                  <w:tcBorders>
                    <w:tl2br w:val="nil"/>
                    <w:tr2bl w:val="nil"/>
                  </w:tcBorders>
                  <w:shd w:val="clear" w:color="auto" w:fill="auto"/>
                  <w:vAlign w:val="center"/>
                </w:tcPr>
                <w:p>
                  <w:pPr>
                    <w:jc w:val="center"/>
                    <w:rPr>
                      <w:rFonts w:hint="default" w:eastAsia="宋体"/>
                      <w:szCs w:val="21"/>
                      <w:lang w:val="en-US" w:eastAsia="zh-CN"/>
                    </w:rPr>
                  </w:pPr>
                  <w:r>
                    <w:rPr>
                      <w:rFonts w:hint="eastAsia"/>
                      <w:szCs w:val="21"/>
                      <w:lang w:val="en-US" w:eastAsia="zh-CN"/>
                    </w:rPr>
                    <w:t>0.0072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 w:type="dxa"/>
                  <w:bottom w:w="0" w:type="dxa"/>
                  <w:right w:w="10" w:type="dxa"/>
                </w:tblCellMar>
              </w:tblPrEx>
              <w:trPr>
                <w:trHeight w:val="340" w:hRule="atLeast"/>
              </w:trPr>
              <w:tc>
                <w:tcPr>
                  <w:tcW w:w="582" w:type="dxa"/>
                  <w:vMerge w:val="continue"/>
                  <w:tcBorders>
                    <w:tl2br w:val="nil"/>
                    <w:tr2bl w:val="nil"/>
                  </w:tcBorders>
                  <w:shd w:val="clear" w:color="auto" w:fill="auto"/>
                  <w:vAlign w:val="center"/>
                </w:tcPr>
                <w:p>
                  <w:pPr>
                    <w:snapToGrid w:val="0"/>
                    <w:jc w:val="center"/>
                    <w:rPr>
                      <w:szCs w:val="21"/>
                    </w:rPr>
                  </w:pPr>
                </w:p>
              </w:tc>
              <w:tc>
                <w:tcPr>
                  <w:tcW w:w="1232" w:type="dxa"/>
                  <w:vMerge w:val="continue"/>
                  <w:tcBorders>
                    <w:tl2br w:val="nil"/>
                    <w:tr2bl w:val="nil"/>
                  </w:tcBorders>
                  <w:shd w:val="clear" w:color="auto" w:fill="auto"/>
                  <w:vAlign w:val="center"/>
                </w:tcPr>
                <w:p>
                  <w:pPr>
                    <w:snapToGrid w:val="0"/>
                    <w:jc w:val="center"/>
                    <w:rPr>
                      <w:szCs w:val="21"/>
                    </w:rPr>
                  </w:pPr>
                </w:p>
              </w:tc>
              <w:tc>
                <w:tcPr>
                  <w:tcW w:w="1215" w:type="dxa"/>
                  <w:tcBorders>
                    <w:tl2br w:val="nil"/>
                    <w:tr2bl w:val="nil"/>
                  </w:tcBorders>
                  <w:shd w:val="clear" w:color="auto" w:fill="auto"/>
                  <w:vAlign w:val="center"/>
                </w:tcPr>
                <w:p>
                  <w:pPr>
                    <w:snapToGrid w:val="0"/>
                    <w:jc w:val="center"/>
                    <w:rPr>
                      <w:kern w:val="0"/>
                      <w:szCs w:val="21"/>
                    </w:rPr>
                  </w:pPr>
                  <w:r>
                    <w:rPr>
                      <w:rFonts w:hint="eastAsia"/>
                      <w:kern w:val="0"/>
                      <w:szCs w:val="21"/>
                    </w:rPr>
                    <w:t>TP</w:t>
                  </w:r>
                </w:p>
              </w:tc>
              <w:tc>
                <w:tcPr>
                  <w:tcW w:w="1770" w:type="dxa"/>
                  <w:tcBorders>
                    <w:tl2br w:val="nil"/>
                    <w:tr2bl w:val="nil"/>
                  </w:tcBorders>
                  <w:shd w:val="clear" w:color="auto" w:fill="auto"/>
                  <w:vAlign w:val="center"/>
                </w:tcPr>
                <w:p>
                  <w:pPr>
                    <w:snapToGrid w:val="0"/>
                    <w:jc w:val="center"/>
                    <w:rPr>
                      <w:rFonts w:hint="default" w:eastAsia="宋体"/>
                      <w:kern w:val="0"/>
                      <w:szCs w:val="21"/>
                      <w:lang w:val="en-US" w:eastAsia="zh-CN"/>
                    </w:rPr>
                  </w:pPr>
                  <w:r>
                    <w:rPr>
                      <w:rFonts w:hint="eastAsia"/>
                      <w:kern w:val="0"/>
                      <w:szCs w:val="21"/>
                      <w:lang w:val="en-US" w:eastAsia="zh-CN"/>
                    </w:rPr>
                    <w:t>0.5</w:t>
                  </w:r>
                </w:p>
              </w:tc>
              <w:tc>
                <w:tcPr>
                  <w:tcW w:w="1515" w:type="dxa"/>
                  <w:tcBorders>
                    <w:tl2br w:val="nil"/>
                    <w:tr2bl w:val="nil"/>
                  </w:tcBorders>
                  <w:shd w:val="clear" w:color="auto" w:fill="auto"/>
                  <w:vAlign w:val="center"/>
                </w:tcPr>
                <w:p>
                  <w:pPr>
                    <w:snapToGrid w:val="0"/>
                    <w:jc w:val="center"/>
                    <w:rPr>
                      <w:rFonts w:hint="default"/>
                      <w:szCs w:val="21"/>
                      <w:lang w:val="en-US"/>
                    </w:rPr>
                  </w:pPr>
                  <w:r>
                    <w:rPr>
                      <w:rFonts w:hint="eastAsia"/>
                      <w:szCs w:val="21"/>
                      <w:lang w:val="en-US" w:eastAsia="zh-CN"/>
                    </w:rPr>
                    <w:t>2.41</w:t>
                  </w:r>
                  <w:r>
                    <w:rPr>
                      <w:rFonts w:hint="default" w:ascii="Arial" w:hAnsi="Arial" w:cs="Arial"/>
                      <w:szCs w:val="21"/>
                      <w:lang w:val="en-US" w:eastAsia="zh-CN"/>
                    </w:rPr>
                    <w:t>×</w:t>
                  </w:r>
                  <w:r>
                    <w:rPr>
                      <w:rFonts w:hint="eastAsia"/>
                      <w:szCs w:val="21"/>
                      <w:lang w:val="en-US" w:eastAsia="zh-CN"/>
                    </w:rPr>
                    <w:t>10</w:t>
                  </w:r>
                  <w:r>
                    <w:rPr>
                      <w:rFonts w:hint="eastAsia"/>
                      <w:szCs w:val="21"/>
                      <w:vertAlign w:val="superscript"/>
                      <w:lang w:val="en-US" w:eastAsia="zh-CN"/>
                    </w:rPr>
                    <w:t>-6</w:t>
                  </w:r>
                </w:p>
              </w:tc>
              <w:tc>
                <w:tcPr>
                  <w:tcW w:w="2526" w:type="dxa"/>
                  <w:tcBorders>
                    <w:tl2br w:val="nil"/>
                    <w:tr2bl w:val="nil"/>
                  </w:tcBorders>
                  <w:shd w:val="clear" w:color="auto" w:fill="auto"/>
                  <w:vAlign w:val="center"/>
                </w:tcPr>
                <w:p>
                  <w:pPr>
                    <w:jc w:val="center"/>
                    <w:rPr>
                      <w:rFonts w:hint="default" w:eastAsia="宋体"/>
                      <w:szCs w:val="21"/>
                      <w:lang w:val="en-US" w:eastAsia="zh-CN"/>
                    </w:rPr>
                  </w:pPr>
                  <w:r>
                    <w:rPr>
                      <w:rFonts w:hint="eastAsia"/>
                      <w:szCs w:val="21"/>
                      <w:lang w:val="en-US" w:eastAsia="zh-CN"/>
                    </w:rPr>
                    <w:t>0.0007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 w:type="dxa"/>
                  <w:bottom w:w="0" w:type="dxa"/>
                  <w:right w:w="10" w:type="dxa"/>
                </w:tblCellMar>
              </w:tblPrEx>
              <w:trPr>
                <w:trHeight w:val="340" w:hRule="atLeast"/>
              </w:trPr>
              <w:tc>
                <w:tcPr>
                  <w:tcW w:w="582" w:type="dxa"/>
                  <w:vMerge w:val="continue"/>
                  <w:tcBorders>
                    <w:tl2br w:val="nil"/>
                    <w:tr2bl w:val="nil"/>
                  </w:tcBorders>
                  <w:shd w:val="clear" w:color="auto" w:fill="auto"/>
                  <w:vAlign w:val="center"/>
                </w:tcPr>
                <w:p>
                  <w:pPr>
                    <w:snapToGrid w:val="0"/>
                    <w:jc w:val="center"/>
                    <w:rPr>
                      <w:szCs w:val="21"/>
                    </w:rPr>
                  </w:pPr>
                </w:p>
              </w:tc>
              <w:tc>
                <w:tcPr>
                  <w:tcW w:w="1232" w:type="dxa"/>
                  <w:vMerge w:val="continue"/>
                  <w:tcBorders>
                    <w:tl2br w:val="nil"/>
                    <w:tr2bl w:val="nil"/>
                  </w:tcBorders>
                  <w:shd w:val="clear" w:color="auto" w:fill="auto"/>
                  <w:vAlign w:val="center"/>
                </w:tcPr>
                <w:p>
                  <w:pPr>
                    <w:snapToGrid w:val="0"/>
                    <w:jc w:val="center"/>
                    <w:rPr>
                      <w:szCs w:val="21"/>
                    </w:rPr>
                  </w:pPr>
                </w:p>
              </w:tc>
              <w:tc>
                <w:tcPr>
                  <w:tcW w:w="1215" w:type="dxa"/>
                  <w:tcBorders>
                    <w:tl2br w:val="nil"/>
                    <w:tr2bl w:val="nil"/>
                  </w:tcBorders>
                  <w:shd w:val="clear" w:color="auto" w:fill="auto"/>
                  <w:vAlign w:val="center"/>
                </w:tcPr>
                <w:p>
                  <w:pPr>
                    <w:snapToGrid w:val="0"/>
                    <w:jc w:val="center"/>
                    <w:rPr>
                      <w:kern w:val="0"/>
                      <w:szCs w:val="21"/>
                    </w:rPr>
                  </w:pPr>
                  <w:r>
                    <w:rPr>
                      <w:rFonts w:hint="eastAsia"/>
                      <w:kern w:val="0"/>
                      <w:szCs w:val="21"/>
                    </w:rPr>
                    <w:t>TN</w:t>
                  </w:r>
                </w:p>
              </w:tc>
              <w:tc>
                <w:tcPr>
                  <w:tcW w:w="1770" w:type="dxa"/>
                  <w:tcBorders>
                    <w:tl2br w:val="nil"/>
                    <w:tr2bl w:val="nil"/>
                  </w:tcBorders>
                  <w:shd w:val="clear" w:color="auto" w:fill="auto"/>
                  <w:vAlign w:val="center"/>
                </w:tcPr>
                <w:p>
                  <w:pPr>
                    <w:snapToGrid w:val="0"/>
                    <w:jc w:val="center"/>
                    <w:rPr>
                      <w:rFonts w:hint="default" w:eastAsia="宋体"/>
                      <w:kern w:val="0"/>
                      <w:szCs w:val="21"/>
                      <w:lang w:val="en-US" w:eastAsia="zh-CN"/>
                    </w:rPr>
                  </w:pPr>
                  <w:r>
                    <w:rPr>
                      <w:rFonts w:hint="eastAsia"/>
                      <w:kern w:val="0"/>
                      <w:szCs w:val="21"/>
                      <w:lang w:val="en-US" w:eastAsia="zh-CN"/>
                    </w:rPr>
                    <w:t>15</w:t>
                  </w:r>
                </w:p>
              </w:tc>
              <w:tc>
                <w:tcPr>
                  <w:tcW w:w="1515" w:type="dxa"/>
                  <w:tcBorders>
                    <w:tl2br w:val="nil"/>
                    <w:tr2bl w:val="nil"/>
                  </w:tcBorders>
                  <w:shd w:val="clear" w:color="auto" w:fill="auto"/>
                  <w:vAlign w:val="center"/>
                </w:tcPr>
                <w:p>
                  <w:pPr>
                    <w:snapToGrid w:val="0"/>
                    <w:jc w:val="center"/>
                    <w:rPr>
                      <w:rFonts w:hint="default" w:eastAsia="宋体"/>
                      <w:szCs w:val="21"/>
                      <w:lang w:val="en-US" w:eastAsia="zh-CN"/>
                    </w:rPr>
                  </w:pPr>
                  <w:r>
                    <w:rPr>
                      <w:rFonts w:hint="eastAsia"/>
                      <w:szCs w:val="21"/>
                      <w:lang w:val="en-US" w:eastAsia="zh-CN"/>
                    </w:rPr>
                    <w:t>7.23</w:t>
                  </w:r>
                  <w:r>
                    <w:rPr>
                      <w:rFonts w:hint="default" w:ascii="Arial" w:hAnsi="Arial" w:cs="Arial"/>
                      <w:szCs w:val="21"/>
                      <w:lang w:val="en-US" w:eastAsia="zh-CN"/>
                    </w:rPr>
                    <w:t>×</w:t>
                  </w:r>
                  <w:r>
                    <w:rPr>
                      <w:rFonts w:hint="eastAsia"/>
                      <w:szCs w:val="21"/>
                      <w:lang w:val="en-US" w:eastAsia="zh-CN"/>
                    </w:rPr>
                    <w:t>10</w:t>
                  </w:r>
                  <w:r>
                    <w:rPr>
                      <w:rFonts w:hint="eastAsia"/>
                      <w:szCs w:val="21"/>
                      <w:vertAlign w:val="superscript"/>
                      <w:lang w:val="en-US" w:eastAsia="zh-CN"/>
                    </w:rPr>
                    <w:t>-5</w:t>
                  </w:r>
                </w:p>
              </w:tc>
              <w:tc>
                <w:tcPr>
                  <w:tcW w:w="2526" w:type="dxa"/>
                  <w:tcBorders>
                    <w:tl2br w:val="nil"/>
                    <w:tr2bl w:val="nil"/>
                  </w:tcBorders>
                  <w:shd w:val="clear" w:color="auto" w:fill="auto"/>
                  <w:vAlign w:val="center"/>
                </w:tcPr>
                <w:p>
                  <w:pPr>
                    <w:jc w:val="center"/>
                    <w:rPr>
                      <w:rFonts w:hint="default" w:eastAsia="宋体"/>
                      <w:szCs w:val="21"/>
                      <w:lang w:val="en-US" w:eastAsia="zh-CN"/>
                    </w:rPr>
                  </w:pPr>
                  <w:r>
                    <w:rPr>
                      <w:rFonts w:hint="eastAsia"/>
                      <w:szCs w:val="21"/>
                      <w:lang w:val="en-US" w:eastAsia="zh-CN"/>
                    </w:rPr>
                    <w:t>0.0217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 w:type="dxa"/>
                  <w:bottom w:w="0" w:type="dxa"/>
                  <w:right w:w="10" w:type="dxa"/>
                </w:tblCellMar>
              </w:tblPrEx>
              <w:trPr>
                <w:trHeight w:val="340" w:hRule="atLeast"/>
              </w:trPr>
              <w:tc>
                <w:tcPr>
                  <w:tcW w:w="582" w:type="dxa"/>
                  <w:vMerge w:val="continue"/>
                  <w:tcBorders>
                    <w:tl2br w:val="nil"/>
                    <w:tr2bl w:val="nil"/>
                  </w:tcBorders>
                  <w:shd w:val="clear" w:color="auto" w:fill="auto"/>
                  <w:vAlign w:val="center"/>
                </w:tcPr>
                <w:p>
                  <w:pPr>
                    <w:snapToGrid w:val="0"/>
                    <w:jc w:val="center"/>
                    <w:rPr>
                      <w:szCs w:val="21"/>
                    </w:rPr>
                  </w:pPr>
                </w:p>
              </w:tc>
              <w:tc>
                <w:tcPr>
                  <w:tcW w:w="1232" w:type="dxa"/>
                  <w:vMerge w:val="continue"/>
                  <w:tcBorders>
                    <w:tl2br w:val="nil"/>
                    <w:tr2bl w:val="nil"/>
                  </w:tcBorders>
                  <w:shd w:val="clear" w:color="auto" w:fill="auto"/>
                  <w:vAlign w:val="center"/>
                </w:tcPr>
                <w:p>
                  <w:pPr>
                    <w:snapToGrid w:val="0"/>
                    <w:jc w:val="center"/>
                    <w:rPr>
                      <w:szCs w:val="21"/>
                    </w:rPr>
                  </w:pPr>
                </w:p>
              </w:tc>
              <w:tc>
                <w:tcPr>
                  <w:tcW w:w="1215" w:type="dxa"/>
                  <w:tcBorders>
                    <w:tl2br w:val="nil"/>
                    <w:tr2bl w:val="nil"/>
                  </w:tcBorders>
                  <w:shd w:val="clear" w:color="auto" w:fill="auto"/>
                  <w:vAlign w:val="center"/>
                </w:tcPr>
                <w:p>
                  <w:pPr>
                    <w:snapToGrid w:val="0"/>
                    <w:jc w:val="center"/>
                    <w:rPr>
                      <w:rFonts w:hint="eastAsia" w:eastAsia="宋体"/>
                      <w:kern w:val="0"/>
                      <w:szCs w:val="21"/>
                      <w:lang w:eastAsia="zh-CN"/>
                    </w:rPr>
                  </w:pPr>
                  <w:r>
                    <w:rPr>
                      <w:rFonts w:hint="eastAsia"/>
                      <w:kern w:val="0"/>
                      <w:szCs w:val="21"/>
                      <w:lang w:eastAsia="zh-CN"/>
                    </w:rPr>
                    <w:t>石油类</w:t>
                  </w:r>
                </w:p>
              </w:tc>
              <w:tc>
                <w:tcPr>
                  <w:tcW w:w="1770" w:type="dxa"/>
                  <w:tcBorders>
                    <w:tl2br w:val="nil"/>
                    <w:tr2bl w:val="nil"/>
                  </w:tcBorders>
                  <w:shd w:val="clear" w:color="auto" w:fill="auto"/>
                  <w:vAlign w:val="center"/>
                </w:tcPr>
                <w:p>
                  <w:pPr>
                    <w:snapToGrid w:val="0"/>
                    <w:jc w:val="center"/>
                    <w:rPr>
                      <w:rFonts w:hint="eastAsia" w:eastAsia="宋体"/>
                      <w:kern w:val="0"/>
                      <w:szCs w:val="21"/>
                      <w:lang w:val="en-US" w:eastAsia="zh-CN"/>
                    </w:rPr>
                  </w:pPr>
                  <w:r>
                    <w:rPr>
                      <w:rFonts w:hint="eastAsia"/>
                      <w:kern w:val="0"/>
                      <w:szCs w:val="21"/>
                      <w:lang w:val="en-US" w:eastAsia="zh-CN"/>
                    </w:rPr>
                    <w:t>1</w:t>
                  </w:r>
                </w:p>
              </w:tc>
              <w:tc>
                <w:tcPr>
                  <w:tcW w:w="1515" w:type="dxa"/>
                  <w:tcBorders>
                    <w:tl2br w:val="nil"/>
                    <w:tr2bl w:val="nil"/>
                  </w:tcBorders>
                  <w:shd w:val="clear" w:color="auto" w:fill="auto"/>
                  <w:vAlign w:val="center"/>
                </w:tcPr>
                <w:p>
                  <w:pPr>
                    <w:snapToGrid w:val="0"/>
                    <w:jc w:val="center"/>
                    <w:rPr>
                      <w:rFonts w:hint="default" w:eastAsia="宋体"/>
                      <w:szCs w:val="21"/>
                      <w:lang w:val="en-US" w:eastAsia="zh-CN"/>
                    </w:rPr>
                  </w:pPr>
                  <w:r>
                    <w:rPr>
                      <w:rFonts w:hint="eastAsia"/>
                      <w:szCs w:val="21"/>
                      <w:lang w:val="en-US" w:eastAsia="zh-CN"/>
                    </w:rPr>
                    <w:t>4.82</w:t>
                  </w:r>
                  <w:r>
                    <w:rPr>
                      <w:rFonts w:hint="default" w:ascii="Arial" w:hAnsi="Arial" w:cs="Arial"/>
                      <w:szCs w:val="21"/>
                      <w:lang w:val="en-US" w:eastAsia="zh-CN"/>
                    </w:rPr>
                    <w:t>×</w:t>
                  </w:r>
                  <w:r>
                    <w:rPr>
                      <w:rFonts w:hint="eastAsia"/>
                      <w:szCs w:val="21"/>
                      <w:lang w:val="en-US" w:eastAsia="zh-CN"/>
                    </w:rPr>
                    <w:t>10</w:t>
                  </w:r>
                  <w:r>
                    <w:rPr>
                      <w:rFonts w:hint="eastAsia"/>
                      <w:szCs w:val="21"/>
                      <w:vertAlign w:val="superscript"/>
                      <w:lang w:val="en-US" w:eastAsia="zh-CN"/>
                    </w:rPr>
                    <w:t>-6</w:t>
                  </w:r>
                </w:p>
              </w:tc>
              <w:tc>
                <w:tcPr>
                  <w:tcW w:w="2526" w:type="dxa"/>
                  <w:tcBorders>
                    <w:tl2br w:val="nil"/>
                    <w:tr2bl w:val="nil"/>
                  </w:tcBorders>
                  <w:shd w:val="clear" w:color="auto" w:fill="auto"/>
                  <w:vAlign w:val="center"/>
                </w:tcPr>
                <w:p>
                  <w:pPr>
                    <w:jc w:val="center"/>
                    <w:rPr>
                      <w:rFonts w:hint="default" w:eastAsia="宋体"/>
                      <w:szCs w:val="21"/>
                      <w:lang w:val="en-US" w:eastAsia="zh-CN"/>
                    </w:rPr>
                  </w:pPr>
                  <w:r>
                    <w:rPr>
                      <w:rFonts w:hint="eastAsia"/>
                      <w:szCs w:val="21"/>
                      <w:lang w:val="en-US" w:eastAsia="zh-CN"/>
                    </w:rPr>
                    <w:t>0.0014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 w:type="dxa"/>
                  <w:bottom w:w="0" w:type="dxa"/>
                  <w:right w:w="10" w:type="dxa"/>
                </w:tblCellMar>
              </w:tblPrEx>
              <w:trPr>
                <w:trHeight w:val="340" w:hRule="atLeast"/>
              </w:trPr>
              <w:tc>
                <w:tcPr>
                  <w:tcW w:w="1814" w:type="dxa"/>
                  <w:gridSpan w:val="2"/>
                  <w:vMerge w:val="restart"/>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全厂排放口合计</w:t>
                  </w:r>
                </w:p>
              </w:tc>
              <w:tc>
                <w:tcPr>
                  <w:tcW w:w="4500" w:type="dxa"/>
                  <w:gridSpan w:val="3"/>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Style w:val="22"/>
                      <w:rFonts w:ascii="Times New Roman" w:hAnsi="Times New Roman" w:eastAsia="宋体" w:cs="Times New Roman"/>
                      <w:color w:val="auto"/>
                      <w:sz w:val="21"/>
                      <w:szCs w:val="21"/>
                    </w:rPr>
                    <w:t>COD</w:t>
                  </w:r>
                </w:p>
              </w:tc>
              <w:tc>
                <w:tcPr>
                  <w:tcW w:w="2526" w:type="dxa"/>
                  <w:tcBorders>
                    <w:tl2br w:val="nil"/>
                    <w:tr2bl w:val="nil"/>
                  </w:tcBorders>
                  <w:shd w:val="clear" w:color="auto" w:fill="auto"/>
                  <w:vAlign w:val="center"/>
                </w:tcPr>
                <w:p>
                  <w:pPr>
                    <w:jc w:val="center"/>
                    <w:rPr>
                      <w:szCs w:val="21"/>
                    </w:rPr>
                  </w:pPr>
                  <w:r>
                    <w:rPr>
                      <w:rFonts w:hint="eastAsia"/>
                      <w:lang w:val="en-US" w:eastAsia="zh-CN"/>
                    </w:rPr>
                    <w:t>0.0722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 w:type="dxa"/>
                  <w:bottom w:w="0" w:type="dxa"/>
                  <w:right w:w="10" w:type="dxa"/>
                </w:tblCellMar>
              </w:tblPrEx>
              <w:trPr>
                <w:trHeight w:val="340" w:hRule="atLeast"/>
              </w:trPr>
              <w:tc>
                <w:tcPr>
                  <w:tcW w:w="1814" w:type="dxa"/>
                  <w:gridSpan w:val="2"/>
                  <w:vMerge w:val="continue"/>
                  <w:tcBorders>
                    <w:tl2br w:val="nil"/>
                    <w:tr2bl w:val="nil"/>
                  </w:tcBorders>
                  <w:shd w:val="clear" w:color="auto" w:fill="auto"/>
                  <w:vAlign w:val="center"/>
                </w:tcPr>
                <w:p>
                  <w:pPr>
                    <w:snapToGrid w:val="0"/>
                    <w:jc w:val="center"/>
                    <w:rPr>
                      <w:szCs w:val="21"/>
                    </w:rPr>
                  </w:pPr>
                </w:p>
              </w:tc>
              <w:tc>
                <w:tcPr>
                  <w:tcW w:w="4500" w:type="dxa"/>
                  <w:gridSpan w:val="3"/>
                  <w:tcBorders>
                    <w:tl2br w:val="nil"/>
                    <w:tr2bl w:val="nil"/>
                  </w:tcBorders>
                  <w:shd w:val="clear" w:color="auto" w:fill="auto"/>
                  <w:vAlign w:val="center"/>
                </w:tcPr>
                <w:p>
                  <w:pPr>
                    <w:pStyle w:val="19"/>
                    <w:shd w:val="clear" w:color="auto" w:fill="auto"/>
                    <w:snapToGrid w:val="0"/>
                    <w:spacing w:after="0" w:line="240" w:lineRule="auto"/>
                    <w:rPr>
                      <w:rFonts w:ascii="Times New Roman" w:hAnsi="Times New Roman" w:eastAsia="宋体" w:cs="Times New Roman"/>
                      <w:sz w:val="21"/>
                      <w:szCs w:val="21"/>
                    </w:rPr>
                  </w:pPr>
                  <w:r>
                    <w:rPr>
                      <w:rFonts w:ascii="Times New Roman" w:hAnsi="Times New Roman" w:cs="Times New Roman"/>
                      <w:sz w:val="21"/>
                      <w:szCs w:val="21"/>
                    </w:rPr>
                    <w:t>NH</w:t>
                  </w:r>
                  <w:r>
                    <w:rPr>
                      <w:rFonts w:ascii="Times New Roman" w:hAnsi="Times New Roman" w:cs="Times New Roman"/>
                      <w:sz w:val="21"/>
                      <w:szCs w:val="21"/>
                      <w:vertAlign w:val="subscript"/>
                    </w:rPr>
                    <w:t>3</w:t>
                  </w:r>
                  <w:r>
                    <w:rPr>
                      <w:rFonts w:ascii="Times New Roman" w:hAnsi="Times New Roman" w:cs="Times New Roman"/>
                      <w:sz w:val="21"/>
                      <w:szCs w:val="21"/>
                    </w:rPr>
                    <w:t>-N</w:t>
                  </w:r>
                </w:p>
              </w:tc>
              <w:tc>
                <w:tcPr>
                  <w:tcW w:w="2526" w:type="dxa"/>
                  <w:tcBorders>
                    <w:tl2br w:val="nil"/>
                    <w:tr2bl w:val="nil"/>
                  </w:tcBorders>
                  <w:shd w:val="clear" w:color="auto" w:fill="auto"/>
                  <w:vAlign w:val="center"/>
                </w:tcPr>
                <w:p>
                  <w:pPr>
                    <w:jc w:val="center"/>
                    <w:rPr>
                      <w:szCs w:val="21"/>
                    </w:rPr>
                  </w:pPr>
                  <w:r>
                    <w:rPr>
                      <w:rFonts w:hint="eastAsia"/>
                      <w:szCs w:val="21"/>
                      <w:lang w:val="en-US" w:eastAsia="zh-CN"/>
                    </w:rPr>
                    <w:t>0.0072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 w:type="dxa"/>
                  <w:bottom w:w="0" w:type="dxa"/>
                  <w:right w:w="10" w:type="dxa"/>
                </w:tblCellMar>
              </w:tblPrEx>
              <w:trPr>
                <w:trHeight w:val="340" w:hRule="atLeast"/>
              </w:trPr>
              <w:tc>
                <w:tcPr>
                  <w:tcW w:w="1814" w:type="dxa"/>
                  <w:gridSpan w:val="2"/>
                  <w:vMerge w:val="continue"/>
                  <w:tcBorders>
                    <w:tl2br w:val="nil"/>
                    <w:tr2bl w:val="nil"/>
                  </w:tcBorders>
                  <w:shd w:val="clear" w:color="auto" w:fill="auto"/>
                  <w:vAlign w:val="center"/>
                </w:tcPr>
                <w:p>
                  <w:pPr>
                    <w:snapToGrid w:val="0"/>
                    <w:jc w:val="center"/>
                    <w:rPr>
                      <w:szCs w:val="21"/>
                    </w:rPr>
                  </w:pPr>
                </w:p>
              </w:tc>
              <w:tc>
                <w:tcPr>
                  <w:tcW w:w="4500" w:type="dxa"/>
                  <w:gridSpan w:val="3"/>
                  <w:tcBorders>
                    <w:tl2br w:val="nil"/>
                    <w:tr2bl w:val="nil"/>
                  </w:tcBorders>
                  <w:shd w:val="clear" w:color="auto" w:fill="auto"/>
                  <w:vAlign w:val="center"/>
                </w:tcPr>
                <w:p>
                  <w:pPr>
                    <w:pStyle w:val="19"/>
                    <w:shd w:val="clear" w:color="auto" w:fill="auto"/>
                    <w:snapToGrid w:val="0"/>
                    <w:spacing w:after="0" w:line="240" w:lineRule="auto"/>
                    <w:rPr>
                      <w:rStyle w:val="22"/>
                      <w:rFonts w:ascii="Times New Roman" w:hAnsi="Times New Roman" w:eastAsia="宋体" w:cs="Times New Roman"/>
                      <w:color w:val="auto"/>
                      <w:sz w:val="21"/>
                      <w:szCs w:val="21"/>
                    </w:rPr>
                  </w:pPr>
                  <w:r>
                    <w:rPr>
                      <w:rStyle w:val="22"/>
                      <w:rFonts w:hint="eastAsia" w:ascii="Times New Roman" w:hAnsi="Times New Roman" w:eastAsia="宋体" w:cs="Times New Roman"/>
                      <w:color w:val="auto"/>
                      <w:sz w:val="21"/>
                      <w:szCs w:val="21"/>
                    </w:rPr>
                    <w:t>TP</w:t>
                  </w:r>
                </w:p>
              </w:tc>
              <w:tc>
                <w:tcPr>
                  <w:tcW w:w="2526" w:type="dxa"/>
                  <w:tcBorders>
                    <w:tl2br w:val="nil"/>
                    <w:tr2bl w:val="nil"/>
                  </w:tcBorders>
                  <w:shd w:val="clear" w:color="auto" w:fill="auto"/>
                  <w:vAlign w:val="center"/>
                </w:tcPr>
                <w:p>
                  <w:pPr>
                    <w:jc w:val="center"/>
                    <w:rPr>
                      <w:szCs w:val="21"/>
                    </w:rPr>
                  </w:pPr>
                  <w:r>
                    <w:rPr>
                      <w:rFonts w:hint="eastAsia"/>
                      <w:szCs w:val="21"/>
                      <w:lang w:val="en-US" w:eastAsia="zh-CN"/>
                    </w:rPr>
                    <w:t>0.0007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 w:type="dxa"/>
                  <w:bottom w:w="0" w:type="dxa"/>
                  <w:right w:w="10" w:type="dxa"/>
                </w:tblCellMar>
              </w:tblPrEx>
              <w:trPr>
                <w:trHeight w:val="340" w:hRule="atLeast"/>
              </w:trPr>
              <w:tc>
                <w:tcPr>
                  <w:tcW w:w="1814" w:type="dxa"/>
                  <w:gridSpan w:val="2"/>
                  <w:vMerge w:val="continue"/>
                  <w:tcBorders>
                    <w:tl2br w:val="nil"/>
                    <w:tr2bl w:val="nil"/>
                  </w:tcBorders>
                  <w:shd w:val="clear" w:color="auto" w:fill="auto"/>
                  <w:vAlign w:val="center"/>
                </w:tcPr>
                <w:p>
                  <w:pPr>
                    <w:snapToGrid w:val="0"/>
                    <w:jc w:val="center"/>
                    <w:rPr>
                      <w:szCs w:val="21"/>
                    </w:rPr>
                  </w:pPr>
                </w:p>
              </w:tc>
              <w:tc>
                <w:tcPr>
                  <w:tcW w:w="4500" w:type="dxa"/>
                  <w:gridSpan w:val="3"/>
                  <w:tcBorders>
                    <w:tl2br w:val="nil"/>
                    <w:tr2bl w:val="nil"/>
                  </w:tcBorders>
                  <w:shd w:val="clear" w:color="auto" w:fill="auto"/>
                  <w:vAlign w:val="center"/>
                </w:tcPr>
                <w:p>
                  <w:pPr>
                    <w:pStyle w:val="19"/>
                    <w:shd w:val="clear" w:color="auto" w:fill="auto"/>
                    <w:snapToGrid w:val="0"/>
                    <w:spacing w:after="0" w:line="240" w:lineRule="auto"/>
                    <w:rPr>
                      <w:rStyle w:val="22"/>
                      <w:rFonts w:ascii="Times New Roman" w:hAnsi="Times New Roman" w:eastAsia="宋体" w:cs="Times New Roman"/>
                      <w:color w:val="auto"/>
                      <w:sz w:val="21"/>
                      <w:szCs w:val="21"/>
                    </w:rPr>
                  </w:pPr>
                  <w:r>
                    <w:rPr>
                      <w:rStyle w:val="22"/>
                      <w:rFonts w:hint="eastAsia" w:ascii="Times New Roman" w:hAnsi="Times New Roman" w:eastAsia="宋体" w:cs="Times New Roman"/>
                      <w:color w:val="auto"/>
                      <w:sz w:val="21"/>
                      <w:szCs w:val="21"/>
                    </w:rPr>
                    <w:t>TN</w:t>
                  </w:r>
                </w:p>
              </w:tc>
              <w:tc>
                <w:tcPr>
                  <w:tcW w:w="2526" w:type="dxa"/>
                  <w:tcBorders>
                    <w:tl2br w:val="nil"/>
                    <w:tr2bl w:val="nil"/>
                  </w:tcBorders>
                  <w:shd w:val="clear" w:color="auto" w:fill="auto"/>
                  <w:vAlign w:val="center"/>
                </w:tcPr>
                <w:p>
                  <w:pPr>
                    <w:jc w:val="center"/>
                    <w:rPr>
                      <w:szCs w:val="21"/>
                    </w:rPr>
                  </w:pPr>
                  <w:r>
                    <w:rPr>
                      <w:rFonts w:hint="eastAsia"/>
                      <w:szCs w:val="21"/>
                      <w:lang w:val="en-US" w:eastAsia="zh-CN"/>
                    </w:rPr>
                    <w:t>0.0217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 w:type="dxa"/>
                  <w:bottom w:w="0" w:type="dxa"/>
                  <w:right w:w="10" w:type="dxa"/>
                </w:tblCellMar>
              </w:tblPrEx>
              <w:trPr>
                <w:trHeight w:val="340" w:hRule="atLeast"/>
              </w:trPr>
              <w:tc>
                <w:tcPr>
                  <w:tcW w:w="1814" w:type="dxa"/>
                  <w:gridSpan w:val="2"/>
                  <w:vMerge w:val="continue"/>
                  <w:tcBorders>
                    <w:tl2br w:val="nil"/>
                    <w:tr2bl w:val="nil"/>
                  </w:tcBorders>
                  <w:shd w:val="clear" w:color="auto" w:fill="auto"/>
                  <w:vAlign w:val="center"/>
                </w:tcPr>
                <w:p>
                  <w:pPr>
                    <w:snapToGrid w:val="0"/>
                    <w:jc w:val="center"/>
                    <w:rPr>
                      <w:szCs w:val="21"/>
                    </w:rPr>
                  </w:pPr>
                </w:p>
              </w:tc>
              <w:tc>
                <w:tcPr>
                  <w:tcW w:w="4500" w:type="dxa"/>
                  <w:gridSpan w:val="3"/>
                  <w:tcBorders>
                    <w:tl2br w:val="nil"/>
                    <w:tr2bl w:val="nil"/>
                  </w:tcBorders>
                  <w:shd w:val="clear" w:color="auto" w:fill="auto"/>
                  <w:vAlign w:val="center"/>
                </w:tcPr>
                <w:p>
                  <w:pPr>
                    <w:pStyle w:val="19"/>
                    <w:shd w:val="clear" w:color="auto" w:fill="auto"/>
                    <w:snapToGrid w:val="0"/>
                    <w:spacing w:after="0" w:line="240" w:lineRule="auto"/>
                    <w:rPr>
                      <w:rStyle w:val="22"/>
                      <w:rFonts w:hint="eastAsia" w:ascii="Times New Roman" w:hAnsi="Times New Roman" w:eastAsia="宋体" w:cs="Times New Roman"/>
                      <w:color w:val="auto"/>
                      <w:sz w:val="21"/>
                      <w:szCs w:val="21"/>
                      <w:lang w:eastAsia="zh-CN"/>
                    </w:rPr>
                  </w:pPr>
                  <w:r>
                    <w:rPr>
                      <w:rStyle w:val="22"/>
                      <w:rFonts w:hint="eastAsia" w:ascii="Times New Roman" w:hAnsi="Times New Roman" w:eastAsia="宋体" w:cs="Times New Roman"/>
                      <w:color w:val="auto"/>
                      <w:sz w:val="21"/>
                      <w:szCs w:val="21"/>
                      <w:lang w:eastAsia="zh-CN"/>
                    </w:rPr>
                    <w:t>石油类</w:t>
                  </w:r>
                </w:p>
              </w:tc>
              <w:tc>
                <w:tcPr>
                  <w:tcW w:w="2526" w:type="dxa"/>
                  <w:tcBorders>
                    <w:tl2br w:val="nil"/>
                    <w:tr2bl w:val="nil"/>
                  </w:tcBorders>
                  <w:shd w:val="clear" w:color="auto" w:fill="auto"/>
                  <w:vAlign w:val="center"/>
                </w:tcPr>
                <w:p>
                  <w:pPr>
                    <w:jc w:val="center"/>
                    <w:rPr>
                      <w:rFonts w:hint="eastAsia"/>
                      <w:szCs w:val="21"/>
                    </w:rPr>
                  </w:pPr>
                  <w:r>
                    <w:rPr>
                      <w:rFonts w:hint="eastAsia"/>
                      <w:szCs w:val="21"/>
                      <w:lang w:val="en-US" w:eastAsia="zh-CN"/>
                    </w:rPr>
                    <w:t>0.0014</w:t>
                  </w:r>
                </w:p>
              </w:tc>
            </w:tr>
          </w:tbl>
          <w:p>
            <w:pPr>
              <w:pStyle w:val="3"/>
              <w:keepNext w:val="0"/>
              <w:keepLines w:val="0"/>
              <w:pageBreakBefore w:val="0"/>
              <w:widowControl w:val="0"/>
              <w:kinsoku/>
              <w:wordWrap/>
              <w:overflowPunct/>
              <w:topLinePunct w:val="0"/>
              <w:autoSpaceDE/>
              <w:autoSpaceDN/>
              <w:bidi w:val="0"/>
              <w:snapToGrid/>
              <w:spacing w:line="480" w:lineRule="exact"/>
              <w:ind w:firstLine="482" w:firstLineChars="200"/>
              <w:textAlignment w:val="auto"/>
              <w:rPr>
                <w:rFonts w:ascii="Times New Roman" w:hAnsi="Times New Roman"/>
                <w:b/>
                <w:sz w:val="24"/>
              </w:rPr>
            </w:pPr>
            <w:r>
              <w:rPr>
                <w:rFonts w:hint="eastAsia" w:ascii="Times New Roman" w:hAnsi="Times New Roman"/>
                <w:b/>
                <w:sz w:val="24"/>
                <w:lang w:val="en-US" w:eastAsia="zh-CN"/>
              </w:rPr>
              <w:t>2</w:t>
            </w:r>
            <w:r>
              <w:rPr>
                <w:rFonts w:hint="eastAsia" w:ascii="Times New Roman" w:hAnsi="Times New Roman"/>
                <w:b/>
                <w:sz w:val="24"/>
              </w:rPr>
              <w:t>、声环境影响分析</w:t>
            </w:r>
          </w:p>
          <w:p>
            <w:pPr>
              <w:pStyle w:val="3"/>
              <w:keepNext w:val="0"/>
              <w:keepLines w:val="0"/>
              <w:pageBreakBefore w:val="0"/>
              <w:widowControl w:val="0"/>
              <w:kinsoku/>
              <w:wordWrap/>
              <w:overflowPunct/>
              <w:topLinePunct w:val="0"/>
              <w:autoSpaceDE/>
              <w:autoSpaceDN/>
              <w:bidi w:val="0"/>
              <w:snapToGrid/>
              <w:spacing w:line="480" w:lineRule="exact"/>
              <w:ind w:firstLine="480" w:firstLineChars="200"/>
              <w:textAlignment w:val="auto"/>
              <w:rPr>
                <w:rFonts w:ascii="Times New Roman" w:hAnsi="Times New Roman"/>
                <w:bCs/>
                <w:sz w:val="24"/>
              </w:rPr>
            </w:pPr>
            <w:r>
              <w:rPr>
                <w:rFonts w:hint="eastAsia" w:ascii="Times New Roman" w:hAnsi="Times New Roman"/>
                <w:bCs/>
                <w:sz w:val="24"/>
                <w:lang w:val="en-US" w:eastAsia="zh-CN"/>
              </w:rPr>
              <w:t>2.1</w:t>
            </w:r>
            <w:r>
              <w:rPr>
                <w:rFonts w:hint="eastAsia" w:ascii="Times New Roman" w:hAnsi="Times New Roman"/>
                <w:bCs/>
                <w:sz w:val="24"/>
              </w:rPr>
              <w:t>工程噪声源强</w:t>
            </w:r>
          </w:p>
          <w:p>
            <w:pPr>
              <w:keepNext w:val="0"/>
              <w:keepLines w:val="0"/>
              <w:pageBreakBefore w:val="0"/>
              <w:widowControl w:val="0"/>
              <w:kinsoku/>
              <w:wordWrap/>
              <w:overflowPunct/>
              <w:topLinePunct w:val="0"/>
              <w:autoSpaceDE/>
              <w:autoSpaceDN/>
              <w:bidi w:val="0"/>
              <w:adjustRightInd w:val="0"/>
              <w:snapToGrid/>
              <w:spacing w:line="480" w:lineRule="exact"/>
              <w:ind w:firstLine="480" w:firstLineChars="200"/>
              <w:textAlignment w:val="auto"/>
              <w:rPr>
                <w:sz w:val="24"/>
              </w:rPr>
            </w:pPr>
            <w:r>
              <w:rPr>
                <w:rFonts w:hint="eastAsia"/>
                <w:sz w:val="24"/>
                <w:lang w:eastAsia="zh-CN"/>
              </w:rPr>
              <w:t>本项目所处声环境功能区为</w:t>
            </w:r>
            <w:r>
              <w:rPr>
                <w:rFonts w:hint="eastAsia"/>
                <w:sz w:val="24"/>
                <w:lang w:val="en-US" w:eastAsia="zh-CN"/>
              </w:rPr>
              <w:t>1类地区，声环境影响评价等级为二级。</w:t>
            </w:r>
            <w:r>
              <w:rPr>
                <w:sz w:val="24"/>
              </w:rPr>
              <w:t>项目营运期噪声主要来源于</w:t>
            </w:r>
            <w:r>
              <w:rPr>
                <w:rFonts w:hint="eastAsia"/>
                <w:sz w:val="24"/>
                <w:szCs w:val="24"/>
                <w:lang w:eastAsia="zh-CN"/>
              </w:rPr>
              <w:t>和面机、绞肉机、拌馅机、切菜机、成型机、制冷机、燃气蒸柜</w:t>
            </w:r>
            <w:r>
              <w:rPr>
                <w:rFonts w:hint="eastAsia"/>
                <w:sz w:val="24"/>
                <w:lang w:eastAsia="zh-CN"/>
              </w:rPr>
              <w:t>等设备</w:t>
            </w:r>
            <w:r>
              <w:rPr>
                <w:sz w:val="24"/>
              </w:rPr>
              <w:t>运行时产生的噪声，声压级一般在</w:t>
            </w:r>
            <w:r>
              <w:rPr>
                <w:rFonts w:hint="eastAsia"/>
                <w:sz w:val="24"/>
                <w:lang w:val="en-US" w:eastAsia="zh-CN"/>
              </w:rPr>
              <w:t>60</w:t>
            </w:r>
            <w:r>
              <w:rPr>
                <w:sz w:val="24"/>
              </w:rPr>
              <w:t>～</w:t>
            </w:r>
            <w:r>
              <w:rPr>
                <w:rFonts w:hint="eastAsia"/>
                <w:sz w:val="24"/>
                <w:lang w:val="en-US" w:eastAsia="zh-CN"/>
              </w:rPr>
              <w:t>80</w:t>
            </w:r>
            <w:r>
              <w:rPr>
                <w:sz w:val="24"/>
              </w:rPr>
              <w:t>dB（A），将设备置于封闭的厂房内，并采取基础减震等措施降噪后，其噪声值能降至</w:t>
            </w:r>
            <w:r>
              <w:rPr>
                <w:rFonts w:hint="eastAsia"/>
                <w:sz w:val="24"/>
                <w:lang w:val="en-US" w:eastAsia="zh-CN"/>
              </w:rPr>
              <w:t>50</w:t>
            </w:r>
            <w:r>
              <w:rPr>
                <w:sz w:val="24"/>
              </w:rPr>
              <w:t>～</w:t>
            </w:r>
            <w:r>
              <w:rPr>
                <w:rFonts w:hint="eastAsia"/>
                <w:sz w:val="24"/>
                <w:lang w:val="en-US" w:eastAsia="zh-CN"/>
              </w:rPr>
              <w:t>70</w:t>
            </w:r>
            <w:r>
              <w:rPr>
                <w:sz w:val="24"/>
              </w:rPr>
              <w:t>dB（A）。项目主要噪声源强产生情况见下表。</w:t>
            </w:r>
          </w:p>
          <w:p>
            <w:pPr>
              <w:keepNext w:val="0"/>
              <w:keepLines w:val="0"/>
              <w:pageBreakBefore w:val="0"/>
              <w:widowControl w:val="0"/>
              <w:tabs>
                <w:tab w:val="left" w:pos="993"/>
              </w:tabs>
              <w:kinsoku/>
              <w:wordWrap/>
              <w:overflowPunct/>
              <w:topLinePunct w:val="0"/>
              <w:bidi w:val="0"/>
              <w:spacing w:line="480" w:lineRule="exact"/>
              <w:ind w:left="480"/>
              <w:jc w:val="center"/>
              <w:textAlignment w:val="auto"/>
              <w:rPr>
                <w:rFonts w:ascii="黑体" w:hAnsi="黑体" w:eastAsia="黑体" w:cs="黑体"/>
                <w:bCs/>
                <w:sz w:val="24"/>
              </w:rPr>
            </w:pPr>
            <w:r>
              <w:rPr>
                <w:rFonts w:hint="eastAsia" w:ascii="黑体" w:hAnsi="黑体" w:eastAsia="黑体" w:cs="黑体"/>
                <w:bCs/>
                <w:sz w:val="24"/>
              </w:rPr>
              <w:t>项目主要高噪声设备及声源情况  单位：dB（A）</w:t>
            </w:r>
          </w:p>
          <w:tbl>
            <w:tblPr>
              <w:tblStyle w:val="12"/>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2"/>
              <w:gridCol w:w="1749"/>
              <w:gridCol w:w="2126"/>
              <w:gridCol w:w="24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szCs w:val="21"/>
                    </w:rPr>
                  </w:pPr>
                  <w:r>
                    <w:rPr>
                      <w:szCs w:val="21"/>
                    </w:rPr>
                    <w:t>高噪设备</w:t>
                  </w:r>
                </w:p>
              </w:tc>
              <w:tc>
                <w:tcPr>
                  <w:tcW w:w="174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szCs w:val="21"/>
                    </w:rPr>
                  </w:pPr>
                  <w:r>
                    <w:rPr>
                      <w:szCs w:val="21"/>
                    </w:rPr>
                    <w:t>噪声源强dB(A)</w:t>
                  </w:r>
                </w:p>
              </w:tc>
              <w:tc>
                <w:tcPr>
                  <w:tcW w:w="212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szCs w:val="21"/>
                    </w:rPr>
                  </w:pPr>
                  <w:r>
                    <w:rPr>
                      <w:szCs w:val="21"/>
                    </w:rPr>
                    <w:t>降噪措施</w:t>
                  </w:r>
                </w:p>
              </w:tc>
              <w:tc>
                <w:tcPr>
                  <w:tcW w:w="248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szCs w:val="21"/>
                    </w:rPr>
                  </w:pPr>
                  <w:r>
                    <w:rPr>
                      <w:szCs w:val="21"/>
                    </w:rPr>
                    <w:t>采取措施后车间外源强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eastAsia="宋体"/>
                      <w:szCs w:val="21"/>
                      <w:lang w:eastAsia="zh-CN"/>
                    </w:rPr>
                  </w:pPr>
                  <w:r>
                    <w:rPr>
                      <w:rFonts w:hint="eastAsia"/>
                      <w:szCs w:val="21"/>
                      <w:lang w:eastAsia="zh-CN"/>
                    </w:rPr>
                    <w:t>和面机</w:t>
                  </w:r>
                </w:p>
              </w:tc>
              <w:tc>
                <w:tcPr>
                  <w:tcW w:w="174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eastAsia="宋体"/>
                      <w:szCs w:val="21"/>
                      <w:lang w:val="en-US" w:eastAsia="zh-CN"/>
                    </w:rPr>
                  </w:pPr>
                  <w:r>
                    <w:rPr>
                      <w:rFonts w:hint="eastAsia"/>
                      <w:szCs w:val="21"/>
                      <w:lang w:val="en-US" w:eastAsia="zh-CN"/>
                    </w:rPr>
                    <w:t>60~80</w:t>
                  </w:r>
                </w:p>
              </w:tc>
              <w:tc>
                <w:tcPr>
                  <w:tcW w:w="212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szCs w:val="21"/>
                    </w:rPr>
                  </w:pPr>
                  <w:r>
                    <w:rPr>
                      <w:szCs w:val="21"/>
                    </w:rPr>
                    <w:t>减振基础、车间隔声</w:t>
                  </w:r>
                </w:p>
              </w:tc>
              <w:tc>
                <w:tcPr>
                  <w:tcW w:w="248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eastAsia="宋体"/>
                      <w:szCs w:val="21"/>
                      <w:lang w:val="en-US" w:eastAsia="zh-CN"/>
                    </w:rPr>
                  </w:pPr>
                  <w:r>
                    <w:rPr>
                      <w:rFonts w:hint="eastAsia"/>
                      <w:szCs w:val="21"/>
                    </w:rPr>
                    <w:t>5</w:t>
                  </w:r>
                  <w:r>
                    <w:rPr>
                      <w:rFonts w:hint="eastAsia"/>
                      <w:szCs w:val="21"/>
                      <w:lang w:val="en-US" w:eastAsia="zh-CN"/>
                    </w:rPr>
                    <w:t>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eastAsia="宋体"/>
                      <w:szCs w:val="21"/>
                      <w:lang w:eastAsia="zh-CN"/>
                    </w:rPr>
                  </w:pPr>
                  <w:r>
                    <w:rPr>
                      <w:rFonts w:hint="eastAsia"/>
                      <w:szCs w:val="21"/>
                      <w:lang w:eastAsia="zh-CN"/>
                    </w:rPr>
                    <w:t>绞肉机</w:t>
                  </w:r>
                </w:p>
              </w:tc>
              <w:tc>
                <w:tcPr>
                  <w:tcW w:w="174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eastAsia="宋体"/>
                      <w:szCs w:val="21"/>
                      <w:lang w:val="en-US" w:eastAsia="zh-CN"/>
                    </w:rPr>
                  </w:pPr>
                  <w:r>
                    <w:rPr>
                      <w:rFonts w:hint="eastAsia"/>
                      <w:szCs w:val="21"/>
                      <w:lang w:val="en-US" w:eastAsia="zh-CN"/>
                    </w:rPr>
                    <w:t>60~80</w:t>
                  </w:r>
                </w:p>
              </w:tc>
              <w:tc>
                <w:tcPr>
                  <w:tcW w:w="212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szCs w:val="21"/>
                    </w:rPr>
                  </w:pPr>
                </w:p>
              </w:tc>
              <w:tc>
                <w:tcPr>
                  <w:tcW w:w="248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eastAsia="宋体"/>
                      <w:szCs w:val="21"/>
                      <w:lang w:val="en-US" w:eastAsia="zh-CN"/>
                    </w:rPr>
                  </w:pPr>
                  <w:r>
                    <w:rPr>
                      <w:rFonts w:hint="eastAsia"/>
                      <w:szCs w:val="21"/>
                      <w:lang w:val="en-US" w:eastAsia="zh-CN"/>
                    </w:rPr>
                    <w:t>60~70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eastAsia="宋体"/>
                      <w:szCs w:val="21"/>
                      <w:lang w:eastAsia="zh-CN"/>
                    </w:rPr>
                  </w:pPr>
                  <w:r>
                    <w:rPr>
                      <w:rFonts w:hint="eastAsia"/>
                      <w:szCs w:val="21"/>
                      <w:lang w:eastAsia="zh-CN"/>
                    </w:rPr>
                    <w:t>拌馅机</w:t>
                  </w:r>
                </w:p>
              </w:tc>
              <w:tc>
                <w:tcPr>
                  <w:tcW w:w="174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eastAsia="宋体"/>
                      <w:szCs w:val="21"/>
                      <w:lang w:val="en-US" w:eastAsia="zh-CN"/>
                    </w:rPr>
                  </w:pPr>
                  <w:r>
                    <w:rPr>
                      <w:rFonts w:hint="eastAsia"/>
                      <w:szCs w:val="21"/>
                      <w:lang w:val="en-US" w:eastAsia="zh-CN"/>
                    </w:rPr>
                    <w:t>60~70</w:t>
                  </w:r>
                </w:p>
              </w:tc>
              <w:tc>
                <w:tcPr>
                  <w:tcW w:w="212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szCs w:val="21"/>
                    </w:rPr>
                  </w:pPr>
                </w:p>
              </w:tc>
              <w:tc>
                <w:tcPr>
                  <w:tcW w:w="248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eastAsia="宋体"/>
                      <w:szCs w:val="21"/>
                      <w:lang w:val="en-US" w:eastAsia="zh-CN"/>
                    </w:rPr>
                  </w:pPr>
                  <w:r>
                    <w:rPr>
                      <w:rFonts w:hint="eastAsia"/>
                      <w:szCs w:val="21"/>
                      <w:lang w:val="en-US" w:eastAsia="zh-CN"/>
                    </w:rPr>
                    <w:t>50~60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Cs w:val="21"/>
                      <w:lang w:eastAsia="zh-CN"/>
                    </w:rPr>
                  </w:pPr>
                  <w:r>
                    <w:rPr>
                      <w:rFonts w:hint="eastAsia"/>
                      <w:szCs w:val="21"/>
                      <w:lang w:eastAsia="zh-CN"/>
                    </w:rPr>
                    <w:t>切菜机</w:t>
                  </w:r>
                </w:p>
              </w:tc>
              <w:tc>
                <w:tcPr>
                  <w:tcW w:w="174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eastAsia="宋体"/>
                      <w:szCs w:val="21"/>
                      <w:lang w:val="en-US" w:eastAsia="zh-CN"/>
                    </w:rPr>
                  </w:pPr>
                  <w:r>
                    <w:rPr>
                      <w:rFonts w:hint="eastAsia"/>
                      <w:szCs w:val="21"/>
                      <w:lang w:val="en-US" w:eastAsia="zh-CN"/>
                    </w:rPr>
                    <w:t>60~70</w:t>
                  </w:r>
                </w:p>
              </w:tc>
              <w:tc>
                <w:tcPr>
                  <w:tcW w:w="212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szCs w:val="21"/>
                    </w:rPr>
                  </w:pPr>
                </w:p>
              </w:tc>
              <w:tc>
                <w:tcPr>
                  <w:tcW w:w="248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eastAsia="宋体"/>
                      <w:szCs w:val="21"/>
                      <w:lang w:val="en-US" w:eastAsia="zh-CN"/>
                    </w:rPr>
                  </w:pPr>
                  <w:r>
                    <w:rPr>
                      <w:rFonts w:hint="eastAsia"/>
                      <w:szCs w:val="21"/>
                      <w:lang w:val="en-US" w:eastAsia="zh-CN"/>
                    </w:rPr>
                    <w:t>50~60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Cs w:val="21"/>
                      <w:lang w:eastAsia="zh-CN"/>
                    </w:rPr>
                  </w:pPr>
                  <w:r>
                    <w:rPr>
                      <w:rFonts w:hint="eastAsia"/>
                      <w:szCs w:val="21"/>
                      <w:lang w:eastAsia="zh-CN"/>
                    </w:rPr>
                    <w:t>成型机</w:t>
                  </w:r>
                </w:p>
              </w:tc>
              <w:tc>
                <w:tcPr>
                  <w:tcW w:w="174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eastAsia="宋体"/>
                      <w:szCs w:val="21"/>
                      <w:lang w:val="en-US" w:eastAsia="zh-CN"/>
                    </w:rPr>
                  </w:pPr>
                  <w:r>
                    <w:rPr>
                      <w:rFonts w:hint="eastAsia"/>
                      <w:szCs w:val="21"/>
                      <w:lang w:val="en-US" w:eastAsia="zh-CN"/>
                    </w:rPr>
                    <w:t>60~70</w:t>
                  </w:r>
                </w:p>
              </w:tc>
              <w:tc>
                <w:tcPr>
                  <w:tcW w:w="212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szCs w:val="21"/>
                    </w:rPr>
                  </w:pPr>
                </w:p>
              </w:tc>
              <w:tc>
                <w:tcPr>
                  <w:tcW w:w="248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eastAsia="宋体"/>
                      <w:szCs w:val="21"/>
                      <w:lang w:val="en-US" w:eastAsia="zh-CN"/>
                    </w:rPr>
                  </w:pPr>
                  <w:r>
                    <w:rPr>
                      <w:rFonts w:hint="eastAsia"/>
                      <w:szCs w:val="21"/>
                      <w:lang w:val="en-US" w:eastAsia="zh-CN"/>
                    </w:rPr>
                    <w:t>50~60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Cs w:val="21"/>
                      <w:lang w:eastAsia="zh-CN"/>
                    </w:rPr>
                  </w:pPr>
                  <w:r>
                    <w:rPr>
                      <w:rFonts w:hint="eastAsia"/>
                      <w:szCs w:val="21"/>
                      <w:lang w:eastAsia="zh-CN"/>
                    </w:rPr>
                    <w:t>制冷剂</w:t>
                  </w:r>
                </w:p>
              </w:tc>
              <w:tc>
                <w:tcPr>
                  <w:tcW w:w="174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szCs w:val="21"/>
                      <w:lang w:val="en-US" w:eastAsia="zh-CN"/>
                    </w:rPr>
                  </w:pPr>
                  <w:r>
                    <w:rPr>
                      <w:rFonts w:hint="eastAsia"/>
                      <w:szCs w:val="21"/>
                      <w:lang w:val="en-US" w:eastAsia="zh-CN"/>
                    </w:rPr>
                    <w:t>70~80</w:t>
                  </w:r>
                </w:p>
              </w:tc>
              <w:tc>
                <w:tcPr>
                  <w:tcW w:w="212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szCs w:val="21"/>
                    </w:rPr>
                  </w:pPr>
                </w:p>
              </w:tc>
              <w:tc>
                <w:tcPr>
                  <w:tcW w:w="248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szCs w:val="21"/>
                      <w:lang w:val="en-US" w:eastAsia="zh-CN"/>
                    </w:rPr>
                  </w:pPr>
                  <w:r>
                    <w:rPr>
                      <w:rFonts w:hint="eastAsia"/>
                      <w:szCs w:val="21"/>
                      <w:lang w:val="en-US" w:eastAsia="zh-CN"/>
                    </w:rPr>
                    <w:t>60~70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Cs w:val="21"/>
                      <w:lang w:eastAsia="zh-CN"/>
                    </w:rPr>
                  </w:pPr>
                  <w:r>
                    <w:rPr>
                      <w:rFonts w:hint="eastAsia"/>
                      <w:szCs w:val="21"/>
                      <w:lang w:eastAsia="zh-CN"/>
                    </w:rPr>
                    <w:t>燃气蒸柜</w:t>
                  </w:r>
                </w:p>
              </w:tc>
              <w:tc>
                <w:tcPr>
                  <w:tcW w:w="174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szCs w:val="21"/>
                      <w:lang w:val="en-US" w:eastAsia="zh-CN"/>
                    </w:rPr>
                  </w:pPr>
                  <w:r>
                    <w:rPr>
                      <w:rFonts w:hint="eastAsia"/>
                      <w:szCs w:val="21"/>
                      <w:lang w:val="en-US" w:eastAsia="zh-CN"/>
                    </w:rPr>
                    <w:t>60~70</w:t>
                  </w:r>
                </w:p>
              </w:tc>
              <w:tc>
                <w:tcPr>
                  <w:tcW w:w="212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szCs w:val="21"/>
                    </w:rPr>
                  </w:pPr>
                </w:p>
              </w:tc>
              <w:tc>
                <w:tcPr>
                  <w:tcW w:w="248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szCs w:val="21"/>
                      <w:lang w:val="en-US" w:eastAsia="zh-CN"/>
                    </w:rPr>
                  </w:pPr>
                  <w:r>
                    <w:rPr>
                      <w:rFonts w:hint="eastAsia"/>
                      <w:szCs w:val="21"/>
                      <w:lang w:val="en-US" w:eastAsia="zh-CN"/>
                    </w:rPr>
                    <w:t>50~60</w:t>
                  </w:r>
                </w:p>
              </w:tc>
            </w:tr>
          </w:tbl>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sz w:val="24"/>
              </w:rPr>
            </w:pPr>
            <w:r>
              <w:rPr>
                <w:rFonts w:hint="eastAsia"/>
                <w:sz w:val="24"/>
                <w:lang w:val="en-US" w:eastAsia="zh-CN"/>
              </w:rPr>
              <w:t>2.2</w:t>
            </w:r>
            <w:r>
              <w:rPr>
                <w:sz w:val="24"/>
              </w:rPr>
              <w:t>评价标准</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sz w:val="24"/>
              </w:rPr>
            </w:pPr>
            <w:r>
              <w:rPr>
                <w:sz w:val="24"/>
              </w:rPr>
              <w:t>本次评价</w:t>
            </w:r>
            <w:r>
              <w:rPr>
                <w:rFonts w:hint="eastAsia"/>
                <w:sz w:val="24"/>
              </w:rPr>
              <w:t>东、南、</w:t>
            </w:r>
            <w:r>
              <w:rPr>
                <w:rFonts w:hint="eastAsia"/>
                <w:sz w:val="24"/>
                <w:lang w:eastAsia="zh-CN"/>
              </w:rPr>
              <w:t>西、北</w:t>
            </w:r>
            <w:r>
              <w:rPr>
                <w:sz w:val="24"/>
              </w:rPr>
              <w:t>厂界噪声执行《工业企业厂界环境噪声排放标准》（GB12348-2008）</w:t>
            </w:r>
            <w:r>
              <w:rPr>
                <w:rFonts w:hint="eastAsia"/>
                <w:sz w:val="24"/>
                <w:lang w:val="en-US" w:eastAsia="zh-CN"/>
              </w:rPr>
              <w:t>1</w:t>
            </w:r>
            <w:r>
              <w:rPr>
                <w:sz w:val="24"/>
              </w:rPr>
              <w:t>类（昼间</w:t>
            </w:r>
            <w:r>
              <w:rPr>
                <w:rFonts w:hint="eastAsia"/>
                <w:sz w:val="24"/>
                <w:lang w:val="en-US" w:eastAsia="zh-CN"/>
              </w:rPr>
              <w:t>55</w:t>
            </w:r>
            <w:r>
              <w:rPr>
                <w:sz w:val="24"/>
              </w:rPr>
              <w:t>dB（A））的要求。</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sz w:val="24"/>
              </w:rPr>
            </w:pPr>
            <w:r>
              <w:rPr>
                <w:rFonts w:hint="eastAsia"/>
                <w:sz w:val="24"/>
                <w:lang w:val="en-US" w:eastAsia="zh-CN"/>
              </w:rPr>
              <w:t>2.3</w:t>
            </w:r>
            <w:r>
              <w:rPr>
                <w:sz w:val="24"/>
              </w:rPr>
              <w:t>预测范围及预测点</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sz w:val="24"/>
              </w:rPr>
            </w:pPr>
            <w:r>
              <w:rPr>
                <w:sz w:val="24"/>
              </w:rPr>
              <w:t>根据《环境影响评价技术导则—声环境》（HJ2.4-2009）中的相关要求，本次项目的评价范围为厂区1m外至200m范围。经调查，厂区200m范围内</w:t>
            </w:r>
            <w:r>
              <w:rPr>
                <w:rFonts w:hint="eastAsia"/>
                <w:sz w:val="24"/>
                <w:lang w:eastAsia="zh-CN"/>
              </w:rPr>
              <w:t>敏感点仅为涧南庄村</w:t>
            </w:r>
            <w:r>
              <w:rPr>
                <w:sz w:val="24"/>
              </w:rPr>
              <w:t>，因此，评价选取</w:t>
            </w:r>
            <w:r>
              <w:rPr>
                <w:rFonts w:hint="eastAsia"/>
                <w:sz w:val="24"/>
                <w:lang w:eastAsia="zh-CN"/>
              </w:rPr>
              <w:t>涧南庄村及四周</w:t>
            </w:r>
            <w:r>
              <w:rPr>
                <w:sz w:val="24"/>
              </w:rPr>
              <w:t>厂界作为本次声环境影响评价的关心点。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rPr>
            </w:pPr>
            <w:r>
              <w:rPr>
                <w:rFonts w:hint="eastAsia"/>
                <w:sz w:val="24"/>
                <w:lang w:val="en-US" w:eastAsia="zh-CN"/>
              </w:rPr>
              <w:t>2.4</w:t>
            </w:r>
            <w:r>
              <w:rPr>
                <w:sz w:val="24"/>
              </w:rPr>
              <w:t>预测方法</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rPr>
            </w:pPr>
            <w:r>
              <w:rPr>
                <w:sz w:val="24"/>
              </w:rPr>
              <w:t>根据《环境影响评价技术导则—声环境》（HJ2.4-2009）中的相关要求，结合本工程各主要噪声设备在厂区的分布状况和源强声级值，并根据设备距厂界的距离，按照高噪声声源衰减公式计算其衰减量，并算出各声源强对厂界的贡献值。</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rPr>
            </w:pPr>
            <w:r>
              <w:rPr>
                <w:rFonts w:hint="eastAsia" w:ascii="宋体" w:hAnsi="宋体" w:cs="宋体"/>
                <w:sz w:val="24"/>
              </w:rPr>
              <w:t>①</w:t>
            </w:r>
            <w:r>
              <w:rPr>
                <w:sz w:val="24"/>
              </w:rPr>
              <w:t>噪声源衰减公式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center"/>
              <w:textAlignment w:val="auto"/>
              <w:rPr>
                <w:sz w:val="24"/>
              </w:rPr>
            </w:pPr>
            <w:r>
              <w:rPr>
                <w:position w:val="-10"/>
                <w:sz w:val="24"/>
              </w:rPr>
              <w:object>
                <v:shape id="_x0000_i1025" o:spt="75" type="#_x0000_t75" style="height:20.5pt;width:106.5pt;" o:ole="t" filled="f" o:preferrelative="t" stroked="f" coordsize="21600,21600">
                  <v:path/>
                  <v:fill on="f" focussize="0,0"/>
                  <v:stroke on="f" joinstyle="miter"/>
                  <v:imagedata r:id="rId13" o:title=""/>
                  <o:lock v:ext="edit" aspectratio="t"/>
                  <w10:wrap type="none"/>
                  <w10:anchorlock/>
                </v:shape>
                <o:OLEObject Type="Embed" ProgID="Equation.3" ShapeID="_x0000_i1025" DrawAspect="Content" ObjectID="_1468075728" r:id="rId12">
                  <o:LockedField>false</o:LockedField>
                </o:OLEObject>
              </w:objec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rPr>
            </w:pPr>
            <w:r>
              <w:rPr>
                <w:sz w:val="24"/>
              </w:rPr>
              <w:t>式中：L</w:t>
            </w:r>
            <w:r>
              <w:rPr>
                <w:sz w:val="24"/>
                <w:vertAlign w:val="subscript"/>
              </w:rPr>
              <w:t>r</w:t>
            </w:r>
            <w:r>
              <w:rPr>
                <w:sz w:val="24"/>
              </w:rPr>
              <w:t>—距噪声源距离为r处声级值，[dB(A)]；</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rPr>
            </w:pPr>
            <w:r>
              <w:rPr>
                <w:sz w:val="24"/>
              </w:rPr>
              <w:t xml:space="preserve">      L</w:t>
            </w:r>
            <w:r>
              <w:rPr>
                <w:sz w:val="24"/>
                <w:vertAlign w:val="subscript"/>
              </w:rPr>
              <w:t>0</w:t>
            </w:r>
            <w:r>
              <w:rPr>
                <w:sz w:val="24"/>
              </w:rPr>
              <w:t>—距噪声源距离为r</w:t>
            </w:r>
            <w:r>
              <w:rPr>
                <w:sz w:val="24"/>
                <w:vertAlign w:val="subscript"/>
              </w:rPr>
              <w:t>0</w:t>
            </w:r>
            <w:r>
              <w:rPr>
                <w:sz w:val="24"/>
              </w:rPr>
              <w:t>处声级值，[dB(A)]；</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rPr>
            </w:pPr>
            <w:r>
              <w:rPr>
                <w:sz w:val="24"/>
              </w:rPr>
              <w:t xml:space="preserve">      r—关心点距噪声源距离，m；r</w:t>
            </w:r>
            <w:r>
              <w:rPr>
                <w:sz w:val="24"/>
                <w:vertAlign w:val="subscript"/>
              </w:rPr>
              <w:t>0</w:t>
            </w:r>
            <w:r>
              <w:rPr>
                <w:sz w:val="24"/>
              </w:rPr>
              <w:t>—距噪声源距离，r</w:t>
            </w:r>
            <w:r>
              <w:rPr>
                <w:sz w:val="24"/>
                <w:vertAlign w:val="subscript"/>
              </w:rPr>
              <w:t>0</w:t>
            </w:r>
            <w:r>
              <w:rPr>
                <w:sz w:val="24"/>
              </w:rPr>
              <w:t>取1m。</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rPr>
            </w:pPr>
            <w:r>
              <w:rPr>
                <w:rFonts w:hint="eastAsia" w:ascii="宋体" w:hAnsi="宋体" w:cs="宋体"/>
                <w:sz w:val="24"/>
              </w:rPr>
              <w:t>②</w:t>
            </w:r>
            <w:r>
              <w:rPr>
                <w:sz w:val="24"/>
              </w:rPr>
              <w:t>各预测点的等效声级公式</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sz w:val="24"/>
              </w:rPr>
            </w:pPr>
            <w:r>
              <w:rPr>
                <w:position w:val="-28"/>
                <w:sz w:val="24"/>
              </w:rPr>
              <w:object>
                <v:shape id="_x0000_i1026" o:spt="75" type="#_x0000_t75" style="height:41.5pt;width:138pt;" o:ole="t" filled="f" o:preferrelative="t" stroked="f" coordsize="21600,21600">
                  <v:path/>
                  <v:fill on="f" focussize="0,0"/>
                  <v:stroke on="f" joinstyle="miter"/>
                  <v:imagedata r:id="rId15" o:title=""/>
                  <o:lock v:ext="edit" aspectratio="t"/>
                  <w10:wrap type="none"/>
                  <w10:anchorlock/>
                </v:shape>
                <o:OLEObject Type="Embed" ProgID="Equation.3" ShapeID="_x0000_i1026" DrawAspect="Content" ObjectID="_1468075729" r:id="rId14">
                  <o:LockedField>false</o:LockedField>
                </o:OLEObject>
              </w:objec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rPr>
            </w:pPr>
            <w:r>
              <w:rPr>
                <w:sz w:val="24"/>
              </w:rPr>
              <w:t>式中，L</w:t>
            </w:r>
            <w:r>
              <w:rPr>
                <w:sz w:val="24"/>
                <w:vertAlign w:val="subscript"/>
              </w:rPr>
              <w:t>Aeq总</w:t>
            </w:r>
            <w:r>
              <w:rPr>
                <w:sz w:val="24"/>
              </w:rPr>
              <w:t>——预测点总声效声级，dB(A)；</w:t>
            </w:r>
          </w:p>
          <w:p>
            <w:pPr>
              <w:keepNext w:val="0"/>
              <w:keepLines w:val="0"/>
              <w:pageBreakBefore w:val="0"/>
              <w:widowControl w:val="0"/>
              <w:kinsoku/>
              <w:wordWrap/>
              <w:overflowPunct/>
              <w:topLinePunct w:val="0"/>
              <w:autoSpaceDE/>
              <w:autoSpaceDN/>
              <w:bidi w:val="0"/>
              <w:adjustRightInd/>
              <w:snapToGrid/>
              <w:spacing w:line="440" w:lineRule="exact"/>
              <w:ind w:firstLine="1200" w:firstLineChars="500"/>
              <w:textAlignment w:val="auto"/>
              <w:rPr>
                <w:sz w:val="24"/>
              </w:rPr>
            </w:pPr>
            <w:r>
              <w:rPr>
                <w:sz w:val="24"/>
              </w:rPr>
              <w:t>L</w:t>
            </w:r>
            <w:r>
              <w:rPr>
                <w:sz w:val="24"/>
                <w:vertAlign w:val="subscript"/>
              </w:rPr>
              <w:t>i</w:t>
            </w:r>
            <w:r>
              <w:rPr>
                <w:sz w:val="24"/>
              </w:rPr>
              <w:t>——声源对预测点的等效声级，dB(A)；</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rPr>
            </w:pPr>
            <w:r>
              <w:rPr>
                <w:sz w:val="24"/>
              </w:rPr>
              <w:t xml:space="preserve">      n——预测点受声源数量。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rPr>
            </w:pPr>
            <w:r>
              <w:rPr>
                <w:sz w:val="24"/>
              </w:rPr>
              <w:t>计算出预测点的总等效声级后，对照评价标准，得出工程完成后噪声源对厂界声环境影响评价结论。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rPr>
            </w:pPr>
            <w:r>
              <w:rPr>
                <w:rFonts w:hint="eastAsia"/>
                <w:sz w:val="24"/>
                <w:lang w:val="en-US" w:eastAsia="zh-CN"/>
              </w:rPr>
              <w:t>2.5</w:t>
            </w:r>
            <w:r>
              <w:rPr>
                <w:sz w:val="24"/>
              </w:rPr>
              <w:t>预测结果分析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pPr>
            <w:r>
              <w:rPr>
                <w:sz w:val="24"/>
              </w:rPr>
              <w:t>营运期厂界噪声预测结果见下表。</w:t>
            </w:r>
          </w:p>
          <w:p>
            <w:pPr>
              <w:keepNext w:val="0"/>
              <w:keepLines w:val="0"/>
              <w:pageBreakBefore w:val="0"/>
              <w:widowControl w:val="0"/>
              <w:tabs>
                <w:tab w:val="left" w:pos="993"/>
              </w:tabs>
              <w:kinsoku/>
              <w:wordWrap/>
              <w:overflowPunct/>
              <w:topLinePunct w:val="0"/>
              <w:autoSpaceDE/>
              <w:autoSpaceDN/>
              <w:bidi w:val="0"/>
              <w:adjustRightInd/>
              <w:snapToGrid/>
              <w:spacing w:line="240" w:lineRule="auto"/>
              <w:jc w:val="center"/>
              <w:textAlignment w:val="auto"/>
              <w:rPr>
                <w:rFonts w:ascii="黑体" w:hAnsi="黑体" w:eastAsia="黑体" w:cs="黑体"/>
                <w:bCs/>
                <w:sz w:val="24"/>
              </w:rPr>
            </w:pPr>
            <w:r>
              <w:rPr>
                <w:rFonts w:hint="eastAsia" w:ascii="黑体" w:hAnsi="黑体" w:eastAsia="黑体" w:cs="黑体"/>
                <w:bCs/>
                <w:sz w:val="24"/>
              </w:rPr>
              <w:t>营运期噪声预测结果表  单位：dB(A)</w:t>
            </w:r>
          </w:p>
          <w:tbl>
            <w:tblPr>
              <w:tblStyle w:val="12"/>
              <w:tblW w:w="8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9"/>
              <w:gridCol w:w="1404"/>
              <w:gridCol w:w="1766"/>
              <w:gridCol w:w="1279"/>
              <w:gridCol w:w="1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29" w:type="dxa"/>
                  <w:vAlign w:val="center"/>
                </w:tcPr>
                <w:p>
                  <w:pPr>
                    <w:keepNext w:val="0"/>
                    <w:keepLines w:val="0"/>
                    <w:pageBreakBefore w:val="0"/>
                    <w:kinsoku/>
                    <w:wordWrap/>
                    <w:overflowPunct/>
                    <w:topLinePunct w:val="0"/>
                    <w:autoSpaceDE/>
                    <w:autoSpaceDN/>
                    <w:bidi w:val="0"/>
                    <w:adjustRightInd/>
                    <w:snapToGrid/>
                    <w:spacing w:line="240" w:lineRule="exact"/>
                    <w:jc w:val="center"/>
                    <w:rPr>
                      <w:bCs/>
                      <w:szCs w:val="21"/>
                      <w:lang w:val="en-GB"/>
                    </w:rPr>
                  </w:pPr>
                  <w:r>
                    <w:rPr>
                      <w:bCs/>
                      <w:szCs w:val="21"/>
                      <w:lang w:val="en-GB"/>
                    </w:rPr>
                    <w:t>预测点</w:t>
                  </w:r>
                </w:p>
              </w:tc>
              <w:tc>
                <w:tcPr>
                  <w:tcW w:w="1404" w:type="dxa"/>
                  <w:vAlign w:val="center"/>
                </w:tcPr>
                <w:p>
                  <w:pPr>
                    <w:keepNext w:val="0"/>
                    <w:keepLines w:val="0"/>
                    <w:pageBreakBefore w:val="0"/>
                    <w:kinsoku/>
                    <w:wordWrap/>
                    <w:overflowPunct/>
                    <w:topLinePunct w:val="0"/>
                    <w:autoSpaceDE/>
                    <w:autoSpaceDN/>
                    <w:bidi w:val="0"/>
                    <w:adjustRightInd/>
                    <w:snapToGrid/>
                    <w:spacing w:line="240" w:lineRule="exact"/>
                    <w:jc w:val="center"/>
                    <w:rPr>
                      <w:bCs/>
                      <w:szCs w:val="21"/>
                      <w:lang w:val="en-GB"/>
                    </w:rPr>
                  </w:pPr>
                  <w:r>
                    <w:rPr>
                      <w:bCs/>
                      <w:szCs w:val="21"/>
                      <w:lang w:val="en-GB"/>
                    </w:rPr>
                    <w:t>时段</w:t>
                  </w:r>
                </w:p>
              </w:tc>
              <w:tc>
                <w:tcPr>
                  <w:tcW w:w="1766" w:type="dxa"/>
                  <w:vAlign w:val="center"/>
                </w:tcPr>
                <w:p>
                  <w:pPr>
                    <w:keepNext w:val="0"/>
                    <w:keepLines w:val="0"/>
                    <w:pageBreakBefore w:val="0"/>
                    <w:kinsoku/>
                    <w:wordWrap/>
                    <w:overflowPunct/>
                    <w:topLinePunct w:val="0"/>
                    <w:autoSpaceDE/>
                    <w:autoSpaceDN/>
                    <w:bidi w:val="0"/>
                    <w:adjustRightInd/>
                    <w:snapToGrid/>
                    <w:spacing w:line="240" w:lineRule="exact"/>
                    <w:jc w:val="center"/>
                    <w:rPr>
                      <w:bCs/>
                      <w:szCs w:val="21"/>
                      <w:lang w:val="en-GB"/>
                    </w:rPr>
                  </w:pPr>
                  <w:r>
                    <w:rPr>
                      <w:bCs/>
                      <w:szCs w:val="21"/>
                      <w:lang w:val="en-GB"/>
                    </w:rPr>
                    <w:t>贡献值</w:t>
                  </w:r>
                </w:p>
              </w:tc>
              <w:tc>
                <w:tcPr>
                  <w:tcW w:w="1279" w:type="dxa"/>
                  <w:vAlign w:val="center"/>
                </w:tcPr>
                <w:p>
                  <w:pPr>
                    <w:keepNext w:val="0"/>
                    <w:keepLines w:val="0"/>
                    <w:pageBreakBefore w:val="0"/>
                    <w:kinsoku/>
                    <w:wordWrap/>
                    <w:overflowPunct/>
                    <w:topLinePunct w:val="0"/>
                    <w:autoSpaceDE/>
                    <w:autoSpaceDN/>
                    <w:bidi w:val="0"/>
                    <w:adjustRightInd/>
                    <w:snapToGrid/>
                    <w:spacing w:line="240" w:lineRule="exact"/>
                    <w:jc w:val="center"/>
                    <w:rPr>
                      <w:bCs/>
                      <w:szCs w:val="21"/>
                      <w:lang w:val="en-GB"/>
                    </w:rPr>
                  </w:pPr>
                  <w:r>
                    <w:rPr>
                      <w:bCs/>
                      <w:szCs w:val="21"/>
                      <w:lang w:val="en-GB"/>
                    </w:rPr>
                    <w:t>标准值</w:t>
                  </w:r>
                </w:p>
              </w:tc>
              <w:tc>
                <w:tcPr>
                  <w:tcW w:w="1923" w:type="dxa"/>
                  <w:vAlign w:val="center"/>
                </w:tcPr>
                <w:p>
                  <w:pPr>
                    <w:keepNext w:val="0"/>
                    <w:keepLines w:val="0"/>
                    <w:pageBreakBefore w:val="0"/>
                    <w:kinsoku/>
                    <w:wordWrap/>
                    <w:overflowPunct/>
                    <w:topLinePunct w:val="0"/>
                    <w:autoSpaceDE/>
                    <w:autoSpaceDN/>
                    <w:bidi w:val="0"/>
                    <w:adjustRightInd/>
                    <w:snapToGrid/>
                    <w:spacing w:line="240" w:lineRule="exact"/>
                    <w:jc w:val="center"/>
                    <w:rPr>
                      <w:bCs/>
                      <w:szCs w:val="21"/>
                      <w:lang w:val="en-GB"/>
                    </w:rPr>
                  </w:pPr>
                  <w:r>
                    <w:rPr>
                      <w:bCs/>
                      <w:szCs w:val="21"/>
                      <w:lang w:val="en-GB"/>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829"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eastAsia="宋体"/>
                      <w:bCs/>
                      <w:szCs w:val="21"/>
                      <w:lang w:val="en-GB" w:eastAsia="zh-CN"/>
                    </w:rPr>
                  </w:pPr>
                  <w:r>
                    <w:rPr>
                      <w:rFonts w:hint="eastAsia"/>
                      <w:bCs/>
                      <w:szCs w:val="21"/>
                      <w:lang w:val="en-GB" w:eastAsia="zh-CN"/>
                    </w:rPr>
                    <w:t>东厂界</w:t>
                  </w:r>
                </w:p>
              </w:tc>
              <w:tc>
                <w:tcPr>
                  <w:tcW w:w="1404" w:type="dxa"/>
                  <w:vAlign w:val="center"/>
                </w:tcPr>
                <w:p>
                  <w:pPr>
                    <w:keepNext w:val="0"/>
                    <w:keepLines w:val="0"/>
                    <w:pageBreakBefore w:val="0"/>
                    <w:kinsoku/>
                    <w:wordWrap/>
                    <w:overflowPunct/>
                    <w:topLinePunct w:val="0"/>
                    <w:autoSpaceDE/>
                    <w:autoSpaceDN/>
                    <w:bidi w:val="0"/>
                    <w:adjustRightInd/>
                    <w:snapToGrid/>
                    <w:spacing w:line="240" w:lineRule="exact"/>
                    <w:jc w:val="center"/>
                    <w:rPr>
                      <w:bCs/>
                      <w:szCs w:val="21"/>
                      <w:lang w:val="en-GB"/>
                    </w:rPr>
                  </w:pPr>
                  <w:r>
                    <w:rPr>
                      <w:bCs/>
                      <w:szCs w:val="21"/>
                      <w:lang w:val="en-GB"/>
                    </w:rPr>
                    <w:t>昼间</w:t>
                  </w:r>
                </w:p>
              </w:tc>
              <w:tc>
                <w:tcPr>
                  <w:tcW w:w="176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cs="Times New Roman"/>
                      <w:bCs/>
                      <w:color w:val="auto"/>
                      <w:sz w:val="21"/>
                      <w:szCs w:val="21"/>
                      <w:lang w:val="en-US" w:eastAsia="zh-CN"/>
                    </w:rPr>
                  </w:pPr>
                  <w:r>
                    <w:rPr>
                      <w:rFonts w:hint="eastAsia" w:cs="Times New Roman"/>
                      <w:bCs/>
                      <w:color w:val="auto"/>
                      <w:sz w:val="21"/>
                      <w:szCs w:val="21"/>
                      <w:lang w:val="en-US" w:eastAsia="zh-CN"/>
                    </w:rPr>
                    <w:t>49.6</w:t>
                  </w:r>
                </w:p>
              </w:tc>
              <w:tc>
                <w:tcPr>
                  <w:tcW w:w="1279" w:type="dxa"/>
                  <w:vMerge w:val="restart"/>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lang w:val="en-US" w:eastAsia="zh-CN"/>
                    </w:rPr>
                  </w:pPr>
                  <w:r>
                    <w:rPr>
                      <w:rFonts w:hint="default" w:ascii="Times New Roman" w:hAnsi="Times New Roman" w:cs="Times New Roman"/>
                      <w:sz w:val="21"/>
                      <w:szCs w:val="21"/>
                      <w:lang w:eastAsia="zh-CN"/>
                    </w:rPr>
                    <w:t>昼间：</w:t>
                  </w:r>
                  <w:r>
                    <w:rPr>
                      <w:rFonts w:hint="eastAsia" w:cs="Times New Roman"/>
                      <w:sz w:val="21"/>
                      <w:szCs w:val="21"/>
                      <w:lang w:val="en-US" w:eastAsia="zh-CN"/>
                    </w:rPr>
                    <w:t>55</w:t>
                  </w:r>
                </w:p>
              </w:tc>
              <w:tc>
                <w:tcPr>
                  <w:tcW w:w="1923" w:type="dxa"/>
                  <w:vAlign w:val="center"/>
                </w:tcPr>
                <w:p>
                  <w:pPr>
                    <w:keepNext w:val="0"/>
                    <w:keepLines w:val="0"/>
                    <w:pageBreakBefore w:val="0"/>
                    <w:kinsoku/>
                    <w:wordWrap/>
                    <w:overflowPunct/>
                    <w:topLinePunct w:val="0"/>
                    <w:autoSpaceDE/>
                    <w:autoSpaceDN/>
                    <w:bidi w:val="0"/>
                    <w:adjustRightInd/>
                    <w:snapToGrid/>
                    <w:spacing w:line="240" w:lineRule="exact"/>
                    <w:jc w:val="center"/>
                    <w:rPr>
                      <w:szCs w:val="21"/>
                    </w:rPr>
                  </w:pPr>
                  <w:r>
                    <w:rPr>
                      <w:bCs/>
                      <w:szCs w:val="21"/>
                      <w:lang w:val="en-GB"/>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29" w:type="dxa"/>
                  <w:vAlign w:val="center"/>
                </w:tcPr>
                <w:p>
                  <w:pPr>
                    <w:keepNext w:val="0"/>
                    <w:keepLines w:val="0"/>
                    <w:pageBreakBefore w:val="0"/>
                    <w:kinsoku/>
                    <w:wordWrap/>
                    <w:overflowPunct/>
                    <w:topLinePunct w:val="0"/>
                    <w:autoSpaceDE/>
                    <w:autoSpaceDN/>
                    <w:bidi w:val="0"/>
                    <w:adjustRightInd/>
                    <w:snapToGrid/>
                    <w:spacing w:line="240" w:lineRule="exact"/>
                    <w:jc w:val="center"/>
                    <w:rPr>
                      <w:bCs/>
                      <w:szCs w:val="21"/>
                      <w:lang w:val="en-GB"/>
                    </w:rPr>
                  </w:pPr>
                  <w:r>
                    <w:rPr>
                      <w:bCs/>
                      <w:szCs w:val="21"/>
                      <w:lang w:val="en-GB"/>
                    </w:rPr>
                    <w:t>南厂界</w:t>
                  </w:r>
                </w:p>
              </w:tc>
              <w:tc>
                <w:tcPr>
                  <w:tcW w:w="1404" w:type="dxa"/>
                  <w:vAlign w:val="center"/>
                </w:tcPr>
                <w:p>
                  <w:pPr>
                    <w:keepNext w:val="0"/>
                    <w:keepLines w:val="0"/>
                    <w:pageBreakBefore w:val="0"/>
                    <w:kinsoku/>
                    <w:wordWrap/>
                    <w:overflowPunct/>
                    <w:topLinePunct w:val="0"/>
                    <w:autoSpaceDE/>
                    <w:autoSpaceDN/>
                    <w:bidi w:val="0"/>
                    <w:adjustRightInd/>
                    <w:snapToGrid/>
                    <w:spacing w:line="240" w:lineRule="exact"/>
                    <w:jc w:val="center"/>
                    <w:rPr>
                      <w:bCs/>
                      <w:szCs w:val="21"/>
                      <w:lang w:val="en-GB"/>
                    </w:rPr>
                  </w:pPr>
                  <w:r>
                    <w:rPr>
                      <w:bCs/>
                      <w:szCs w:val="21"/>
                      <w:lang w:val="en-GB"/>
                    </w:rPr>
                    <w:t>昼间</w:t>
                  </w:r>
                </w:p>
              </w:tc>
              <w:tc>
                <w:tcPr>
                  <w:tcW w:w="176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cs="Times New Roman"/>
                      <w:bCs/>
                      <w:color w:val="auto"/>
                      <w:sz w:val="21"/>
                      <w:szCs w:val="21"/>
                      <w:lang w:val="en-US" w:eastAsia="zh-CN"/>
                    </w:rPr>
                  </w:pPr>
                  <w:r>
                    <w:rPr>
                      <w:rFonts w:hint="eastAsia" w:cs="Times New Roman"/>
                      <w:bCs/>
                      <w:color w:val="auto"/>
                      <w:sz w:val="21"/>
                      <w:szCs w:val="21"/>
                      <w:lang w:val="en-US" w:eastAsia="zh-CN"/>
                    </w:rPr>
                    <w:t>47.4</w:t>
                  </w:r>
                </w:p>
              </w:tc>
              <w:tc>
                <w:tcPr>
                  <w:tcW w:w="1279" w:type="dxa"/>
                  <w:vMerge w:val="continue"/>
                  <w:vAlign w:val="center"/>
                </w:tcPr>
                <w:p>
                  <w:pPr>
                    <w:keepNext w:val="0"/>
                    <w:keepLines w:val="0"/>
                    <w:pageBreakBefore w:val="0"/>
                    <w:kinsoku/>
                    <w:wordWrap/>
                    <w:overflowPunct/>
                    <w:topLinePunct w:val="0"/>
                    <w:autoSpaceDE/>
                    <w:autoSpaceDN/>
                    <w:bidi w:val="0"/>
                    <w:adjustRightInd/>
                    <w:snapToGrid/>
                    <w:spacing w:line="240" w:lineRule="exact"/>
                    <w:jc w:val="center"/>
                    <w:rPr>
                      <w:szCs w:val="21"/>
                    </w:rPr>
                  </w:pPr>
                </w:p>
              </w:tc>
              <w:tc>
                <w:tcPr>
                  <w:tcW w:w="1923" w:type="dxa"/>
                  <w:vAlign w:val="center"/>
                </w:tcPr>
                <w:p>
                  <w:pPr>
                    <w:keepNext w:val="0"/>
                    <w:keepLines w:val="0"/>
                    <w:pageBreakBefore w:val="0"/>
                    <w:kinsoku/>
                    <w:wordWrap/>
                    <w:overflowPunct/>
                    <w:topLinePunct w:val="0"/>
                    <w:autoSpaceDE/>
                    <w:autoSpaceDN/>
                    <w:bidi w:val="0"/>
                    <w:adjustRightInd/>
                    <w:snapToGrid/>
                    <w:spacing w:line="240" w:lineRule="exact"/>
                    <w:jc w:val="center"/>
                    <w:rPr>
                      <w:bCs/>
                      <w:szCs w:val="21"/>
                      <w:lang w:val="en-GB"/>
                    </w:rPr>
                  </w:pPr>
                  <w:r>
                    <w:rPr>
                      <w:bCs/>
                      <w:szCs w:val="21"/>
                      <w:lang w:val="en-GB"/>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29" w:type="dxa"/>
                  <w:vAlign w:val="center"/>
                </w:tcPr>
                <w:p>
                  <w:pPr>
                    <w:keepNext w:val="0"/>
                    <w:keepLines w:val="0"/>
                    <w:pageBreakBefore w:val="0"/>
                    <w:kinsoku/>
                    <w:wordWrap/>
                    <w:overflowPunct/>
                    <w:topLinePunct w:val="0"/>
                    <w:autoSpaceDE/>
                    <w:autoSpaceDN/>
                    <w:bidi w:val="0"/>
                    <w:adjustRightInd/>
                    <w:snapToGrid/>
                    <w:spacing w:line="240" w:lineRule="exact"/>
                    <w:jc w:val="center"/>
                    <w:rPr>
                      <w:bCs/>
                      <w:szCs w:val="21"/>
                      <w:lang w:val="en-GB"/>
                    </w:rPr>
                  </w:pPr>
                  <w:r>
                    <w:rPr>
                      <w:bCs/>
                      <w:szCs w:val="21"/>
                      <w:lang w:val="en-GB"/>
                    </w:rPr>
                    <w:t>西厂界</w:t>
                  </w:r>
                </w:p>
              </w:tc>
              <w:tc>
                <w:tcPr>
                  <w:tcW w:w="1404" w:type="dxa"/>
                  <w:vAlign w:val="center"/>
                </w:tcPr>
                <w:p>
                  <w:pPr>
                    <w:keepNext w:val="0"/>
                    <w:keepLines w:val="0"/>
                    <w:pageBreakBefore w:val="0"/>
                    <w:kinsoku/>
                    <w:wordWrap/>
                    <w:overflowPunct/>
                    <w:topLinePunct w:val="0"/>
                    <w:autoSpaceDE/>
                    <w:autoSpaceDN/>
                    <w:bidi w:val="0"/>
                    <w:adjustRightInd/>
                    <w:snapToGrid/>
                    <w:spacing w:line="240" w:lineRule="exact"/>
                    <w:jc w:val="center"/>
                    <w:rPr>
                      <w:bCs/>
                      <w:szCs w:val="21"/>
                      <w:lang w:val="en-GB"/>
                    </w:rPr>
                  </w:pPr>
                  <w:r>
                    <w:rPr>
                      <w:bCs/>
                      <w:szCs w:val="21"/>
                      <w:lang w:val="en-GB"/>
                    </w:rPr>
                    <w:t>昼间</w:t>
                  </w:r>
                </w:p>
              </w:tc>
              <w:tc>
                <w:tcPr>
                  <w:tcW w:w="176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cs="Times New Roman"/>
                      <w:bCs/>
                      <w:color w:val="auto"/>
                      <w:sz w:val="21"/>
                      <w:szCs w:val="21"/>
                      <w:lang w:val="en-US" w:eastAsia="zh-CN"/>
                    </w:rPr>
                  </w:pPr>
                  <w:r>
                    <w:rPr>
                      <w:rFonts w:hint="eastAsia" w:cs="Times New Roman"/>
                      <w:bCs/>
                      <w:color w:val="auto"/>
                      <w:sz w:val="21"/>
                      <w:szCs w:val="21"/>
                      <w:lang w:val="en-US" w:eastAsia="zh-CN"/>
                    </w:rPr>
                    <w:t>47.9</w:t>
                  </w:r>
                </w:p>
              </w:tc>
              <w:tc>
                <w:tcPr>
                  <w:tcW w:w="1279" w:type="dxa"/>
                  <w:vMerge w:val="continue"/>
                  <w:vAlign w:val="center"/>
                </w:tcPr>
                <w:p>
                  <w:pPr>
                    <w:keepNext w:val="0"/>
                    <w:keepLines w:val="0"/>
                    <w:pageBreakBefore w:val="0"/>
                    <w:kinsoku/>
                    <w:wordWrap/>
                    <w:overflowPunct/>
                    <w:topLinePunct w:val="0"/>
                    <w:autoSpaceDE/>
                    <w:autoSpaceDN/>
                    <w:bidi w:val="0"/>
                    <w:adjustRightInd/>
                    <w:snapToGrid/>
                    <w:spacing w:line="240" w:lineRule="exact"/>
                    <w:jc w:val="center"/>
                    <w:rPr>
                      <w:szCs w:val="21"/>
                    </w:rPr>
                  </w:pPr>
                </w:p>
              </w:tc>
              <w:tc>
                <w:tcPr>
                  <w:tcW w:w="1923" w:type="dxa"/>
                  <w:vAlign w:val="center"/>
                </w:tcPr>
                <w:p>
                  <w:pPr>
                    <w:keepNext w:val="0"/>
                    <w:keepLines w:val="0"/>
                    <w:pageBreakBefore w:val="0"/>
                    <w:kinsoku/>
                    <w:wordWrap/>
                    <w:overflowPunct/>
                    <w:topLinePunct w:val="0"/>
                    <w:autoSpaceDE/>
                    <w:autoSpaceDN/>
                    <w:bidi w:val="0"/>
                    <w:adjustRightInd/>
                    <w:snapToGrid/>
                    <w:spacing w:line="240" w:lineRule="exact"/>
                    <w:jc w:val="center"/>
                    <w:rPr>
                      <w:bCs/>
                      <w:szCs w:val="21"/>
                      <w:lang w:val="en-GB"/>
                    </w:rPr>
                  </w:pPr>
                  <w:r>
                    <w:rPr>
                      <w:bCs/>
                      <w:szCs w:val="21"/>
                      <w:lang w:val="en-GB"/>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29"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eastAsia="宋体"/>
                      <w:bCs/>
                      <w:szCs w:val="21"/>
                      <w:lang w:val="en-GB" w:eastAsia="zh-CN"/>
                    </w:rPr>
                  </w:pPr>
                  <w:r>
                    <w:rPr>
                      <w:rFonts w:hint="eastAsia"/>
                      <w:bCs/>
                      <w:szCs w:val="21"/>
                      <w:lang w:val="en-GB" w:eastAsia="zh-CN"/>
                    </w:rPr>
                    <w:t>北厂界</w:t>
                  </w:r>
                </w:p>
              </w:tc>
              <w:tc>
                <w:tcPr>
                  <w:tcW w:w="1404" w:type="dxa"/>
                  <w:vAlign w:val="center"/>
                </w:tcPr>
                <w:p>
                  <w:pPr>
                    <w:keepNext w:val="0"/>
                    <w:keepLines w:val="0"/>
                    <w:pageBreakBefore w:val="0"/>
                    <w:kinsoku/>
                    <w:wordWrap/>
                    <w:overflowPunct/>
                    <w:topLinePunct w:val="0"/>
                    <w:autoSpaceDE/>
                    <w:autoSpaceDN/>
                    <w:bidi w:val="0"/>
                    <w:adjustRightInd/>
                    <w:snapToGrid/>
                    <w:spacing w:line="240" w:lineRule="exact"/>
                    <w:jc w:val="center"/>
                    <w:rPr>
                      <w:bCs/>
                      <w:szCs w:val="21"/>
                      <w:lang w:val="en-GB"/>
                    </w:rPr>
                  </w:pPr>
                  <w:r>
                    <w:rPr>
                      <w:bCs/>
                      <w:szCs w:val="21"/>
                      <w:lang w:val="en-GB"/>
                    </w:rPr>
                    <w:t>昼间</w:t>
                  </w:r>
                </w:p>
              </w:tc>
              <w:tc>
                <w:tcPr>
                  <w:tcW w:w="176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cs="Times New Roman"/>
                      <w:bCs/>
                      <w:color w:val="auto"/>
                      <w:sz w:val="21"/>
                      <w:szCs w:val="21"/>
                      <w:lang w:val="en-US" w:eastAsia="zh-CN"/>
                    </w:rPr>
                  </w:pPr>
                  <w:r>
                    <w:rPr>
                      <w:rFonts w:hint="eastAsia" w:cs="Times New Roman"/>
                      <w:bCs/>
                      <w:color w:val="auto"/>
                      <w:sz w:val="21"/>
                      <w:szCs w:val="21"/>
                      <w:lang w:val="en-US" w:eastAsia="zh-CN"/>
                    </w:rPr>
                    <w:t>50.2</w:t>
                  </w:r>
                </w:p>
              </w:tc>
              <w:tc>
                <w:tcPr>
                  <w:tcW w:w="1279" w:type="dxa"/>
                  <w:vMerge w:val="continue"/>
                  <w:vAlign w:val="center"/>
                </w:tcPr>
                <w:p>
                  <w:pPr>
                    <w:keepNext w:val="0"/>
                    <w:keepLines w:val="0"/>
                    <w:pageBreakBefore w:val="0"/>
                    <w:kinsoku/>
                    <w:wordWrap/>
                    <w:overflowPunct/>
                    <w:topLinePunct w:val="0"/>
                    <w:autoSpaceDE/>
                    <w:autoSpaceDN/>
                    <w:bidi w:val="0"/>
                    <w:adjustRightInd/>
                    <w:snapToGrid/>
                    <w:spacing w:line="240" w:lineRule="exact"/>
                    <w:jc w:val="center"/>
                    <w:rPr>
                      <w:szCs w:val="21"/>
                    </w:rPr>
                  </w:pPr>
                </w:p>
              </w:tc>
              <w:tc>
                <w:tcPr>
                  <w:tcW w:w="1923"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eastAsia="宋体"/>
                      <w:bCs/>
                      <w:szCs w:val="21"/>
                      <w:lang w:val="en-GB" w:eastAsia="zh-CN"/>
                    </w:rPr>
                  </w:pPr>
                  <w:r>
                    <w:rPr>
                      <w:rFonts w:hint="eastAsia"/>
                      <w:bCs/>
                      <w:szCs w:val="21"/>
                      <w:lang w:val="en-GB"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29"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eastAsia="宋体"/>
                      <w:bCs/>
                      <w:szCs w:val="21"/>
                      <w:lang w:val="en-GB" w:eastAsia="zh-CN"/>
                    </w:rPr>
                  </w:pPr>
                  <w:r>
                    <w:rPr>
                      <w:rFonts w:hint="eastAsia"/>
                      <w:bCs/>
                      <w:szCs w:val="21"/>
                      <w:lang w:val="en-GB" w:eastAsia="zh-CN"/>
                    </w:rPr>
                    <w:t>涧南庄村</w:t>
                  </w:r>
                </w:p>
              </w:tc>
              <w:tc>
                <w:tcPr>
                  <w:tcW w:w="1404"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eastAsia="宋体"/>
                      <w:bCs/>
                      <w:szCs w:val="21"/>
                      <w:lang w:val="en-GB" w:eastAsia="zh-CN"/>
                    </w:rPr>
                  </w:pPr>
                  <w:r>
                    <w:rPr>
                      <w:rFonts w:hint="eastAsia"/>
                      <w:bCs/>
                      <w:szCs w:val="21"/>
                      <w:lang w:val="en-GB" w:eastAsia="zh-CN"/>
                    </w:rPr>
                    <w:t>昼间</w:t>
                  </w:r>
                </w:p>
              </w:tc>
              <w:tc>
                <w:tcPr>
                  <w:tcW w:w="176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cs="Times New Roman"/>
                      <w:bCs/>
                      <w:color w:val="auto"/>
                      <w:sz w:val="21"/>
                      <w:szCs w:val="21"/>
                      <w:lang w:val="en-US" w:eastAsia="zh-CN"/>
                    </w:rPr>
                  </w:pPr>
                  <w:r>
                    <w:rPr>
                      <w:rFonts w:hint="eastAsia" w:cs="Times New Roman"/>
                      <w:bCs/>
                      <w:color w:val="auto"/>
                      <w:sz w:val="21"/>
                      <w:szCs w:val="21"/>
                      <w:lang w:val="en-US" w:eastAsia="zh-CN"/>
                    </w:rPr>
                    <w:t>44.3</w:t>
                  </w:r>
                </w:p>
              </w:tc>
              <w:tc>
                <w:tcPr>
                  <w:tcW w:w="1279" w:type="dxa"/>
                  <w:vMerge w:val="continue"/>
                  <w:vAlign w:val="center"/>
                </w:tcPr>
                <w:p>
                  <w:pPr>
                    <w:keepNext w:val="0"/>
                    <w:keepLines w:val="0"/>
                    <w:pageBreakBefore w:val="0"/>
                    <w:kinsoku/>
                    <w:wordWrap/>
                    <w:overflowPunct/>
                    <w:topLinePunct w:val="0"/>
                    <w:autoSpaceDE/>
                    <w:autoSpaceDN/>
                    <w:bidi w:val="0"/>
                    <w:adjustRightInd/>
                    <w:snapToGrid/>
                    <w:spacing w:line="240" w:lineRule="exact"/>
                    <w:jc w:val="center"/>
                    <w:rPr>
                      <w:szCs w:val="21"/>
                    </w:rPr>
                  </w:pPr>
                </w:p>
              </w:tc>
              <w:tc>
                <w:tcPr>
                  <w:tcW w:w="1923"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bCs/>
                      <w:szCs w:val="21"/>
                      <w:lang w:val="en-GB" w:eastAsia="zh-CN"/>
                    </w:rPr>
                  </w:pPr>
                  <w:r>
                    <w:rPr>
                      <w:rFonts w:hint="eastAsia"/>
                      <w:bCs/>
                      <w:szCs w:val="21"/>
                      <w:lang w:val="en-GB"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29"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bCs/>
                      <w:szCs w:val="21"/>
                      <w:lang w:val="en-GB" w:eastAsia="zh-CN"/>
                    </w:rPr>
                  </w:pPr>
                  <w:r>
                    <w:rPr>
                      <w:rFonts w:hint="eastAsia"/>
                      <w:bCs/>
                      <w:szCs w:val="21"/>
                      <w:lang w:val="en-GB" w:eastAsia="zh-CN"/>
                    </w:rPr>
                    <w:t>南侧住户</w:t>
                  </w:r>
                </w:p>
              </w:tc>
              <w:tc>
                <w:tcPr>
                  <w:tcW w:w="1404"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bCs/>
                      <w:szCs w:val="21"/>
                      <w:lang w:val="en-GB" w:eastAsia="zh-CN"/>
                    </w:rPr>
                  </w:pPr>
                  <w:r>
                    <w:rPr>
                      <w:rFonts w:hint="eastAsia"/>
                      <w:bCs/>
                      <w:szCs w:val="21"/>
                      <w:lang w:val="en-GB" w:eastAsia="zh-CN"/>
                    </w:rPr>
                    <w:t>昼间</w:t>
                  </w:r>
                </w:p>
              </w:tc>
              <w:tc>
                <w:tcPr>
                  <w:tcW w:w="176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cs="Times New Roman"/>
                      <w:bCs/>
                      <w:color w:val="auto"/>
                      <w:sz w:val="21"/>
                      <w:szCs w:val="21"/>
                      <w:lang w:val="en-US" w:eastAsia="zh-CN"/>
                    </w:rPr>
                  </w:pPr>
                  <w:r>
                    <w:rPr>
                      <w:rFonts w:hint="eastAsia" w:cs="Times New Roman"/>
                      <w:bCs/>
                      <w:color w:val="auto"/>
                      <w:sz w:val="21"/>
                      <w:szCs w:val="21"/>
                      <w:lang w:val="en-US" w:eastAsia="zh-CN"/>
                    </w:rPr>
                    <w:t>45.2</w:t>
                  </w:r>
                </w:p>
              </w:tc>
              <w:tc>
                <w:tcPr>
                  <w:tcW w:w="1279" w:type="dxa"/>
                  <w:vMerge w:val="continue"/>
                  <w:vAlign w:val="center"/>
                </w:tcPr>
                <w:p>
                  <w:pPr>
                    <w:keepNext w:val="0"/>
                    <w:keepLines w:val="0"/>
                    <w:pageBreakBefore w:val="0"/>
                    <w:kinsoku/>
                    <w:wordWrap/>
                    <w:overflowPunct/>
                    <w:topLinePunct w:val="0"/>
                    <w:autoSpaceDE/>
                    <w:autoSpaceDN/>
                    <w:bidi w:val="0"/>
                    <w:adjustRightInd/>
                    <w:snapToGrid/>
                    <w:spacing w:line="240" w:lineRule="exact"/>
                    <w:jc w:val="center"/>
                    <w:rPr>
                      <w:szCs w:val="21"/>
                    </w:rPr>
                  </w:pPr>
                </w:p>
              </w:tc>
              <w:tc>
                <w:tcPr>
                  <w:tcW w:w="1923"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bCs/>
                      <w:szCs w:val="21"/>
                      <w:lang w:val="en-GB" w:eastAsia="zh-CN"/>
                    </w:rPr>
                  </w:pPr>
                  <w:r>
                    <w:rPr>
                      <w:rFonts w:hint="eastAsia"/>
                      <w:bCs/>
                      <w:szCs w:val="21"/>
                      <w:lang w:val="en-GB" w:eastAsia="zh-CN"/>
                    </w:rPr>
                    <w:t>达标</w:t>
                  </w:r>
                </w:p>
              </w:tc>
            </w:tr>
          </w:tbl>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rPr>
            </w:pPr>
            <w:r>
              <w:rPr>
                <w:sz w:val="24"/>
              </w:rPr>
              <w:t>由上表可知，</w:t>
            </w:r>
            <w:r>
              <w:rPr>
                <w:rFonts w:hint="eastAsia"/>
                <w:sz w:val="24"/>
                <w:lang w:eastAsia="zh-CN"/>
              </w:rPr>
              <w:t>东、</w:t>
            </w:r>
            <w:r>
              <w:rPr>
                <w:rFonts w:hint="eastAsia"/>
                <w:sz w:val="24"/>
              </w:rPr>
              <w:t>南、西</w:t>
            </w:r>
            <w:r>
              <w:rPr>
                <w:rFonts w:hint="eastAsia"/>
                <w:sz w:val="24"/>
                <w:lang w:eastAsia="zh-CN"/>
              </w:rPr>
              <w:t>、北</w:t>
            </w:r>
            <w:r>
              <w:rPr>
                <w:rFonts w:hint="eastAsia"/>
                <w:sz w:val="24"/>
              </w:rPr>
              <w:t>厂界</w:t>
            </w:r>
            <w:r>
              <w:rPr>
                <w:rFonts w:hint="eastAsia"/>
                <w:sz w:val="24"/>
                <w:lang w:eastAsia="zh-CN"/>
              </w:rPr>
              <w:t>、涧南庄村及南侧住户昼间</w:t>
            </w:r>
            <w:r>
              <w:rPr>
                <w:sz w:val="24"/>
              </w:rPr>
              <w:t>噪声</w:t>
            </w:r>
            <w:r>
              <w:rPr>
                <w:rFonts w:hint="eastAsia"/>
                <w:sz w:val="24"/>
                <w:lang w:eastAsia="zh-CN"/>
              </w:rPr>
              <w:t>贡献值</w:t>
            </w:r>
            <w:r>
              <w:rPr>
                <w:sz w:val="24"/>
              </w:rPr>
              <w:t>可以满足《工业企业厂界环境噪声排放标准》（GB12348-2008）中</w:t>
            </w:r>
            <w:r>
              <w:rPr>
                <w:rFonts w:hint="eastAsia"/>
                <w:sz w:val="24"/>
                <w:lang w:val="en-US" w:eastAsia="zh-CN"/>
              </w:rPr>
              <w:t>1</w:t>
            </w:r>
            <w:r>
              <w:rPr>
                <w:sz w:val="24"/>
              </w:rPr>
              <w:t>类标准</w:t>
            </w:r>
            <w:r>
              <w:rPr>
                <w:rFonts w:hint="eastAsia"/>
                <w:sz w:val="24"/>
                <w:lang w:val="en-US" w:eastAsia="zh-CN"/>
              </w:rPr>
              <w:t>，综上所述，噪声可以</w:t>
            </w:r>
            <w:r>
              <w:rPr>
                <w:sz w:val="24"/>
              </w:rPr>
              <w:t>达标排放。</w:t>
            </w:r>
          </w:p>
          <w:p>
            <w:pPr>
              <w:pStyle w:val="3"/>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Times New Roman" w:hAnsi="Times New Roman"/>
                <w:b/>
                <w:sz w:val="24"/>
              </w:rPr>
            </w:pPr>
            <w:r>
              <w:rPr>
                <w:rFonts w:hint="eastAsia" w:ascii="Times New Roman" w:hAnsi="Times New Roman"/>
                <w:b/>
                <w:sz w:val="24"/>
                <w:lang w:val="en-US" w:eastAsia="zh-CN"/>
              </w:rPr>
              <w:t>3、</w:t>
            </w:r>
            <w:r>
              <w:rPr>
                <w:rFonts w:ascii="Times New Roman" w:hAnsi="Times New Roman"/>
                <w:b/>
                <w:sz w:val="24"/>
              </w:rPr>
              <w:t>固体废物影响分析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sz w:val="24"/>
                <w:lang w:val="en-US" w:eastAsia="zh-CN"/>
              </w:rPr>
            </w:pPr>
            <w:r>
              <w:rPr>
                <w:rFonts w:hint="eastAsia"/>
                <w:sz w:val="24"/>
                <w:lang w:eastAsia="zh-CN"/>
              </w:rPr>
              <w:t>本项目固体废物主要为废包装材料、边角料及员工生活垃圾，均为一般固废。废包装材料产生量为</w:t>
            </w:r>
            <w:r>
              <w:rPr>
                <w:rFonts w:hint="eastAsia"/>
                <w:sz w:val="24"/>
                <w:lang w:val="en-US" w:eastAsia="zh-CN"/>
              </w:rPr>
              <w:t>0.2</w:t>
            </w:r>
            <w:r>
              <w:rPr>
                <w:rFonts w:hint="default"/>
                <w:sz w:val="24"/>
                <w:lang w:val="en-US" w:eastAsia="zh-CN"/>
              </w:rPr>
              <w:t>t/a</w:t>
            </w:r>
            <w:r>
              <w:rPr>
                <w:rFonts w:hint="eastAsia"/>
                <w:sz w:val="24"/>
                <w:lang w:val="en-US" w:eastAsia="zh-CN"/>
              </w:rPr>
              <w:t>，由企业一般固废存放场暂存，定期外售于废品收购站；边角料及员工生活垃圾产生量分别为3t/a、</w:t>
            </w:r>
            <w:r>
              <w:rPr>
                <w:rFonts w:hint="eastAsia"/>
                <w:sz w:val="24"/>
              </w:rPr>
              <w:t>2.25t/a</w:t>
            </w:r>
            <w:r>
              <w:rPr>
                <w:rFonts w:hint="eastAsia"/>
                <w:sz w:val="24"/>
                <w:lang w:val="en-US" w:eastAsia="zh-CN"/>
              </w:rPr>
              <w:t>，由专用容器收集后暂存于企业一般固废存放场，定期送至附近垃圾中转站统一处理</w:t>
            </w:r>
            <w:r>
              <w:rPr>
                <w:rFonts w:hint="eastAsia"/>
                <w:sz w:val="24"/>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textAlignment w:val="auto"/>
              <w:rPr>
                <w:rFonts w:hint="eastAsia" w:ascii="Times New Roman" w:hAnsi="Times New Roman"/>
                <w:b/>
                <w:sz w:val="24"/>
                <w:lang w:val="en-US" w:eastAsia="zh-CN"/>
              </w:rPr>
            </w:pPr>
            <w:r>
              <w:rPr>
                <w:rFonts w:hint="eastAsia" w:ascii="Times New Roman" w:hAnsi="Times New Roman"/>
                <w:b/>
                <w:sz w:val="24"/>
                <w:lang w:val="en-US" w:eastAsia="zh-CN"/>
              </w:rPr>
              <w:t>4、土壤环境影响分析</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b w:val="0"/>
                <w:bCs/>
                <w:sz w:val="24"/>
                <w:lang w:val="en-US" w:eastAsia="zh-CN"/>
              </w:rPr>
            </w:pPr>
            <w:r>
              <w:rPr>
                <w:rFonts w:hint="eastAsia" w:ascii="Times New Roman" w:hAnsi="Times New Roman"/>
                <w:b w:val="0"/>
                <w:bCs/>
                <w:sz w:val="24"/>
                <w:lang w:val="en-US" w:eastAsia="zh-CN"/>
              </w:rPr>
              <w:t>本项目属于速冻食品制造，不属于</w:t>
            </w:r>
            <w:r>
              <w:rPr>
                <w:rFonts w:hint="default"/>
                <w:sz w:val="24"/>
                <w:lang w:val="en-US" w:eastAsia="zh-CN"/>
              </w:rPr>
              <w:t>《环境影响评价技术导则 土壤环境》</w:t>
            </w:r>
            <w:r>
              <w:rPr>
                <w:rFonts w:hint="eastAsia"/>
                <w:sz w:val="24"/>
                <w:lang w:val="en-US" w:eastAsia="zh-CN"/>
              </w:rPr>
              <w:t>附录A中项目，本次环评不再进行土壤环境影响预测与评价</w:t>
            </w:r>
            <w:r>
              <w:rPr>
                <w:rFonts w:hint="eastAsia" w:ascii="宋体" w:hAnsi="宋体" w:eastAsia="宋体" w:cs="宋体"/>
                <w:sz w:val="24"/>
                <w:lang w:val="en-US" w:eastAsia="zh-CN"/>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eastAsia" w:ascii="Times New Roman" w:hAnsi="Times New Roman" w:cs="Times New Roman"/>
                <w:b/>
                <w:sz w:val="24"/>
                <w:lang w:val="en-US" w:eastAsia="zh-CN"/>
              </w:rPr>
            </w:pPr>
            <w:r>
              <w:rPr>
                <w:rFonts w:hint="eastAsia" w:ascii="Times New Roman" w:hAnsi="Times New Roman" w:cs="Times New Roman"/>
                <w:b/>
                <w:sz w:val="24"/>
                <w:lang w:val="en-US" w:eastAsia="zh-CN"/>
              </w:rPr>
              <w:t>5、环境风险分析</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Times New Roman" w:hAnsi="Times New Roman" w:cs="Times New Roman"/>
                <w:b w:val="0"/>
                <w:bCs/>
                <w:sz w:val="24"/>
                <w:lang w:val="en-US" w:eastAsia="zh-CN"/>
              </w:rPr>
            </w:pPr>
            <w:r>
              <w:rPr>
                <w:rFonts w:hint="default" w:ascii="Times New Roman" w:hAnsi="Times New Roman" w:cs="Times New Roman"/>
                <w:b w:val="0"/>
                <w:bCs/>
                <w:sz w:val="24"/>
                <w:lang w:val="en-US" w:eastAsia="zh-CN"/>
              </w:rPr>
              <w:t>本项目冷冻隧道及冷藏车间制冷设备使用R22制冷剂和R404a制冷剂，均为灌装，根据</w:t>
            </w:r>
            <w:r>
              <w:rPr>
                <w:rFonts w:hint="default" w:ascii="Times New Roman" w:hAnsi="Times New Roman" w:cs="Times New Roman"/>
                <w:sz w:val="24"/>
                <w:szCs w:val="24"/>
                <w:lang w:val="en-US" w:eastAsia="zh-CN"/>
              </w:rPr>
              <w:t>《建设项目环境风险评价技术导则》（HJ16-2018）附录B，均不属于突发环境事件风险物质</w:t>
            </w:r>
            <w:r>
              <w:rPr>
                <w:rFonts w:hint="default" w:ascii="Times New Roman" w:hAnsi="Times New Roman" w:cs="Times New Roman"/>
                <w:b w:val="0"/>
                <w:bCs/>
                <w:sz w:val="24"/>
                <w:lang w:val="en-US" w:eastAsia="zh-CN"/>
              </w:rPr>
              <w:t>。但制冷剂罐属于压力容器，遇高温或明火存在受热爆炸风险，企业实际生产过程中建议采取以下风险防范措施</w:t>
            </w:r>
            <w:r>
              <w:rPr>
                <w:rFonts w:hint="eastAsia" w:ascii="Times New Roman" w:hAnsi="Times New Roman" w:cs="Times New Roman"/>
                <w:b w:val="0"/>
                <w:bCs/>
                <w:sz w:val="24"/>
                <w:lang w:val="en-US" w:eastAsia="zh-CN"/>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Times New Roman" w:hAnsi="Times New Roman" w:cs="Times New Roman"/>
                <w:b w:val="0"/>
                <w:bCs/>
                <w:sz w:val="24"/>
                <w:lang w:val="en-US" w:eastAsia="zh-CN"/>
              </w:rPr>
            </w:pPr>
            <w:r>
              <w:rPr>
                <w:rFonts w:hint="eastAsia" w:ascii="Times New Roman" w:hAnsi="Times New Roman" w:cs="Times New Roman"/>
                <w:b w:val="0"/>
                <w:bCs/>
                <w:sz w:val="24"/>
                <w:lang w:val="en-US" w:eastAsia="zh-CN"/>
              </w:rPr>
              <w:t>（1）储存及使用时应远离火种、热源、避免阳光直接曝晒，通常储放于阴凉、干燥和通风的仓库或车间内；</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Times New Roman" w:hAnsi="Times New Roman" w:cs="Times New Roman"/>
                <w:b w:val="0"/>
                <w:bCs/>
                <w:sz w:val="24"/>
                <w:lang w:val="en-US" w:eastAsia="zh-CN"/>
              </w:rPr>
            </w:pPr>
            <w:r>
              <w:rPr>
                <w:rFonts w:hint="eastAsia" w:ascii="Times New Roman" w:hAnsi="Times New Roman" w:cs="Times New Roman"/>
                <w:b w:val="0"/>
                <w:bCs/>
                <w:sz w:val="24"/>
                <w:lang w:val="en-US" w:eastAsia="zh-CN"/>
              </w:rPr>
              <w:t>（2）搬运时应轻装、轻卸，防止钢瓶以及阀门等附件破损。</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b w:val="0"/>
                <w:bCs/>
                <w:sz w:val="24"/>
                <w:lang w:val="en-US" w:eastAsia="zh-CN"/>
              </w:rPr>
            </w:pPr>
            <w:r>
              <w:rPr>
                <w:rFonts w:hint="eastAsia" w:ascii="Times New Roman" w:hAnsi="Times New Roman" w:cs="Times New Roman"/>
                <w:b w:val="0"/>
                <w:bCs/>
                <w:sz w:val="24"/>
                <w:lang w:val="en-US" w:eastAsia="zh-CN"/>
              </w:rPr>
              <w:t>采取以上风险防范措施后，本项目环境风险较小，可接受。</w:t>
            </w:r>
          </w:p>
          <w:p>
            <w:pPr>
              <w:pStyle w:val="3"/>
              <w:keepNext w:val="0"/>
              <w:keepLines w:val="0"/>
              <w:pageBreakBefore w:val="0"/>
              <w:widowControl w:val="0"/>
              <w:kinsoku/>
              <w:wordWrap/>
              <w:overflowPunct/>
              <w:topLinePunct w:val="0"/>
              <w:autoSpaceDE/>
              <w:autoSpaceDN/>
              <w:bidi w:val="0"/>
              <w:adjustRightInd/>
              <w:snapToGrid/>
              <w:spacing w:line="400" w:lineRule="exact"/>
              <w:ind w:firstLine="482" w:firstLineChars="200"/>
              <w:jc w:val="both"/>
              <w:textAlignment w:val="auto"/>
              <w:rPr>
                <w:rFonts w:hint="default" w:ascii="Times New Roman" w:hAnsi="Times New Roman" w:cs="Times New Roman"/>
                <w:b/>
                <w:sz w:val="24"/>
              </w:rPr>
            </w:pPr>
            <w:r>
              <w:rPr>
                <w:rFonts w:hint="eastAsia" w:ascii="Times New Roman" w:hAnsi="Times New Roman" w:cs="Times New Roman"/>
                <w:b/>
                <w:sz w:val="24"/>
                <w:lang w:val="en-US" w:eastAsia="zh-CN"/>
              </w:rPr>
              <w:t>6</w:t>
            </w:r>
            <w:r>
              <w:rPr>
                <w:rFonts w:hint="default" w:ascii="Times New Roman" w:hAnsi="Times New Roman" w:cs="Times New Roman"/>
                <w:b/>
                <w:sz w:val="24"/>
              </w:rPr>
              <w:t>、环境管理与监测计划</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sz w:val="24"/>
              </w:rPr>
            </w:pPr>
            <w:r>
              <w:rPr>
                <w:rFonts w:hint="eastAsia" w:cs="Times New Roman"/>
                <w:sz w:val="24"/>
                <w:lang w:val="en-US" w:eastAsia="zh-CN"/>
              </w:rPr>
              <w:t>6</w:t>
            </w:r>
            <w:r>
              <w:rPr>
                <w:rFonts w:hint="default" w:ascii="Times New Roman" w:hAnsi="Times New Roman" w:cs="Times New Roman"/>
                <w:sz w:val="24"/>
                <w:lang w:val="en-US" w:eastAsia="zh-CN"/>
              </w:rPr>
              <w:t>.1</w:t>
            </w:r>
            <w:r>
              <w:rPr>
                <w:rFonts w:hint="default" w:ascii="Times New Roman" w:hAnsi="Times New Roman" w:cs="Times New Roman"/>
                <w:sz w:val="24"/>
              </w:rPr>
              <w:t>环境管理</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sz w:val="24"/>
              </w:rPr>
            </w:pPr>
            <w:r>
              <w:rPr>
                <w:rFonts w:hint="default" w:ascii="Times New Roman" w:hAnsi="Times New Roman" w:cs="Times New Roman"/>
                <w:sz w:val="24"/>
                <w:lang w:eastAsia="zh-CN"/>
              </w:rPr>
              <w:t>本次环评要求企业下设环境管理机构，</w:t>
            </w:r>
            <w:r>
              <w:rPr>
                <w:rFonts w:hint="default" w:ascii="Times New Roman" w:hAnsi="Times New Roman" w:cs="Times New Roman"/>
                <w:sz w:val="24"/>
              </w:rPr>
              <w:t>环保管理部门负责制定环保管理制度并监督执行，主要包括：</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sz w:val="24"/>
              </w:rPr>
            </w:pPr>
            <w:r>
              <w:rPr>
                <w:rFonts w:hint="default" w:ascii="Times New Roman" w:hAnsi="Times New Roman" w:cs="Times New Roman"/>
                <w:sz w:val="24"/>
              </w:rPr>
              <w:t>a、宣传、组织贯彻国家有关环境保护主方针、政策、法令和条例，配合当地环保主管部门和公司安环部门搞好车间的环境保护工作，执行上级主管部门和安环部门建立的各种环境管理制度。</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sz w:val="24"/>
              </w:rPr>
            </w:pPr>
            <w:r>
              <w:rPr>
                <w:rFonts w:hint="default" w:ascii="Times New Roman" w:hAnsi="Times New Roman" w:cs="Times New Roman"/>
                <w:sz w:val="24"/>
              </w:rPr>
              <w:t>b、领导并组织项目运行期（包括非正常运行期）的环境监测工作，建立监控档案；</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sz w:val="24"/>
              </w:rPr>
            </w:pPr>
            <w:r>
              <w:rPr>
                <w:rFonts w:hint="default" w:ascii="Times New Roman" w:hAnsi="Times New Roman" w:cs="Times New Roman"/>
                <w:sz w:val="24"/>
              </w:rPr>
              <w:t>c、开展环保教育、技术培训和学术交流活动，提高工作人员素质，避免员工操作失误造成大气的污染。</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sz w:val="24"/>
              </w:rPr>
            </w:pPr>
            <w:r>
              <w:rPr>
                <w:rFonts w:hint="default" w:ascii="Times New Roman" w:hAnsi="Times New Roman" w:cs="Times New Roman"/>
                <w:sz w:val="24"/>
              </w:rPr>
              <w:t>d、建立环境质量台账，定期对废气处理装置等设施进行检查、维护，确保废气的长期稳定达标排放。</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sz w:val="24"/>
              </w:rPr>
            </w:pPr>
            <w:r>
              <w:rPr>
                <w:rFonts w:hint="eastAsia" w:cs="Times New Roman"/>
                <w:sz w:val="24"/>
                <w:lang w:val="en-US" w:eastAsia="zh-CN"/>
              </w:rPr>
              <w:t>6</w:t>
            </w:r>
            <w:r>
              <w:rPr>
                <w:rFonts w:hint="default" w:ascii="Times New Roman" w:hAnsi="Times New Roman" w:cs="Times New Roman"/>
                <w:sz w:val="24"/>
                <w:lang w:val="en-US" w:eastAsia="zh-CN"/>
              </w:rPr>
              <w:t>.2</w:t>
            </w:r>
            <w:r>
              <w:rPr>
                <w:rFonts w:hint="default" w:ascii="Times New Roman" w:hAnsi="Times New Roman" w:cs="Times New Roman"/>
                <w:sz w:val="24"/>
              </w:rPr>
              <w:t>污染物排放管理要求</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sz w:val="24"/>
              </w:rPr>
            </w:pPr>
            <w:r>
              <w:rPr>
                <w:rFonts w:hint="default" w:ascii="Times New Roman" w:hAnsi="Times New Roman" w:cs="Times New Roman"/>
                <w:sz w:val="24"/>
              </w:rPr>
              <w:t>①污染物治理措施情况</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sz w:val="24"/>
              </w:rPr>
            </w:pPr>
            <w:r>
              <w:rPr>
                <w:rFonts w:hint="default" w:ascii="Times New Roman" w:hAnsi="Times New Roman" w:cs="Times New Roman"/>
                <w:sz w:val="24"/>
              </w:rPr>
              <w:t>建设单位应严格执行与主体工程“同时设计、同时施工、同时投入运行”的三同时原则，建设安装各项环保设施，项目环保设施情况详见下表。</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eastAsia="黑体"/>
                <w:kern w:val="0"/>
                <w:sz w:val="24"/>
              </w:rPr>
            </w:pPr>
            <w:r>
              <w:rPr>
                <w:rFonts w:eastAsia="黑体"/>
                <w:kern w:val="0"/>
                <w:sz w:val="24"/>
              </w:rPr>
              <w:t>项目污染物治理措施汇总表</w:t>
            </w:r>
          </w:p>
          <w:tbl>
            <w:tblPr>
              <w:tblStyle w:val="12"/>
              <w:tblW w:w="8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4"/>
              <w:gridCol w:w="638"/>
              <w:gridCol w:w="872"/>
              <w:gridCol w:w="1059"/>
              <w:gridCol w:w="770"/>
              <w:gridCol w:w="857"/>
              <w:gridCol w:w="862"/>
              <w:gridCol w:w="1133"/>
              <w:gridCol w:w="2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74"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rPr>
                  </w:pPr>
                  <w:r>
                    <w:rPr>
                      <w:b/>
                      <w:kern w:val="0"/>
                      <w:szCs w:val="21"/>
                    </w:rPr>
                    <w:t>类型</w:t>
                  </w:r>
                </w:p>
              </w:tc>
              <w:tc>
                <w:tcPr>
                  <w:tcW w:w="638" w:type="dxa"/>
                  <w:vMerge w:val="restar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rPr>
                  </w:pPr>
                  <w:r>
                    <w:rPr>
                      <w:b/>
                      <w:kern w:val="0"/>
                      <w:szCs w:val="21"/>
                    </w:rPr>
                    <w:t>产生源</w:t>
                  </w:r>
                </w:p>
              </w:tc>
              <w:tc>
                <w:tcPr>
                  <w:tcW w:w="872" w:type="dxa"/>
                  <w:vMerge w:val="restar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rPr>
                  </w:pPr>
                  <w:r>
                    <w:rPr>
                      <w:b/>
                      <w:kern w:val="0"/>
                      <w:szCs w:val="21"/>
                    </w:rPr>
                    <w:t>污染物</w:t>
                  </w:r>
                </w:p>
              </w:tc>
              <w:tc>
                <w:tcPr>
                  <w:tcW w:w="1059" w:type="dxa"/>
                  <w:vMerge w:val="restar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b/>
                      <w:kern w:val="0"/>
                      <w:szCs w:val="21"/>
                    </w:rPr>
                  </w:pPr>
                  <w:r>
                    <w:rPr>
                      <w:b/>
                      <w:kern w:val="0"/>
                      <w:szCs w:val="21"/>
                    </w:rPr>
                    <w:t>排放位置及排放方式</w:t>
                  </w:r>
                </w:p>
              </w:tc>
              <w:tc>
                <w:tcPr>
                  <w:tcW w:w="770" w:type="dxa"/>
                  <w:vMerge w:val="restar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rPr>
                  </w:pPr>
                  <w:r>
                    <w:rPr>
                      <w:b/>
                      <w:kern w:val="0"/>
                      <w:szCs w:val="21"/>
                    </w:rPr>
                    <w:t>运行参数</w:t>
                  </w:r>
                </w:p>
              </w:tc>
              <w:tc>
                <w:tcPr>
                  <w:tcW w:w="1719"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rPr>
                  </w:pPr>
                  <w:r>
                    <w:rPr>
                      <w:b/>
                      <w:kern w:val="0"/>
                      <w:szCs w:val="21"/>
                    </w:rPr>
                    <w:t>污染物排放情况</w:t>
                  </w:r>
                </w:p>
              </w:tc>
              <w:tc>
                <w:tcPr>
                  <w:tcW w:w="1133" w:type="dxa"/>
                  <w:vMerge w:val="restar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rPr>
                  </w:pPr>
                  <w:r>
                    <w:rPr>
                      <w:b/>
                      <w:kern w:val="0"/>
                      <w:szCs w:val="21"/>
                    </w:rPr>
                    <w:t>标准</w:t>
                  </w:r>
                </w:p>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rPr>
                  </w:pPr>
                  <w:r>
                    <w:rPr>
                      <w:b/>
                      <w:kern w:val="0"/>
                      <w:szCs w:val="21"/>
                    </w:rPr>
                    <w:t>限值</w:t>
                  </w:r>
                </w:p>
              </w:tc>
              <w:tc>
                <w:tcPr>
                  <w:tcW w:w="2295" w:type="dxa"/>
                  <w:vMerge w:val="restar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rPr>
                  </w:pPr>
                  <w:r>
                    <w:rPr>
                      <w:b/>
                      <w:kern w:val="0"/>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rPr>
                  </w:pPr>
                </w:p>
              </w:tc>
              <w:tc>
                <w:tcPr>
                  <w:tcW w:w="638" w:type="dxa"/>
                  <w:vMerge w:val="continue"/>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rPr>
                  </w:pPr>
                </w:p>
              </w:tc>
              <w:tc>
                <w:tcPr>
                  <w:tcW w:w="872" w:type="dxa"/>
                  <w:vMerge w:val="continue"/>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rPr>
                  </w:pPr>
                </w:p>
              </w:tc>
              <w:tc>
                <w:tcPr>
                  <w:tcW w:w="1059" w:type="dxa"/>
                  <w:vMerge w:val="continue"/>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rPr>
                  </w:pPr>
                </w:p>
              </w:tc>
              <w:tc>
                <w:tcPr>
                  <w:tcW w:w="770" w:type="dxa"/>
                  <w:vMerge w:val="continue"/>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rPr>
                  </w:pPr>
                </w:p>
              </w:tc>
              <w:tc>
                <w:tcPr>
                  <w:tcW w:w="857"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eastAsia="宋体"/>
                      <w:b/>
                      <w:kern w:val="0"/>
                      <w:szCs w:val="21"/>
                      <w:lang w:val="en-US" w:eastAsia="zh-CN"/>
                    </w:rPr>
                  </w:pPr>
                  <w:r>
                    <w:rPr>
                      <w:b/>
                      <w:kern w:val="0"/>
                      <w:szCs w:val="21"/>
                    </w:rPr>
                    <w:t>mg/</w:t>
                  </w:r>
                  <w:r>
                    <w:rPr>
                      <w:rFonts w:hint="eastAsia"/>
                      <w:b/>
                      <w:kern w:val="0"/>
                      <w:szCs w:val="21"/>
                      <w:lang w:val="en-US" w:eastAsia="zh-CN"/>
                    </w:rPr>
                    <w:t>m</w:t>
                  </w:r>
                  <w:r>
                    <w:rPr>
                      <w:rFonts w:hint="eastAsia"/>
                      <w:b/>
                      <w:kern w:val="0"/>
                      <w:szCs w:val="21"/>
                      <w:vertAlign w:val="superscript"/>
                      <w:lang w:val="en-US" w:eastAsia="zh-CN"/>
                    </w:rPr>
                    <w:t>3</w:t>
                  </w:r>
                </w:p>
              </w:tc>
              <w:tc>
                <w:tcPr>
                  <w:tcW w:w="862"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rPr>
                  </w:pPr>
                  <w:r>
                    <w:rPr>
                      <w:rFonts w:hint="eastAsia"/>
                      <w:b/>
                      <w:kern w:val="0"/>
                      <w:szCs w:val="21"/>
                      <w:lang w:val="en-US" w:eastAsia="zh-CN"/>
                    </w:rPr>
                    <w:t>kg</w:t>
                  </w:r>
                  <w:r>
                    <w:rPr>
                      <w:b/>
                      <w:kern w:val="0"/>
                      <w:szCs w:val="21"/>
                    </w:rPr>
                    <w:t>/a</w:t>
                  </w:r>
                </w:p>
              </w:tc>
              <w:tc>
                <w:tcPr>
                  <w:tcW w:w="1133" w:type="dxa"/>
                  <w:vMerge w:val="continue"/>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rPr>
                  </w:pPr>
                </w:p>
              </w:tc>
              <w:tc>
                <w:tcPr>
                  <w:tcW w:w="2295" w:type="dxa"/>
                  <w:vMerge w:val="continue"/>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b/>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74" w:type="dxa"/>
                  <w:vMerge w:val="restart"/>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eastAsia"/>
                      <w:kern w:val="0"/>
                      <w:szCs w:val="21"/>
                      <w:lang w:eastAsia="zh-CN"/>
                    </w:rPr>
                  </w:pPr>
                  <w:r>
                    <w:rPr>
                      <w:rFonts w:hint="eastAsia"/>
                      <w:kern w:val="0"/>
                      <w:szCs w:val="21"/>
                      <w:lang w:eastAsia="zh-CN"/>
                    </w:rPr>
                    <w:t>废数</w:t>
                  </w:r>
                </w:p>
              </w:tc>
              <w:tc>
                <w:tcPr>
                  <w:tcW w:w="638" w:type="dxa"/>
                  <w:vMerge w:val="restart"/>
                  <w:tcBorders>
                    <w:left w:val="nil"/>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rFonts w:hint="eastAsia"/>
                      <w:kern w:val="0"/>
                      <w:szCs w:val="21"/>
                      <w:lang w:eastAsia="zh-CN"/>
                    </w:rPr>
                  </w:pPr>
                  <w:r>
                    <w:rPr>
                      <w:rFonts w:hint="eastAsia"/>
                      <w:kern w:val="0"/>
                      <w:szCs w:val="21"/>
                      <w:lang w:eastAsia="zh-CN"/>
                    </w:rPr>
                    <w:t>生产废水、生活污水</w:t>
                  </w:r>
                </w:p>
              </w:tc>
              <w:tc>
                <w:tcPr>
                  <w:tcW w:w="872" w:type="dxa"/>
                  <w:tcBorders>
                    <w:top w:val="single" w:color="auto" w:sz="4" w:space="0"/>
                    <w:left w:val="nil"/>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rFonts w:hint="default"/>
                      <w:kern w:val="0"/>
                      <w:szCs w:val="21"/>
                      <w:lang w:val="en-US" w:eastAsia="zh-CN"/>
                    </w:rPr>
                  </w:pPr>
                  <w:r>
                    <w:rPr>
                      <w:rFonts w:hint="eastAsia"/>
                      <w:kern w:val="0"/>
                      <w:szCs w:val="21"/>
                      <w:lang w:val="en-US" w:eastAsia="zh-CN"/>
                    </w:rPr>
                    <w:t>COD</w:t>
                  </w:r>
                </w:p>
              </w:tc>
              <w:tc>
                <w:tcPr>
                  <w:tcW w:w="1059" w:type="dxa"/>
                  <w:vMerge w:val="restart"/>
                  <w:tcBorders>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eastAsia"/>
                      <w:kern w:val="0"/>
                      <w:szCs w:val="21"/>
                      <w:lang w:val="en-US" w:eastAsia="zh-CN"/>
                    </w:rPr>
                  </w:pPr>
                  <w:r>
                    <w:rPr>
                      <w:rFonts w:hint="eastAsia"/>
                      <w:kern w:val="0"/>
                      <w:szCs w:val="21"/>
                      <w:lang w:val="en-US" w:eastAsia="zh-CN"/>
                    </w:rPr>
                    <w:t>废水总排口</w:t>
                  </w:r>
                </w:p>
              </w:tc>
              <w:tc>
                <w:tcPr>
                  <w:tcW w:w="770" w:type="dxa"/>
                  <w:vMerge w:val="restart"/>
                  <w:tcBorders>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szCs w:val="21"/>
                      <w:lang w:val="en-US" w:eastAsia="zh-CN"/>
                    </w:rPr>
                  </w:pPr>
                  <w:r>
                    <w:rPr>
                      <w:rFonts w:hint="eastAsia"/>
                      <w:szCs w:val="21"/>
                      <w:lang w:val="en-US" w:eastAsia="zh-CN"/>
                    </w:rPr>
                    <w:t>2400h/a</w:t>
                  </w:r>
                </w:p>
              </w:tc>
              <w:tc>
                <w:tcPr>
                  <w:tcW w:w="857" w:type="dxa"/>
                  <w:tcBorders>
                    <w:top w:val="single" w:color="auto" w:sz="4" w:space="0"/>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478.8</w:t>
                  </w:r>
                </w:p>
              </w:tc>
              <w:tc>
                <w:tcPr>
                  <w:tcW w:w="862" w:type="dxa"/>
                  <w:tcBorders>
                    <w:top w:val="single" w:color="auto" w:sz="4" w:space="0"/>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691.1</w:t>
                  </w:r>
                </w:p>
              </w:tc>
              <w:tc>
                <w:tcPr>
                  <w:tcW w:w="1133" w:type="dxa"/>
                  <w:tcBorders>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hint="default"/>
                      <w:szCs w:val="21"/>
                      <w:lang w:val="en-US" w:eastAsia="zh-CN"/>
                    </w:rPr>
                  </w:pPr>
                  <w:r>
                    <w:rPr>
                      <w:rFonts w:hint="eastAsia"/>
                      <w:szCs w:val="21"/>
                      <w:lang w:val="en-US" w:eastAsia="zh-CN"/>
                    </w:rPr>
                    <w:t>500</w:t>
                  </w:r>
                </w:p>
              </w:tc>
              <w:tc>
                <w:tcPr>
                  <w:tcW w:w="2295" w:type="dxa"/>
                  <w:vMerge w:val="restart"/>
                  <w:tcBorders>
                    <w:left w:val="nil"/>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rFonts w:hint="default"/>
                      <w:szCs w:val="21"/>
                      <w:lang w:val="en-US" w:eastAsia="zh-CN"/>
                    </w:rPr>
                  </w:pPr>
                  <w:r>
                    <w:rPr>
                      <w:rFonts w:hint="eastAsia"/>
                      <w:szCs w:val="21"/>
                      <w:lang w:val="en-US" w:eastAsia="zh-CN"/>
                    </w:rPr>
                    <w:t>《污水综合排放标准》（GB8978-1996）表4三级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74"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eastAsia"/>
                      <w:kern w:val="0"/>
                      <w:szCs w:val="21"/>
                      <w:lang w:eastAsia="zh-CN"/>
                    </w:rPr>
                  </w:pPr>
                </w:p>
              </w:tc>
              <w:tc>
                <w:tcPr>
                  <w:tcW w:w="638" w:type="dxa"/>
                  <w:vMerge w:val="continue"/>
                  <w:tcBorders>
                    <w:left w:val="nil"/>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rFonts w:hint="eastAsia"/>
                      <w:kern w:val="0"/>
                      <w:szCs w:val="21"/>
                      <w:lang w:eastAsia="zh-CN"/>
                    </w:rPr>
                  </w:pPr>
                </w:p>
              </w:tc>
              <w:tc>
                <w:tcPr>
                  <w:tcW w:w="872" w:type="dxa"/>
                  <w:tcBorders>
                    <w:top w:val="single" w:color="auto" w:sz="4" w:space="0"/>
                    <w:left w:val="nil"/>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rFonts w:hint="eastAsia"/>
                      <w:kern w:val="0"/>
                      <w:szCs w:val="21"/>
                      <w:lang w:val="en-US" w:eastAsia="zh-CN"/>
                    </w:rPr>
                  </w:pPr>
                  <w:r>
                    <w:rPr>
                      <w:rFonts w:hint="eastAsia"/>
                      <w:kern w:val="0"/>
                      <w:szCs w:val="21"/>
                      <w:lang w:val="en-US" w:eastAsia="zh-CN"/>
                    </w:rPr>
                    <w:t>氨氮</w:t>
                  </w:r>
                </w:p>
              </w:tc>
              <w:tc>
                <w:tcPr>
                  <w:tcW w:w="1059" w:type="dxa"/>
                  <w:vMerge w:val="continue"/>
                  <w:tcBorders>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eastAsia"/>
                      <w:kern w:val="0"/>
                      <w:szCs w:val="21"/>
                      <w:lang w:val="en-US" w:eastAsia="zh-CN"/>
                    </w:rPr>
                  </w:pPr>
                </w:p>
              </w:tc>
              <w:tc>
                <w:tcPr>
                  <w:tcW w:w="770" w:type="dxa"/>
                  <w:vMerge w:val="continue"/>
                  <w:tcBorders>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szCs w:val="21"/>
                      <w:lang w:val="en-US" w:eastAsia="zh-CN"/>
                    </w:rPr>
                  </w:pPr>
                </w:p>
              </w:tc>
              <w:tc>
                <w:tcPr>
                  <w:tcW w:w="857" w:type="dxa"/>
                  <w:tcBorders>
                    <w:top w:val="single" w:color="auto" w:sz="4" w:space="0"/>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20.1</w:t>
                  </w:r>
                </w:p>
              </w:tc>
              <w:tc>
                <w:tcPr>
                  <w:tcW w:w="862" w:type="dxa"/>
                  <w:tcBorders>
                    <w:top w:val="single" w:color="auto" w:sz="4" w:space="0"/>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29</w:t>
                  </w:r>
                </w:p>
              </w:tc>
              <w:tc>
                <w:tcPr>
                  <w:tcW w:w="1133" w:type="dxa"/>
                  <w:tcBorders>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hint="default"/>
                      <w:szCs w:val="21"/>
                      <w:lang w:val="en-US" w:eastAsia="zh-CN"/>
                    </w:rPr>
                  </w:pPr>
                  <w:r>
                    <w:rPr>
                      <w:rFonts w:hint="eastAsia"/>
                      <w:szCs w:val="21"/>
                      <w:lang w:val="en-US" w:eastAsia="zh-CN"/>
                    </w:rPr>
                    <w:t>/</w:t>
                  </w:r>
                </w:p>
              </w:tc>
              <w:tc>
                <w:tcPr>
                  <w:tcW w:w="2295" w:type="dxa"/>
                  <w:vMerge w:val="continue"/>
                  <w:tcBorders>
                    <w:left w:val="nil"/>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rFonts w:hint="eastAsia"/>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74"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eastAsia"/>
                      <w:kern w:val="0"/>
                      <w:szCs w:val="21"/>
                      <w:lang w:eastAsia="zh-CN"/>
                    </w:rPr>
                  </w:pPr>
                </w:p>
              </w:tc>
              <w:tc>
                <w:tcPr>
                  <w:tcW w:w="638" w:type="dxa"/>
                  <w:vMerge w:val="continue"/>
                  <w:tcBorders>
                    <w:left w:val="nil"/>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rFonts w:hint="eastAsia"/>
                      <w:kern w:val="0"/>
                      <w:szCs w:val="21"/>
                      <w:lang w:eastAsia="zh-CN"/>
                    </w:rPr>
                  </w:pPr>
                </w:p>
              </w:tc>
              <w:tc>
                <w:tcPr>
                  <w:tcW w:w="872" w:type="dxa"/>
                  <w:tcBorders>
                    <w:top w:val="single" w:color="auto" w:sz="4" w:space="0"/>
                    <w:left w:val="nil"/>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rFonts w:hint="eastAsia"/>
                      <w:kern w:val="0"/>
                      <w:szCs w:val="21"/>
                      <w:lang w:val="en-US" w:eastAsia="zh-CN"/>
                    </w:rPr>
                  </w:pPr>
                  <w:r>
                    <w:rPr>
                      <w:rFonts w:hint="eastAsia"/>
                      <w:kern w:val="0"/>
                      <w:szCs w:val="21"/>
                      <w:lang w:val="en-US" w:eastAsia="zh-CN"/>
                    </w:rPr>
                    <w:t>总磷</w:t>
                  </w:r>
                </w:p>
              </w:tc>
              <w:tc>
                <w:tcPr>
                  <w:tcW w:w="1059" w:type="dxa"/>
                  <w:vMerge w:val="continue"/>
                  <w:tcBorders>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eastAsia"/>
                      <w:kern w:val="0"/>
                      <w:szCs w:val="21"/>
                      <w:lang w:val="en-US" w:eastAsia="zh-CN"/>
                    </w:rPr>
                  </w:pPr>
                </w:p>
              </w:tc>
              <w:tc>
                <w:tcPr>
                  <w:tcW w:w="770" w:type="dxa"/>
                  <w:vMerge w:val="continue"/>
                  <w:tcBorders>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szCs w:val="21"/>
                      <w:lang w:val="en-US" w:eastAsia="zh-CN"/>
                    </w:rPr>
                  </w:pPr>
                </w:p>
              </w:tc>
              <w:tc>
                <w:tcPr>
                  <w:tcW w:w="857" w:type="dxa"/>
                  <w:tcBorders>
                    <w:top w:val="single" w:color="auto" w:sz="4" w:space="0"/>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3.7</w:t>
                  </w:r>
                </w:p>
              </w:tc>
              <w:tc>
                <w:tcPr>
                  <w:tcW w:w="862" w:type="dxa"/>
                  <w:tcBorders>
                    <w:top w:val="single" w:color="auto" w:sz="4" w:space="0"/>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5.4</w:t>
                  </w:r>
                </w:p>
              </w:tc>
              <w:tc>
                <w:tcPr>
                  <w:tcW w:w="1133" w:type="dxa"/>
                  <w:tcBorders>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hint="default"/>
                      <w:szCs w:val="21"/>
                      <w:lang w:val="en-US" w:eastAsia="zh-CN"/>
                    </w:rPr>
                  </w:pPr>
                  <w:r>
                    <w:rPr>
                      <w:rFonts w:hint="eastAsia"/>
                      <w:szCs w:val="21"/>
                      <w:lang w:val="en-US" w:eastAsia="zh-CN"/>
                    </w:rPr>
                    <w:t>/</w:t>
                  </w:r>
                </w:p>
              </w:tc>
              <w:tc>
                <w:tcPr>
                  <w:tcW w:w="2295" w:type="dxa"/>
                  <w:vMerge w:val="continue"/>
                  <w:tcBorders>
                    <w:left w:val="nil"/>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rFonts w:hint="eastAsia"/>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74"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eastAsia"/>
                      <w:kern w:val="0"/>
                      <w:szCs w:val="21"/>
                      <w:lang w:eastAsia="zh-CN"/>
                    </w:rPr>
                  </w:pPr>
                </w:p>
              </w:tc>
              <w:tc>
                <w:tcPr>
                  <w:tcW w:w="638" w:type="dxa"/>
                  <w:vMerge w:val="continue"/>
                  <w:tcBorders>
                    <w:left w:val="nil"/>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rFonts w:hint="eastAsia"/>
                      <w:kern w:val="0"/>
                      <w:szCs w:val="21"/>
                      <w:lang w:eastAsia="zh-CN"/>
                    </w:rPr>
                  </w:pPr>
                </w:p>
              </w:tc>
              <w:tc>
                <w:tcPr>
                  <w:tcW w:w="872" w:type="dxa"/>
                  <w:tcBorders>
                    <w:top w:val="single" w:color="auto" w:sz="4" w:space="0"/>
                    <w:left w:val="nil"/>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rFonts w:hint="eastAsia"/>
                      <w:kern w:val="0"/>
                      <w:szCs w:val="21"/>
                      <w:lang w:val="en-US" w:eastAsia="zh-CN"/>
                    </w:rPr>
                  </w:pPr>
                  <w:r>
                    <w:rPr>
                      <w:rFonts w:hint="eastAsia"/>
                      <w:kern w:val="0"/>
                      <w:szCs w:val="21"/>
                      <w:lang w:val="en-US" w:eastAsia="zh-CN"/>
                    </w:rPr>
                    <w:t>总氮</w:t>
                  </w:r>
                </w:p>
              </w:tc>
              <w:tc>
                <w:tcPr>
                  <w:tcW w:w="1059" w:type="dxa"/>
                  <w:vMerge w:val="continue"/>
                  <w:tcBorders>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eastAsia"/>
                      <w:kern w:val="0"/>
                      <w:szCs w:val="21"/>
                      <w:lang w:val="en-US" w:eastAsia="zh-CN"/>
                    </w:rPr>
                  </w:pPr>
                </w:p>
              </w:tc>
              <w:tc>
                <w:tcPr>
                  <w:tcW w:w="770" w:type="dxa"/>
                  <w:vMerge w:val="continue"/>
                  <w:tcBorders>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szCs w:val="21"/>
                      <w:lang w:val="en-US" w:eastAsia="zh-CN"/>
                    </w:rPr>
                  </w:pPr>
                </w:p>
              </w:tc>
              <w:tc>
                <w:tcPr>
                  <w:tcW w:w="857" w:type="dxa"/>
                  <w:tcBorders>
                    <w:top w:val="single" w:color="auto" w:sz="4" w:space="0"/>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31.2</w:t>
                  </w:r>
                </w:p>
              </w:tc>
              <w:tc>
                <w:tcPr>
                  <w:tcW w:w="862" w:type="dxa"/>
                  <w:tcBorders>
                    <w:top w:val="single" w:color="auto" w:sz="4" w:space="0"/>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45</w:t>
                  </w:r>
                </w:p>
              </w:tc>
              <w:tc>
                <w:tcPr>
                  <w:tcW w:w="1133" w:type="dxa"/>
                  <w:tcBorders>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hint="default"/>
                      <w:szCs w:val="21"/>
                      <w:lang w:val="en-US" w:eastAsia="zh-CN"/>
                    </w:rPr>
                  </w:pPr>
                  <w:r>
                    <w:rPr>
                      <w:rFonts w:hint="eastAsia"/>
                      <w:szCs w:val="21"/>
                      <w:lang w:val="en-US" w:eastAsia="zh-CN"/>
                    </w:rPr>
                    <w:t>/</w:t>
                  </w:r>
                </w:p>
              </w:tc>
              <w:tc>
                <w:tcPr>
                  <w:tcW w:w="2295" w:type="dxa"/>
                  <w:vMerge w:val="continue"/>
                  <w:tcBorders>
                    <w:left w:val="nil"/>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rFonts w:hint="eastAsia"/>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74"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eastAsia"/>
                      <w:kern w:val="0"/>
                      <w:szCs w:val="21"/>
                      <w:lang w:eastAsia="zh-CN"/>
                    </w:rPr>
                  </w:pPr>
                </w:p>
              </w:tc>
              <w:tc>
                <w:tcPr>
                  <w:tcW w:w="638" w:type="dxa"/>
                  <w:vMerge w:val="continue"/>
                  <w:tcBorders>
                    <w:left w:val="nil"/>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rFonts w:hint="eastAsia"/>
                      <w:kern w:val="0"/>
                      <w:szCs w:val="21"/>
                      <w:lang w:eastAsia="zh-CN"/>
                    </w:rPr>
                  </w:pPr>
                </w:p>
              </w:tc>
              <w:tc>
                <w:tcPr>
                  <w:tcW w:w="872" w:type="dxa"/>
                  <w:tcBorders>
                    <w:top w:val="single" w:color="auto" w:sz="4" w:space="0"/>
                    <w:left w:val="nil"/>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rFonts w:hint="eastAsia"/>
                      <w:kern w:val="0"/>
                      <w:szCs w:val="21"/>
                      <w:lang w:val="en-US" w:eastAsia="zh-CN"/>
                    </w:rPr>
                  </w:pPr>
                  <w:r>
                    <w:rPr>
                      <w:rFonts w:hint="eastAsia"/>
                      <w:kern w:val="0"/>
                      <w:szCs w:val="21"/>
                      <w:lang w:val="en-US" w:eastAsia="zh-CN"/>
                    </w:rPr>
                    <w:t>石油类</w:t>
                  </w:r>
                </w:p>
              </w:tc>
              <w:tc>
                <w:tcPr>
                  <w:tcW w:w="1059" w:type="dxa"/>
                  <w:vMerge w:val="continue"/>
                  <w:tcBorders>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eastAsia"/>
                      <w:kern w:val="0"/>
                      <w:szCs w:val="21"/>
                      <w:lang w:val="en-US" w:eastAsia="zh-CN"/>
                    </w:rPr>
                  </w:pPr>
                </w:p>
              </w:tc>
              <w:tc>
                <w:tcPr>
                  <w:tcW w:w="770" w:type="dxa"/>
                  <w:vMerge w:val="continue"/>
                  <w:tcBorders>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szCs w:val="21"/>
                      <w:lang w:val="en-US" w:eastAsia="zh-CN"/>
                    </w:rPr>
                  </w:pPr>
                </w:p>
              </w:tc>
              <w:tc>
                <w:tcPr>
                  <w:tcW w:w="857" w:type="dxa"/>
                  <w:tcBorders>
                    <w:top w:val="single" w:color="auto" w:sz="4" w:space="0"/>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0.6</w:t>
                  </w:r>
                </w:p>
              </w:tc>
              <w:tc>
                <w:tcPr>
                  <w:tcW w:w="862" w:type="dxa"/>
                  <w:tcBorders>
                    <w:top w:val="single" w:color="auto" w:sz="4" w:space="0"/>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0.8</w:t>
                  </w:r>
                </w:p>
              </w:tc>
              <w:tc>
                <w:tcPr>
                  <w:tcW w:w="1133" w:type="dxa"/>
                  <w:tcBorders>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hint="default"/>
                      <w:szCs w:val="21"/>
                      <w:lang w:val="en-US" w:eastAsia="zh-CN"/>
                    </w:rPr>
                  </w:pPr>
                  <w:r>
                    <w:rPr>
                      <w:rFonts w:hint="eastAsia"/>
                      <w:szCs w:val="21"/>
                      <w:lang w:val="en-US" w:eastAsia="zh-CN"/>
                    </w:rPr>
                    <w:t>20</w:t>
                  </w:r>
                </w:p>
              </w:tc>
              <w:tc>
                <w:tcPr>
                  <w:tcW w:w="2295" w:type="dxa"/>
                  <w:vMerge w:val="continue"/>
                  <w:tcBorders>
                    <w:left w:val="nil"/>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rFonts w:hint="eastAsia"/>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74" w:type="dxa"/>
                  <w:tcBorders>
                    <w:top w:val="nil"/>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kern w:val="0"/>
                      <w:szCs w:val="21"/>
                    </w:rPr>
                  </w:pPr>
                  <w:r>
                    <w:rPr>
                      <w:kern w:val="0"/>
                      <w:szCs w:val="21"/>
                    </w:rPr>
                    <w:t>固废</w:t>
                  </w:r>
                </w:p>
              </w:tc>
              <w:tc>
                <w:tcPr>
                  <w:tcW w:w="1510" w:type="dxa"/>
                  <w:gridSpan w:val="2"/>
                  <w:tcBorders>
                    <w:top w:val="single" w:color="auto" w:sz="4" w:space="0"/>
                    <w:left w:val="nil"/>
                    <w:bottom w:val="single" w:color="auto" w:sz="4" w:space="0"/>
                    <w:right w:val="single" w:color="auto" w:sz="4" w:space="0"/>
                  </w:tcBorders>
                  <w:vAlign w:val="center"/>
                </w:tcPr>
                <w:p>
                  <w:pPr>
                    <w:pStyle w:val="3"/>
                    <w:keepNext w:val="0"/>
                    <w:keepLines w:val="0"/>
                    <w:pageBreakBefore w:val="0"/>
                    <w:kinsoku/>
                    <w:wordWrap/>
                    <w:overflowPunct/>
                    <w:topLinePunct w:val="0"/>
                    <w:autoSpaceDE/>
                    <w:autoSpaceDN/>
                    <w:bidi w:val="0"/>
                    <w:adjustRightInd/>
                    <w:spacing w:line="240" w:lineRule="exact"/>
                    <w:jc w:val="center"/>
                    <w:textAlignment w:val="auto"/>
                    <w:rPr>
                      <w:rFonts w:hint="eastAsia" w:ascii="Times New Roman" w:hAnsi="Times New Roman"/>
                      <w:sz w:val="21"/>
                      <w:szCs w:val="21"/>
                      <w:lang w:val="en-US" w:eastAsia="zh-CN"/>
                    </w:rPr>
                  </w:pPr>
                  <w:r>
                    <w:rPr>
                      <w:rFonts w:hint="eastAsia" w:ascii="Times New Roman" w:hAnsi="Times New Roman"/>
                      <w:sz w:val="21"/>
                      <w:szCs w:val="21"/>
                      <w:lang w:val="en-US" w:eastAsia="zh-CN"/>
                    </w:rPr>
                    <w:t>废包装材料、边角料、</w:t>
                  </w:r>
                </w:p>
                <w:p>
                  <w:pPr>
                    <w:pStyle w:val="3"/>
                    <w:keepNext w:val="0"/>
                    <w:keepLines w:val="0"/>
                    <w:pageBreakBefore w:val="0"/>
                    <w:kinsoku/>
                    <w:wordWrap/>
                    <w:overflowPunct/>
                    <w:topLinePunct w:val="0"/>
                    <w:autoSpaceDE/>
                    <w:autoSpaceDN/>
                    <w:bidi w:val="0"/>
                    <w:adjustRightInd/>
                    <w:spacing w:line="240" w:lineRule="exact"/>
                    <w:jc w:val="center"/>
                    <w:textAlignment w:val="auto"/>
                    <w:rPr>
                      <w:rFonts w:hint="default" w:ascii="Times New Roman" w:hAnsi="Times New Roman"/>
                      <w:sz w:val="21"/>
                      <w:szCs w:val="21"/>
                      <w:lang w:val="en-US" w:eastAsia="zh-CN"/>
                    </w:rPr>
                  </w:pPr>
                  <w:r>
                    <w:rPr>
                      <w:rFonts w:hint="eastAsia" w:ascii="Times New Roman" w:hAnsi="Times New Roman"/>
                      <w:sz w:val="21"/>
                      <w:szCs w:val="21"/>
                      <w:lang w:val="en-US" w:eastAsia="zh-CN"/>
                    </w:rPr>
                    <w:t>员工生活垃圾</w:t>
                  </w:r>
                </w:p>
              </w:tc>
              <w:tc>
                <w:tcPr>
                  <w:tcW w:w="4681" w:type="dxa"/>
                  <w:gridSpan w:val="5"/>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kern w:val="0"/>
                      <w:szCs w:val="21"/>
                    </w:rPr>
                  </w:pPr>
                  <w:r>
                    <w:rPr>
                      <w:szCs w:val="21"/>
                    </w:rPr>
                    <w:t>一般固废暂存场</w:t>
                  </w:r>
                </w:p>
              </w:tc>
              <w:tc>
                <w:tcPr>
                  <w:tcW w:w="2295"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kern w:val="0"/>
                      <w:szCs w:val="21"/>
                    </w:rPr>
                  </w:pPr>
                  <w:r>
                    <w:rPr>
                      <w:kern w:val="0"/>
                      <w:szCs w:val="21"/>
                    </w:rPr>
                    <w:t>《一般工业固体废物贮存、处置场污染控制标准》（GB18599-2001）及其修改单要求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7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kern w:val="0"/>
                      <w:szCs w:val="21"/>
                    </w:rPr>
                  </w:pPr>
                  <w:r>
                    <w:rPr>
                      <w:kern w:val="0"/>
                      <w:szCs w:val="21"/>
                    </w:rPr>
                    <w:t>噪声</w:t>
                  </w:r>
                </w:p>
              </w:tc>
              <w:tc>
                <w:tcPr>
                  <w:tcW w:w="1510"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kern w:val="0"/>
                      <w:szCs w:val="21"/>
                    </w:rPr>
                  </w:pPr>
                  <w:r>
                    <w:rPr>
                      <w:rFonts w:hint="eastAsia"/>
                      <w:sz w:val="21"/>
                      <w:szCs w:val="21"/>
                      <w:lang w:eastAsia="zh-CN"/>
                    </w:rPr>
                    <w:t>和面机、绞肉机、拌馅机、切菜机、成型机、制冷机、燃气蒸柜</w:t>
                  </w:r>
                </w:p>
              </w:tc>
              <w:tc>
                <w:tcPr>
                  <w:tcW w:w="1829"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kern w:val="0"/>
                      <w:szCs w:val="21"/>
                    </w:rPr>
                  </w:pPr>
                  <w:r>
                    <w:rPr>
                      <w:szCs w:val="21"/>
                    </w:rPr>
                    <w:t>消声、隔声、基础减震等</w:t>
                  </w:r>
                </w:p>
              </w:tc>
              <w:tc>
                <w:tcPr>
                  <w:tcW w:w="85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rPr>
                      <w:kern w:val="0"/>
                      <w:szCs w:val="21"/>
                    </w:rPr>
                  </w:pPr>
                  <w:r>
                    <w:rPr>
                      <w:kern w:val="0"/>
                      <w:szCs w:val="21"/>
                    </w:rPr>
                    <w:t>厂界</w:t>
                  </w:r>
                </w:p>
                <w:p>
                  <w:pPr>
                    <w:keepNext w:val="0"/>
                    <w:keepLines w:val="0"/>
                    <w:pageBreakBefore w:val="0"/>
                    <w:kinsoku/>
                    <w:wordWrap/>
                    <w:overflowPunct/>
                    <w:topLinePunct w:val="0"/>
                    <w:autoSpaceDE/>
                    <w:autoSpaceDN/>
                    <w:bidi w:val="0"/>
                    <w:adjustRightInd/>
                    <w:spacing w:line="240" w:lineRule="exact"/>
                    <w:jc w:val="center"/>
                    <w:textAlignment w:val="auto"/>
                    <w:rPr>
                      <w:kern w:val="0"/>
                      <w:szCs w:val="21"/>
                    </w:rPr>
                  </w:pPr>
                  <w:r>
                    <w:rPr>
                      <w:kern w:val="0"/>
                      <w:szCs w:val="21"/>
                    </w:rPr>
                    <w:t>达标</w:t>
                  </w:r>
                </w:p>
              </w:tc>
              <w:tc>
                <w:tcPr>
                  <w:tcW w:w="199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240" w:lineRule="exact"/>
                    <w:jc w:val="center"/>
                    <w:textAlignment w:val="auto"/>
                  </w:pPr>
                  <w:r>
                    <w:rPr>
                      <w:rFonts w:hint="eastAsia"/>
                      <w:lang w:val="en-US" w:eastAsia="zh-CN"/>
                    </w:rPr>
                    <w:t>1</w:t>
                  </w:r>
                  <w:r>
                    <w:rPr>
                      <w:rFonts w:hint="eastAsia"/>
                    </w:rPr>
                    <w:t xml:space="preserve">类 </w:t>
                  </w:r>
                  <w:r>
                    <w:t>昼间≤</w:t>
                  </w:r>
                  <w:r>
                    <w:rPr>
                      <w:rFonts w:hint="eastAsia"/>
                      <w:lang w:val="en-US" w:eastAsia="zh-CN"/>
                    </w:rPr>
                    <w:t>55</w:t>
                  </w:r>
                  <w:r>
                    <w:t>dB（A）</w:t>
                  </w:r>
                </w:p>
              </w:tc>
              <w:tc>
                <w:tcPr>
                  <w:tcW w:w="2295"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kern w:val="0"/>
                      <w:szCs w:val="21"/>
                    </w:rPr>
                  </w:pPr>
                  <w:r>
                    <w:rPr>
                      <w:szCs w:val="21"/>
                    </w:rPr>
                    <w:t>《工业企业厂界环境噪声排放标准》（GB12348-2008）</w:t>
                  </w:r>
                  <w:r>
                    <w:rPr>
                      <w:rFonts w:hint="eastAsia"/>
                      <w:szCs w:val="21"/>
                      <w:lang w:val="en-US" w:eastAsia="zh-CN"/>
                    </w:rPr>
                    <w:t>1</w:t>
                  </w:r>
                  <w:r>
                    <w:rPr>
                      <w:szCs w:val="21"/>
                    </w:rPr>
                    <w:t>类</w:t>
                  </w:r>
                </w:p>
              </w:tc>
            </w:tr>
          </w:tbl>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sz w:val="24"/>
              </w:rPr>
            </w:pPr>
            <w:r>
              <w:rPr>
                <w:sz w:val="24"/>
              </w:rPr>
              <w:t>②排污口规范化要求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sz w:val="24"/>
              </w:rPr>
            </w:pPr>
            <w:r>
              <w:rPr>
                <w:sz w:val="24"/>
              </w:rPr>
              <w:t>该项目的排污口设置必须符合国家的排污口规范化的要求。</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color w:val="auto"/>
                <w:sz w:val="24"/>
                <w:lang w:eastAsia="zh-CN"/>
              </w:rPr>
            </w:pPr>
            <w:r>
              <w:rPr>
                <w:rFonts w:hint="eastAsia" w:ascii="Times New Roman" w:hAnsi="Times New Roman" w:cs="Times New Roman"/>
                <w:color w:val="auto"/>
                <w:sz w:val="24"/>
                <w:lang w:val="en-US" w:eastAsia="zh-CN"/>
              </w:rPr>
              <w:t>1）</w:t>
            </w:r>
            <w:r>
              <w:rPr>
                <w:rFonts w:hint="eastAsia" w:ascii="Times New Roman" w:hAnsi="Times New Roman" w:cs="Times New Roman"/>
                <w:color w:val="auto"/>
                <w:sz w:val="24"/>
                <w:lang w:eastAsia="zh-CN"/>
              </w:rPr>
              <w:t>废水排放口（</w:t>
            </w:r>
            <w:r>
              <w:rPr>
                <w:rFonts w:hint="eastAsia" w:ascii="Times New Roman" w:hAnsi="Times New Roman" w:cs="Times New Roman"/>
                <w:color w:val="auto"/>
                <w:sz w:val="24"/>
                <w:lang w:val="en-US" w:eastAsia="zh-CN"/>
              </w:rPr>
              <w:t>1个</w:t>
            </w:r>
            <w:r>
              <w:rPr>
                <w:rFonts w:hint="eastAsia" w:ascii="Times New Roman" w:hAnsi="Times New Roman" w:cs="Times New Roman"/>
                <w:color w:val="auto"/>
                <w:sz w:val="24"/>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color w:val="auto"/>
                <w:sz w:val="24"/>
                <w:lang w:eastAsia="zh-CN"/>
              </w:rPr>
            </w:pPr>
            <w:r>
              <w:rPr>
                <w:rFonts w:hint="eastAsia" w:ascii="Times New Roman" w:hAnsi="Times New Roman" w:cs="Times New Roman"/>
                <w:color w:val="auto"/>
                <w:sz w:val="24"/>
                <w:lang w:eastAsia="zh-CN"/>
              </w:rPr>
              <w:t>环境保护图形标志牌应设在排污口附近醒目处。若排污口隐蔽或距厂界较远的，则标志牌也可设在监测采样点附近醒目处。</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sz w:val="24"/>
              </w:rPr>
            </w:pPr>
            <w:r>
              <w:rPr>
                <w:rFonts w:hint="eastAsia"/>
                <w:sz w:val="24"/>
                <w:lang w:val="en-US" w:eastAsia="zh-CN"/>
              </w:rPr>
              <w:t>2</w:t>
            </w:r>
            <w:r>
              <w:rPr>
                <w:sz w:val="24"/>
              </w:rPr>
              <w:t>）固定噪声排放源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sz w:val="24"/>
              </w:rPr>
            </w:pPr>
            <w:r>
              <w:rPr>
                <w:sz w:val="24"/>
              </w:rPr>
              <w:t>按规定对固定噪声进行治理，并在对外界影响最大处设置标志牌。</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sz w:val="24"/>
              </w:rPr>
            </w:pPr>
            <w:r>
              <w:rPr>
                <w:rFonts w:hint="eastAsia"/>
                <w:sz w:val="24"/>
                <w:lang w:val="en-US" w:eastAsia="zh-CN"/>
              </w:rPr>
              <w:t>3</w:t>
            </w:r>
            <w:r>
              <w:rPr>
                <w:sz w:val="24"/>
              </w:rPr>
              <w:t>）固体废物贮存（处置）场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sz w:val="24"/>
              </w:rPr>
            </w:pPr>
            <w:r>
              <w:rPr>
                <w:sz w:val="24"/>
              </w:rPr>
              <w:t>对各种固体废物应分别收集、贮存和运输，设置专用堆放场所，有防扬散、防流失、防渗漏等措施，并应设置标志牌。</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sz w:val="24"/>
              </w:rPr>
            </w:pPr>
            <w:r>
              <w:rPr>
                <w:rFonts w:hint="eastAsia"/>
                <w:sz w:val="24"/>
                <w:lang w:val="en-US" w:eastAsia="zh-CN"/>
              </w:rPr>
              <w:t>4</w:t>
            </w:r>
            <w:r>
              <w:rPr>
                <w:sz w:val="24"/>
              </w:rPr>
              <w:t xml:space="preserve">）设置标志牌要求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sz w:val="24"/>
              </w:rPr>
            </w:pPr>
            <w:r>
              <w:rPr>
                <w:sz w:val="24"/>
              </w:rPr>
              <w:t>环境保护图形标志由国家生态环境部统一定点制作，并由市环境监理部门根据企业排污情况统一向国家生态环境部订购。企业排污口分布图由环境监察支队统一订制。排放一般污染物口（源），设置提示式标志牌，排放有毒有害等污染物的排污口设置警告标志牌。</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sz w:val="24"/>
              </w:rPr>
            </w:pPr>
            <w:r>
              <w:rPr>
                <w:sz w:val="24"/>
              </w:rPr>
              <w:t>标志牌设置位置在排污口(采样口)附近且醒目处，高度为标志牌上端离地面2米。排污口附近1米范围内有建筑物的，设平面式标志牌，无建筑物设立式标志牌。</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sz w:val="24"/>
              </w:rPr>
            </w:pPr>
            <w:r>
              <w:rPr>
                <w:sz w:val="24"/>
              </w:rPr>
              <w:t xml:space="preserve">规范化排污口的有关设置（如图形标志牌、计量装置、监控装置等）属环保设施，排污单位必须负责日常的维护保养，任何单位和个人不得擅自拆除。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eastAsia="黑体"/>
                <w:kern w:val="0"/>
                <w:sz w:val="24"/>
              </w:rPr>
            </w:pPr>
            <w:r>
              <w:rPr>
                <w:sz w:val="24"/>
              </w:rPr>
              <w:t>根据《河南省入河排污口监督管理办法实施细则》规定，企业污染物排放口应进行规范化设计，具备采样、监测条件，排放口附近树立环保图形标志牌。排污口应符合“一明显、二合理、三便于”的要求，即环保标志明显，排污口设置合理，排污去向合理，便于采集样品，便于监测计量，便于公众监督管理。按照原国家环境保护总局制定的《〈环境保护图形标志〉实施细则（试行）》（环监[1996]463号）的规定，在各排污口设立相应的环境保护图形标志牌。具体见下表。</w:t>
            </w:r>
          </w:p>
          <w:p>
            <w:pPr>
              <w:spacing w:line="240" w:lineRule="auto"/>
              <w:jc w:val="center"/>
              <w:rPr>
                <w:rFonts w:eastAsia="黑体"/>
                <w:kern w:val="0"/>
                <w:sz w:val="24"/>
              </w:rPr>
            </w:pPr>
            <w:r>
              <w:rPr>
                <w:rFonts w:eastAsia="黑体"/>
                <w:kern w:val="0"/>
                <w:sz w:val="24"/>
              </w:rPr>
              <w:t>各排污口环境保护图形标志</w:t>
            </w:r>
          </w:p>
          <w:tbl>
            <w:tblPr>
              <w:tblStyle w:val="12"/>
              <w:tblW w:w="88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52"/>
              <w:gridCol w:w="1496"/>
              <w:gridCol w:w="2704"/>
              <w:gridCol w:w="1619"/>
              <w:gridCol w:w="17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52"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jc w:val="center"/>
                    <w:rPr>
                      <w:b/>
                      <w:szCs w:val="21"/>
                    </w:rPr>
                  </w:pPr>
                  <w:r>
                    <w:rPr>
                      <w:b/>
                      <w:szCs w:val="21"/>
                    </w:rPr>
                    <w:t>类别</w:t>
                  </w:r>
                </w:p>
              </w:tc>
              <w:tc>
                <w:tcPr>
                  <w:tcW w:w="1496" w:type="dxa"/>
                  <w:tcBorders>
                    <w:top w:val="single" w:color="000000" w:sz="4" w:space="0"/>
                    <w:left w:val="nil"/>
                    <w:bottom w:val="single" w:color="000000" w:sz="4" w:space="0"/>
                    <w:right w:val="single" w:color="000000" w:sz="4" w:space="0"/>
                  </w:tcBorders>
                  <w:vAlign w:val="center"/>
                </w:tcPr>
                <w:p>
                  <w:pPr>
                    <w:snapToGrid w:val="0"/>
                    <w:spacing w:line="240" w:lineRule="auto"/>
                    <w:jc w:val="center"/>
                    <w:rPr>
                      <w:b/>
                      <w:szCs w:val="21"/>
                    </w:rPr>
                  </w:pPr>
                  <w:r>
                    <w:rPr>
                      <w:b/>
                      <w:szCs w:val="21"/>
                    </w:rPr>
                    <w:t>污染物</w:t>
                  </w:r>
                </w:p>
              </w:tc>
              <w:tc>
                <w:tcPr>
                  <w:tcW w:w="2704" w:type="dxa"/>
                  <w:tcBorders>
                    <w:top w:val="single" w:color="000000" w:sz="4" w:space="0"/>
                    <w:left w:val="nil"/>
                    <w:bottom w:val="single" w:color="000000" w:sz="4" w:space="0"/>
                    <w:right w:val="single" w:color="000000" w:sz="4" w:space="0"/>
                  </w:tcBorders>
                  <w:vAlign w:val="center"/>
                </w:tcPr>
                <w:p>
                  <w:pPr>
                    <w:snapToGrid w:val="0"/>
                    <w:spacing w:line="240" w:lineRule="auto"/>
                    <w:jc w:val="center"/>
                    <w:rPr>
                      <w:b/>
                      <w:szCs w:val="21"/>
                    </w:rPr>
                  </w:pPr>
                  <w:r>
                    <w:rPr>
                      <w:b/>
                      <w:szCs w:val="21"/>
                    </w:rPr>
                    <w:t>排放口名称</w:t>
                  </w:r>
                </w:p>
              </w:tc>
              <w:tc>
                <w:tcPr>
                  <w:tcW w:w="1619" w:type="dxa"/>
                  <w:tcBorders>
                    <w:top w:val="single" w:color="000000" w:sz="4" w:space="0"/>
                    <w:left w:val="nil"/>
                    <w:bottom w:val="single" w:color="000000" w:sz="4" w:space="0"/>
                    <w:right w:val="single" w:color="000000" w:sz="4" w:space="0"/>
                  </w:tcBorders>
                  <w:vAlign w:val="center"/>
                </w:tcPr>
                <w:p>
                  <w:pPr>
                    <w:snapToGrid w:val="0"/>
                    <w:spacing w:line="240" w:lineRule="auto"/>
                    <w:jc w:val="center"/>
                    <w:rPr>
                      <w:b/>
                      <w:szCs w:val="21"/>
                    </w:rPr>
                  </w:pPr>
                  <w:r>
                    <w:rPr>
                      <w:b/>
                      <w:szCs w:val="21"/>
                    </w:rPr>
                    <w:t>数量</w:t>
                  </w:r>
                </w:p>
              </w:tc>
              <w:tc>
                <w:tcPr>
                  <w:tcW w:w="1749" w:type="dxa"/>
                  <w:tcBorders>
                    <w:top w:val="single" w:color="000000" w:sz="4" w:space="0"/>
                    <w:left w:val="nil"/>
                    <w:bottom w:val="single" w:color="000000" w:sz="4" w:space="0"/>
                    <w:right w:val="single" w:color="000000" w:sz="4" w:space="0"/>
                  </w:tcBorders>
                  <w:vAlign w:val="center"/>
                </w:tcPr>
                <w:p>
                  <w:pPr>
                    <w:snapToGrid w:val="0"/>
                    <w:spacing w:line="240" w:lineRule="auto"/>
                    <w:jc w:val="center"/>
                    <w:rPr>
                      <w:b/>
                      <w:szCs w:val="21"/>
                    </w:rPr>
                  </w:pPr>
                  <w:r>
                    <w:rPr>
                      <w:b/>
                      <w:szCs w:val="21"/>
                    </w:rPr>
                    <w:t>图形标志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52" w:type="dxa"/>
                  <w:tcBorders>
                    <w:top w:val="single" w:color="000000" w:sz="4" w:space="0"/>
                    <w:left w:val="single" w:color="000000" w:sz="4" w:space="0"/>
                    <w:right w:val="single" w:color="000000" w:sz="4" w:space="0"/>
                  </w:tcBorders>
                  <w:vAlign w:val="center"/>
                </w:tcPr>
                <w:p>
                  <w:pPr>
                    <w:snapToGrid w:val="0"/>
                    <w:spacing w:line="240" w:lineRule="auto"/>
                    <w:jc w:val="center"/>
                    <w:rPr>
                      <w:rFonts w:hint="eastAsia" w:eastAsia="宋体"/>
                      <w:szCs w:val="21"/>
                      <w:lang w:eastAsia="zh-CN"/>
                    </w:rPr>
                  </w:pPr>
                  <w:r>
                    <w:rPr>
                      <w:rFonts w:hint="eastAsia"/>
                      <w:szCs w:val="21"/>
                      <w:lang w:eastAsia="zh-CN"/>
                    </w:rPr>
                    <w:t>废水</w:t>
                  </w:r>
                </w:p>
              </w:tc>
              <w:tc>
                <w:tcPr>
                  <w:tcW w:w="1496" w:type="dxa"/>
                  <w:tcBorders>
                    <w:top w:val="single" w:color="000000" w:sz="4" w:space="0"/>
                    <w:left w:val="nil"/>
                    <w:bottom w:val="single" w:color="000000" w:sz="4" w:space="0"/>
                    <w:right w:val="single" w:color="000000" w:sz="4" w:space="0"/>
                  </w:tcBorders>
                  <w:vAlign w:val="center"/>
                </w:tcPr>
                <w:p>
                  <w:pPr>
                    <w:snapToGrid w:val="0"/>
                    <w:spacing w:line="240" w:lineRule="auto"/>
                    <w:jc w:val="left"/>
                    <w:rPr>
                      <w:rFonts w:hint="default"/>
                      <w:szCs w:val="21"/>
                      <w:lang w:val="en-US" w:eastAsia="zh-CN"/>
                    </w:rPr>
                  </w:pPr>
                  <w:r>
                    <w:rPr>
                      <w:rFonts w:hint="eastAsia"/>
                      <w:szCs w:val="21"/>
                      <w:lang w:val="en-US" w:eastAsia="zh-CN"/>
                    </w:rPr>
                    <w:t>COD、氨氮、总磷、总氮、  石油类</w:t>
                  </w:r>
                </w:p>
              </w:tc>
              <w:tc>
                <w:tcPr>
                  <w:tcW w:w="2704" w:type="dxa"/>
                  <w:tcBorders>
                    <w:top w:val="single" w:color="000000" w:sz="4" w:space="0"/>
                    <w:left w:val="nil"/>
                    <w:bottom w:val="single" w:color="000000" w:sz="4" w:space="0"/>
                    <w:right w:val="single" w:color="000000" w:sz="4" w:space="0"/>
                  </w:tcBorders>
                  <w:vAlign w:val="center"/>
                </w:tcPr>
                <w:p>
                  <w:pPr>
                    <w:snapToGrid w:val="0"/>
                    <w:spacing w:line="240" w:lineRule="auto"/>
                    <w:jc w:val="center"/>
                    <w:rPr>
                      <w:rFonts w:hint="eastAsia" w:eastAsia="宋体"/>
                      <w:szCs w:val="21"/>
                      <w:lang w:eastAsia="zh-CN"/>
                    </w:rPr>
                  </w:pPr>
                  <w:r>
                    <w:rPr>
                      <w:rFonts w:hint="eastAsia"/>
                      <w:szCs w:val="21"/>
                      <w:lang w:eastAsia="zh-CN"/>
                    </w:rPr>
                    <w:t>废水总排口</w:t>
                  </w:r>
                </w:p>
              </w:tc>
              <w:tc>
                <w:tcPr>
                  <w:tcW w:w="1619" w:type="dxa"/>
                  <w:tcBorders>
                    <w:top w:val="single" w:color="000000" w:sz="4" w:space="0"/>
                    <w:left w:val="nil"/>
                    <w:bottom w:val="single" w:color="000000" w:sz="4" w:space="0"/>
                    <w:right w:val="single" w:color="000000" w:sz="4" w:space="0"/>
                  </w:tcBorders>
                  <w:vAlign w:val="center"/>
                </w:tcPr>
                <w:p>
                  <w:pPr>
                    <w:snapToGrid w:val="0"/>
                    <w:spacing w:line="240" w:lineRule="auto"/>
                    <w:jc w:val="center"/>
                    <w:rPr>
                      <w:rFonts w:hint="eastAsia" w:eastAsia="宋体"/>
                      <w:szCs w:val="21"/>
                      <w:lang w:val="en-US" w:eastAsia="zh-CN"/>
                    </w:rPr>
                  </w:pPr>
                  <w:r>
                    <w:rPr>
                      <w:rFonts w:hint="eastAsia"/>
                      <w:szCs w:val="21"/>
                      <w:lang w:val="en-US" w:eastAsia="zh-CN"/>
                    </w:rPr>
                    <w:t>1</w:t>
                  </w:r>
                </w:p>
              </w:tc>
              <w:tc>
                <w:tcPr>
                  <w:tcW w:w="1749" w:type="dxa"/>
                  <w:tcBorders>
                    <w:top w:val="single" w:color="000000" w:sz="4" w:space="0"/>
                    <w:left w:val="nil"/>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textAlignment w:val="auto"/>
                    <w:rPr>
                      <w:szCs w:val="21"/>
                    </w:rPr>
                  </w:pPr>
                  <w:r>
                    <w:rPr>
                      <w:rFonts w:hint="eastAsia"/>
                      <w:kern w:val="0"/>
                      <w:szCs w:val="21"/>
                    </w:rPr>
                    <w:drawing>
                      <wp:anchor distT="0" distB="0" distL="114300" distR="114300" simplePos="0" relativeHeight="252318720" behindDoc="0" locked="0" layoutInCell="1" allowOverlap="1">
                        <wp:simplePos x="0" y="0"/>
                        <wp:positionH relativeFrom="column">
                          <wp:posOffset>158750</wp:posOffset>
                        </wp:positionH>
                        <wp:positionV relativeFrom="paragraph">
                          <wp:posOffset>23495</wp:posOffset>
                        </wp:positionV>
                        <wp:extent cx="704850" cy="390525"/>
                        <wp:effectExtent l="0" t="0" r="0" b="9525"/>
                        <wp:wrapSquare wrapText="bothSides"/>
                        <wp:docPr id="5" name="图片 5" descr="截图20190603095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截图20190603095231"/>
                                <pic:cNvPicPr>
                                  <a:picLocks noChangeAspect="1"/>
                                </pic:cNvPicPr>
                              </pic:nvPicPr>
                              <pic:blipFill>
                                <a:blip r:embed="rId16" cstate="print"/>
                                <a:stretch>
                                  <a:fillRect/>
                                </a:stretch>
                              </pic:blipFill>
                              <pic:spPr>
                                <a:xfrm>
                                  <a:off x="0" y="0"/>
                                  <a:ext cx="704850" cy="390525"/>
                                </a:xfrm>
                                <a:prstGeom prst="rect">
                                  <a:avLst/>
                                </a:prstGeom>
                              </pic:spPr>
                            </pic:pic>
                          </a:graphicData>
                        </a:graphic>
                      </wp:anchor>
                    </w:draw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52" w:type="dxa"/>
                  <w:tcBorders>
                    <w:top w:val="single" w:color="000000" w:sz="4" w:space="0"/>
                    <w:left w:val="single" w:color="000000" w:sz="4" w:space="0"/>
                    <w:right w:val="single" w:color="000000" w:sz="4" w:space="0"/>
                  </w:tcBorders>
                  <w:vAlign w:val="center"/>
                </w:tcPr>
                <w:p>
                  <w:pPr>
                    <w:snapToGrid w:val="0"/>
                    <w:spacing w:line="240" w:lineRule="auto"/>
                    <w:jc w:val="center"/>
                    <w:rPr>
                      <w:rFonts w:ascii="Times New Roman" w:hAnsi="Times New Roman" w:eastAsia="宋体" w:cs="Times New Roman"/>
                      <w:kern w:val="2"/>
                      <w:sz w:val="21"/>
                      <w:szCs w:val="21"/>
                      <w:lang w:val="en-US" w:eastAsia="zh-CN" w:bidi="ar-SA"/>
                    </w:rPr>
                  </w:pPr>
                  <w:r>
                    <w:rPr>
                      <w:szCs w:val="21"/>
                    </w:rPr>
                    <w:t>一般固废</w:t>
                  </w:r>
                </w:p>
              </w:tc>
              <w:tc>
                <w:tcPr>
                  <w:tcW w:w="1496" w:type="dxa"/>
                  <w:tcBorders>
                    <w:top w:val="single" w:color="000000" w:sz="4" w:space="0"/>
                    <w:left w:val="nil"/>
                    <w:bottom w:val="single" w:color="000000" w:sz="4" w:space="0"/>
                    <w:right w:val="single" w:color="000000" w:sz="4" w:space="0"/>
                  </w:tcBorders>
                  <w:vAlign w:val="center"/>
                </w:tcPr>
                <w:p>
                  <w:pPr>
                    <w:snapToGrid w:val="0"/>
                    <w:spacing w:line="240" w:lineRule="auto"/>
                    <w:jc w:val="center"/>
                    <w:rPr>
                      <w:rFonts w:hint="eastAsia"/>
                      <w:szCs w:val="21"/>
                      <w:lang w:eastAsia="zh-CN"/>
                    </w:rPr>
                  </w:pPr>
                  <w:r>
                    <w:rPr>
                      <w:rFonts w:hint="eastAsia"/>
                      <w:szCs w:val="21"/>
                      <w:lang w:eastAsia="zh-CN"/>
                    </w:rPr>
                    <w:t>废包装材料</w:t>
                  </w:r>
                </w:p>
                <w:p>
                  <w:pPr>
                    <w:snapToGrid w:val="0"/>
                    <w:spacing w:line="240" w:lineRule="auto"/>
                    <w:jc w:val="center"/>
                    <w:rPr>
                      <w:rFonts w:hint="eastAsia"/>
                      <w:szCs w:val="21"/>
                      <w:lang w:eastAsia="zh-CN"/>
                    </w:rPr>
                  </w:pPr>
                  <w:r>
                    <w:rPr>
                      <w:rFonts w:hint="eastAsia"/>
                      <w:szCs w:val="21"/>
                      <w:lang w:eastAsia="zh-CN"/>
                    </w:rPr>
                    <w:t>边角料</w:t>
                  </w:r>
                </w:p>
                <w:p>
                  <w:pPr>
                    <w:snapToGrid w:val="0"/>
                    <w:spacing w:line="240" w:lineRule="auto"/>
                    <w:jc w:val="center"/>
                    <w:rPr>
                      <w:rFonts w:hint="eastAsia" w:ascii="Times New Roman" w:hAnsi="Times New Roman" w:eastAsia="宋体" w:cs="Times New Roman"/>
                      <w:kern w:val="2"/>
                      <w:sz w:val="21"/>
                      <w:szCs w:val="21"/>
                      <w:lang w:val="en-US" w:eastAsia="zh-CN" w:bidi="ar-SA"/>
                    </w:rPr>
                  </w:pPr>
                  <w:r>
                    <w:rPr>
                      <w:rFonts w:hint="eastAsia"/>
                      <w:szCs w:val="21"/>
                      <w:lang w:eastAsia="zh-CN"/>
                    </w:rPr>
                    <w:t>员工生活垃圾</w:t>
                  </w:r>
                </w:p>
              </w:tc>
              <w:tc>
                <w:tcPr>
                  <w:tcW w:w="2704" w:type="dxa"/>
                  <w:tcBorders>
                    <w:top w:val="single" w:color="000000" w:sz="4" w:space="0"/>
                    <w:left w:val="nil"/>
                    <w:bottom w:val="single" w:color="000000" w:sz="4" w:space="0"/>
                    <w:right w:val="single" w:color="000000" w:sz="4" w:space="0"/>
                  </w:tcBorders>
                  <w:vAlign w:val="center"/>
                </w:tcPr>
                <w:p>
                  <w:pPr>
                    <w:snapToGrid w:val="0"/>
                    <w:spacing w:line="240" w:lineRule="auto"/>
                    <w:jc w:val="center"/>
                    <w:rPr>
                      <w:rFonts w:ascii="Times New Roman" w:hAnsi="Times New Roman" w:eastAsia="宋体" w:cs="Times New Roman"/>
                      <w:kern w:val="2"/>
                      <w:sz w:val="21"/>
                      <w:szCs w:val="21"/>
                      <w:lang w:val="en-US" w:eastAsia="zh-CN" w:bidi="ar-SA"/>
                    </w:rPr>
                  </w:pPr>
                  <w:r>
                    <w:rPr>
                      <w:szCs w:val="21"/>
                    </w:rPr>
                    <w:t>一般固体废物</w:t>
                  </w:r>
                </w:p>
              </w:tc>
              <w:tc>
                <w:tcPr>
                  <w:tcW w:w="1619" w:type="dxa"/>
                  <w:tcBorders>
                    <w:top w:val="single" w:color="000000" w:sz="4" w:space="0"/>
                    <w:left w:val="nil"/>
                    <w:bottom w:val="single" w:color="000000" w:sz="4" w:space="0"/>
                    <w:right w:val="single" w:color="000000" w:sz="4" w:space="0"/>
                  </w:tcBorders>
                  <w:vAlign w:val="center"/>
                </w:tcPr>
                <w:p>
                  <w:pPr>
                    <w:snapToGrid w:val="0"/>
                    <w:spacing w:line="240" w:lineRule="auto"/>
                    <w:jc w:val="center"/>
                    <w:rPr>
                      <w:rFonts w:ascii="Times New Roman" w:hAnsi="Times New Roman" w:eastAsia="宋体" w:cs="Times New Roman"/>
                      <w:kern w:val="2"/>
                      <w:sz w:val="21"/>
                      <w:szCs w:val="21"/>
                      <w:lang w:val="en-US" w:eastAsia="zh-CN" w:bidi="ar-SA"/>
                    </w:rPr>
                  </w:pPr>
                  <w:r>
                    <w:rPr>
                      <w:szCs w:val="21"/>
                    </w:rPr>
                    <w:t>1</w:t>
                  </w:r>
                </w:p>
              </w:tc>
              <w:tc>
                <w:tcPr>
                  <w:tcW w:w="1749" w:type="dxa"/>
                  <w:tcBorders>
                    <w:top w:val="single" w:color="000000" w:sz="4" w:space="0"/>
                    <w:left w:val="nil"/>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ascii="Times New Roman" w:hAnsi="Times New Roman" w:eastAsia="宋体" w:cs="Times New Roman"/>
                      <w:kern w:val="2"/>
                      <w:sz w:val="21"/>
                      <w:szCs w:val="21"/>
                      <w:lang w:val="en-US" w:eastAsia="zh-CN" w:bidi="ar-SA"/>
                    </w:rPr>
                  </w:pPr>
                  <w:r>
                    <w:rPr>
                      <w:kern w:val="0"/>
                      <w:szCs w:val="21"/>
                    </w:rPr>
                    <w:drawing>
                      <wp:anchor distT="0" distB="0" distL="114935" distR="114935" simplePos="0" relativeHeight="252306432" behindDoc="0" locked="0" layoutInCell="1" allowOverlap="1">
                        <wp:simplePos x="0" y="0"/>
                        <wp:positionH relativeFrom="column">
                          <wp:posOffset>152400</wp:posOffset>
                        </wp:positionH>
                        <wp:positionV relativeFrom="paragraph">
                          <wp:posOffset>22225</wp:posOffset>
                        </wp:positionV>
                        <wp:extent cx="730250" cy="378460"/>
                        <wp:effectExtent l="0" t="0" r="12700" b="2540"/>
                        <wp:wrapSquare wrapText="bothSides"/>
                        <wp:docPr id="3" name="图片 16" descr="C:\Users\kong\AppData\Local\Temp\ksohtml\wps91D1.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C:\Users\kong\AppData\Local\Temp\ksohtml\wps91D1.tmp.png"/>
                                <pic:cNvPicPr>
                                  <a:picLocks noChangeAspect="1"/>
                                </pic:cNvPicPr>
                              </pic:nvPicPr>
                              <pic:blipFill>
                                <a:blip r:embed="rId17" cstate="print"/>
                                <a:stretch>
                                  <a:fillRect/>
                                </a:stretch>
                              </pic:blipFill>
                              <pic:spPr>
                                <a:xfrm>
                                  <a:off x="0" y="0"/>
                                  <a:ext cx="730250" cy="378460"/>
                                </a:xfrm>
                                <a:prstGeom prst="rect">
                                  <a:avLst/>
                                </a:prstGeom>
                                <a:noFill/>
                                <a:ln>
                                  <a:noFill/>
                                </a:ln>
                              </pic:spPr>
                            </pic:pic>
                          </a:graphicData>
                        </a:graphic>
                      </wp:anchor>
                    </w:draw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52" w:type="dxa"/>
                  <w:tcBorders>
                    <w:left w:val="single" w:color="000000" w:sz="4" w:space="0"/>
                    <w:right w:val="single" w:color="000000" w:sz="4" w:space="0"/>
                  </w:tcBorders>
                  <w:vAlign w:val="center"/>
                </w:tcPr>
                <w:p>
                  <w:pPr>
                    <w:snapToGrid w:val="0"/>
                    <w:spacing w:line="240" w:lineRule="auto"/>
                    <w:jc w:val="center"/>
                    <w:rPr>
                      <w:rFonts w:hint="eastAsia"/>
                      <w:szCs w:val="21"/>
                    </w:rPr>
                  </w:pPr>
                  <w:r>
                    <w:rPr>
                      <w:rFonts w:hint="eastAsia"/>
                      <w:szCs w:val="21"/>
                    </w:rPr>
                    <w:t>噪声</w:t>
                  </w:r>
                </w:p>
              </w:tc>
              <w:tc>
                <w:tcPr>
                  <w:tcW w:w="1496" w:type="dxa"/>
                  <w:tcBorders>
                    <w:top w:val="single" w:color="000000" w:sz="4" w:space="0"/>
                    <w:left w:val="nil"/>
                    <w:bottom w:val="single" w:color="000000" w:sz="4" w:space="0"/>
                    <w:right w:val="single" w:color="000000" w:sz="4" w:space="0"/>
                  </w:tcBorders>
                  <w:vAlign w:val="center"/>
                </w:tcPr>
                <w:p>
                  <w:pPr>
                    <w:snapToGrid w:val="0"/>
                    <w:spacing w:line="240" w:lineRule="auto"/>
                    <w:jc w:val="center"/>
                    <w:rPr>
                      <w:rFonts w:hint="eastAsia"/>
                      <w:szCs w:val="21"/>
                    </w:rPr>
                  </w:pPr>
                  <w:r>
                    <w:rPr>
                      <w:rFonts w:hint="eastAsia"/>
                      <w:szCs w:val="21"/>
                    </w:rPr>
                    <w:t>/</w:t>
                  </w:r>
                </w:p>
              </w:tc>
              <w:tc>
                <w:tcPr>
                  <w:tcW w:w="2704" w:type="dxa"/>
                  <w:tcBorders>
                    <w:top w:val="single" w:color="000000" w:sz="4" w:space="0"/>
                    <w:left w:val="nil"/>
                    <w:bottom w:val="single" w:color="000000" w:sz="4" w:space="0"/>
                    <w:right w:val="single" w:color="000000" w:sz="4" w:space="0"/>
                  </w:tcBorders>
                  <w:vAlign w:val="center"/>
                </w:tcPr>
                <w:p>
                  <w:pPr>
                    <w:snapToGrid w:val="0"/>
                    <w:spacing w:line="240" w:lineRule="auto"/>
                    <w:jc w:val="center"/>
                    <w:rPr>
                      <w:rFonts w:hint="eastAsia"/>
                      <w:szCs w:val="21"/>
                    </w:rPr>
                  </w:pPr>
                  <w:r>
                    <w:rPr>
                      <w:rFonts w:hint="eastAsia"/>
                      <w:szCs w:val="21"/>
                    </w:rPr>
                    <w:t>噪声</w:t>
                  </w:r>
                </w:p>
              </w:tc>
              <w:tc>
                <w:tcPr>
                  <w:tcW w:w="1619" w:type="dxa"/>
                  <w:tcBorders>
                    <w:top w:val="single" w:color="000000" w:sz="4" w:space="0"/>
                    <w:left w:val="nil"/>
                    <w:bottom w:val="single" w:color="000000" w:sz="4" w:space="0"/>
                    <w:right w:val="single" w:color="000000" w:sz="4" w:space="0"/>
                  </w:tcBorders>
                  <w:vAlign w:val="center"/>
                </w:tcPr>
                <w:p>
                  <w:pPr>
                    <w:snapToGrid w:val="0"/>
                    <w:spacing w:line="240" w:lineRule="auto"/>
                    <w:jc w:val="center"/>
                    <w:rPr>
                      <w:rFonts w:hint="eastAsia"/>
                      <w:szCs w:val="21"/>
                    </w:rPr>
                  </w:pPr>
                  <w:r>
                    <w:rPr>
                      <w:rFonts w:hint="eastAsia"/>
                      <w:szCs w:val="21"/>
                    </w:rPr>
                    <w:t>/</w:t>
                  </w:r>
                </w:p>
              </w:tc>
              <w:tc>
                <w:tcPr>
                  <w:tcW w:w="1749" w:type="dxa"/>
                  <w:tcBorders>
                    <w:top w:val="single" w:color="000000" w:sz="4" w:space="0"/>
                    <w:left w:val="nil"/>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kern w:val="0"/>
                      <w:szCs w:val="21"/>
                    </w:rPr>
                  </w:pPr>
                  <w:r>
                    <w:rPr>
                      <w:rFonts w:hint="eastAsia"/>
                      <w:kern w:val="0"/>
                      <w:szCs w:val="21"/>
                    </w:rPr>
                    <w:drawing>
                      <wp:anchor distT="0" distB="0" distL="114935" distR="114935" simplePos="0" relativeHeight="251927552" behindDoc="0" locked="0" layoutInCell="1" allowOverlap="1">
                        <wp:simplePos x="0" y="0"/>
                        <wp:positionH relativeFrom="column">
                          <wp:posOffset>144145</wp:posOffset>
                        </wp:positionH>
                        <wp:positionV relativeFrom="paragraph">
                          <wp:posOffset>21590</wp:posOffset>
                        </wp:positionV>
                        <wp:extent cx="741680" cy="365760"/>
                        <wp:effectExtent l="0" t="0" r="1270" b="15240"/>
                        <wp:wrapSquare wrapText="bothSides"/>
                        <wp:docPr id="1" name="图片 1" descr="截图2019060310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截图20190603101846"/>
                                <pic:cNvPicPr>
                                  <a:picLocks noChangeAspect="1"/>
                                </pic:cNvPicPr>
                              </pic:nvPicPr>
                              <pic:blipFill>
                                <a:blip r:embed="rId18" cstate="print"/>
                                <a:stretch>
                                  <a:fillRect/>
                                </a:stretch>
                              </pic:blipFill>
                              <pic:spPr>
                                <a:xfrm>
                                  <a:off x="0" y="0"/>
                                  <a:ext cx="741680" cy="365760"/>
                                </a:xfrm>
                                <a:prstGeom prst="rect">
                                  <a:avLst/>
                                </a:prstGeom>
                              </pic:spPr>
                            </pic:pic>
                          </a:graphicData>
                        </a:graphic>
                      </wp:anchor>
                    </w:drawing>
                  </w:r>
                </w:p>
              </w:tc>
            </w:tr>
          </w:tbl>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sz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left"/>
              <w:textAlignment w:val="auto"/>
              <w:rPr>
                <w:sz w:val="24"/>
              </w:rPr>
            </w:pPr>
            <w:r>
              <w:rPr>
                <w:rFonts w:hint="eastAsia"/>
                <w:sz w:val="24"/>
                <w:lang w:val="en-US" w:eastAsia="zh-CN"/>
              </w:rPr>
              <w:t>6.3</w:t>
            </w:r>
            <w:r>
              <w:rPr>
                <w:sz w:val="24"/>
              </w:rPr>
              <w:t>环境监测计划</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238" w:leftChars="0" w:firstLine="240" w:firstLineChars="100"/>
              <w:textAlignment w:val="auto"/>
              <w:rPr>
                <w:rFonts w:hint="eastAsia" w:eastAsia="宋体"/>
                <w:sz w:val="24"/>
                <w:szCs w:val="24"/>
                <w:lang w:eastAsia="zh-CN"/>
              </w:rPr>
            </w:pPr>
            <w:r>
              <w:rPr>
                <w:rFonts w:hint="eastAsia"/>
                <w:sz w:val="24"/>
                <w:szCs w:val="24"/>
                <w:lang w:eastAsia="zh-CN"/>
              </w:rPr>
              <w:t>环境监测计划如下：</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sz w:val="24"/>
              </w:rPr>
            </w:pPr>
            <w:r>
              <w:rPr>
                <w:sz w:val="24"/>
              </w:rPr>
              <w:t>①监控要求</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sz w:val="24"/>
              </w:rPr>
            </w:pPr>
            <w:r>
              <w:rPr>
                <w:sz w:val="24"/>
              </w:rPr>
              <w:t>1）根据《环境保护图形标志排放口（源）》（GB15562.1-1995）标准要求，分别在</w:t>
            </w:r>
            <w:r>
              <w:rPr>
                <w:rFonts w:hint="eastAsia"/>
                <w:sz w:val="24"/>
                <w:lang w:eastAsia="zh-CN"/>
              </w:rPr>
              <w:t>废气排放口、</w:t>
            </w:r>
            <w:r>
              <w:rPr>
                <w:sz w:val="24"/>
              </w:rPr>
              <w:t>噪声排放源设置环境保护图形标志，便于污染源的监督管理和常规监测工作的进行；</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sz w:val="24"/>
              </w:rPr>
            </w:pPr>
            <w:r>
              <w:rPr>
                <w:sz w:val="24"/>
              </w:rPr>
              <w:t>2）污染监控应严格按照国家有关标准和技术规范进行，监测方法参照执行国家有关技术标准和规范。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sz w:val="24"/>
              </w:rPr>
            </w:pPr>
            <w:r>
              <w:rPr>
                <w:sz w:val="24"/>
              </w:rPr>
              <w:t>②污染源监控</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sz w:val="24"/>
              </w:rPr>
            </w:pPr>
            <w:r>
              <w:rPr>
                <w:sz w:val="24"/>
              </w:rPr>
              <w:t>根据环境保护部办公厅2017年11月14日发布的《关于做好环评与排污许可制度衔接工作的通知》文件中“依据国家或地方污染物排放标准、环境质量标准和总量控制要求等管理规定，按照污染源源强核算技术指南、环境影响评价要素导则等技术文件，严格核定排放口数量、位置以及每个排放口的污染物种类、允许排放浓度和允许排放量、排放方式、排放去向、自行监测计划等与污染物排放相关的主要内容。”本次环评汇总了</w:t>
            </w:r>
            <w:r>
              <w:rPr>
                <w:rFonts w:hint="eastAsia"/>
                <w:b w:val="0"/>
                <w:bCs w:val="0"/>
                <w:sz w:val="24"/>
                <w:lang w:eastAsia="zh-CN"/>
              </w:rPr>
              <w:t>全厂</w:t>
            </w:r>
            <w:r>
              <w:rPr>
                <w:sz w:val="24"/>
              </w:rPr>
              <w:t>污染物产排情况，并根据《排污单位自行监测技术指南 总则》（HJ819-2017）制定了自行监测计划，具体如下。</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eastAsia="宋体"/>
                <w:sz w:val="24"/>
                <w:lang w:eastAsia="zh-CN"/>
              </w:rPr>
            </w:pPr>
            <w:r>
              <w:rPr>
                <w:rFonts w:hint="eastAsia"/>
                <w:sz w:val="24"/>
                <w:lang w:val="en-US" w:eastAsia="zh-CN"/>
              </w:rPr>
              <w:t>1</w:t>
            </w:r>
            <w:r>
              <w:rPr>
                <w:sz w:val="24"/>
              </w:rPr>
              <w:t>）</w:t>
            </w:r>
            <w:r>
              <w:rPr>
                <w:rFonts w:hint="eastAsia"/>
                <w:sz w:val="24"/>
                <w:lang w:eastAsia="zh-CN"/>
              </w:rPr>
              <w:t>废水监测</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eastAsia="宋体"/>
                <w:sz w:val="24"/>
                <w:szCs w:val="24"/>
                <w:lang w:val="en-US" w:eastAsia="zh-CN"/>
              </w:rPr>
            </w:pPr>
            <w:r>
              <w:rPr>
                <w:rFonts w:hint="eastAsia"/>
                <w:b w:val="0"/>
                <w:bCs/>
                <w:sz w:val="24"/>
                <w:lang w:val="en-US" w:eastAsia="zh-CN"/>
              </w:rPr>
              <w:t>员工生活污水与生产废水同时经村镇污水管网进入涧南庄村污水处理站处理</w:t>
            </w:r>
            <w:r>
              <w:rPr>
                <w:rFonts w:hint="eastAsia"/>
                <w:sz w:val="24"/>
                <w:szCs w:val="24"/>
                <w:lang w:val="en-US" w:eastAsia="zh-CN"/>
              </w:rPr>
              <w:t>。全厂废水监测计划如下：</w:t>
            </w:r>
          </w:p>
          <w:p>
            <w:pPr>
              <w:spacing w:line="240" w:lineRule="auto"/>
              <w:ind w:firstLine="480" w:firstLineChars="200"/>
              <w:jc w:val="center"/>
              <w:rPr>
                <w:rFonts w:hint="eastAsia" w:ascii="黑体" w:hAnsi="黑体" w:eastAsia="黑体" w:cs="黑体"/>
                <w:b w:val="0"/>
                <w:bCs w:val="0"/>
                <w:kern w:val="0"/>
                <w:sz w:val="24"/>
              </w:rPr>
            </w:pPr>
            <w:r>
              <w:rPr>
                <w:rFonts w:hint="eastAsia" w:ascii="黑体" w:hAnsi="黑体" w:eastAsia="黑体" w:cs="黑体"/>
                <w:b w:val="0"/>
                <w:bCs w:val="0"/>
                <w:kern w:val="0"/>
                <w:sz w:val="24"/>
              </w:rPr>
              <w:t>环境监测计划及记录信息表</w:t>
            </w:r>
          </w:p>
          <w:tbl>
            <w:tblPr>
              <w:tblStyle w:val="12"/>
              <w:tblW w:w="886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4"/>
              <w:gridCol w:w="719"/>
              <w:gridCol w:w="759"/>
              <w:gridCol w:w="750"/>
              <w:gridCol w:w="1391"/>
              <w:gridCol w:w="651"/>
              <w:gridCol w:w="627"/>
              <w:gridCol w:w="970"/>
              <w:gridCol w:w="750"/>
              <w:gridCol w:w="1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3" w:hRule="atLeast"/>
              </w:trPr>
              <w:tc>
                <w:tcPr>
                  <w:tcW w:w="744" w:type="dxa"/>
                  <w:tcBorders>
                    <w:tl2br w:val="nil"/>
                    <w:tr2bl w:val="nil"/>
                  </w:tcBorders>
                  <w:shd w:val="clear" w:color="auto" w:fill="auto"/>
                  <w:vAlign w:val="center"/>
                </w:tcPr>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Style w:val="20"/>
                      <w:rFonts w:ascii="Times New Roman" w:hAnsi="Times New Roman" w:eastAsia="宋体" w:cs="Times New Roman"/>
                      <w:color w:val="auto"/>
                      <w:sz w:val="21"/>
                      <w:szCs w:val="21"/>
                    </w:rPr>
                  </w:pPr>
                  <w:r>
                    <w:rPr>
                      <w:rStyle w:val="20"/>
                      <w:rFonts w:ascii="Times New Roman" w:hAnsi="Times New Roman" w:eastAsia="宋体" w:cs="Times New Roman"/>
                      <w:color w:val="auto"/>
                      <w:sz w:val="21"/>
                      <w:szCs w:val="21"/>
                    </w:rPr>
                    <w:t>排放口</w:t>
                  </w:r>
                </w:p>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编号</w:t>
                  </w:r>
                </w:p>
              </w:tc>
              <w:tc>
                <w:tcPr>
                  <w:tcW w:w="719" w:type="dxa"/>
                  <w:tcBorders>
                    <w:tl2br w:val="nil"/>
                    <w:tr2bl w:val="nil"/>
                  </w:tcBorders>
                  <w:shd w:val="clear" w:color="auto" w:fill="auto"/>
                  <w:vAlign w:val="center"/>
                </w:tcPr>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Style w:val="20"/>
                      <w:rFonts w:ascii="Times New Roman" w:hAnsi="Times New Roman" w:eastAsia="宋体" w:cs="Times New Roman"/>
                      <w:color w:val="auto"/>
                      <w:sz w:val="21"/>
                      <w:szCs w:val="21"/>
                    </w:rPr>
                  </w:pPr>
                  <w:r>
                    <w:rPr>
                      <w:rStyle w:val="20"/>
                      <w:rFonts w:ascii="Times New Roman" w:hAnsi="Times New Roman" w:eastAsia="宋体" w:cs="Times New Roman"/>
                      <w:color w:val="auto"/>
                      <w:sz w:val="21"/>
                      <w:szCs w:val="21"/>
                    </w:rPr>
                    <w:t>污染物</w:t>
                  </w:r>
                </w:p>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名称</w:t>
                  </w:r>
                </w:p>
              </w:tc>
              <w:tc>
                <w:tcPr>
                  <w:tcW w:w="759" w:type="dxa"/>
                  <w:tcBorders>
                    <w:tl2br w:val="nil"/>
                    <w:tr2bl w:val="nil"/>
                  </w:tcBorders>
                  <w:shd w:val="clear" w:color="auto" w:fill="auto"/>
                  <w:vAlign w:val="center"/>
                </w:tcPr>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Style w:val="20"/>
                      <w:rFonts w:ascii="Times New Roman" w:hAnsi="Times New Roman" w:eastAsia="宋体" w:cs="Times New Roman"/>
                      <w:color w:val="auto"/>
                      <w:sz w:val="21"/>
                      <w:szCs w:val="21"/>
                    </w:rPr>
                  </w:pPr>
                  <w:r>
                    <w:rPr>
                      <w:rStyle w:val="20"/>
                      <w:rFonts w:ascii="Times New Roman" w:hAnsi="Times New Roman" w:eastAsia="宋体" w:cs="Times New Roman"/>
                      <w:color w:val="auto"/>
                      <w:sz w:val="21"/>
                      <w:szCs w:val="21"/>
                    </w:rPr>
                    <w:t>监测</w:t>
                  </w:r>
                </w:p>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设施</w:t>
                  </w:r>
                </w:p>
              </w:tc>
              <w:tc>
                <w:tcPr>
                  <w:tcW w:w="750" w:type="dxa"/>
                  <w:tcBorders>
                    <w:tl2br w:val="nil"/>
                    <w:tr2bl w:val="nil"/>
                  </w:tcBorders>
                  <w:shd w:val="clear" w:color="auto" w:fill="auto"/>
                  <w:vAlign w:val="center"/>
                </w:tcPr>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自动监测设施安装位置</w:t>
                  </w:r>
                </w:p>
              </w:tc>
              <w:tc>
                <w:tcPr>
                  <w:tcW w:w="1391" w:type="dxa"/>
                  <w:tcBorders>
                    <w:tl2br w:val="nil"/>
                    <w:tr2bl w:val="nil"/>
                  </w:tcBorders>
                  <w:shd w:val="clear" w:color="auto" w:fill="auto"/>
                  <w:vAlign w:val="center"/>
                </w:tcPr>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自动监测设施的安装、运行、维护等相关管理要求</w:t>
                  </w:r>
                </w:p>
              </w:tc>
              <w:tc>
                <w:tcPr>
                  <w:tcW w:w="651" w:type="dxa"/>
                  <w:tcBorders>
                    <w:tl2br w:val="nil"/>
                    <w:tr2bl w:val="nil"/>
                  </w:tcBorders>
                  <w:shd w:val="clear" w:color="auto" w:fill="auto"/>
                  <w:vAlign w:val="center"/>
                </w:tcPr>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自动监测是否联网</w:t>
                  </w:r>
                </w:p>
              </w:tc>
              <w:tc>
                <w:tcPr>
                  <w:tcW w:w="627" w:type="dxa"/>
                  <w:tcBorders>
                    <w:tl2br w:val="nil"/>
                    <w:tr2bl w:val="nil"/>
                  </w:tcBorders>
                  <w:shd w:val="clear" w:color="auto" w:fill="auto"/>
                  <w:vAlign w:val="center"/>
                </w:tcPr>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Style w:val="20"/>
                      <w:rFonts w:ascii="Times New Roman" w:hAnsi="Times New Roman" w:eastAsia="宋体" w:cs="Times New Roman"/>
                      <w:color w:val="auto"/>
                      <w:sz w:val="21"/>
                      <w:szCs w:val="21"/>
                    </w:rPr>
                  </w:pPr>
                  <w:r>
                    <w:rPr>
                      <w:rStyle w:val="20"/>
                      <w:rFonts w:ascii="Times New Roman" w:hAnsi="Times New Roman" w:eastAsia="宋体" w:cs="Times New Roman"/>
                      <w:color w:val="auto"/>
                      <w:sz w:val="21"/>
                      <w:szCs w:val="21"/>
                    </w:rPr>
                    <w:t>自动监</w:t>
                  </w:r>
                </w:p>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Style w:val="20"/>
                      <w:rFonts w:ascii="Times New Roman" w:hAnsi="Times New Roman" w:eastAsia="宋体" w:cs="Times New Roman"/>
                      <w:color w:val="auto"/>
                      <w:sz w:val="21"/>
                      <w:szCs w:val="21"/>
                    </w:rPr>
                  </w:pPr>
                  <w:r>
                    <w:rPr>
                      <w:rStyle w:val="20"/>
                      <w:rFonts w:ascii="Times New Roman" w:hAnsi="Times New Roman" w:eastAsia="宋体" w:cs="Times New Roman"/>
                      <w:color w:val="auto"/>
                      <w:sz w:val="21"/>
                      <w:szCs w:val="21"/>
                    </w:rPr>
                    <w:t>测仪器</w:t>
                  </w:r>
                </w:p>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名称</w:t>
                  </w:r>
                </w:p>
              </w:tc>
              <w:tc>
                <w:tcPr>
                  <w:tcW w:w="970" w:type="dxa"/>
                  <w:tcBorders>
                    <w:tl2br w:val="nil"/>
                    <w:tr2bl w:val="nil"/>
                  </w:tcBorders>
                  <w:shd w:val="clear" w:color="auto" w:fill="auto"/>
                  <w:vAlign w:val="center"/>
                </w:tcPr>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手工监测采样方法及个数</w:t>
                  </w:r>
                </w:p>
              </w:tc>
              <w:tc>
                <w:tcPr>
                  <w:tcW w:w="750" w:type="dxa"/>
                  <w:tcBorders>
                    <w:tl2br w:val="nil"/>
                    <w:tr2bl w:val="nil"/>
                  </w:tcBorders>
                  <w:shd w:val="clear" w:color="auto" w:fill="auto"/>
                  <w:vAlign w:val="center"/>
                </w:tcPr>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手工监测频次</w:t>
                  </w:r>
                </w:p>
              </w:tc>
              <w:tc>
                <w:tcPr>
                  <w:tcW w:w="1499" w:type="dxa"/>
                  <w:tcBorders>
                    <w:tl2br w:val="nil"/>
                    <w:tr2bl w:val="nil"/>
                  </w:tcBorders>
                  <w:shd w:val="clear" w:color="auto" w:fill="auto"/>
                  <w:vAlign w:val="center"/>
                </w:tcPr>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Style w:val="20"/>
                      <w:rFonts w:ascii="Times New Roman" w:hAnsi="Times New Roman" w:eastAsia="宋体" w:cs="Times New Roman"/>
                      <w:color w:val="auto"/>
                      <w:sz w:val="21"/>
                      <w:szCs w:val="21"/>
                    </w:rPr>
                  </w:pPr>
                  <w:r>
                    <w:rPr>
                      <w:rStyle w:val="20"/>
                      <w:rFonts w:ascii="Times New Roman" w:hAnsi="Times New Roman" w:eastAsia="宋体" w:cs="Times New Roman"/>
                      <w:color w:val="auto"/>
                      <w:sz w:val="21"/>
                      <w:szCs w:val="21"/>
                    </w:rPr>
                    <w:t>手工测</w:t>
                  </w:r>
                </w:p>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t>定方法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3" w:hRule="atLeast"/>
              </w:trPr>
              <w:tc>
                <w:tcPr>
                  <w:tcW w:w="744"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r>
                    <w:rPr>
                      <w:rFonts w:eastAsiaTheme="minorEastAsia"/>
                      <w:szCs w:val="21"/>
                    </w:rPr>
                    <w:t>DW001</w:t>
                  </w:r>
                </w:p>
              </w:tc>
              <w:tc>
                <w:tcPr>
                  <w:tcW w:w="719"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kern w:val="0"/>
                      <w:szCs w:val="21"/>
                    </w:rPr>
                  </w:pPr>
                  <w:r>
                    <w:rPr>
                      <w:kern w:val="0"/>
                      <w:szCs w:val="21"/>
                    </w:rPr>
                    <w:t>COD</w:t>
                  </w:r>
                </w:p>
              </w:tc>
              <w:tc>
                <w:tcPr>
                  <w:tcW w:w="759" w:type="dxa"/>
                  <w:vMerge w:val="restart"/>
                  <w:tcBorders>
                    <w:tl2br w:val="nil"/>
                    <w:tr2bl w:val="nil"/>
                  </w:tcBorders>
                  <w:shd w:val="clear" w:color="auto" w:fill="auto"/>
                  <w:vAlign w:val="center"/>
                </w:tcPr>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Fonts w:ascii="Times New Roman" w:hAnsi="Times New Roman" w:eastAsia="宋体" w:cs="Times New Roman"/>
                      <w:sz w:val="21"/>
                      <w:szCs w:val="21"/>
                    </w:rPr>
                  </w:pPr>
                  <w:r>
                    <w:rPr>
                      <w:rStyle w:val="20"/>
                      <w:rFonts w:ascii="Times New Roman" w:hAnsi="Times New Roman" w:eastAsia="宋体" w:cs="Times New Roman"/>
                      <w:color w:val="auto"/>
                      <w:sz w:val="21"/>
                      <w:szCs w:val="21"/>
                    </w:rPr>
                    <w:sym w:font="Wingdings 2" w:char="00A3"/>
                  </w:r>
                  <w:r>
                    <w:rPr>
                      <w:rStyle w:val="20"/>
                      <w:rFonts w:ascii="Times New Roman" w:hAnsi="Times New Roman" w:eastAsia="宋体" w:cs="Times New Roman"/>
                      <w:color w:val="auto"/>
                      <w:sz w:val="21"/>
                      <w:szCs w:val="21"/>
                    </w:rPr>
                    <w:t>自动</w:t>
                  </w:r>
                </w:p>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Fonts w:ascii="Times New Roman" w:hAnsi="Times New Roman" w:eastAsia="宋体" w:cs="Times New Roman"/>
                      <w:sz w:val="21"/>
                      <w:szCs w:val="21"/>
                    </w:rPr>
                  </w:pPr>
                  <w:r>
                    <w:rPr>
                      <w:rStyle w:val="20"/>
                      <w:rFonts w:hint="eastAsia" w:ascii="Times New Roman" w:hAnsi="Times New Roman" w:eastAsia="宋体" w:cs="Times New Roman"/>
                      <w:color w:val="auto"/>
                      <w:sz w:val="21"/>
                      <w:szCs w:val="21"/>
                    </w:rPr>
                    <w:sym w:font="Wingdings 2" w:char="0052"/>
                  </w:r>
                  <w:r>
                    <w:rPr>
                      <w:rStyle w:val="20"/>
                      <w:rFonts w:ascii="Times New Roman" w:hAnsi="Times New Roman" w:eastAsia="宋体" w:cs="Times New Roman"/>
                      <w:color w:val="auto"/>
                      <w:sz w:val="21"/>
                      <w:szCs w:val="21"/>
                    </w:rPr>
                    <w:t>手工</w:t>
                  </w:r>
                </w:p>
              </w:tc>
              <w:tc>
                <w:tcPr>
                  <w:tcW w:w="75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r>
                    <w:rPr>
                      <w:szCs w:val="21"/>
                    </w:rPr>
                    <w:t>/</w:t>
                  </w:r>
                </w:p>
              </w:tc>
              <w:tc>
                <w:tcPr>
                  <w:tcW w:w="1391"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r>
                    <w:rPr>
                      <w:szCs w:val="21"/>
                    </w:rPr>
                    <w:t>/</w:t>
                  </w:r>
                </w:p>
              </w:tc>
              <w:tc>
                <w:tcPr>
                  <w:tcW w:w="651"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r>
                    <w:rPr>
                      <w:szCs w:val="21"/>
                    </w:rPr>
                    <w:t>/</w:t>
                  </w:r>
                </w:p>
              </w:tc>
              <w:tc>
                <w:tcPr>
                  <w:tcW w:w="627"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r>
                    <w:rPr>
                      <w:szCs w:val="21"/>
                    </w:rPr>
                    <w:t>/</w:t>
                  </w:r>
                </w:p>
              </w:tc>
              <w:tc>
                <w:tcPr>
                  <w:tcW w:w="97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r>
                    <w:rPr>
                      <w:szCs w:val="21"/>
                    </w:rPr>
                    <w:t>混合采样、连续检测 2天、4 次/天</w:t>
                  </w:r>
                </w:p>
              </w:tc>
              <w:tc>
                <w:tcPr>
                  <w:tcW w:w="75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r>
                    <w:rPr>
                      <w:szCs w:val="21"/>
                    </w:rPr>
                    <w:t>1次/季度</w:t>
                  </w:r>
                </w:p>
              </w:tc>
              <w:tc>
                <w:tcPr>
                  <w:tcW w:w="1499"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r>
                    <w:rPr>
                      <w:szCs w:val="21"/>
                    </w:rPr>
                    <w:t>重铬酸盐法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3" w:hRule="atLeast"/>
              </w:trPr>
              <w:tc>
                <w:tcPr>
                  <w:tcW w:w="744"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eastAsiaTheme="minorEastAsia"/>
                      <w:szCs w:val="21"/>
                    </w:rPr>
                  </w:pPr>
                </w:p>
              </w:tc>
              <w:tc>
                <w:tcPr>
                  <w:tcW w:w="719"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kern w:val="0"/>
                      <w:szCs w:val="21"/>
                    </w:rPr>
                  </w:pPr>
                  <w:r>
                    <w:rPr>
                      <w:kern w:val="0"/>
                      <w:szCs w:val="21"/>
                    </w:rPr>
                    <w:t>氨氮</w:t>
                  </w:r>
                </w:p>
              </w:tc>
              <w:tc>
                <w:tcPr>
                  <w:tcW w:w="759" w:type="dxa"/>
                  <w:vMerge w:val="continue"/>
                  <w:tcBorders>
                    <w:tl2br w:val="nil"/>
                    <w:tr2bl w:val="nil"/>
                  </w:tcBorders>
                  <w:shd w:val="clear" w:color="auto" w:fill="auto"/>
                  <w:vAlign w:val="center"/>
                </w:tcPr>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Style w:val="20"/>
                      <w:rFonts w:ascii="Times New Roman" w:hAnsi="Times New Roman" w:eastAsia="宋体" w:cs="Times New Roman"/>
                      <w:color w:val="auto"/>
                      <w:sz w:val="21"/>
                      <w:szCs w:val="21"/>
                    </w:rPr>
                  </w:pPr>
                </w:p>
              </w:tc>
              <w:tc>
                <w:tcPr>
                  <w:tcW w:w="75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1391"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651"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627"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97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75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1499"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r>
                    <w:rPr>
                      <w:szCs w:val="21"/>
                    </w:rPr>
                    <w:t>纳氏试剂分光光度法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3" w:hRule="atLeast"/>
              </w:trPr>
              <w:tc>
                <w:tcPr>
                  <w:tcW w:w="744"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eastAsiaTheme="minorEastAsia"/>
                      <w:szCs w:val="21"/>
                    </w:rPr>
                  </w:pPr>
                </w:p>
              </w:tc>
              <w:tc>
                <w:tcPr>
                  <w:tcW w:w="719"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kern w:val="0"/>
                      <w:szCs w:val="21"/>
                    </w:rPr>
                  </w:pPr>
                  <w:r>
                    <w:rPr>
                      <w:rFonts w:hint="eastAsia"/>
                      <w:kern w:val="0"/>
                      <w:szCs w:val="21"/>
                    </w:rPr>
                    <w:t>总磷</w:t>
                  </w:r>
                </w:p>
              </w:tc>
              <w:tc>
                <w:tcPr>
                  <w:tcW w:w="759" w:type="dxa"/>
                  <w:vMerge w:val="continue"/>
                  <w:tcBorders>
                    <w:tl2br w:val="nil"/>
                    <w:tr2bl w:val="nil"/>
                  </w:tcBorders>
                  <w:shd w:val="clear" w:color="auto" w:fill="auto"/>
                  <w:vAlign w:val="center"/>
                </w:tcPr>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Style w:val="20"/>
                      <w:rFonts w:ascii="Times New Roman" w:hAnsi="Times New Roman" w:eastAsia="宋体" w:cs="Times New Roman"/>
                      <w:color w:val="auto"/>
                      <w:sz w:val="21"/>
                      <w:szCs w:val="21"/>
                    </w:rPr>
                  </w:pPr>
                </w:p>
              </w:tc>
              <w:tc>
                <w:tcPr>
                  <w:tcW w:w="75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1391"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651"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627"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97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75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1499"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r>
                    <w:rPr>
                      <w:rFonts w:hint="eastAsia"/>
                      <w:szCs w:val="21"/>
                    </w:rPr>
                    <w:t>钼酸铵分光光度法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3" w:hRule="atLeast"/>
              </w:trPr>
              <w:tc>
                <w:tcPr>
                  <w:tcW w:w="744"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eastAsiaTheme="minorEastAsia"/>
                      <w:szCs w:val="21"/>
                    </w:rPr>
                  </w:pPr>
                </w:p>
              </w:tc>
              <w:tc>
                <w:tcPr>
                  <w:tcW w:w="719"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kern w:val="0"/>
                      <w:szCs w:val="21"/>
                    </w:rPr>
                  </w:pPr>
                  <w:r>
                    <w:rPr>
                      <w:rFonts w:hint="eastAsia"/>
                      <w:kern w:val="0"/>
                      <w:szCs w:val="21"/>
                    </w:rPr>
                    <w:t>总氮</w:t>
                  </w:r>
                </w:p>
              </w:tc>
              <w:tc>
                <w:tcPr>
                  <w:tcW w:w="759" w:type="dxa"/>
                  <w:vMerge w:val="continue"/>
                  <w:tcBorders>
                    <w:tl2br w:val="nil"/>
                    <w:tr2bl w:val="nil"/>
                  </w:tcBorders>
                  <w:shd w:val="clear" w:color="auto" w:fill="auto"/>
                  <w:vAlign w:val="center"/>
                </w:tcPr>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Style w:val="20"/>
                      <w:rFonts w:ascii="Times New Roman" w:hAnsi="Times New Roman" w:eastAsia="宋体" w:cs="Times New Roman"/>
                      <w:color w:val="auto"/>
                      <w:sz w:val="21"/>
                      <w:szCs w:val="21"/>
                    </w:rPr>
                  </w:pPr>
                </w:p>
              </w:tc>
              <w:tc>
                <w:tcPr>
                  <w:tcW w:w="75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1391"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651"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627"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97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75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1499"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r>
                    <w:rPr>
                      <w:rFonts w:hint="eastAsia"/>
                      <w:szCs w:val="21"/>
                    </w:rPr>
                    <w:t>碱性过硫酸钾紫外分光光度发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3" w:hRule="atLeast"/>
              </w:trPr>
              <w:tc>
                <w:tcPr>
                  <w:tcW w:w="744"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eastAsiaTheme="minorEastAsia"/>
                      <w:szCs w:val="21"/>
                    </w:rPr>
                  </w:pPr>
                </w:p>
              </w:tc>
              <w:tc>
                <w:tcPr>
                  <w:tcW w:w="719"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eastAsia="宋体"/>
                      <w:kern w:val="0"/>
                      <w:szCs w:val="21"/>
                      <w:lang w:eastAsia="zh-CN"/>
                    </w:rPr>
                  </w:pPr>
                  <w:r>
                    <w:rPr>
                      <w:rFonts w:hint="eastAsia"/>
                      <w:kern w:val="0"/>
                      <w:szCs w:val="21"/>
                      <w:lang w:eastAsia="zh-CN"/>
                    </w:rPr>
                    <w:t>石油类</w:t>
                  </w:r>
                </w:p>
              </w:tc>
              <w:tc>
                <w:tcPr>
                  <w:tcW w:w="759" w:type="dxa"/>
                  <w:vMerge w:val="continue"/>
                  <w:tcBorders>
                    <w:tl2br w:val="nil"/>
                    <w:tr2bl w:val="nil"/>
                  </w:tcBorders>
                  <w:shd w:val="clear" w:color="auto" w:fill="auto"/>
                  <w:vAlign w:val="center"/>
                </w:tcPr>
                <w:p>
                  <w:pPr>
                    <w:pStyle w:val="19"/>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exact"/>
                    <w:textAlignment w:val="auto"/>
                    <w:rPr>
                      <w:rStyle w:val="20"/>
                      <w:rFonts w:ascii="Times New Roman" w:hAnsi="Times New Roman" w:eastAsia="宋体" w:cs="Times New Roman"/>
                      <w:color w:val="auto"/>
                      <w:sz w:val="21"/>
                      <w:szCs w:val="21"/>
                    </w:rPr>
                  </w:pPr>
                </w:p>
              </w:tc>
              <w:tc>
                <w:tcPr>
                  <w:tcW w:w="75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1391"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651"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627"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97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75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szCs w:val="21"/>
                    </w:rPr>
                  </w:pPr>
                </w:p>
              </w:tc>
              <w:tc>
                <w:tcPr>
                  <w:tcW w:w="1499"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eastAsia="宋体"/>
                      <w:szCs w:val="21"/>
                      <w:lang w:eastAsia="zh-CN"/>
                    </w:rPr>
                  </w:pPr>
                  <w:r>
                    <w:rPr>
                      <w:rFonts w:hint="eastAsia"/>
                      <w:szCs w:val="21"/>
                      <w:lang w:eastAsia="zh-CN"/>
                    </w:rPr>
                    <w:t>红外分光光度法</w:t>
                  </w:r>
                </w:p>
              </w:tc>
            </w:tr>
          </w:tbl>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sz w:val="24"/>
              </w:rPr>
            </w:pPr>
            <w:r>
              <w:rPr>
                <w:rFonts w:hint="eastAsia"/>
                <w:sz w:val="24"/>
                <w:lang w:val="en-US" w:eastAsia="zh-CN"/>
              </w:rPr>
              <w:t>2</w:t>
            </w:r>
            <w:r>
              <w:rPr>
                <w:rFonts w:hint="eastAsia"/>
                <w:sz w:val="24"/>
                <w:lang w:eastAsia="zh-CN"/>
              </w:rPr>
              <w:t>）</w:t>
            </w:r>
            <w:r>
              <w:rPr>
                <w:sz w:val="24"/>
              </w:rPr>
              <w:t>噪声监测</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sz w:val="24"/>
              </w:rPr>
            </w:pPr>
            <w:r>
              <w:rPr>
                <w:sz w:val="24"/>
              </w:rPr>
              <w:t>a.监测点位置</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sz w:val="24"/>
              </w:rPr>
            </w:pPr>
            <w:r>
              <w:rPr>
                <w:rFonts w:hint="eastAsia"/>
                <w:sz w:val="24"/>
                <w:lang w:eastAsia="zh-CN"/>
              </w:rPr>
              <w:t>东、南、西、北</w:t>
            </w:r>
            <w:r>
              <w:rPr>
                <w:sz w:val="24"/>
              </w:rPr>
              <w:t>厂界外1m处</w:t>
            </w:r>
            <w:r>
              <w:rPr>
                <w:rFonts w:hint="eastAsia"/>
                <w:sz w:val="24"/>
                <w:lang w:eastAsia="zh-CN"/>
              </w:rPr>
              <w:t>及涧南庄村</w:t>
            </w:r>
            <w:r>
              <w:rPr>
                <w:sz w:val="24"/>
              </w:rPr>
              <w:t>分别设置1个监测点。</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sz w:val="24"/>
              </w:rPr>
            </w:pPr>
            <w:r>
              <w:rPr>
                <w:sz w:val="24"/>
              </w:rPr>
              <w:t>b.监测因子</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sz w:val="24"/>
              </w:rPr>
            </w:pPr>
            <w:r>
              <w:rPr>
                <w:sz w:val="24"/>
              </w:rPr>
              <w:t>监测因子为等效A声级。</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sz w:val="24"/>
              </w:rPr>
            </w:pPr>
            <w:r>
              <w:rPr>
                <w:sz w:val="24"/>
              </w:rPr>
              <w:t>c.监测频率</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sz w:val="24"/>
              </w:rPr>
            </w:pPr>
            <w:r>
              <w:rPr>
                <w:sz w:val="24"/>
              </w:rPr>
              <w:t>委托监测单位每季度监测1次，每次监测2天，昼</w:t>
            </w:r>
            <w:r>
              <w:rPr>
                <w:rFonts w:hint="eastAsia"/>
                <w:sz w:val="24"/>
                <w:lang w:eastAsia="zh-CN"/>
              </w:rPr>
              <w:t>间</w:t>
            </w:r>
            <w:r>
              <w:rPr>
                <w:sz w:val="24"/>
              </w:rPr>
              <w:t>1次/天。</w:t>
            </w:r>
          </w:p>
          <w:p>
            <w:pPr>
              <w:keepNext w:val="0"/>
              <w:keepLines w:val="0"/>
              <w:pageBreakBefore w:val="0"/>
              <w:widowControl w:val="0"/>
              <w:kinsoku/>
              <w:wordWrap/>
              <w:overflowPunct/>
              <w:topLinePunct w:val="0"/>
              <w:bidi w:val="0"/>
              <w:spacing w:line="440" w:lineRule="exact"/>
              <w:ind w:firstLine="482" w:firstLineChars="200"/>
              <w:textAlignment w:val="auto"/>
              <w:rPr>
                <w:b/>
                <w:sz w:val="24"/>
              </w:rPr>
            </w:pPr>
            <w:r>
              <w:rPr>
                <w:rFonts w:hint="eastAsia"/>
                <w:b/>
                <w:sz w:val="24"/>
                <w:lang w:val="en-US" w:eastAsia="zh-CN"/>
              </w:rPr>
              <w:t>7</w:t>
            </w:r>
            <w:r>
              <w:rPr>
                <w:b/>
                <w:sz w:val="24"/>
              </w:rPr>
              <w:t>、厂址选择合理性分析、产业政策相符性分析</w:t>
            </w:r>
          </w:p>
          <w:p>
            <w:pPr>
              <w:keepNext w:val="0"/>
              <w:keepLines w:val="0"/>
              <w:pageBreakBefore w:val="0"/>
              <w:widowControl w:val="0"/>
              <w:kinsoku/>
              <w:wordWrap/>
              <w:overflowPunct/>
              <w:topLinePunct w:val="0"/>
              <w:autoSpaceDE/>
              <w:autoSpaceDN/>
              <w:bidi w:val="0"/>
              <w:adjustRightInd/>
              <w:snapToGrid w:val="0"/>
              <w:spacing w:line="440" w:lineRule="exact"/>
              <w:ind w:firstLine="465" w:firstLineChars="194"/>
              <w:jc w:val="left"/>
              <w:textAlignment w:val="auto"/>
              <w:rPr>
                <w:sz w:val="24"/>
              </w:rPr>
            </w:pPr>
            <w:r>
              <w:rPr>
                <w:sz w:val="24"/>
              </w:rPr>
              <w:t>该项目位于</w:t>
            </w:r>
            <w:r>
              <w:rPr>
                <w:rFonts w:hint="eastAsia" w:eastAsiaTheme="majorEastAsia"/>
                <w:sz w:val="24"/>
                <w:lang w:eastAsia="zh-CN"/>
              </w:rPr>
              <w:t>济源市思礼镇涧南庄村北</w:t>
            </w:r>
            <w:r>
              <w:rPr>
                <w:sz w:val="24"/>
              </w:rPr>
              <w:t>，</w:t>
            </w:r>
            <w:r>
              <w:rPr>
                <w:rFonts w:hint="eastAsia"/>
                <w:sz w:val="24"/>
              </w:rPr>
              <w:t>不在</w:t>
            </w:r>
            <w:r>
              <w:rPr>
                <w:sz w:val="24"/>
              </w:rPr>
              <w:t>济源市饮用水水源保护区</w:t>
            </w:r>
            <w:r>
              <w:rPr>
                <w:rFonts w:hint="eastAsia"/>
                <w:sz w:val="24"/>
              </w:rPr>
              <w:t>范围内</w:t>
            </w:r>
            <w:r>
              <w:rPr>
                <w:sz w:val="24"/>
              </w:rPr>
              <w:t>、</w:t>
            </w:r>
            <w:r>
              <w:rPr>
                <w:rFonts w:hint="eastAsia"/>
                <w:sz w:val="24"/>
              </w:rPr>
              <w:t>符合</w:t>
            </w:r>
            <w:r>
              <w:rPr>
                <w:sz w:val="24"/>
              </w:rPr>
              <w:t>济源市城乡总体规（2012-2030）。厂址周围尚未发现文物古迹、有价值的自然景观和稀有动植物等需要特殊保护的对象。营运期</w:t>
            </w:r>
            <w:r>
              <w:rPr>
                <w:rFonts w:hint="eastAsia"/>
                <w:sz w:val="24"/>
              </w:rPr>
              <w:t>项目</w:t>
            </w:r>
            <w:r>
              <w:rPr>
                <w:rFonts w:hint="eastAsia"/>
                <w:sz w:val="24"/>
                <w:lang w:eastAsia="zh-CN"/>
              </w:rPr>
              <w:t>废水经相应处理措施处理后能够达标排放</w:t>
            </w:r>
            <w:r>
              <w:rPr>
                <w:sz w:val="24"/>
              </w:rPr>
              <w:t>，高噪声设备通过采取降噪措施厂界可实现达标排放对外环境影响</w:t>
            </w:r>
            <w:r>
              <w:rPr>
                <w:rFonts w:hint="eastAsia"/>
                <w:sz w:val="24"/>
              </w:rPr>
              <w:t>较小</w:t>
            </w:r>
            <w:r>
              <w:rPr>
                <w:sz w:val="24"/>
              </w:rPr>
              <w:t>，产生的固体废物全部合理处置。因此评价认为本项目的选址合理。</w:t>
            </w:r>
          </w:p>
          <w:p>
            <w:pPr>
              <w:keepNext w:val="0"/>
              <w:keepLines w:val="0"/>
              <w:pageBreakBefore w:val="0"/>
              <w:widowControl w:val="0"/>
              <w:kinsoku/>
              <w:wordWrap/>
              <w:overflowPunct/>
              <w:topLinePunct w:val="0"/>
              <w:autoSpaceDE/>
              <w:autoSpaceDN/>
              <w:bidi w:val="0"/>
              <w:adjustRightInd/>
              <w:snapToGrid w:val="0"/>
              <w:spacing w:line="440" w:lineRule="exact"/>
              <w:ind w:firstLine="465" w:firstLineChars="194"/>
              <w:jc w:val="left"/>
              <w:textAlignment w:val="auto"/>
              <w:rPr>
                <w:rFonts w:hint="eastAsia" w:ascii="Times New Roman" w:hAnsi="Times New Roman" w:cs="Times New Roman"/>
                <w:sz w:val="24"/>
                <w:lang w:val="en-US" w:eastAsia="zh-CN"/>
              </w:rPr>
            </w:pPr>
            <w:r>
              <w:rPr>
                <w:rFonts w:ascii="Times New Roman" w:hAnsi="Times New Roman" w:cs="Times New Roman"/>
                <w:sz w:val="24"/>
              </w:rPr>
              <w:t>对照《产业结构调整指导目录（201</w:t>
            </w:r>
            <w:r>
              <w:rPr>
                <w:rFonts w:hint="eastAsia" w:cs="Times New Roman"/>
                <w:sz w:val="24"/>
                <w:lang w:val="en-US" w:eastAsia="zh-CN"/>
              </w:rPr>
              <w:t>9</w:t>
            </w:r>
            <w:r>
              <w:rPr>
                <w:rFonts w:ascii="Times New Roman" w:hAnsi="Times New Roman" w:cs="Times New Roman"/>
                <w:sz w:val="24"/>
              </w:rPr>
              <w:t>年本）》，本项目生产工艺及设备不属于淘汰类及限制类，属于允许类项目</w:t>
            </w:r>
            <w:r>
              <w:rPr>
                <w:rFonts w:hint="eastAsia" w:ascii="Times New Roman" w:hAnsi="Times New Roman" w:cs="Times New Roman"/>
                <w:sz w:val="24"/>
              </w:rPr>
              <w:t>，</w:t>
            </w:r>
            <w:r>
              <w:rPr>
                <w:rFonts w:ascii="Times New Roman" w:hAnsi="Times New Roman" w:cs="Times New Roman"/>
                <w:sz w:val="24"/>
              </w:rPr>
              <w:t>且已于20</w:t>
            </w:r>
            <w:r>
              <w:rPr>
                <w:rFonts w:hint="eastAsia" w:cs="Times New Roman"/>
                <w:sz w:val="24"/>
                <w:lang w:val="en-US" w:eastAsia="zh-CN"/>
              </w:rPr>
              <w:t>20</w:t>
            </w:r>
            <w:r>
              <w:rPr>
                <w:rFonts w:ascii="Times New Roman" w:hAnsi="Times New Roman" w:cs="Times New Roman"/>
                <w:sz w:val="24"/>
              </w:rPr>
              <w:t>年</w:t>
            </w:r>
            <w:r>
              <w:rPr>
                <w:rFonts w:hint="eastAsia" w:cs="Times New Roman"/>
                <w:sz w:val="24"/>
                <w:lang w:val="en-US" w:eastAsia="zh-CN"/>
              </w:rPr>
              <w:t>4</w:t>
            </w:r>
            <w:r>
              <w:rPr>
                <w:rFonts w:ascii="Times New Roman" w:hAnsi="Times New Roman" w:cs="Times New Roman"/>
                <w:sz w:val="24"/>
              </w:rPr>
              <w:t>月</w:t>
            </w:r>
            <w:r>
              <w:rPr>
                <w:rFonts w:hint="eastAsia" w:cs="Times New Roman"/>
                <w:sz w:val="24"/>
                <w:lang w:val="en-US" w:eastAsia="zh-CN"/>
              </w:rPr>
              <w:t>3</w:t>
            </w:r>
            <w:r>
              <w:rPr>
                <w:rFonts w:ascii="Times New Roman" w:hAnsi="Times New Roman" w:cs="Times New Roman"/>
                <w:sz w:val="24"/>
              </w:rPr>
              <w:t>日经济源市发展和改革委员会备案，项目代码为：</w:t>
            </w: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020-419001-14-03-022376</w:t>
            </w:r>
            <w:r>
              <w:rPr>
                <w:rFonts w:ascii="Times New Roman" w:hAnsi="Times New Roman" w:cs="Times New Roman"/>
                <w:sz w:val="24"/>
              </w:rPr>
              <w:t>，符合国家相关产业政策。</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textAlignment w:val="auto"/>
              <w:rPr>
                <w:rFonts w:hint="eastAsia" w:ascii="Times New Roman" w:hAnsi="Times New Roman"/>
                <w:b/>
                <w:bCs/>
                <w:sz w:val="24"/>
                <w:lang w:val="en-US" w:eastAsia="zh-CN"/>
              </w:rPr>
            </w:pPr>
            <w:r>
              <w:rPr>
                <w:rFonts w:hint="eastAsia" w:ascii="Times New Roman" w:hAnsi="Times New Roman"/>
                <w:b/>
                <w:bCs/>
                <w:sz w:val="24"/>
                <w:lang w:val="en-US" w:eastAsia="zh-CN"/>
              </w:rPr>
              <w:t>8、总量控制</w:t>
            </w:r>
          </w:p>
          <w:p>
            <w:pPr>
              <w:pStyle w:val="16"/>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Theme="majorEastAsia" w:hAnsiTheme="majorEastAsia" w:eastAsiaTheme="majorEastAsia" w:cstheme="majorEastAsia"/>
                <w:color w:val="auto"/>
                <w:kern w:val="2"/>
                <w:lang w:val="en-US" w:eastAsia="zh-CN"/>
              </w:rPr>
            </w:pPr>
            <w:r>
              <w:rPr>
                <w:rFonts w:hint="default" w:asciiTheme="majorEastAsia" w:hAnsiTheme="majorEastAsia" w:eastAsiaTheme="majorEastAsia" w:cstheme="majorEastAsia"/>
                <w:color w:val="auto"/>
                <w:kern w:val="2"/>
                <w:lang w:val="en-US" w:eastAsia="zh-CN"/>
              </w:rPr>
              <w:t>根据</w:t>
            </w:r>
            <w:r>
              <w:rPr>
                <w:rFonts w:hint="eastAsia" w:asciiTheme="majorEastAsia" w:hAnsiTheme="majorEastAsia" w:eastAsiaTheme="majorEastAsia" w:cstheme="majorEastAsia"/>
                <w:color w:val="auto"/>
                <w:kern w:val="2"/>
                <w:lang w:val="en-US" w:eastAsia="zh-CN"/>
              </w:rPr>
              <w:t>大气环境影响分析</w:t>
            </w:r>
            <w:r>
              <w:rPr>
                <w:rFonts w:hint="default" w:asciiTheme="majorEastAsia" w:hAnsiTheme="majorEastAsia" w:eastAsiaTheme="majorEastAsia" w:cstheme="majorEastAsia"/>
                <w:color w:val="auto"/>
                <w:kern w:val="2"/>
                <w:lang w:val="en-US" w:eastAsia="zh-CN"/>
              </w:rPr>
              <w:t>，</w:t>
            </w:r>
            <w:r>
              <w:rPr>
                <w:rFonts w:hint="eastAsia" w:asciiTheme="majorEastAsia" w:hAnsiTheme="majorEastAsia" w:eastAsiaTheme="majorEastAsia" w:cstheme="majorEastAsia"/>
                <w:color w:val="auto"/>
                <w:kern w:val="2"/>
                <w:lang w:val="en-US" w:eastAsia="zh-CN"/>
              </w:rPr>
              <w:t>本项目完成后，建议全厂执行总量控制指标如下：</w:t>
            </w:r>
          </w:p>
          <w:p>
            <w:pPr>
              <w:pStyle w:val="16"/>
              <w:keepNext w:val="0"/>
              <w:keepLines w:val="0"/>
              <w:pageBreakBefore w:val="0"/>
              <w:widowControl w:val="0"/>
              <w:kinsoku/>
              <w:wordWrap/>
              <w:overflowPunct/>
              <w:topLinePunct w:val="0"/>
              <w:bidi w:val="0"/>
              <w:snapToGrid/>
              <w:spacing w:line="440" w:lineRule="exact"/>
              <w:ind w:firstLine="480" w:firstLineChars="200"/>
              <w:textAlignment w:val="auto"/>
              <w:rPr>
                <w:rFonts w:hint="default" w:asciiTheme="majorEastAsia" w:hAnsiTheme="majorEastAsia" w:eastAsiaTheme="majorEastAsia" w:cstheme="majorEastAsia"/>
                <w:color w:val="auto"/>
                <w:kern w:val="2"/>
                <w:lang w:val="en-US" w:eastAsia="zh-CN"/>
              </w:rPr>
            </w:pPr>
            <w:r>
              <w:rPr>
                <w:rFonts w:hint="eastAsia" w:ascii="Times New Roman" w:cs="Times New Roman" w:eastAsiaTheme="majorEastAsia"/>
                <w:color w:val="auto"/>
                <w:kern w:val="2"/>
                <w:vertAlign w:val="baseline"/>
                <w:lang w:val="en-US" w:eastAsia="zh-CN"/>
              </w:rPr>
              <w:t>COD 0.0708t/a、氨氮 0.0071t/a</w:t>
            </w:r>
          </w:p>
          <w:p>
            <w:pPr>
              <w:pStyle w:val="3"/>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Times New Roman" w:hAnsi="Times New Roman"/>
                <w:b/>
                <w:bCs/>
                <w:sz w:val="24"/>
              </w:rPr>
            </w:pPr>
            <w:r>
              <w:rPr>
                <w:rFonts w:hint="eastAsia" w:ascii="Times New Roman" w:hAnsi="Times New Roman"/>
                <w:b/>
                <w:bCs/>
                <w:sz w:val="24"/>
                <w:lang w:val="en-US" w:eastAsia="zh-CN"/>
              </w:rPr>
              <w:t>9</w:t>
            </w:r>
            <w:r>
              <w:rPr>
                <w:rFonts w:ascii="Times New Roman" w:hAnsi="Times New Roman"/>
                <w:b/>
                <w:bCs/>
                <w:sz w:val="24"/>
              </w:rPr>
              <w:t>、环保投资估算</w:t>
            </w:r>
          </w:p>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黑体" w:hAnsi="黑体" w:eastAsia="黑体" w:cs="黑体"/>
                <w:sz w:val="24"/>
              </w:rPr>
            </w:pPr>
            <w:r>
              <w:rPr>
                <w:rFonts w:hint="eastAsia" w:ascii="黑体" w:hAnsi="黑体" w:eastAsia="黑体" w:cs="黑体"/>
                <w:sz w:val="24"/>
                <w:lang w:eastAsia="zh-CN"/>
              </w:rPr>
              <w:t>改扩建项目</w:t>
            </w:r>
            <w:r>
              <w:rPr>
                <w:rFonts w:hint="eastAsia" w:ascii="黑体" w:hAnsi="黑体" w:eastAsia="黑体" w:cs="黑体"/>
                <w:sz w:val="24"/>
              </w:rPr>
              <w:t>污染防治设施环保投资估算一览表</w:t>
            </w:r>
          </w:p>
          <w:tbl>
            <w:tblPr>
              <w:tblStyle w:val="12"/>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8"/>
              <w:gridCol w:w="1779"/>
              <w:gridCol w:w="3850"/>
              <w:gridCol w:w="18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8"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sz w:val="21"/>
                      <w:szCs w:val="21"/>
                    </w:rPr>
                  </w:pPr>
                  <w:r>
                    <w:rPr>
                      <w:rFonts w:ascii="Times New Roman" w:hAnsi="Times New Roman"/>
                      <w:sz w:val="21"/>
                      <w:szCs w:val="21"/>
                    </w:rPr>
                    <w:t>项目</w:t>
                  </w:r>
                </w:p>
              </w:tc>
              <w:tc>
                <w:tcPr>
                  <w:tcW w:w="177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sz w:val="21"/>
                      <w:szCs w:val="21"/>
                    </w:rPr>
                  </w:pPr>
                  <w:r>
                    <w:rPr>
                      <w:rFonts w:ascii="Times New Roman" w:hAnsi="Times New Roman"/>
                      <w:sz w:val="21"/>
                      <w:szCs w:val="21"/>
                    </w:rPr>
                    <w:t>治理内容</w:t>
                  </w:r>
                </w:p>
              </w:tc>
              <w:tc>
                <w:tcPr>
                  <w:tcW w:w="3850"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sz w:val="21"/>
                      <w:szCs w:val="21"/>
                    </w:rPr>
                  </w:pPr>
                  <w:r>
                    <w:rPr>
                      <w:rFonts w:ascii="Times New Roman" w:hAnsi="Times New Roman"/>
                      <w:sz w:val="21"/>
                      <w:szCs w:val="21"/>
                    </w:rPr>
                    <w:t>治理措施</w:t>
                  </w:r>
                </w:p>
              </w:tc>
              <w:tc>
                <w:tcPr>
                  <w:tcW w:w="1872"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sz w:val="21"/>
                      <w:szCs w:val="21"/>
                    </w:rPr>
                  </w:pPr>
                  <w:r>
                    <w:rPr>
                      <w:rFonts w:ascii="Times New Roman" w:hAnsi="Times New Roman"/>
                      <w:sz w:val="21"/>
                      <w:szCs w:val="21"/>
                    </w:rPr>
                    <w:t>投资额（万元）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8" w:type="dxa"/>
                  <w:vMerge w:val="restart"/>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sz w:val="21"/>
                      <w:szCs w:val="21"/>
                      <w:lang w:eastAsia="zh-CN"/>
                    </w:rPr>
                  </w:pPr>
                  <w:r>
                    <w:rPr>
                      <w:rFonts w:hint="eastAsia" w:ascii="Times New Roman" w:hAnsi="Times New Roman"/>
                      <w:sz w:val="21"/>
                      <w:szCs w:val="21"/>
                      <w:lang w:eastAsia="zh-CN"/>
                    </w:rPr>
                    <w:t>废水</w:t>
                  </w:r>
                </w:p>
              </w:tc>
              <w:tc>
                <w:tcPr>
                  <w:tcW w:w="177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sz w:val="21"/>
                      <w:szCs w:val="21"/>
                      <w:lang w:eastAsia="zh-CN"/>
                    </w:rPr>
                  </w:pPr>
                  <w:r>
                    <w:rPr>
                      <w:rFonts w:hint="eastAsia" w:ascii="Times New Roman" w:hAnsi="Times New Roman"/>
                      <w:sz w:val="21"/>
                      <w:szCs w:val="21"/>
                      <w:lang w:eastAsia="zh-CN"/>
                    </w:rPr>
                    <w:t>生产废水</w:t>
                  </w:r>
                </w:p>
              </w:tc>
              <w:tc>
                <w:tcPr>
                  <w:tcW w:w="3850" w:type="dxa"/>
                  <w:vMerge w:val="restart"/>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sz w:val="21"/>
                      <w:szCs w:val="21"/>
                      <w:lang w:eastAsia="zh-CN"/>
                    </w:rPr>
                  </w:pPr>
                  <w:r>
                    <w:rPr>
                      <w:rFonts w:hint="eastAsia" w:ascii="Times New Roman" w:hAnsi="Times New Roman"/>
                      <w:sz w:val="21"/>
                      <w:szCs w:val="21"/>
                      <w:lang w:eastAsia="zh-CN"/>
                    </w:rPr>
                    <w:t>依托现有化粪池及涧南庄村污水处理站</w:t>
                  </w:r>
                </w:p>
              </w:tc>
              <w:tc>
                <w:tcPr>
                  <w:tcW w:w="1872" w:type="dxa"/>
                  <w:vMerge w:val="restart"/>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sz w:val="21"/>
                      <w:szCs w:val="21"/>
                      <w:lang w:val="en-US" w:eastAsia="zh-CN"/>
                    </w:rPr>
                  </w:pPr>
                  <w:r>
                    <w:rPr>
                      <w:rFonts w:hint="eastAsia" w:ascii="Times New Roman" w:hAnsi="Times New Roman"/>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8" w:type="dxa"/>
                  <w:vMerge w:val="continue"/>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sz w:val="21"/>
                      <w:szCs w:val="21"/>
                      <w:lang w:eastAsia="zh-CN"/>
                    </w:rPr>
                  </w:pPr>
                </w:p>
              </w:tc>
              <w:tc>
                <w:tcPr>
                  <w:tcW w:w="177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sz w:val="21"/>
                      <w:szCs w:val="21"/>
                      <w:lang w:eastAsia="zh-CN"/>
                    </w:rPr>
                  </w:pPr>
                  <w:r>
                    <w:rPr>
                      <w:rFonts w:hint="eastAsia" w:ascii="Times New Roman" w:hAnsi="Times New Roman"/>
                      <w:sz w:val="21"/>
                      <w:szCs w:val="21"/>
                      <w:lang w:eastAsia="zh-CN"/>
                    </w:rPr>
                    <w:t>生活污水</w:t>
                  </w:r>
                </w:p>
              </w:tc>
              <w:tc>
                <w:tcPr>
                  <w:tcW w:w="3850" w:type="dxa"/>
                  <w:vMerge w:val="continue"/>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sz w:val="21"/>
                      <w:szCs w:val="21"/>
                    </w:rPr>
                  </w:pPr>
                </w:p>
              </w:tc>
              <w:tc>
                <w:tcPr>
                  <w:tcW w:w="1872" w:type="dxa"/>
                  <w:vMerge w:val="continue"/>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8"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sz w:val="21"/>
                      <w:szCs w:val="21"/>
                    </w:rPr>
                  </w:pPr>
                  <w:r>
                    <w:rPr>
                      <w:rFonts w:ascii="Times New Roman" w:hAnsi="Times New Roman"/>
                      <w:sz w:val="21"/>
                      <w:szCs w:val="21"/>
                    </w:rPr>
                    <w:t>噪声</w:t>
                  </w:r>
                </w:p>
              </w:tc>
              <w:tc>
                <w:tcPr>
                  <w:tcW w:w="177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sz w:val="21"/>
                      <w:szCs w:val="21"/>
                    </w:rPr>
                  </w:pPr>
                  <w:r>
                    <w:rPr>
                      <w:rFonts w:ascii="Times New Roman" w:hAnsi="Times New Roman"/>
                      <w:sz w:val="21"/>
                      <w:szCs w:val="21"/>
                    </w:rPr>
                    <w:t>设备降噪</w:t>
                  </w:r>
                </w:p>
              </w:tc>
              <w:tc>
                <w:tcPr>
                  <w:tcW w:w="3850"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sz w:val="21"/>
                      <w:szCs w:val="21"/>
                    </w:rPr>
                  </w:pPr>
                  <w:r>
                    <w:rPr>
                      <w:rFonts w:ascii="Times New Roman" w:hAnsi="Times New Roman"/>
                      <w:sz w:val="21"/>
                      <w:szCs w:val="21"/>
                    </w:rPr>
                    <w:t>基础减震、厂房隔声等</w:t>
                  </w:r>
                </w:p>
              </w:tc>
              <w:tc>
                <w:tcPr>
                  <w:tcW w:w="1872"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8"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sz w:val="21"/>
                      <w:szCs w:val="21"/>
                    </w:rPr>
                  </w:pPr>
                  <w:r>
                    <w:rPr>
                      <w:rFonts w:hint="eastAsia" w:ascii="Times New Roman" w:hAnsi="Times New Roman"/>
                      <w:sz w:val="21"/>
                      <w:szCs w:val="21"/>
                    </w:rPr>
                    <w:t>固废</w:t>
                  </w:r>
                </w:p>
              </w:tc>
              <w:tc>
                <w:tcPr>
                  <w:tcW w:w="177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sz w:val="21"/>
                      <w:szCs w:val="21"/>
                    </w:rPr>
                  </w:pPr>
                  <w:r>
                    <w:rPr>
                      <w:rFonts w:hint="eastAsia" w:ascii="Times New Roman" w:hAnsi="Times New Roman"/>
                      <w:sz w:val="21"/>
                      <w:szCs w:val="21"/>
                    </w:rPr>
                    <w:t>一般固废</w:t>
                  </w:r>
                </w:p>
              </w:tc>
              <w:tc>
                <w:tcPr>
                  <w:tcW w:w="3850"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sz w:val="21"/>
                      <w:szCs w:val="21"/>
                      <w:lang w:eastAsia="zh-CN"/>
                    </w:rPr>
                  </w:pPr>
                  <w:r>
                    <w:rPr>
                      <w:rFonts w:hint="eastAsia" w:ascii="Times New Roman" w:hAnsi="Times New Roman"/>
                      <w:sz w:val="21"/>
                      <w:szCs w:val="21"/>
                      <w:lang w:eastAsia="zh-CN"/>
                    </w:rPr>
                    <w:t>一般固废存放场</w:t>
                  </w:r>
                </w:p>
              </w:tc>
              <w:tc>
                <w:tcPr>
                  <w:tcW w:w="1872"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sz w:val="21"/>
                      <w:szCs w:val="21"/>
                      <w:lang w:eastAsia="zh-CN"/>
                    </w:rPr>
                  </w:pPr>
                  <w:r>
                    <w:rPr>
                      <w:rFonts w:hint="eastAsia" w:ascii="Times New Roman" w:hAnsi="Times New Roman"/>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47" w:type="dxa"/>
                  <w:gridSpan w:val="3"/>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sz w:val="21"/>
                      <w:szCs w:val="21"/>
                    </w:rPr>
                  </w:pPr>
                  <w:r>
                    <w:rPr>
                      <w:rFonts w:ascii="Times New Roman" w:hAnsi="Times New Roman"/>
                      <w:sz w:val="21"/>
                      <w:szCs w:val="21"/>
                    </w:rPr>
                    <w:t>总投资</w:t>
                  </w:r>
                </w:p>
              </w:tc>
              <w:tc>
                <w:tcPr>
                  <w:tcW w:w="1872"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2</w:t>
                  </w:r>
                </w:p>
              </w:tc>
            </w:tr>
          </w:tbl>
          <w:p>
            <w:pPr>
              <w:pStyle w:val="3"/>
              <w:keepNext w:val="0"/>
              <w:keepLines w:val="0"/>
              <w:pageBreakBefore w:val="0"/>
              <w:widowControl w:val="0"/>
              <w:numPr>
                <w:ilvl w:val="0"/>
                <w:numId w:val="7"/>
              </w:numPr>
              <w:kinsoku/>
              <w:wordWrap/>
              <w:overflowPunct/>
              <w:topLinePunct w:val="0"/>
              <w:autoSpaceDE/>
              <w:autoSpaceDN/>
              <w:bidi w:val="0"/>
              <w:adjustRightInd/>
              <w:snapToGrid/>
              <w:spacing w:line="440" w:lineRule="exact"/>
              <w:ind w:firstLine="482" w:firstLineChars="200"/>
              <w:textAlignment w:val="auto"/>
              <w:rPr>
                <w:rFonts w:hint="eastAsia"/>
                <w:b/>
                <w:sz w:val="24"/>
              </w:rPr>
            </w:pPr>
            <w:r>
              <w:rPr>
                <w:rFonts w:hint="eastAsia"/>
                <w:b/>
                <w:sz w:val="24"/>
              </w:rPr>
              <w:t>“三同时”验收一览表</w:t>
            </w:r>
          </w:p>
          <w:p>
            <w:pPr>
              <w:pStyle w:val="3"/>
              <w:spacing w:line="240" w:lineRule="auto"/>
              <w:jc w:val="center"/>
              <w:rPr>
                <w:rFonts w:ascii="黑体" w:eastAsia="黑体"/>
                <w:sz w:val="24"/>
              </w:rPr>
            </w:pPr>
            <w:r>
              <w:rPr>
                <w:rFonts w:hint="eastAsia" w:ascii="黑体" w:eastAsia="黑体"/>
                <w:sz w:val="24"/>
              </w:rPr>
              <w:t>“三同时”验收一览表</w:t>
            </w:r>
          </w:p>
          <w:tbl>
            <w:tblPr>
              <w:tblStyle w:val="13"/>
              <w:tblW w:w="86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2535"/>
              <w:gridCol w:w="36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0" w:type="dxa"/>
                  <w:vAlign w:val="center"/>
                </w:tcPr>
                <w:p>
                  <w:pPr>
                    <w:pStyle w:val="3"/>
                    <w:jc w:val="center"/>
                    <w:rPr>
                      <w:sz w:val="21"/>
                      <w:szCs w:val="21"/>
                    </w:rPr>
                  </w:pPr>
                  <w:r>
                    <w:rPr>
                      <w:rFonts w:hint="eastAsia"/>
                      <w:sz w:val="21"/>
                      <w:szCs w:val="21"/>
                    </w:rPr>
                    <w:t>项目</w:t>
                  </w:r>
                </w:p>
              </w:tc>
              <w:tc>
                <w:tcPr>
                  <w:tcW w:w="2535" w:type="dxa"/>
                  <w:vAlign w:val="center"/>
                </w:tcPr>
                <w:p>
                  <w:pPr>
                    <w:pStyle w:val="3"/>
                    <w:jc w:val="center"/>
                    <w:rPr>
                      <w:sz w:val="21"/>
                      <w:szCs w:val="21"/>
                    </w:rPr>
                  </w:pPr>
                  <w:r>
                    <w:rPr>
                      <w:rFonts w:hint="eastAsia"/>
                      <w:sz w:val="21"/>
                      <w:szCs w:val="21"/>
                    </w:rPr>
                    <w:t>治理内容</w:t>
                  </w:r>
                </w:p>
              </w:tc>
              <w:tc>
                <w:tcPr>
                  <w:tcW w:w="3696" w:type="dxa"/>
                  <w:vAlign w:val="center"/>
                </w:tcPr>
                <w:p>
                  <w:pPr>
                    <w:pStyle w:val="3"/>
                    <w:jc w:val="center"/>
                    <w:rPr>
                      <w:sz w:val="21"/>
                      <w:szCs w:val="21"/>
                    </w:rPr>
                  </w:pPr>
                  <w:r>
                    <w:rPr>
                      <w:rFonts w:hint="eastAsia"/>
                      <w:sz w:val="21"/>
                      <w:szCs w:val="21"/>
                    </w:rPr>
                    <w:t>环保措施及验收内容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0" w:type="dxa"/>
                  <w:vAlign w:val="center"/>
                </w:tcPr>
                <w:p>
                  <w:pPr>
                    <w:pStyle w:val="3"/>
                    <w:jc w:val="center"/>
                    <w:rPr>
                      <w:rFonts w:hint="eastAsia" w:eastAsia="宋体"/>
                      <w:sz w:val="21"/>
                      <w:szCs w:val="21"/>
                      <w:lang w:eastAsia="zh-CN"/>
                    </w:rPr>
                  </w:pPr>
                  <w:r>
                    <w:rPr>
                      <w:rFonts w:hint="eastAsia"/>
                      <w:sz w:val="21"/>
                      <w:szCs w:val="21"/>
                      <w:lang w:eastAsia="zh-CN"/>
                    </w:rPr>
                    <w:t>废水污染治理设施</w:t>
                  </w:r>
                </w:p>
              </w:tc>
              <w:tc>
                <w:tcPr>
                  <w:tcW w:w="2535" w:type="dxa"/>
                  <w:tcBorders>
                    <w:bottom w:val="single" w:color="auto" w:sz="4" w:space="0"/>
                  </w:tcBorders>
                  <w:vAlign w:val="center"/>
                </w:tcPr>
                <w:p>
                  <w:pPr>
                    <w:pStyle w:val="3"/>
                    <w:snapToGrid w:val="0"/>
                    <w:jc w:val="center"/>
                    <w:rPr>
                      <w:rFonts w:hint="eastAsia" w:eastAsia="宋体"/>
                      <w:sz w:val="21"/>
                      <w:szCs w:val="21"/>
                      <w:lang w:eastAsia="zh-CN"/>
                    </w:rPr>
                  </w:pPr>
                  <w:r>
                    <w:rPr>
                      <w:rFonts w:hint="eastAsia"/>
                      <w:sz w:val="21"/>
                      <w:szCs w:val="21"/>
                      <w:lang w:eastAsia="zh-CN"/>
                    </w:rPr>
                    <w:t>生产废水、生活污水</w:t>
                  </w:r>
                </w:p>
              </w:tc>
              <w:tc>
                <w:tcPr>
                  <w:tcW w:w="3696" w:type="dxa"/>
                  <w:tcBorders>
                    <w:bottom w:val="single" w:color="auto" w:sz="4" w:space="0"/>
                  </w:tcBorders>
                  <w:vAlign w:val="center"/>
                </w:tcPr>
                <w:p>
                  <w:pPr>
                    <w:pStyle w:val="3"/>
                    <w:snapToGrid w:val="0"/>
                    <w:jc w:val="center"/>
                    <w:rPr>
                      <w:rFonts w:hint="eastAsia" w:eastAsia="宋体"/>
                      <w:sz w:val="21"/>
                      <w:szCs w:val="21"/>
                      <w:lang w:eastAsia="zh-CN"/>
                    </w:rPr>
                  </w:pPr>
                  <w:r>
                    <w:rPr>
                      <w:rFonts w:hint="eastAsia"/>
                      <w:sz w:val="21"/>
                      <w:szCs w:val="21"/>
                      <w:lang w:eastAsia="zh-CN"/>
                    </w:rPr>
                    <w:t>依托涧南庄村污水处理站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0" w:type="dxa"/>
                  <w:vAlign w:val="center"/>
                </w:tcPr>
                <w:p>
                  <w:pPr>
                    <w:pStyle w:val="3"/>
                    <w:jc w:val="center"/>
                    <w:rPr>
                      <w:rFonts w:hint="eastAsia"/>
                      <w:sz w:val="21"/>
                      <w:szCs w:val="21"/>
                    </w:rPr>
                  </w:pPr>
                  <w:r>
                    <w:rPr>
                      <w:rFonts w:hint="eastAsia"/>
                      <w:sz w:val="21"/>
                      <w:szCs w:val="21"/>
                    </w:rPr>
                    <w:t>固废污染防治措施</w:t>
                  </w:r>
                </w:p>
              </w:tc>
              <w:tc>
                <w:tcPr>
                  <w:tcW w:w="2535" w:type="dxa"/>
                  <w:tcBorders>
                    <w:bottom w:val="single" w:color="auto" w:sz="4" w:space="0"/>
                  </w:tcBorders>
                  <w:vAlign w:val="center"/>
                </w:tcPr>
                <w:p>
                  <w:pPr>
                    <w:pStyle w:val="3"/>
                    <w:snapToGrid w:val="0"/>
                    <w:jc w:val="center"/>
                    <w:rPr>
                      <w:rFonts w:hint="eastAsia" w:ascii="宋体" w:hAnsi="宋体" w:eastAsia="宋体" w:cs="Times New Roman"/>
                      <w:kern w:val="2"/>
                      <w:sz w:val="21"/>
                      <w:szCs w:val="21"/>
                      <w:lang w:val="en-US" w:eastAsia="zh-CN" w:bidi="ar-SA"/>
                    </w:rPr>
                  </w:pPr>
                  <w:r>
                    <w:rPr>
                      <w:rFonts w:hint="eastAsia"/>
                      <w:sz w:val="21"/>
                      <w:szCs w:val="21"/>
                    </w:rPr>
                    <w:t>一般固废</w:t>
                  </w:r>
                </w:p>
              </w:tc>
              <w:tc>
                <w:tcPr>
                  <w:tcW w:w="3696" w:type="dxa"/>
                  <w:tcBorders>
                    <w:bottom w:val="single" w:color="auto" w:sz="4" w:space="0"/>
                  </w:tcBorders>
                  <w:vAlign w:val="center"/>
                </w:tcPr>
                <w:p>
                  <w:pPr>
                    <w:pStyle w:val="3"/>
                    <w:snapToGrid w:val="0"/>
                    <w:jc w:val="center"/>
                    <w:rPr>
                      <w:rFonts w:hint="eastAsia" w:ascii="宋体" w:hAnsi="宋体" w:eastAsia="宋体" w:cs="Times New Roman"/>
                      <w:kern w:val="2"/>
                      <w:sz w:val="21"/>
                      <w:szCs w:val="21"/>
                      <w:lang w:val="en-US" w:eastAsia="zh-CN" w:bidi="ar-SA"/>
                    </w:rPr>
                  </w:pPr>
                  <w:r>
                    <w:rPr>
                      <w:rFonts w:hint="eastAsia"/>
                      <w:sz w:val="21"/>
                      <w:szCs w:val="21"/>
                      <w:lang w:eastAsia="zh-CN"/>
                    </w:rPr>
                    <w:t>一般固废存放场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0" w:type="dxa"/>
                  <w:vAlign w:val="center"/>
                </w:tcPr>
                <w:p>
                  <w:pPr>
                    <w:pStyle w:val="3"/>
                    <w:jc w:val="center"/>
                    <w:rPr>
                      <w:rFonts w:hint="eastAsia"/>
                      <w:sz w:val="21"/>
                      <w:szCs w:val="21"/>
                    </w:rPr>
                  </w:pPr>
                  <w:r>
                    <w:rPr>
                      <w:rFonts w:hint="eastAsia"/>
                      <w:sz w:val="21"/>
                      <w:szCs w:val="21"/>
                    </w:rPr>
                    <w:t>噪声污染防治措施</w:t>
                  </w:r>
                </w:p>
              </w:tc>
              <w:tc>
                <w:tcPr>
                  <w:tcW w:w="2535" w:type="dxa"/>
                  <w:vAlign w:val="center"/>
                </w:tcPr>
                <w:p>
                  <w:pPr>
                    <w:pStyle w:val="3"/>
                    <w:snapToGrid w:val="0"/>
                    <w:jc w:val="center"/>
                    <w:rPr>
                      <w:rFonts w:hint="eastAsia"/>
                      <w:sz w:val="21"/>
                      <w:szCs w:val="21"/>
                    </w:rPr>
                  </w:pPr>
                  <w:r>
                    <w:rPr>
                      <w:rFonts w:hint="eastAsia"/>
                      <w:sz w:val="21"/>
                      <w:szCs w:val="21"/>
                    </w:rPr>
                    <w:t>运行设备</w:t>
                  </w:r>
                </w:p>
              </w:tc>
              <w:tc>
                <w:tcPr>
                  <w:tcW w:w="3696" w:type="dxa"/>
                  <w:vAlign w:val="center"/>
                </w:tcPr>
                <w:p>
                  <w:pPr>
                    <w:pStyle w:val="3"/>
                    <w:snapToGrid w:val="0"/>
                    <w:jc w:val="center"/>
                    <w:rPr>
                      <w:rFonts w:hint="eastAsia"/>
                      <w:sz w:val="21"/>
                      <w:szCs w:val="21"/>
                    </w:rPr>
                  </w:pPr>
                  <w:r>
                    <w:rPr>
                      <w:rFonts w:hint="eastAsia"/>
                      <w:sz w:val="21"/>
                      <w:szCs w:val="21"/>
                      <w:lang w:eastAsia="zh-CN"/>
                    </w:rPr>
                    <w:t>基础减震、</w:t>
                  </w:r>
                  <w:r>
                    <w:rPr>
                      <w:rFonts w:hint="eastAsia"/>
                      <w:sz w:val="21"/>
                      <w:szCs w:val="21"/>
                    </w:rPr>
                    <w:t>隔声消声等</w:t>
                  </w:r>
                </w:p>
              </w:tc>
            </w:tr>
          </w:tbl>
          <w:p>
            <w:pPr>
              <w:spacing w:line="520" w:lineRule="exact"/>
              <w:rPr>
                <w:rFonts w:eastAsia="黑体"/>
                <w:kern w:val="18"/>
                <w:sz w:val="24"/>
              </w:rPr>
            </w:pPr>
          </w:p>
        </w:tc>
      </w:tr>
    </w:tbl>
    <w:p>
      <w:pPr>
        <w:spacing w:line="520" w:lineRule="exact"/>
        <w:rPr>
          <w:rFonts w:hint="eastAsia" w:ascii="黑体" w:eastAsia="黑体"/>
          <w:sz w:val="32"/>
          <w:szCs w:val="32"/>
        </w:rPr>
      </w:pPr>
    </w:p>
    <w:p>
      <w:pPr>
        <w:spacing w:line="520" w:lineRule="exact"/>
        <w:rPr>
          <w:rFonts w:ascii="黑体" w:eastAsia="黑体"/>
          <w:sz w:val="32"/>
          <w:szCs w:val="32"/>
        </w:rPr>
      </w:pPr>
      <w:r>
        <w:rPr>
          <w:rFonts w:hint="eastAsia" w:ascii="黑体" w:eastAsia="黑体"/>
          <w:sz w:val="32"/>
          <w:szCs w:val="32"/>
        </w:rPr>
        <w:t>建设项目拟采取的防治措施及预期治理效果</w:t>
      </w:r>
    </w:p>
    <w:tbl>
      <w:tblPr>
        <w:tblStyle w:val="12"/>
        <w:tblW w:w="9218" w:type="dxa"/>
        <w:tblInd w:w="-29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45"/>
        <w:gridCol w:w="1602"/>
        <w:gridCol w:w="1534"/>
        <w:gridCol w:w="2460"/>
        <w:gridCol w:w="22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1345" w:type="dxa"/>
            <w:tcBorders>
              <w:tl2br w:val="single" w:color="auto" w:sz="4" w:space="0"/>
            </w:tcBorders>
          </w:tcPr>
          <w:p>
            <w:pPr>
              <w:spacing w:line="520" w:lineRule="exact"/>
              <w:ind w:right="-111" w:rightChars="-53"/>
              <w:rPr>
                <w:rFonts w:ascii="宋体"/>
                <w:szCs w:val="21"/>
              </w:rPr>
            </w:pPr>
            <w:r>
              <w:rPr>
                <w:rFonts w:hint="eastAsia" w:ascii="宋体"/>
                <w:szCs w:val="21"/>
              </w:rPr>
              <w:t xml:space="preserve">      内容</w:t>
            </w:r>
          </w:p>
          <w:p>
            <w:pPr>
              <w:spacing w:line="520" w:lineRule="exact"/>
              <w:rPr>
                <w:rFonts w:ascii="宋体"/>
                <w:szCs w:val="21"/>
              </w:rPr>
            </w:pPr>
            <w:r>
              <w:rPr>
                <w:rFonts w:hint="eastAsia" w:ascii="宋体"/>
                <w:szCs w:val="21"/>
              </w:rPr>
              <w:t>类别</w:t>
            </w:r>
          </w:p>
        </w:tc>
        <w:tc>
          <w:tcPr>
            <w:tcW w:w="1602" w:type="dxa"/>
            <w:vAlign w:val="center"/>
          </w:tcPr>
          <w:p>
            <w:pPr>
              <w:spacing w:line="720" w:lineRule="auto"/>
              <w:jc w:val="center"/>
              <w:rPr>
                <w:rFonts w:ascii="宋体" w:hAnsi="宋体"/>
                <w:szCs w:val="21"/>
              </w:rPr>
            </w:pPr>
            <w:r>
              <w:rPr>
                <w:rFonts w:hint="eastAsia" w:ascii="宋体" w:hAnsi="宋体"/>
                <w:szCs w:val="21"/>
              </w:rPr>
              <w:t>排放源</w:t>
            </w:r>
          </w:p>
        </w:tc>
        <w:tc>
          <w:tcPr>
            <w:tcW w:w="1534" w:type="dxa"/>
            <w:vAlign w:val="center"/>
          </w:tcPr>
          <w:p>
            <w:pPr>
              <w:spacing w:line="720" w:lineRule="auto"/>
              <w:jc w:val="center"/>
              <w:rPr>
                <w:rFonts w:ascii="宋体" w:hAnsi="宋体"/>
                <w:szCs w:val="21"/>
              </w:rPr>
            </w:pPr>
            <w:r>
              <w:rPr>
                <w:rFonts w:hint="eastAsia" w:ascii="宋体" w:hAnsi="宋体"/>
                <w:szCs w:val="21"/>
              </w:rPr>
              <w:t>污染物名称</w:t>
            </w:r>
          </w:p>
        </w:tc>
        <w:tc>
          <w:tcPr>
            <w:tcW w:w="2460" w:type="dxa"/>
            <w:vAlign w:val="center"/>
          </w:tcPr>
          <w:p>
            <w:pPr>
              <w:spacing w:line="720" w:lineRule="auto"/>
              <w:jc w:val="center"/>
              <w:rPr>
                <w:rFonts w:ascii="宋体" w:hAnsi="宋体"/>
                <w:szCs w:val="21"/>
              </w:rPr>
            </w:pPr>
            <w:r>
              <w:rPr>
                <w:rFonts w:hint="eastAsia" w:ascii="宋体" w:hAnsi="宋体"/>
                <w:szCs w:val="21"/>
              </w:rPr>
              <w:t>防治措施</w:t>
            </w:r>
          </w:p>
        </w:tc>
        <w:tc>
          <w:tcPr>
            <w:tcW w:w="2277" w:type="dxa"/>
            <w:vAlign w:val="center"/>
          </w:tcPr>
          <w:p>
            <w:pPr>
              <w:spacing w:line="720" w:lineRule="auto"/>
              <w:jc w:val="center"/>
              <w:rPr>
                <w:rFonts w:ascii="宋体" w:hAnsi="宋体"/>
                <w:szCs w:val="21"/>
              </w:rPr>
            </w:pPr>
            <w:r>
              <w:rPr>
                <w:rFonts w:hint="eastAsia" w:ascii="宋体" w:hAnsi="宋体"/>
                <w:szCs w:val="21"/>
              </w:rPr>
              <w:t>预期治理效果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3" w:hRule="exact"/>
        </w:trPr>
        <w:tc>
          <w:tcPr>
            <w:tcW w:w="1345" w:type="dxa"/>
            <w:vMerge w:val="restart"/>
            <w:textDirection w:val="tbRlV"/>
            <w:vAlign w:val="center"/>
          </w:tcPr>
          <w:p>
            <w:pPr>
              <w:spacing w:line="520" w:lineRule="exact"/>
              <w:ind w:left="113" w:right="113"/>
              <w:jc w:val="center"/>
              <w:rPr>
                <w:rFonts w:hint="eastAsia" w:ascii="宋体"/>
                <w:szCs w:val="21"/>
                <w:lang w:eastAsia="zh-CN"/>
              </w:rPr>
            </w:pPr>
            <w:r>
              <w:rPr>
                <w:rFonts w:hint="eastAsia" w:ascii="宋体"/>
                <w:szCs w:val="21"/>
                <w:lang w:eastAsia="zh-CN"/>
              </w:rPr>
              <w:t>水污染物</w:t>
            </w:r>
          </w:p>
        </w:tc>
        <w:tc>
          <w:tcPr>
            <w:tcW w:w="1602"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bCs/>
                <w:sz w:val="21"/>
                <w:szCs w:val="21"/>
                <w:lang w:eastAsia="zh-CN"/>
              </w:rPr>
            </w:pPr>
            <w:r>
              <w:rPr>
                <w:rFonts w:hint="eastAsia"/>
                <w:bCs/>
                <w:sz w:val="21"/>
                <w:szCs w:val="21"/>
                <w:lang w:eastAsia="zh-CN"/>
              </w:rPr>
              <w:t>生产车间</w:t>
            </w:r>
          </w:p>
        </w:tc>
        <w:tc>
          <w:tcPr>
            <w:tcW w:w="1534" w:type="dxa"/>
            <w:vMerge w:val="restart"/>
            <w:vAlign w:val="center"/>
          </w:tcPr>
          <w:p>
            <w:pPr>
              <w:pStyle w:val="2"/>
              <w:ind w:firstLine="0" w:firstLineChars="0"/>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COD</w:t>
            </w:r>
          </w:p>
          <w:p>
            <w:pPr>
              <w:pStyle w:val="2"/>
              <w:ind w:firstLine="0" w:firstLineChars="0"/>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氨氮</w:t>
            </w:r>
          </w:p>
          <w:p>
            <w:pPr>
              <w:pStyle w:val="2"/>
              <w:ind w:firstLine="0" w:firstLineChars="0"/>
              <w:jc w:val="center"/>
              <w:rPr>
                <w:rFonts w:hint="eastAsia" w:ascii="Times New Roman" w:hAnsi="Times New Roman" w:cs="Times New Roman"/>
                <w:bCs/>
                <w:sz w:val="21"/>
                <w:szCs w:val="21"/>
                <w:lang w:val="en-US" w:eastAsia="zh-CN"/>
              </w:rPr>
            </w:pPr>
            <w:r>
              <w:rPr>
                <w:rFonts w:hint="eastAsia" w:ascii="Times New Roman" w:hAnsi="Times New Roman" w:cs="Times New Roman"/>
                <w:bCs/>
                <w:sz w:val="21"/>
                <w:szCs w:val="21"/>
                <w:lang w:val="en-US" w:eastAsia="zh-CN"/>
              </w:rPr>
              <w:t>总磷</w:t>
            </w:r>
          </w:p>
          <w:p>
            <w:pPr>
              <w:pStyle w:val="2"/>
              <w:ind w:firstLine="0" w:firstLineChars="0"/>
              <w:jc w:val="center"/>
              <w:rPr>
                <w:rFonts w:hint="default" w:ascii="Times New Roman" w:hAnsi="Times New Roman" w:cs="Times New Roman"/>
                <w:bCs/>
                <w:sz w:val="21"/>
                <w:szCs w:val="21"/>
                <w:lang w:val="en-US" w:eastAsia="zh-CN"/>
              </w:rPr>
            </w:pPr>
            <w:r>
              <w:rPr>
                <w:rFonts w:hint="eastAsia" w:ascii="Times New Roman" w:hAnsi="Times New Roman" w:cs="Times New Roman"/>
                <w:bCs/>
                <w:sz w:val="21"/>
                <w:szCs w:val="21"/>
                <w:lang w:val="en-US" w:eastAsia="zh-CN"/>
              </w:rPr>
              <w:t>总氮</w:t>
            </w:r>
          </w:p>
          <w:p>
            <w:pPr>
              <w:pStyle w:val="2"/>
              <w:ind w:firstLine="0" w:firstLineChars="0"/>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石油类</w:t>
            </w:r>
          </w:p>
        </w:tc>
        <w:tc>
          <w:tcPr>
            <w:tcW w:w="2460" w:type="dxa"/>
            <w:vMerge w:val="restart"/>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bCs/>
                <w:sz w:val="21"/>
                <w:szCs w:val="21"/>
                <w:lang w:eastAsia="zh-CN"/>
              </w:rPr>
            </w:pPr>
            <w:r>
              <w:rPr>
                <w:rFonts w:hint="eastAsia"/>
                <w:bCs/>
                <w:sz w:val="21"/>
                <w:szCs w:val="21"/>
                <w:lang w:eastAsia="zh-CN"/>
              </w:rPr>
              <w:t>依托现有化粪池及涧南庄村污水处理站处理</w:t>
            </w:r>
          </w:p>
        </w:tc>
        <w:tc>
          <w:tcPr>
            <w:tcW w:w="2277" w:type="dxa"/>
            <w:vMerge w:val="restart"/>
            <w:vAlign w:val="center"/>
          </w:tcPr>
          <w:p>
            <w:pPr>
              <w:pStyle w:val="2"/>
              <w:ind w:firstLine="0" w:firstLineChars="0"/>
              <w:jc w:val="center"/>
              <w:rPr>
                <w:rFonts w:hint="eastAsia" w:eastAsia="宋体"/>
                <w:bCs/>
                <w:sz w:val="21"/>
                <w:szCs w:val="21"/>
                <w:lang w:eastAsia="zh-CN"/>
              </w:rPr>
            </w:pPr>
            <w:r>
              <w:rPr>
                <w:rFonts w:hint="eastAsia"/>
                <w:bCs/>
                <w:sz w:val="21"/>
                <w:szCs w:val="21"/>
                <w:lang w:eastAsia="zh-CN"/>
              </w:rPr>
              <w:t>达标排放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88" w:hRule="exact"/>
        </w:trPr>
        <w:tc>
          <w:tcPr>
            <w:tcW w:w="1345" w:type="dxa"/>
            <w:vMerge w:val="continue"/>
            <w:textDirection w:val="tbRlV"/>
            <w:vAlign w:val="center"/>
          </w:tcPr>
          <w:p>
            <w:pPr>
              <w:spacing w:line="520" w:lineRule="exact"/>
              <w:ind w:left="113" w:right="113"/>
              <w:jc w:val="center"/>
              <w:rPr>
                <w:rFonts w:hint="eastAsia" w:ascii="宋体"/>
                <w:szCs w:val="21"/>
                <w:lang w:eastAsia="zh-CN"/>
              </w:rPr>
            </w:pPr>
          </w:p>
        </w:tc>
        <w:tc>
          <w:tcPr>
            <w:tcW w:w="1602"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sz w:val="21"/>
                <w:szCs w:val="21"/>
                <w:lang w:eastAsia="zh-CN"/>
              </w:rPr>
            </w:pPr>
            <w:r>
              <w:rPr>
                <w:rFonts w:hint="eastAsia" w:ascii="Times New Roman" w:hAnsi="Times New Roman"/>
                <w:sz w:val="21"/>
                <w:szCs w:val="21"/>
                <w:lang w:eastAsia="zh-CN"/>
              </w:rPr>
              <w:t>职工生活办公</w:t>
            </w:r>
          </w:p>
        </w:tc>
        <w:tc>
          <w:tcPr>
            <w:tcW w:w="1534" w:type="dxa"/>
            <w:vMerge w:val="continue"/>
            <w:vAlign w:val="center"/>
          </w:tcPr>
          <w:p>
            <w:pPr>
              <w:pStyle w:val="2"/>
              <w:ind w:firstLine="0" w:firstLineChars="0"/>
              <w:jc w:val="center"/>
              <w:rPr>
                <w:rFonts w:hint="default" w:ascii="Times New Roman" w:hAnsi="Times New Roman" w:cs="Times New Roman"/>
                <w:bCs/>
                <w:sz w:val="21"/>
                <w:szCs w:val="21"/>
                <w:lang w:val="en-US" w:eastAsia="zh-CN"/>
              </w:rPr>
            </w:pPr>
          </w:p>
        </w:tc>
        <w:tc>
          <w:tcPr>
            <w:tcW w:w="2460" w:type="dxa"/>
            <w:vMerge w:val="continue"/>
            <w:vAlign w:val="center"/>
          </w:tcPr>
          <w:p>
            <w:pPr>
              <w:pStyle w:val="3"/>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sz w:val="21"/>
                <w:szCs w:val="21"/>
                <w:lang w:val="en-US" w:eastAsia="zh-CN"/>
              </w:rPr>
            </w:pPr>
          </w:p>
        </w:tc>
        <w:tc>
          <w:tcPr>
            <w:tcW w:w="2277" w:type="dxa"/>
            <w:vMerge w:val="continue"/>
            <w:vAlign w:val="center"/>
          </w:tcPr>
          <w:p>
            <w:pPr>
              <w:pStyle w:val="2"/>
              <w:ind w:firstLine="0" w:firstLineChars="0"/>
              <w:jc w:val="center"/>
              <w:rPr>
                <w:rFonts w:hint="eastAsia"/>
                <w:bCs/>
                <w:sz w:val="21"/>
                <w:szCs w:val="21"/>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660" w:hRule="exact"/>
        </w:trPr>
        <w:tc>
          <w:tcPr>
            <w:tcW w:w="1345" w:type="dxa"/>
            <w:textDirection w:val="tbRlV"/>
            <w:vAlign w:val="center"/>
          </w:tcPr>
          <w:p>
            <w:pPr>
              <w:spacing w:line="520" w:lineRule="exact"/>
              <w:ind w:left="113" w:right="113"/>
              <w:jc w:val="center"/>
              <w:rPr>
                <w:rFonts w:ascii="宋体"/>
                <w:szCs w:val="21"/>
              </w:rPr>
            </w:pPr>
            <w:r>
              <w:rPr>
                <w:rFonts w:hint="eastAsia" w:ascii="宋体"/>
                <w:szCs w:val="21"/>
              </w:rPr>
              <w:t>固体废物</w:t>
            </w:r>
          </w:p>
        </w:tc>
        <w:tc>
          <w:tcPr>
            <w:tcW w:w="7873" w:type="dxa"/>
            <w:gridSpan w:val="4"/>
            <w:vAlign w:val="center"/>
          </w:tcPr>
          <w:p>
            <w:pPr>
              <w:adjustRightInd w:val="0"/>
              <w:snapToGrid w:val="0"/>
              <w:ind w:firstLine="411" w:firstLineChars="196"/>
              <w:rPr>
                <w:rFonts w:hint="eastAsia" w:eastAsia="宋体"/>
                <w:bCs/>
                <w:sz w:val="21"/>
                <w:szCs w:val="21"/>
                <w:lang w:eastAsia="zh-CN"/>
              </w:rPr>
            </w:pPr>
            <w:r>
              <w:rPr>
                <w:rFonts w:hint="default" w:ascii="宋体" w:hAnsi="宋体"/>
                <w:szCs w:val="21"/>
                <w:lang w:eastAsia="zh-CN"/>
              </w:rPr>
              <w:t>本项目固体废物主要为废包装材料、边角料及员工生活垃圾，均为一般固废。废包装材料产生量为</w:t>
            </w:r>
            <w:r>
              <w:rPr>
                <w:rFonts w:hint="default" w:ascii="宋体" w:hAnsi="宋体"/>
                <w:szCs w:val="21"/>
                <w:lang w:val="en-US" w:eastAsia="zh-CN"/>
              </w:rPr>
              <w:t>0.2t/a，由企业一般固废存放场暂存，定期外售于废品收购站；</w:t>
            </w:r>
            <w:r>
              <w:rPr>
                <w:rFonts w:hint="eastAsia" w:ascii="宋体" w:hAnsi="宋体"/>
                <w:szCs w:val="21"/>
                <w:lang w:val="en-US" w:eastAsia="zh-CN"/>
              </w:rPr>
              <w:t>边角料及员工生活垃圾产生量分别为3t/a、</w:t>
            </w:r>
            <w:r>
              <w:rPr>
                <w:rFonts w:hint="eastAsia" w:ascii="宋体" w:hAnsi="宋体"/>
                <w:szCs w:val="21"/>
              </w:rPr>
              <w:t>2.25t/a</w:t>
            </w:r>
            <w:r>
              <w:rPr>
                <w:rFonts w:hint="eastAsia" w:ascii="宋体" w:hAnsi="宋体"/>
                <w:szCs w:val="21"/>
                <w:lang w:val="en-US" w:eastAsia="zh-CN"/>
              </w:rPr>
              <w:t>，由专用容器收集后暂存于企业一般固废存放场，定期送至附近垃圾中转站统一处理</w:t>
            </w:r>
            <w:r>
              <w:rPr>
                <w:rFonts w:hint="eastAsia" w:ascii="宋体" w:hAnsi="宋体"/>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94" w:hRule="exact"/>
        </w:trPr>
        <w:tc>
          <w:tcPr>
            <w:tcW w:w="1345" w:type="dxa"/>
            <w:textDirection w:val="tbRlV"/>
            <w:vAlign w:val="center"/>
          </w:tcPr>
          <w:p>
            <w:pPr>
              <w:ind w:left="113" w:right="113"/>
              <w:jc w:val="center"/>
              <w:rPr>
                <w:rFonts w:ascii="宋体"/>
                <w:szCs w:val="21"/>
              </w:rPr>
            </w:pPr>
            <w:r>
              <w:rPr>
                <w:rFonts w:hint="eastAsia" w:ascii="宋体"/>
                <w:szCs w:val="21"/>
              </w:rPr>
              <w:t>噪  声</w:t>
            </w:r>
          </w:p>
        </w:tc>
        <w:tc>
          <w:tcPr>
            <w:tcW w:w="7873" w:type="dxa"/>
            <w:gridSpan w:val="4"/>
            <w:vAlign w:val="center"/>
          </w:tcPr>
          <w:p>
            <w:pPr>
              <w:adjustRightInd w:val="0"/>
              <w:snapToGrid w:val="0"/>
              <w:ind w:firstLine="411" w:firstLineChars="196"/>
              <w:rPr>
                <w:szCs w:val="21"/>
                <w:highlight w:val="yellow"/>
              </w:rPr>
            </w:pPr>
            <w:r>
              <w:rPr>
                <w:rFonts w:hint="eastAsia" w:ascii="宋体" w:hAnsi="宋体"/>
                <w:szCs w:val="21"/>
              </w:rPr>
              <w:t>该项目生产过程噪声源强为</w:t>
            </w:r>
            <w:r>
              <w:rPr>
                <w:rFonts w:hint="eastAsia"/>
                <w:szCs w:val="21"/>
                <w:lang w:val="en-US" w:eastAsia="zh-CN"/>
              </w:rPr>
              <w:t>60</w:t>
            </w:r>
            <w:r>
              <w:rPr>
                <w:szCs w:val="21"/>
              </w:rPr>
              <w:t>～</w:t>
            </w:r>
            <w:r>
              <w:rPr>
                <w:rFonts w:hint="eastAsia"/>
                <w:szCs w:val="21"/>
                <w:lang w:val="en-US" w:eastAsia="zh-CN"/>
              </w:rPr>
              <w:t>80</w:t>
            </w:r>
            <w:r>
              <w:rPr>
                <w:szCs w:val="21"/>
              </w:rPr>
              <w:t>dB（A）</w:t>
            </w:r>
            <w:r>
              <w:rPr>
                <w:rFonts w:hint="eastAsia" w:ascii="宋体" w:hAnsi="宋体"/>
                <w:szCs w:val="21"/>
              </w:rPr>
              <w:t>，高噪音设备在车间内作业，采取封闭</w:t>
            </w:r>
            <w:r>
              <w:rPr>
                <w:rFonts w:ascii="宋体" w:hAnsi="宋体"/>
                <w:szCs w:val="21"/>
              </w:rPr>
              <w:t>隔声等措施，</w:t>
            </w:r>
            <w:r>
              <w:rPr>
                <w:rFonts w:hint="eastAsia" w:ascii="宋体" w:hAnsi="宋体"/>
                <w:szCs w:val="21"/>
              </w:rPr>
              <w:t>厂界噪声能够满足</w:t>
            </w:r>
            <w:r>
              <w:rPr>
                <w:rFonts w:ascii="宋体" w:hAnsi="宋体"/>
                <w:szCs w:val="21"/>
              </w:rPr>
              <w:t>《工业企业厂界</w:t>
            </w:r>
            <w:r>
              <w:rPr>
                <w:rFonts w:hint="eastAsia" w:ascii="宋体" w:hAnsi="宋体"/>
                <w:szCs w:val="21"/>
              </w:rPr>
              <w:t>环境</w:t>
            </w:r>
            <w:r>
              <w:rPr>
                <w:rFonts w:ascii="宋体" w:hAnsi="宋体"/>
                <w:szCs w:val="21"/>
              </w:rPr>
              <w:t>噪声</w:t>
            </w:r>
            <w:r>
              <w:rPr>
                <w:rFonts w:hint="eastAsia" w:ascii="宋体" w:hAnsi="宋体"/>
                <w:szCs w:val="21"/>
              </w:rPr>
              <w:t>排放</w:t>
            </w:r>
            <w:r>
              <w:rPr>
                <w:rFonts w:ascii="宋体" w:hAnsi="宋体"/>
                <w:szCs w:val="21"/>
              </w:rPr>
              <w:t>标准》</w:t>
            </w:r>
            <w:r>
              <w:rPr>
                <w:szCs w:val="21"/>
              </w:rPr>
              <w:t>（GB12348—2008）</w:t>
            </w:r>
            <w:r>
              <w:rPr>
                <w:rFonts w:hint="eastAsia"/>
                <w:szCs w:val="21"/>
                <w:lang w:val="en-US" w:eastAsia="zh-CN"/>
              </w:rPr>
              <w:t>1</w:t>
            </w:r>
            <w:r>
              <w:rPr>
                <w:rFonts w:hint="eastAsia" w:ascii="宋体" w:hAnsi="宋体"/>
                <w:szCs w:val="21"/>
              </w:rPr>
              <w:t>类</w:t>
            </w:r>
            <w:r>
              <w:rPr>
                <w:rFonts w:ascii="宋体" w:hAnsi="宋体"/>
                <w:szCs w:val="21"/>
              </w:rPr>
              <w:t>要求</w:t>
            </w:r>
            <w:r>
              <w:rPr>
                <w:rFonts w:hint="eastAsia" w:ascii="宋体" w:hAnsi="宋体"/>
                <w:szCs w:val="21"/>
              </w:rPr>
              <w:t>，对外影响不大。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85" w:hRule="exact"/>
        </w:trPr>
        <w:tc>
          <w:tcPr>
            <w:tcW w:w="1345" w:type="dxa"/>
            <w:textDirection w:val="tbRlV"/>
            <w:vAlign w:val="center"/>
          </w:tcPr>
          <w:p>
            <w:pPr>
              <w:ind w:left="113" w:right="113"/>
              <w:jc w:val="center"/>
              <w:rPr>
                <w:rFonts w:ascii="宋体"/>
                <w:szCs w:val="21"/>
              </w:rPr>
            </w:pPr>
            <w:r>
              <w:rPr>
                <w:rFonts w:hint="eastAsia" w:ascii="宋体"/>
                <w:szCs w:val="21"/>
              </w:rPr>
              <w:t>其它</w:t>
            </w:r>
          </w:p>
        </w:tc>
        <w:tc>
          <w:tcPr>
            <w:tcW w:w="7873" w:type="dxa"/>
            <w:gridSpan w:val="4"/>
            <w:vAlign w:val="center"/>
          </w:tcPr>
          <w:p>
            <w:pPr>
              <w:jc w:val="center"/>
              <w:rPr>
                <w:rFonts w:ascii="宋体"/>
                <w:szCs w:val="21"/>
              </w:rPr>
            </w:pPr>
            <w:r>
              <w:rPr>
                <w:rFonts w:hint="eastAsia" w:ascii="宋体"/>
                <w:szCs w:val="21"/>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8" w:type="dxa"/>
            <w:gridSpan w:val="5"/>
          </w:tcPr>
          <w:p>
            <w:pPr>
              <w:rPr>
                <w:szCs w:val="21"/>
              </w:rPr>
            </w:pPr>
            <w:r>
              <w:rPr>
                <w:rFonts w:hint="eastAsia"/>
                <w:szCs w:val="21"/>
              </w:rPr>
              <w:t>生态保护措施及预期效果：</w:t>
            </w:r>
          </w:p>
          <w:p>
            <w:pPr>
              <w:spacing w:line="480" w:lineRule="exact"/>
              <w:ind w:firstLine="420" w:firstLineChars="200"/>
              <w:rPr>
                <w:szCs w:val="21"/>
              </w:rPr>
            </w:pPr>
            <w:r>
              <w:rPr>
                <w:szCs w:val="21"/>
              </w:rPr>
              <w:t>项目加强厂区绿化和地面硬化，空闲场地种植花草树木，形成绿化带，并积极采取相应的防污染措施，保护当地生态环境。</w:t>
            </w:r>
            <w:r>
              <w:rPr>
                <w:rFonts w:hint="eastAsia"/>
                <w:szCs w:val="21"/>
              </w:rPr>
              <w:t>通过绿化，在一定程度上可起到降噪、美化的作用。</w:t>
            </w:r>
          </w:p>
          <w:p>
            <w:pPr>
              <w:spacing w:line="480" w:lineRule="exact"/>
              <w:rPr>
                <w:szCs w:val="21"/>
              </w:rPr>
            </w:pPr>
          </w:p>
          <w:p>
            <w:pPr>
              <w:pStyle w:val="2"/>
              <w:ind w:firstLine="0" w:firstLineChars="0"/>
              <w:rPr>
                <w:sz w:val="21"/>
                <w:szCs w:val="21"/>
              </w:rPr>
            </w:pPr>
          </w:p>
          <w:p>
            <w:pPr>
              <w:pStyle w:val="2"/>
              <w:ind w:firstLine="0" w:firstLineChars="0"/>
              <w:rPr>
                <w:sz w:val="21"/>
                <w:szCs w:val="21"/>
              </w:rPr>
            </w:pPr>
          </w:p>
          <w:p>
            <w:pPr>
              <w:pStyle w:val="2"/>
              <w:ind w:firstLine="0" w:firstLineChars="0"/>
              <w:rPr>
                <w:sz w:val="21"/>
                <w:szCs w:val="21"/>
              </w:rPr>
            </w:pPr>
          </w:p>
          <w:p>
            <w:pPr>
              <w:pStyle w:val="2"/>
              <w:ind w:firstLine="0" w:firstLineChars="0"/>
              <w:rPr>
                <w:sz w:val="21"/>
                <w:szCs w:val="21"/>
              </w:rPr>
            </w:pPr>
          </w:p>
          <w:p>
            <w:pPr>
              <w:pStyle w:val="2"/>
              <w:ind w:firstLine="0" w:firstLineChars="0"/>
              <w:rPr>
                <w:sz w:val="21"/>
                <w:szCs w:val="21"/>
              </w:rPr>
            </w:pPr>
          </w:p>
          <w:p>
            <w:pPr>
              <w:pStyle w:val="2"/>
              <w:ind w:firstLine="0" w:firstLineChars="0"/>
              <w:rPr>
                <w:sz w:val="21"/>
                <w:szCs w:val="21"/>
              </w:rPr>
            </w:pPr>
          </w:p>
          <w:p>
            <w:pPr>
              <w:pStyle w:val="2"/>
              <w:ind w:firstLine="0" w:firstLineChars="0"/>
              <w:rPr>
                <w:sz w:val="21"/>
                <w:szCs w:val="21"/>
              </w:rPr>
            </w:pPr>
          </w:p>
          <w:p>
            <w:pPr>
              <w:pStyle w:val="2"/>
              <w:ind w:firstLine="0" w:firstLineChars="0"/>
              <w:rPr>
                <w:sz w:val="21"/>
                <w:szCs w:val="21"/>
              </w:rPr>
            </w:pPr>
          </w:p>
          <w:p>
            <w:pPr>
              <w:pStyle w:val="2"/>
              <w:ind w:firstLine="0" w:firstLineChars="0"/>
              <w:rPr>
                <w:sz w:val="21"/>
                <w:szCs w:val="21"/>
              </w:rPr>
            </w:pPr>
          </w:p>
          <w:p>
            <w:pPr>
              <w:pStyle w:val="2"/>
              <w:ind w:firstLine="0" w:firstLineChars="0"/>
              <w:rPr>
                <w:sz w:val="21"/>
                <w:szCs w:val="21"/>
              </w:rPr>
            </w:pPr>
          </w:p>
          <w:p>
            <w:pPr>
              <w:pStyle w:val="2"/>
              <w:ind w:firstLine="0" w:firstLineChars="0"/>
              <w:rPr>
                <w:sz w:val="21"/>
                <w:szCs w:val="21"/>
              </w:rPr>
            </w:pPr>
          </w:p>
          <w:p>
            <w:pPr>
              <w:pStyle w:val="2"/>
              <w:ind w:firstLine="0" w:firstLineChars="0"/>
              <w:rPr>
                <w:sz w:val="21"/>
                <w:szCs w:val="21"/>
              </w:rPr>
            </w:pPr>
          </w:p>
          <w:p>
            <w:pPr>
              <w:pStyle w:val="2"/>
              <w:ind w:firstLine="0" w:firstLineChars="0"/>
              <w:rPr>
                <w:sz w:val="21"/>
                <w:szCs w:val="21"/>
              </w:rPr>
            </w:pPr>
          </w:p>
          <w:p>
            <w:pPr>
              <w:pStyle w:val="2"/>
              <w:ind w:firstLine="210"/>
              <w:rPr>
                <w:sz w:val="21"/>
                <w:szCs w:val="21"/>
              </w:rPr>
            </w:pPr>
          </w:p>
          <w:p>
            <w:pPr>
              <w:pStyle w:val="2"/>
              <w:ind w:firstLine="210"/>
              <w:rPr>
                <w:sz w:val="21"/>
                <w:szCs w:val="21"/>
              </w:rPr>
            </w:pPr>
          </w:p>
        </w:tc>
      </w:tr>
    </w:tbl>
    <w:p>
      <w:pPr>
        <w:spacing w:line="500" w:lineRule="exact"/>
        <w:rPr>
          <w:rFonts w:eastAsia="黑体"/>
          <w:sz w:val="32"/>
          <w:szCs w:val="32"/>
        </w:rPr>
      </w:pPr>
      <w:r>
        <w:rPr>
          <w:rFonts w:eastAsia="黑体"/>
          <w:sz w:val="32"/>
          <w:szCs w:val="32"/>
        </w:rPr>
        <w:t>结论与建议</w:t>
      </w:r>
    </w:p>
    <w:tbl>
      <w:tblPr>
        <w:tblStyle w:val="12"/>
        <w:tblW w:w="9135" w:type="dxa"/>
        <w:tblInd w:w="-298"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13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597" w:hRule="atLeast"/>
        </w:trPr>
        <w:tc>
          <w:tcPr>
            <w:tcW w:w="9135" w:type="dxa"/>
          </w:tcPr>
          <w:p>
            <w:pPr>
              <w:keepNext w:val="0"/>
              <w:keepLines w:val="0"/>
              <w:pageBreakBefore w:val="0"/>
              <w:widowControl w:val="0"/>
              <w:kinsoku/>
              <w:wordWrap/>
              <w:overflowPunct/>
              <w:topLinePunct w:val="0"/>
              <w:bidi w:val="0"/>
              <w:spacing w:line="440" w:lineRule="exact"/>
              <w:ind w:firstLine="480" w:firstLineChars="200"/>
              <w:textAlignment w:val="auto"/>
              <w:rPr>
                <w:rFonts w:eastAsia="黑体"/>
                <w:sz w:val="24"/>
              </w:rPr>
            </w:pPr>
            <w:r>
              <w:rPr>
                <w:rFonts w:eastAsia="黑体"/>
                <w:sz w:val="24"/>
              </w:rPr>
              <w:t>一、结论</w:t>
            </w:r>
          </w:p>
          <w:p>
            <w:pPr>
              <w:keepNext w:val="0"/>
              <w:keepLines w:val="0"/>
              <w:pageBreakBefore w:val="0"/>
              <w:widowControl w:val="0"/>
              <w:kinsoku/>
              <w:wordWrap/>
              <w:overflowPunct/>
              <w:topLinePunct w:val="0"/>
              <w:bidi w:val="0"/>
              <w:spacing w:line="440" w:lineRule="exact"/>
              <w:ind w:firstLine="482" w:firstLineChars="200"/>
              <w:textAlignment w:val="auto"/>
              <w:rPr>
                <w:rFonts w:ascii="宋体" w:hAnsi="宋体"/>
                <w:b/>
                <w:sz w:val="24"/>
              </w:rPr>
            </w:pPr>
            <w:r>
              <w:rPr>
                <w:rFonts w:ascii="宋体" w:hAnsi="宋体"/>
                <w:b/>
                <w:sz w:val="24"/>
              </w:rPr>
              <w:t>1、符合国家产业政策</w:t>
            </w:r>
          </w:p>
          <w:p>
            <w:pPr>
              <w:keepNext w:val="0"/>
              <w:keepLines w:val="0"/>
              <w:pageBreakBefore w:val="0"/>
              <w:widowControl w:val="0"/>
              <w:kinsoku/>
              <w:wordWrap/>
              <w:overflowPunct/>
              <w:topLinePunct w:val="0"/>
              <w:bidi w:val="0"/>
              <w:snapToGrid w:val="0"/>
              <w:spacing w:line="440" w:lineRule="exact"/>
              <w:ind w:firstLine="480" w:firstLineChars="200"/>
              <w:textAlignment w:val="auto"/>
              <w:rPr>
                <w:sz w:val="24"/>
              </w:rPr>
            </w:pPr>
            <w:r>
              <w:rPr>
                <w:rFonts w:hint="eastAsia" w:ascii="宋体" w:hAnsi="宋体" w:cs="宋体"/>
                <w:sz w:val="24"/>
              </w:rPr>
              <w:t>对照《产业结构调整指导目录（</w:t>
            </w:r>
            <w:r>
              <w:rPr>
                <w:sz w:val="24"/>
              </w:rPr>
              <w:t>201</w:t>
            </w:r>
            <w:r>
              <w:rPr>
                <w:rFonts w:hint="eastAsia"/>
                <w:sz w:val="24"/>
                <w:lang w:val="en-US" w:eastAsia="zh-CN"/>
              </w:rPr>
              <w:t>9</w:t>
            </w:r>
            <w:r>
              <w:rPr>
                <w:rFonts w:hint="eastAsia" w:ascii="宋体" w:hAnsi="宋体" w:cs="宋体"/>
                <w:sz w:val="24"/>
              </w:rPr>
              <w:t>年本）》</w:t>
            </w:r>
            <w:r>
              <w:rPr>
                <w:sz w:val="24"/>
              </w:rPr>
              <w:t>，本项目生产工艺及设备不属于淘汰类及限制类，属于允许类项目，</w:t>
            </w:r>
            <w:r>
              <w:rPr>
                <w:rFonts w:hint="eastAsia" w:ascii="宋体" w:hAnsi="宋体" w:cs="宋体"/>
                <w:sz w:val="24"/>
              </w:rPr>
              <w:t>且已于</w:t>
            </w:r>
            <w:r>
              <w:rPr>
                <w:rFonts w:eastAsia="华文仿宋"/>
                <w:sz w:val="24"/>
              </w:rPr>
              <w:t>20</w:t>
            </w:r>
            <w:r>
              <w:rPr>
                <w:rFonts w:hint="eastAsia" w:eastAsia="华文仿宋"/>
                <w:sz w:val="24"/>
                <w:lang w:val="en-US" w:eastAsia="zh-CN"/>
              </w:rPr>
              <w:t>20</w:t>
            </w:r>
            <w:r>
              <w:rPr>
                <w:rFonts w:hint="eastAsia" w:ascii="宋体" w:hAnsi="宋体" w:cs="宋体"/>
                <w:sz w:val="24"/>
              </w:rPr>
              <w:t>年</w:t>
            </w:r>
            <w:r>
              <w:rPr>
                <w:rFonts w:hint="eastAsia"/>
                <w:sz w:val="24"/>
                <w:lang w:val="en-US" w:eastAsia="zh-CN"/>
              </w:rPr>
              <w:t>4</w:t>
            </w:r>
            <w:r>
              <w:rPr>
                <w:rFonts w:hint="eastAsia" w:ascii="宋体" w:hAnsi="宋体" w:cs="宋体"/>
                <w:sz w:val="24"/>
              </w:rPr>
              <w:t>月</w:t>
            </w:r>
            <w:r>
              <w:rPr>
                <w:rFonts w:hint="eastAsia"/>
                <w:sz w:val="24"/>
                <w:lang w:val="en-US" w:eastAsia="zh-CN"/>
              </w:rPr>
              <w:t>3</w:t>
            </w:r>
            <w:r>
              <w:rPr>
                <w:rFonts w:hint="eastAsia" w:ascii="宋体" w:hAnsi="宋体" w:cs="宋体"/>
                <w:sz w:val="24"/>
              </w:rPr>
              <w:t>日经济源市发展和改革委员会备案，项目代码为：</w:t>
            </w: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020-419001-14-03-022376</w:t>
            </w:r>
            <w:r>
              <w:rPr>
                <w:rFonts w:hint="eastAsia"/>
                <w:sz w:val="24"/>
              </w:rPr>
              <w:t>，</w:t>
            </w:r>
            <w:r>
              <w:rPr>
                <w:sz w:val="24"/>
              </w:rPr>
              <w:t>符合国家产业政策。</w:t>
            </w:r>
          </w:p>
          <w:p>
            <w:pPr>
              <w:keepNext w:val="0"/>
              <w:keepLines w:val="0"/>
              <w:pageBreakBefore w:val="0"/>
              <w:widowControl w:val="0"/>
              <w:kinsoku/>
              <w:wordWrap/>
              <w:overflowPunct/>
              <w:topLinePunct w:val="0"/>
              <w:bidi w:val="0"/>
              <w:spacing w:line="440" w:lineRule="exact"/>
              <w:ind w:firstLine="482" w:firstLineChars="200"/>
              <w:textAlignment w:val="auto"/>
              <w:rPr>
                <w:rFonts w:ascii="宋体" w:hAnsi="宋体"/>
                <w:b/>
                <w:sz w:val="24"/>
              </w:rPr>
            </w:pPr>
            <w:r>
              <w:rPr>
                <w:rFonts w:hint="eastAsia" w:ascii="宋体" w:hAnsi="宋体"/>
                <w:b/>
                <w:sz w:val="24"/>
              </w:rPr>
              <w:t>2</w:t>
            </w:r>
            <w:r>
              <w:rPr>
                <w:rFonts w:ascii="宋体" w:hAnsi="宋体"/>
                <w:b/>
                <w:sz w:val="24"/>
              </w:rPr>
              <w:t>、</w:t>
            </w:r>
            <w:r>
              <w:rPr>
                <w:rFonts w:hint="eastAsia" w:ascii="宋体" w:hAnsi="宋体"/>
                <w:b/>
                <w:sz w:val="24"/>
              </w:rPr>
              <w:t>项目选址评价结论</w:t>
            </w:r>
          </w:p>
          <w:p>
            <w:pPr>
              <w:keepNext w:val="0"/>
              <w:keepLines w:val="0"/>
              <w:pageBreakBefore w:val="0"/>
              <w:widowControl w:val="0"/>
              <w:kinsoku/>
              <w:wordWrap/>
              <w:overflowPunct/>
              <w:topLinePunct w:val="0"/>
              <w:autoSpaceDE/>
              <w:autoSpaceDN/>
              <w:bidi w:val="0"/>
              <w:adjustRightInd/>
              <w:snapToGrid w:val="0"/>
              <w:spacing w:line="480" w:lineRule="exact"/>
              <w:ind w:firstLine="465" w:firstLineChars="194"/>
              <w:jc w:val="left"/>
              <w:textAlignment w:val="auto"/>
              <w:rPr>
                <w:sz w:val="24"/>
              </w:rPr>
            </w:pPr>
            <w:r>
              <w:rPr>
                <w:sz w:val="24"/>
              </w:rPr>
              <w:t>该项目位于</w:t>
            </w:r>
            <w:r>
              <w:rPr>
                <w:rFonts w:hint="eastAsia" w:eastAsiaTheme="majorEastAsia"/>
                <w:sz w:val="24"/>
                <w:lang w:eastAsia="zh-CN"/>
              </w:rPr>
              <w:t>济源市思礼镇涧南庄村北</w:t>
            </w:r>
            <w:r>
              <w:rPr>
                <w:sz w:val="24"/>
              </w:rPr>
              <w:t>，</w:t>
            </w:r>
            <w:r>
              <w:rPr>
                <w:rFonts w:hint="eastAsia"/>
                <w:sz w:val="24"/>
              </w:rPr>
              <w:t>不在</w:t>
            </w:r>
            <w:r>
              <w:rPr>
                <w:sz w:val="24"/>
              </w:rPr>
              <w:t>济源市饮用水水源保护区</w:t>
            </w:r>
            <w:r>
              <w:rPr>
                <w:rFonts w:hint="eastAsia"/>
                <w:sz w:val="24"/>
              </w:rPr>
              <w:t>范围内</w:t>
            </w:r>
            <w:r>
              <w:rPr>
                <w:sz w:val="24"/>
              </w:rPr>
              <w:t>、</w:t>
            </w:r>
            <w:r>
              <w:rPr>
                <w:rFonts w:hint="eastAsia"/>
                <w:sz w:val="24"/>
              </w:rPr>
              <w:t>符合</w:t>
            </w:r>
            <w:r>
              <w:rPr>
                <w:sz w:val="24"/>
              </w:rPr>
              <w:t>济源市城乡总体规（2012-2030）。厂址周围尚未发现文物古迹、有价值的自然景观和稀有动植物等需要特殊保护的对象。营运期</w:t>
            </w:r>
            <w:r>
              <w:rPr>
                <w:rFonts w:hint="eastAsia"/>
                <w:sz w:val="24"/>
              </w:rPr>
              <w:t>项目</w:t>
            </w:r>
            <w:r>
              <w:rPr>
                <w:rFonts w:hint="eastAsia"/>
                <w:sz w:val="24"/>
                <w:lang w:eastAsia="zh-CN"/>
              </w:rPr>
              <w:t>废水经相应处理措施处理后能够达标排放</w:t>
            </w:r>
            <w:r>
              <w:rPr>
                <w:sz w:val="24"/>
              </w:rPr>
              <w:t>，高噪声设备通过采取降噪措施厂界可实现达标排放对外环境影响</w:t>
            </w:r>
            <w:r>
              <w:rPr>
                <w:rFonts w:hint="eastAsia"/>
                <w:sz w:val="24"/>
              </w:rPr>
              <w:t>较小</w:t>
            </w:r>
            <w:r>
              <w:rPr>
                <w:sz w:val="24"/>
              </w:rPr>
              <w:t>，产生的固体废物全部合理处置。因此评价认为本项目的选址合理。</w:t>
            </w:r>
          </w:p>
          <w:p>
            <w:pPr>
              <w:keepNext w:val="0"/>
              <w:keepLines w:val="0"/>
              <w:pageBreakBefore w:val="0"/>
              <w:widowControl w:val="0"/>
              <w:kinsoku/>
              <w:wordWrap/>
              <w:overflowPunct/>
              <w:topLinePunct w:val="0"/>
              <w:bidi w:val="0"/>
              <w:spacing w:line="440" w:lineRule="exact"/>
              <w:ind w:firstLine="482" w:firstLineChars="200"/>
              <w:textAlignment w:val="auto"/>
              <w:rPr>
                <w:rFonts w:ascii="宋体" w:hAnsi="宋体"/>
                <w:b/>
                <w:sz w:val="24"/>
              </w:rPr>
            </w:pPr>
            <w:r>
              <w:rPr>
                <w:rFonts w:ascii="宋体" w:hAnsi="宋体"/>
                <w:b/>
                <w:sz w:val="24"/>
              </w:rPr>
              <w:t>3、</w:t>
            </w:r>
            <w:r>
              <w:rPr>
                <w:rFonts w:hint="eastAsia" w:ascii="宋体" w:hAnsi="宋体"/>
                <w:b/>
                <w:sz w:val="24"/>
              </w:rPr>
              <w:t>环境现状评价结论</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default" w:ascii="Times New Roman" w:hAnsi="Times New Roman" w:cs="Times New Roman"/>
                <w:sz w:val="24"/>
              </w:rPr>
            </w:pPr>
            <w:r>
              <w:rPr>
                <w:rFonts w:hint="default" w:ascii="Times New Roman" w:hAnsi="Times New Roman" w:cs="Times New Roman"/>
                <w:sz w:val="24"/>
              </w:rPr>
              <w:t>（1）环境空气质量</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default" w:ascii="Times New Roman" w:hAnsi="Times New Roman" w:cs="Times New Roman"/>
                <w:sz w:val="24"/>
                <w:lang w:val="en-US" w:eastAsia="zh-CN"/>
              </w:rPr>
            </w:pPr>
            <w:r>
              <w:rPr>
                <w:rFonts w:hint="eastAsia" w:cs="Times New Roman"/>
                <w:sz w:val="24"/>
                <w:lang w:eastAsia="zh-CN"/>
              </w:rPr>
              <w:t>根据济源市</w:t>
            </w:r>
            <w:r>
              <w:rPr>
                <w:rFonts w:hint="eastAsia" w:cs="Times New Roman"/>
                <w:sz w:val="24"/>
                <w:lang w:val="en-US" w:eastAsia="zh-CN"/>
              </w:rPr>
              <w:t>2018年环境空气质量统计结果，</w:t>
            </w:r>
            <w:r>
              <w:rPr>
                <w:rFonts w:hint="default" w:ascii="Times New Roman" w:hAnsi="Times New Roman" w:cs="Times New Roman"/>
                <w:sz w:val="24"/>
              </w:rPr>
              <w:t>济源市区域</w:t>
            </w:r>
            <w:r>
              <w:rPr>
                <w:bCs/>
                <w:sz w:val="24"/>
              </w:rPr>
              <w:t>PM</w:t>
            </w:r>
            <w:r>
              <w:rPr>
                <w:bCs/>
                <w:sz w:val="24"/>
                <w:vertAlign w:val="subscript"/>
              </w:rPr>
              <w:t>10</w:t>
            </w:r>
            <w:r>
              <w:rPr>
                <w:bCs/>
                <w:sz w:val="24"/>
              </w:rPr>
              <w:t>、PM</w:t>
            </w:r>
            <w:r>
              <w:rPr>
                <w:bCs/>
                <w:sz w:val="24"/>
                <w:vertAlign w:val="subscript"/>
              </w:rPr>
              <w:t>2.5</w:t>
            </w:r>
            <w:r>
              <w:rPr>
                <w:bCs/>
                <w:sz w:val="24"/>
              </w:rPr>
              <w:t>、臭氧</w:t>
            </w:r>
            <w:r>
              <w:rPr>
                <w:rFonts w:hint="eastAsia"/>
                <w:bCs/>
                <w:sz w:val="24"/>
              </w:rPr>
              <w:t>、</w:t>
            </w:r>
            <w:r>
              <w:rPr>
                <w:bCs/>
                <w:sz w:val="24"/>
              </w:rPr>
              <w:t>NO</w:t>
            </w:r>
            <w:r>
              <w:rPr>
                <w:bCs/>
                <w:sz w:val="24"/>
                <w:vertAlign w:val="subscript"/>
              </w:rPr>
              <w:t>2</w:t>
            </w:r>
            <w:r>
              <w:rPr>
                <w:rFonts w:hint="default" w:ascii="Times New Roman" w:hAnsi="Times New Roman" w:cs="Times New Roman"/>
                <w:sz w:val="24"/>
              </w:rPr>
              <w:t>年评价指标超标，济源市属于不达标区</w:t>
            </w:r>
            <w:r>
              <w:rPr>
                <w:rFonts w:hint="default" w:ascii="Times New Roman" w:hAnsi="Times New Roman" w:cs="Times New Roman"/>
                <w:sz w:val="24"/>
                <w:lang w:eastAsia="zh-CN"/>
              </w:rPr>
              <w:t>；</w:t>
            </w:r>
            <w:r>
              <w:rPr>
                <w:rFonts w:hint="default" w:ascii="Times New Roman" w:hAnsi="Times New Roman" w:cs="Times New Roman"/>
                <w:sz w:val="24"/>
                <w:lang w:val="en-US" w:eastAsia="zh-CN"/>
              </w:rPr>
              <w:t>20</w:t>
            </w:r>
            <w:r>
              <w:rPr>
                <w:rFonts w:hint="eastAsia" w:cs="Times New Roman"/>
                <w:sz w:val="24"/>
                <w:lang w:val="en-US" w:eastAsia="zh-CN"/>
              </w:rPr>
              <w:t>20</w:t>
            </w:r>
            <w:r>
              <w:rPr>
                <w:rFonts w:hint="default" w:ascii="Times New Roman" w:hAnsi="Times New Roman" w:cs="Times New Roman"/>
                <w:sz w:val="24"/>
                <w:lang w:val="en-US" w:eastAsia="zh-CN"/>
              </w:rPr>
              <w:t>年</w:t>
            </w:r>
            <w:r>
              <w:rPr>
                <w:rFonts w:hint="eastAsia" w:cs="Times New Roman"/>
                <w:sz w:val="24"/>
                <w:lang w:val="en-US" w:eastAsia="zh-CN"/>
              </w:rPr>
              <w:t>4</w:t>
            </w:r>
            <w:r>
              <w:rPr>
                <w:rFonts w:hint="default" w:ascii="Times New Roman" w:hAnsi="Times New Roman" w:cs="Times New Roman"/>
                <w:sz w:val="24"/>
                <w:lang w:val="en-US" w:eastAsia="zh-CN"/>
              </w:rPr>
              <w:t>月</w:t>
            </w:r>
            <w:r>
              <w:rPr>
                <w:rFonts w:hint="eastAsia" w:cs="Times New Roman"/>
                <w:sz w:val="24"/>
                <w:lang w:val="en-US" w:eastAsia="zh-CN"/>
              </w:rPr>
              <w:t>1</w:t>
            </w:r>
            <w:r>
              <w:rPr>
                <w:rFonts w:hint="default" w:ascii="Times New Roman" w:hAnsi="Times New Roman" w:cs="Times New Roman"/>
                <w:sz w:val="24"/>
                <w:lang w:val="en-US" w:eastAsia="zh-CN"/>
              </w:rPr>
              <w:t>日至</w:t>
            </w:r>
            <w:r>
              <w:rPr>
                <w:rFonts w:hint="eastAsia" w:cs="Times New Roman"/>
                <w:sz w:val="24"/>
                <w:lang w:val="en-US" w:eastAsia="zh-CN"/>
              </w:rPr>
              <w:t>7</w:t>
            </w:r>
            <w:r>
              <w:rPr>
                <w:rFonts w:hint="default" w:ascii="Times New Roman" w:hAnsi="Times New Roman" w:cs="Times New Roman"/>
                <w:sz w:val="24"/>
                <w:lang w:val="en-US" w:eastAsia="zh-CN"/>
              </w:rPr>
              <w:t>日，</w:t>
            </w:r>
            <w:r>
              <w:rPr>
                <w:rFonts w:hint="eastAsia" w:cs="Times New Roman"/>
                <w:sz w:val="24"/>
                <w:lang w:val="en-US" w:eastAsia="zh-CN"/>
              </w:rPr>
              <w:t>项目所在区域</w:t>
            </w:r>
            <w:r>
              <w:rPr>
                <w:rFonts w:hint="default" w:ascii="Times New Roman" w:hAnsi="Times New Roman" w:cs="Times New Roman"/>
                <w:sz w:val="24"/>
                <w:lang w:val="en-US" w:eastAsia="zh-CN"/>
              </w:rPr>
              <w:t>PM</w:t>
            </w:r>
            <w:r>
              <w:rPr>
                <w:rFonts w:hint="default" w:ascii="Times New Roman" w:hAnsi="Times New Roman" w:cs="Times New Roman"/>
                <w:sz w:val="24"/>
                <w:vertAlign w:val="subscript"/>
                <w:lang w:val="en-US" w:eastAsia="zh-CN"/>
              </w:rPr>
              <w:t>10</w:t>
            </w:r>
            <w:r>
              <w:rPr>
                <w:rFonts w:hint="default" w:ascii="Times New Roman" w:hAnsi="Times New Roman" w:cs="Times New Roman"/>
                <w:sz w:val="24"/>
                <w:lang w:val="en-US" w:eastAsia="zh-CN"/>
              </w:rPr>
              <w:t>、SO</w:t>
            </w:r>
            <w:r>
              <w:rPr>
                <w:rFonts w:hint="default" w:ascii="Times New Roman" w:hAnsi="Times New Roman" w:cs="Times New Roman"/>
                <w:sz w:val="24"/>
                <w:vertAlign w:val="subscript"/>
                <w:lang w:val="en-US" w:eastAsia="zh-CN"/>
              </w:rPr>
              <w:t>2</w:t>
            </w:r>
            <w:r>
              <w:rPr>
                <w:rFonts w:hint="default" w:ascii="Times New Roman" w:hAnsi="Times New Roman" w:cs="Times New Roman"/>
                <w:sz w:val="24"/>
                <w:lang w:val="en-US" w:eastAsia="zh-CN"/>
              </w:rPr>
              <w:t>、NO</w:t>
            </w:r>
            <w:r>
              <w:rPr>
                <w:rFonts w:hint="default" w:ascii="Times New Roman" w:hAnsi="Times New Roman" w:cs="Times New Roman"/>
                <w:sz w:val="24"/>
                <w:vertAlign w:val="subscript"/>
                <w:lang w:val="en-US" w:eastAsia="zh-CN"/>
              </w:rPr>
              <w:t>2</w:t>
            </w:r>
            <w:r>
              <w:rPr>
                <w:rFonts w:hint="default" w:ascii="Times New Roman" w:hAnsi="Times New Roman" w:cs="Times New Roman"/>
                <w:sz w:val="24"/>
                <w:lang w:val="en-US" w:eastAsia="zh-CN"/>
              </w:rPr>
              <w:t>、CO日均值</w:t>
            </w:r>
            <w:r>
              <w:rPr>
                <w:rFonts w:hint="eastAsia" w:cs="Times New Roman"/>
                <w:sz w:val="24"/>
                <w:lang w:val="en-US" w:eastAsia="zh-CN"/>
              </w:rPr>
              <w:t>及</w:t>
            </w:r>
            <w:r>
              <w:rPr>
                <w:rFonts w:hint="default" w:ascii="Times New Roman" w:hAnsi="Times New Roman" w:cs="Times New Roman"/>
                <w:sz w:val="24"/>
                <w:lang w:val="en-US" w:eastAsia="zh-CN"/>
              </w:rPr>
              <w:t>O</w:t>
            </w:r>
            <w:r>
              <w:rPr>
                <w:rFonts w:hint="default" w:ascii="Times New Roman" w:hAnsi="Times New Roman" w:cs="Times New Roman"/>
                <w:sz w:val="24"/>
                <w:vertAlign w:val="subscript"/>
                <w:lang w:val="en-US" w:eastAsia="zh-CN"/>
              </w:rPr>
              <w:t>3</w:t>
            </w:r>
            <w:r>
              <w:rPr>
                <w:rFonts w:hint="default" w:ascii="Times New Roman" w:hAnsi="Times New Roman" w:cs="Times New Roman"/>
                <w:sz w:val="24"/>
                <w:lang w:val="en-US" w:eastAsia="zh-CN"/>
              </w:rPr>
              <w:t>日最大八小时滑动均值均达标，PM</w:t>
            </w:r>
            <w:r>
              <w:rPr>
                <w:rFonts w:hint="default" w:ascii="Times New Roman" w:hAnsi="Times New Roman" w:cs="Times New Roman"/>
                <w:sz w:val="24"/>
                <w:vertAlign w:val="subscript"/>
                <w:lang w:val="en-US" w:eastAsia="zh-CN"/>
              </w:rPr>
              <w:t>2.5</w:t>
            </w:r>
            <w:r>
              <w:rPr>
                <w:rFonts w:hint="eastAsia" w:cs="Times New Roman"/>
                <w:sz w:val="24"/>
                <w:vertAlign w:val="baseline"/>
                <w:lang w:val="en-US" w:eastAsia="zh-CN"/>
              </w:rPr>
              <w:t>日均值</w:t>
            </w:r>
            <w:r>
              <w:rPr>
                <w:rFonts w:hint="default" w:ascii="Times New Roman" w:hAnsi="Times New Roman" w:cs="Times New Roman"/>
                <w:sz w:val="24"/>
                <w:lang w:val="en-US" w:eastAsia="zh-CN"/>
              </w:rPr>
              <w:t>均值超标。</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default" w:ascii="Times New Roman" w:hAnsi="Times New Roman" w:cs="Times New Roman"/>
                <w:sz w:val="24"/>
              </w:rPr>
            </w:pPr>
            <w:r>
              <w:rPr>
                <w:rFonts w:hint="default" w:ascii="Times New Roman" w:hAnsi="Times New Roman" w:cs="Times New Roman"/>
                <w:sz w:val="24"/>
              </w:rPr>
              <w:t>（2）声环境</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default" w:ascii="Times New Roman" w:hAnsi="Times New Roman" w:cs="Times New Roman"/>
                <w:sz w:val="24"/>
              </w:rPr>
            </w:pPr>
            <w:r>
              <w:rPr>
                <w:rFonts w:hint="default" w:ascii="Times New Roman" w:hAnsi="Times New Roman" w:cs="Times New Roman"/>
                <w:sz w:val="24"/>
              </w:rPr>
              <w:t>项目</w:t>
            </w:r>
            <w:r>
              <w:rPr>
                <w:rFonts w:hint="eastAsia" w:cs="Times New Roman"/>
                <w:sz w:val="24"/>
                <w:lang w:eastAsia="zh-CN"/>
              </w:rPr>
              <w:t>四周</w:t>
            </w:r>
            <w:r>
              <w:rPr>
                <w:rFonts w:hint="default" w:ascii="Times New Roman" w:hAnsi="Times New Roman" w:cs="Times New Roman"/>
                <w:sz w:val="24"/>
                <w:lang w:eastAsia="zh-CN"/>
              </w:rPr>
              <w:t>厂界</w:t>
            </w:r>
            <w:r>
              <w:rPr>
                <w:rFonts w:hint="eastAsia" w:cs="Times New Roman"/>
                <w:sz w:val="24"/>
                <w:lang w:eastAsia="zh-CN"/>
              </w:rPr>
              <w:t>、涧南庄村及南侧住户昼间噪声</w:t>
            </w:r>
            <w:r>
              <w:rPr>
                <w:rFonts w:hint="default" w:ascii="Times New Roman" w:hAnsi="Times New Roman" w:cs="Times New Roman"/>
                <w:sz w:val="24"/>
              </w:rPr>
              <w:t>现状满足《声环境质量标准》（GB3096-2008）</w:t>
            </w:r>
            <w:r>
              <w:rPr>
                <w:rFonts w:hint="eastAsia" w:cs="Times New Roman"/>
                <w:sz w:val="24"/>
                <w:lang w:val="en-US" w:eastAsia="zh-CN"/>
              </w:rPr>
              <w:t>1</w:t>
            </w:r>
            <w:r>
              <w:rPr>
                <w:rFonts w:hint="default" w:ascii="Times New Roman" w:hAnsi="Times New Roman" w:cs="Times New Roman"/>
                <w:sz w:val="24"/>
              </w:rPr>
              <w:t>类</w:t>
            </w:r>
            <w:r>
              <w:rPr>
                <w:rFonts w:hint="default" w:ascii="Times New Roman" w:hAnsi="Times New Roman" w:cs="Times New Roman"/>
                <w:sz w:val="24"/>
                <w:lang w:eastAsia="zh-CN"/>
              </w:rPr>
              <w:t>标准要求</w:t>
            </w:r>
            <w:r>
              <w:rPr>
                <w:rFonts w:hint="default" w:ascii="Times New Roman" w:hAnsi="Times New Roman" w:cs="Times New Roman"/>
                <w:sz w:val="24"/>
              </w:rPr>
              <w:t>，声环境现状良好。</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default" w:ascii="Times New Roman" w:hAnsi="Times New Roman" w:cs="Times New Roman"/>
                <w:sz w:val="24"/>
              </w:rPr>
            </w:pPr>
            <w:r>
              <w:rPr>
                <w:rFonts w:hint="default" w:ascii="Times New Roman" w:hAnsi="Times New Roman" w:cs="Times New Roman"/>
                <w:sz w:val="24"/>
              </w:rPr>
              <w:t>（3）地表水环境</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rFonts w:hint="eastAsia" w:cs="Times New Roman"/>
                <w:b/>
                <w:sz w:val="24"/>
                <w:lang w:val="en-US" w:eastAsia="zh-CN"/>
              </w:rPr>
            </w:pPr>
            <w:r>
              <w:rPr>
                <w:rFonts w:hint="default" w:ascii="Times New Roman" w:hAnsi="Times New Roman" w:cs="Times New Roman"/>
                <w:bCs/>
                <w:sz w:val="24"/>
              </w:rPr>
              <w:t>根据济源市环保局公布的《济源市环境质量月报》2018年1月-12月份中蟒河南官庄断面的监测数据，</w:t>
            </w:r>
            <w:r>
              <w:rPr>
                <w:rFonts w:hint="default" w:ascii="Times New Roman" w:hAnsi="Times New Roman" w:cs="Times New Roman"/>
                <w:sz w:val="24"/>
              </w:rPr>
              <w:t>监测断面中COD、氨氮、总</w:t>
            </w:r>
            <w:r>
              <w:rPr>
                <w:rFonts w:hint="default" w:ascii="Times New Roman" w:hAnsi="Times New Roman" w:cs="Times New Roman"/>
                <w:sz w:val="24"/>
                <w:lang w:eastAsia="zh-CN"/>
              </w:rPr>
              <w:t>磷</w:t>
            </w:r>
            <w:r>
              <w:rPr>
                <w:rFonts w:hint="default" w:ascii="Times New Roman" w:hAnsi="Times New Roman" w:cs="Times New Roman"/>
                <w:sz w:val="24"/>
              </w:rPr>
              <w:t>浓度均有不同程度的超标</w:t>
            </w:r>
            <w:r>
              <w:rPr>
                <w:rFonts w:hint="default" w:ascii="Times New Roman" w:hAnsi="Times New Roman" w:cs="Times New Roman"/>
                <w:bCs/>
                <w:sz w:val="24"/>
              </w:rPr>
              <w:t>。随着《济源市污染防治攻坚战三年行动计划》（2018-2020年）（济政〔2018〕29号）的实施，济河水质将逐渐好转。</w:t>
            </w:r>
          </w:p>
          <w:p>
            <w:pPr>
              <w:keepNext w:val="0"/>
              <w:keepLines w:val="0"/>
              <w:pageBreakBefore w:val="0"/>
              <w:widowControl w:val="0"/>
              <w:numPr>
                <w:ilvl w:val="0"/>
                <w:numId w:val="0"/>
              </w:numPr>
              <w:kinsoku/>
              <w:wordWrap/>
              <w:overflowPunct/>
              <w:topLinePunct w:val="0"/>
              <w:bidi w:val="0"/>
              <w:spacing w:line="440" w:lineRule="exact"/>
              <w:ind w:firstLine="482" w:firstLineChars="200"/>
              <w:textAlignment w:val="auto"/>
              <w:rPr>
                <w:rFonts w:hint="default" w:ascii="Times New Roman" w:hAnsi="Times New Roman" w:cs="Times New Roman"/>
                <w:b/>
                <w:sz w:val="24"/>
              </w:rPr>
            </w:pPr>
            <w:r>
              <w:rPr>
                <w:rFonts w:hint="eastAsia" w:cs="Times New Roman"/>
                <w:b/>
                <w:sz w:val="24"/>
                <w:lang w:val="en-US" w:eastAsia="zh-CN"/>
              </w:rPr>
              <w:t>4、</w:t>
            </w:r>
            <w:r>
              <w:rPr>
                <w:rFonts w:hint="default" w:ascii="Times New Roman" w:hAnsi="Times New Roman" w:cs="Times New Roman"/>
                <w:b/>
                <w:sz w:val="24"/>
              </w:rPr>
              <w:t>环境影响分析结论</w:t>
            </w:r>
          </w:p>
          <w:p>
            <w:pPr>
              <w:keepNext w:val="0"/>
              <w:keepLines w:val="0"/>
              <w:pageBreakBefore w:val="0"/>
              <w:widowControl w:val="0"/>
              <w:kinsoku/>
              <w:wordWrap/>
              <w:overflowPunct/>
              <w:topLinePunct w:val="0"/>
              <w:bidi w:val="0"/>
              <w:snapToGrid w:val="0"/>
              <w:spacing w:line="440" w:lineRule="exact"/>
              <w:ind w:firstLine="454"/>
              <w:textAlignment w:val="auto"/>
              <w:rPr>
                <w:rFonts w:hint="eastAsia" w:cs="Times New Roman"/>
                <w:sz w:val="24"/>
                <w:lang w:eastAsia="zh-CN"/>
              </w:rPr>
            </w:pPr>
            <w:r>
              <w:rPr>
                <w:rFonts w:hint="default" w:ascii="Times New Roman" w:hAnsi="Times New Roman" w:cs="Times New Roman"/>
                <w:sz w:val="24"/>
              </w:rPr>
              <w:t>（</w:t>
            </w:r>
            <w:r>
              <w:rPr>
                <w:rFonts w:hint="eastAsia" w:cs="Times New Roman"/>
                <w:sz w:val="24"/>
                <w:lang w:val="en-US" w:eastAsia="zh-CN"/>
              </w:rPr>
              <w:t>1</w:t>
            </w:r>
            <w:r>
              <w:rPr>
                <w:rFonts w:hint="default" w:ascii="Times New Roman" w:hAnsi="Times New Roman" w:cs="Times New Roman"/>
                <w:sz w:val="24"/>
              </w:rPr>
              <w:t>）</w:t>
            </w:r>
            <w:r>
              <w:rPr>
                <w:rFonts w:hint="eastAsia" w:cs="Times New Roman"/>
                <w:sz w:val="24"/>
                <w:lang w:eastAsia="zh-CN"/>
              </w:rPr>
              <w:t>本项目废水主要为生产废水及员工生活污水，厂区废水总排口</w:t>
            </w:r>
            <w:r>
              <w:rPr>
                <w:rFonts w:hint="eastAsia" w:cs="Times New Roman"/>
                <w:sz w:val="24"/>
                <w:lang w:val="en-US" w:eastAsia="zh-CN"/>
              </w:rPr>
              <w:t>COD、氨氮、总磷、总氮、石油类</w:t>
            </w:r>
            <w:r>
              <w:rPr>
                <w:rFonts w:hint="eastAsia" w:cs="Times New Roman"/>
                <w:sz w:val="24"/>
                <w:lang w:eastAsia="zh-CN"/>
              </w:rPr>
              <w:t>排放浓度能够满足《污水综合排放标准》（</w:t>
            </w:r>
            <w:r>
              <w:rPr>
                <w:rFonts w:hint="eastAsia" w:cs="Times New Roman"/>
                <w:sz w:val="24"/>
                <w:lang w:val="en-US" w:eastAsia="zh-CN"/>
              </w:rPr>
              <w:t>GB8978-1996</w:t>
            </w:r>
            <w:r>
              <w:rPr>
                <w:rFonts w:hint="eastAsia" w:cs="Times New Roman"/>
                <w:sz w:val="24"/>
                <w:lang w:eastAsia="zh-CN"/>
              </w:rPr>
              <w:t>）表</w:t>
            </w:r>
            <w:r>
              <w:rPr>
                <w:rFonts w:hint="eastAsia" w:cs="Times New Roman"/>
                <w:sz w:val="24"/>
                <w:lang w:val="en-US" w:eastAsia="zh-CN"/>
              </w:rPr>
              <w:t>4三级标准要求，</w:t>
            </w:r>
            <w:r>
              <w:rPr>
                <w:rFonts w:hint="eastAsia" w:cs="Times New Roman"/>
                <w:sz w:val="24"/>
                <w:lang w:eastAsia="zh-CN"/>
              </w:rPr>
              <w:t>外排废水经村镇污水管网进入涧南庄村污水处理站进行处理，满足《城镇污水处理厂污染物排放标准》（</w:t>
            </w:r>
            <w:r>
              <w:rPr>
                <w:rFonts w:hint="eastAsia" w:cs="Times New Roman"/>
                <w:sz w:val="24"/>
                <w:lang w:val="en-US" w:eastAsia="zh-CN"/>
              </w:rPr>
              <w:t>GB18918-2002</w:t>
            </w:r>
            <w:r>
              <w:rPr>
                <w:rFonts w:hint="eastAsia" w:cs="Times New Roman"/>
                <w:sz w:val="24"/>
                <w:lang w:eastAsia="zh-CN"/>
              </w:rPr>
              <w:t>）表</w:t>
            </w:r>
            <w:r>
              <w:rPr>
                <w:rFonts w:hint="eastAsia" w:cs="Times New Roman"/>
                <w:sz w:val="24"/>
                <w:lang w:val="en-US" w:eastAsia="zh-CN"/>
              </w:rPr>
              <w:t>1一级A标准后</w:t>
            </w:r>
            <w:r>
              <w:rPr>
                <w:rFonts w:hint="eastAsia" w:cs="Times New Roman"/>
                <w:sz w:val="24"/>
                <w:lang w:eastAsia="zh-CN"/>
              </w:rPr>
              <w:t>排入塌七河，不会对周围水环境造成影响。</w:t>
            </w:r>
          </w:p>
          <w:p>
            <w:pPr>
              <w:keepNext w:val="0"/>
              <w:keepLines w:val="0"/>
              <w:pageBreakBefore w:val="0"/>
              <w:widowControl w:val="0"/>
              <w:kinsoku/>
              <w:wordWrap/>
              <w:overflowPunct/>
              <w:topLinePunct w:val="0"/>
              <w:bidi w:val="0"/>
              <w:snapToGrid w:val="0"/>
              <w:spacing w:line="440" w:lineRule="exact"/>
              <w:ind w:firstLine="454"/>
              <w:textAlignment w:val="auto"/>
              <w:rPr>
                <w:rFonts w:hint="default" w:ascii="Times New Roman" w:hAnsi="Times New Roman" w:cs="Times New Roman"/>
                <w:sz w:val="24"/>
              </w:rPr>
            </w:pPr>
            <w:r>
              <w:rPr>
                <w:rFonts w:hint="eastAsia" w:cs="Times New Roman"/>
                <w:sz w:val="24"/>
                <w:lang w:eastAsia="zh-CN"/>
              </w:rPr>
              <w:t>（</w:t>
            </w:r>
            <w:r>
              <w:rPr>
                <w:rFonts w:hint="eastAsia" w:cs="Times New Roman"/>
                <w:sz w:val="24"/>
                <w:lang w:val="en-US" w:eastAsia="zh-CN"/>
              </w:rPr>
              <w:t>2</w:t>
            </w:r>
            <w:r>
              <w:rPr>
                <w:rFonts w:hint="eastAsia" w:cs="Times New Roman"/>
                <w:sz w:val="24"/>
                <w:lang w:eastAsia="zh-CN"/>
              </w:rPr>
              <w:t>）</w:t>
            </w:r>
            <w:r>
              <w:rPr>
                <w:rFonts w:hint="default" w:ascii="Times New Roman" w:hAnsi="Times New Roman" w:cs="Times New Roman"/>
                <w:sz w:val="24"/>
                <w:lang w:eastAsia="zh-CN"/>
              </w:rPr>
              <w:t>本</w:t>
            </w:r>
            <w:r>
              <w:rPr>
                <w:rFonts w:hint="eastAsia" w:cs="Times New Roman"/>
                <w:sz w:val="24"/>
                <w:lang w:eastAsia="zh-CN"/>
              </w:rPr>
              <w:t>项</w:t>
            </w:r>
            <w:r>
              <w:rPr>
                <w:rFonts w:hint="default" w:ascii="Times New Roman" w:hAnsi="Times New Roman" w:cs="Times New Roman"/>
                <w:sz w:val="24"/>
              </w:rPr>
              <w:t>目营运期噪声主要为</w:t>
            </w:r>
            <w:r>
              <w:rPr>
                <w:rFonts w:hint="eastAsia" w:cs="Times New Roman"/>
                <w:sz w:val="24"/>
                <w:lang w:eastAsia="zh-CN"/>
              </w:rPr>
              <w:t>和面机、切菜机、绞肉机、饺子成型机、汤圆机、燃气蒸柜、制冷机</w:t>
            </w:r>
            <w:r>
              <w:rPr>
                <w:rFonts w:hint="default" w:ascii="Times New Roman" w:hAnsi="Times New Roman" w:cs="Times New Roman"/>
                <w:sz w:val="24"/>
              </w:rPr>
              <w:t>等设备运行时产生的噪声。设备置于封闭的厂房内，并采取消声、基础减震、加强管理等措施，再经距离衰减后预计厂界噪声能够达标排放，不会出现噪声扰民现象。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sz w:val="24"/>
                <w:lang w:eastAsia="zh-CN"/>
              </w:rPr>
            </w:pPr>
            <w:r>
              <w:rPr>
                <w:rFonts w:hint="default" w:ascii="Times New Roman" w:hAnsi="Times New Roman" w:cs="Times New Roman"/>
                <w:sz w:val="24"/>
              </w:rPr>
              <w:t>（</w:t>
            </w:r>
            <w:r>
              <w:rPr>
                <w:rFonts w:hint="eastAsia" w:cs="Times New Roman"/>
                <w:sz w:val="24"/>
                <w:lang w:val="en-US" w:eastAsia="zh-CN"/>
              </w:rPr>
              <w:t>3</w:t>
            </w:r>
            <w:r>
              <w:rPr>
                <w:rFonts w:hint="default" w:ascii="Times New Roman" w:hAnsi="Times New Roman" w:cs="Times New Roman"/>
                <w:sz w:val="24"/>
              </w:rPr>
              <w:t>）</w:t>
            </w:r>
            <w:r>
              <w:rPr>
                <w:rFonts w:hint="default" w:ascii="Times New Roman" w:hAnsi="Times New Roman" w:cs="Times New Roman"/>
                <w:sz w:val="24"/>
                <w:lang w:eastAsia="zh-CN"/>
              </w:rPr>
              <w:t>本项目固体废物主要为废包装材料、边角料及员工生活垃圾，均为一般固废。废包装材料</w:t>
            </w:r>
            <w:r>
              <w:rPr>
                <w:rFonts w:hint="default" w:ascii="Times New Roman" w:hAnsi="Times New Roman" w:cs="Times New Roman"/>
                <w:sz w:val="24"/>
                <w:lang w:val="en-US" w:eastAsia="zh-CN"/>
              </w:rPr>
              <w:t>由企业一般固废存放场暂存，定期外售于废品收购站；边角料</w:t>
            </w:r>
            <w:r>
              <w:rPr>
                <w:rFonts w:hint="eastAsia" w:cs="Times New Roman"/>
                <w:sz w:val="24"/>
                <w:lang w:val="en-US" w:eastAsia="zh-CN"/>
              </w:rPr>
              <w:t>及员工生活垃圾</w:t>
            </w:r>
            <w:r>
              <w:rPr>
                <w:rFonts w:hint="default" w:ascii="Times New Roman" w:hAnsi="Times New Roman" w:cs="Times New Roman"/>
                <w:sz w:val="24"/>
                <w:lang w:val="en-US" w:eastAsia="zh-CN"/>
              </w:rPr>
              <w:t>由专用容器收集后暂存于企业一般固废存放场，定期送至附近垃圾中转站统一处理</w:t>
            </w:r>
            <w:r>
              <w:rPr>
                <w:rFonts w:hint="default" w:ascii="Times New Roman" w:hAnsi="Times New Roman" w:cs="Times New Roman"/>
                <w:sz w:val="24"/>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（4）项目制冷剂压力储罐存在遇热爆炸风险，在采取报告中提出的风险防范措施后，项目风险较小，可接受。</w:t>
            </w:r>
          </w:p>
          <w:p>
            <w:pPr>
              <w:pStyle w:val="16"/>
              <w:keepNext w:val="0"/>
              <w:keepLines w:val="0"/>
              <w:pageBreakBefore w:val="0"/>
              <w:widowControl w:val="0"/>
              <w:kinsoku/>
              <w:wordWrap/>
              <w:overflowPunct/>
              <w:topLinePunct w:val="0"/>
              <w:bidi w:val="0"/>
              <w:snapToGrid/>
              <w:spacing w:line="480" w:lineRule="exact"/>
              <w:ind w:firstLine="480" w:firstLineChars="200"/>
              <w:textAlignment w:val="auto"/>
              <w:rPr>
                <w:rFonts w:hint="eastAsia" w:cs="Times New Roman"/>
                <w:sz w:val="24"/>
                <w:lang w:val="en-US" w:eastAsia="zh-CN"/>
              </w:rPr>
            </w:pPr>
            <w:r>
              <w:rPr>
                <w:rFonts w:hint="eastAsia" w:ascii="Times New Roman" w:hAnsi="Times New Roman" w:cs="Times New Roman"/>
                <w:sz w:val="24"/>
                <w:lang w:val="en-US" w:eastAsia="zh-CN"/>
              </w:rPr>
              <w:t>（</w:t>
            </w:r>
            <w:r>
              <w:rPr>
                <w:rFonts w:hint="default" w:ascii="Times New Roman" w:hAnsi="Times New Roman" w:cs="Times New Roman"/>
                <w:sz w:val="24"/>
                <w:lang w:val="en-US" w:eastAsia="zh-CN"/>
              </w:rPr>
              <w:t>5</w:t>
            </w:r>
            <w:r>
              <w:rPr>
                <w:rFonts w:hint="eastAsia" w:ascii="Times New Roman" w:hAnsi="Times New Roman" w:cs="Times New Roman"/>
                <w:sz w:val="24"/>
                <w:lang w:val="en-US" w:eastAsia="zh-CN"/>
              </w:rPr>
              <w:t>）</w:t>
            </w:r>
            <w:r>
              <w:rPr>
                <w:rFonts w:hint="eastAsia" w:cs="Times New Roman"/>
                <w:sz w:val="24"/>
                <w:lang w:val="en-US" w:eastAsia="zh-CN"/>
              </w:rPr>
              <w:t>本项目建成后建议全厂执行总量控制指标如下：</w:t>
            </w:r>
          </w:p>
          <w:p>
            <w:pPr>
              <w:pStyle w:val="16"/>
              <w:keepNext w:val="0"/>
              <w:keepLines w:val="0"/>
              <w:pageBreakBefore w:val="0"/>
              <w:widowControl w:val="0"/>
              <w:kinsoku/>
              <w:wordWrap/>
              <w:overflowPunct/>
              <w:topLinePunct w:val="0"/>
              <w:bidi w:val="0"/>
              <w:snapToGrid/>
              <w:spacing w:line="480" w:lineRule="exact"/>
              <w:ind w:firstLine="720" w:firstLineChars="300"/>
              <w:textAlignment w:val="auto"/>
              <w:rPr>
                <w:rFonts w:hint="default" w:asciiTheme="majorEastAsia" w:hAnsiTheme="majorEastAsia" w:eastAsiaTheme="majorEastAsia" w:cstheme="majorEastAsia"/>
                <w:color w:val="auto"/>
                <w:kern w:val="2"/>
                <w:lang w:val="en-US" w:eastAsia="zh-CN"/>
              </w:rPr>
            </w:pPr>
            <w:r>
              <w:rPr>
                <w:rFonts w:hint="eastAsia" w:ascii="Times New Roman" w:cs="Times New Roman" w:eastAsiaTheme="majorEastAsia"/>
                <w:color w:val="auto"/>
                <w:kern w:val="2"/>
                <w:vertAlign w:val="baseline"/>
                <w:lang w:val="en-US" w:eastAsia="zh-CN"/>
              </w:rPr>
              <w:t>COD 0.0722t/a、氨氮 0.0072t/a。</w:t>
            </w:r>
          </w:p>
          <w:p>
            <w:pPr>
              <w:keepNext w:val="0"/>
              <w:keepLines w:val="0"/>
              <w:pageBreakBefore w:val="0"/>
              <w:widowControl w:val="0"/>
              <w:kinsoku/>
              <w:wordWrap/>
              <w:overflowPunct/>
              <w:topLinePunct w:val="0"/>
              <w:bidi w:val="0"/>
              <w:snapToGrid w:val="0"/>
              <w:spacing w:line="440" w:lineRule="exact"/>
              <w:ind w:firstLine="482" w:firstLineChars="200"/>
              <w:textAlignment w:val="auto"/>
              <w:rPr>
                <w:rFonts w:hint="default" w:ascii="Times New Roman" w:hAnsi="Times New Roman" w:cs="Times New Roman"/>
                <w:b/>
                <w:bCs/>
                <w:sz w:val="24"/>
              </w:rPr>
            </w:pPr>
            <w:r>
              <w:rPr>
                <w:rFonts w:hint="default" w:ascii="Times New Roman" w:hAnsi="Times New Roman" w:cs="Times New Roman"/>
                <w:b/>
                <w:bCs/>
                <w:sz w:val="24"/>
              </w:rPr>
              <w:t>二、建议</w:t>
            </w:r>
          </w:p>
          <w:p>
            <w:pPr>
              <w:keepNext w:val="0"/>
              <w:keepLines w:val="0"/>
              <w:pageBreakBefore w:val="0"/>
              <w:widowControl w:val="0"/>
              <w:kinsoku/>
              <w:wordWrap/>
              <w:overflowPunct/>
              <w:topLinePunct w:val="0"/>
              <w:bidi w:val="0"/>
              <w:snapToGrid w:val="0"/>
              <w:spacing w:line="44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1、制订严格的环境保护管理制度，完善制度，责任到人；认真落实各项污染物防治措施，确保各项污染物稳定达标排放。</w:t>
            </w:r>
          </w:p>
          <w:p>
            <w:pPr>
              <w:keepNext w:val="0"/>
              <w:keepLines w:val="0"/>
              <w:pageBreakBefore w:val="0"/>
              <w:widowControl w:val="0"/>
              <w:kinsoku/>
              <w:wordWrap/>
              <w:overflowPunct/>
              <w:topLinePunct w:val="0"/>
              <w:bidi w:val="0"/>
              <w:snapToGrid w:val="0"/>
              <w:spacing w:line="44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2、加强生产管理，提高设备的完好率、运转率，减少物料消耗。</w:t>
            </w:r>
          </w:p>
          <w:p>
            <w:pPr>
              <w:keepNext w:val="0"/>
              <w:keepLines w:val="0"/>
              <w:pageBreakBefore w:val="0"/>
              <w:widowControl w:val="0"/>
              <w:kinsoku/>
              <w:wordWrap/>
              <w:overflowPunct/>
              <w:topLinePunct w:val="0"/>
              <w:bidi w:val="0"/>
              <w:snapToGrid w:val="0"/>
              <w:spacing w:line="44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3、对噪声设备采取基础减振、隔声等必要的降噪措施，定期维护管养。</w:t>
            </w:r>
          </w:p>
          <w:p>
            <w:pPr>
              <w:keepNext w:val="0"/>
              <w:keepLines w:val="0"/>
              <w:pageBreakBefore w:val="0"/>
              <w:widowControl w:val="0"/>
              <w:kinsoku/>
              <w:wordWrap/>
              <w:overflowPunct/>
              <w:topLinePunct w:val="0"/>
              <w:bidi w:val="0"/>
              <w:snapToGrid w:val="0"/>
              <w:spacing w:line="44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4、加强员工培训，严格管理制度，减少物耗能耗。</w:t>
            </w:r>
          </w:p>
          <w:p>
            <w:pPr>
              <w:keepNext w:val="0"/>
              <w:keepLines w:val="0"/>
              <w:pageBreakBefore w:val="0"/>
              <w:widowControl w:val="0"/>
              <w:kinsoku/>
              <w:wordWrap/>
              <w:overflowPunct/>
              <w:topLinePunct w:val="0"/>
              <w:bidi w:val="0"/>
              <w:snapToGrid w:val="0"/>
              <w:spacing w:line="440" w:lineRule="exact"/>
              <w:ind w:firstLine="482" w:firstLineChars="200"/>
              <w:textAlignment w:val="auto"/>
              <w:rPr>
                <w:rFonts w:hint="default" w:ascii="Times New Roman" w:hAnsi="Times New Roman" w:cs="Times New Roman"/>
                <w:b/>
                <w:bCs/>
                <w:sz w:val="24"/>
              </w:rPr>
            </w:pPr>
            <w:r>
              <w:rPr>
                <w:rFonts w:hint="default" w:ascii="Times New Roman" w:hAnsi="Times New Roman" w:cs="Times New Roman"/>
                <w:b/>
                <w:bCs/>
                <w:sz w:val="24"/>
                <w:lang w:eastAsia="zh-CN"/>
              </w:rPr>
              <w:t>三</w:t>
            </w:r>
            <w:r>
              <w:rPr>
                <w:rFonts w:hint="default" w:ascii="Times New Roman" w:hAnsi="Times New Roman" w:cs="Times New Roman"/>
                <w:b/>
                <w:bCs/>
                <w:sz w:val="24"/>
              </w:rPr>
              <w:t>、总结论</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left"/>
              <w:textAlignment w:val="auto"/>
              <w:rPr>
                <w:sz w:val="28"/>
              </w:rPr>
            </w:pPr>
            <w:r>
              <w:rPr>
                <w:rFonts w:hint="eastAsia" w:cs="Times New Roman"/>
                <w:sz w:val="24"/>
                <w:lang w:eastAsia="zh-CN"/>
              </w:rPr>
              <w:t>济源市明源食品厂年产</w:t>
            </w:r>
            <w:r>
              <w:rPr>
                <w:rFonts w:hint="eastAsia" w:cs="Times New Roman"/>
                <w:sz w:val="24"/>
                <w:lang w:val="en-US" w:eastAsia="zh-CN"/>
              </w:rPr>
              <w:t>300吨速冻食品项目</w:t>
            </w:r>
            <w:r>
              <w:rPr>
                <w:rFonts w:hint="default" w:ascii="Times New Roman" w:hAnsi="Times New Roman" w:cs="Times New Roman"/>
                <w:sz w:val="24"/>
              </w:rPr>
              <w:t>符合国家相关产业政策，总图布置合理、选址合理，无大的环境制约因素。在营运阶段要提高环保意识，加强环境管理，确保各类污染物稳定达标排放，使其对周围环境的影响降到最小。综上所述，从环境保护角度考虑，按照本评价结论和建议进行，该项目的建设是可行的。</w:t>
            </w:r>
          </w:p>
        </w:tc>
      </w:tr>
    </w:tbl>
    <w:p>
      <w:pPr>
        <w:pStyle w:val="2"/>
        <w:ind w:left="0" w:leftChars="0" w:firstLine="0" w:firstLineChars="0"/>
      </w:pPr>
    </w:p>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gLiU">
    <w:panose1 w:val="02020509000000000000"/>
    <w:charset w:val="88"/>
    <w:family w:val="modern"/>
    <w:pitch w:val="default"/>
    <w:sig w:usb0="A00002FF" w:usb1="28CFFCFA" w:usb2="00000016" w:usb3="00000000" w:csb0="00100001" w:csb1="00000000"/>
  </w:font>
  <w:font w:name="Arial Unicode MS">
    <w:panose1 w:val="020B0604020202020204"/>
    <w:charset w:val="86"/>
    <w:family w:val="swiss"/>
    <w:pitch w:val="default"/>
    <w:sig w:usb0="FFFFFFFF" w:usb1="E9FFFFFF" w:usb2="0000003F" w:usb3="00000000" w:csb0="603F01FF" w:csb1="FFFF0000"/>
  </w:font>
  <w:font w:name="TimesNewRomanPSMT">
    <w:altName w:val="Meiryo"/>
    <w:panose1 w:val="00000000000000000000"/>
    <w:charset w:val="80"/>
    <w:family w:val="auto"/>
    <w:pitch w:val="default"/>
    <w:sig w:usb0="00000000" w:usb1="00000000" w:usb2="00000010" w:usb3="00000000" w:csb0="00060001"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华文仿宋">
    <w:panose1 w:val="02010600040101010101"/>
    <w:charset w:val="86"/>
    <w:family w:val="auto"/>
    <w:pitch w:val="default"/>
    <w:sig w:usb0="00000287" w:usb1="080F0000" w:usb2="00000000" w:usb3="00000000" w:csb0="0004009F" w:csb1="DFD70000"/>
  </w:font>
  <w:font w:name="Meiryo">
    <w:panose1 w:val="020B0604030504040204"/>
    <w:charset w:val="80"/>
    <w:family w:val="auto"/>
    <w:pitch w:val="default"/>
    <w:sig w:usb0="E10102FF" w:usb1="EAC7FFFF" w:usb2="00010012" w:usb3="00000000" w:csb0="6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F794F6"/>
    <w:multiLevelType w:val="singleLevel"/>
    <w:tmpl w:val="84F794F6"/>
    <w:lvl w:ilvl="0" w:tentative="0">
      <w:start w:val="1"/>
      <w:numFmt w:val="decimal"/>
      <w:suff w:val="nothing"/>
      <w:lvlText w:val="%1、"/>
      <w:lvlJc w:val="left"/>
    </w:lvl>
  </w:abstractNum>
  <w:abstractNum w:abstractNumId="1">
    <w:nsid w:val="AB24A19B"/>
    <w:multiLevelType w:val="singleLevel"/>
    <w:tmpl w:val="AB24A19B"/>
    <w:lvl w:ilvl="0" w:tentative="0">
      <w:start w:val="2"/>
      <w:numFmt w:val="decimal"/>
      <w:suff w:val="nothing"/>
      <w:lvlText w:val="%1、"/>
      <w:lvlJc w:val="left"/>
    </w:lvl>
  </w:abstractNum>
  <w:abstractNum w:abstractNumId="2">
    <w:nsid w:val="B65D0A4B"/>
    <w:multiLevelType w:val="singleLevel"/>
    <w:tmpl w:val="B65D0A4B"/>
    <w:lvl w:ilvl="0" w:tentative="0">
      <w:start w:val="3"/>
      <w:numFmt w:val="decimal"/>
      <w:suff w:val="nothing"/>
      <w:lvlText w:val="（%1）"/>
      <w:lvlJc w:val="left"/>
    </w:lvl>
  </w:abstractNum>
  <w:abstractNum w:abstractNumId="3">
    <w:nsid w:val="CD143D02"/>
    <w:multiLevelType w:val="singleLevel"/>
    <w:tmpl w:val="CD143D02"/>
    <w:lvl w:ilvl="0" w:tentative="0">
      <w:start w:val="1"/>
      <w:numFmt w:val="chineseCounting"/>
      <w:suff w:val="nothing"/>
      <w:lvlText w:val="%1、"/>
      <w:lvlJc w:val="left"/>
      <w:rPr>
        <w:rFonts w:hint="eastAsia"/>
      </w:rPr>
    </w:lvl>
  </w:abstractNum>
  <w:abstractNum w:abstractNumId="4">
    <w:nsid w:val="2BF6F0D6"/>
    <w:multiLevelType w:val="singleLevel"/>
    <w:tmpl w:val="2BF6F0D6"/>
    <w:lvl w:ilvl="0" w:tentative="0">
      <w:start w:val="10"/>
      <w:numFmt w:val="decimal"/>
      <w:suff w:val="nothing"/>
      <w:lvlText w:val="%1、"/>
      <w:lvlJc w:val="left"/>
    </w:lvl>
  </w:abstractNum>
  <w:abstractNum w:abstractNumId="5">
    <w:nsid w:val="510F504E"/>
    <w:multiLevelType w:val="singleLevel"/>
    <w:tmpl w:val="510F504E"/>
    <w:lvl w:ilvl="0" w:tentative="0">
      <w:start w:val="1"/>
      <w:numFmt w:val="decimal"/>
      <w:suff w:val="nothing"/>
      <w:lvlText w:val="%1、"/>
      <w:lvlJc w:val="left"/>
    </w:lvl>
  </w:abstractNum>
  <w:abstractNum w:abstractNumId="6">
    <w:nsid w:val="6C819DEA"/>
    <w:multiLevelType w:val="singleLevel"/>
    <w:tmpl w:val="6C819DEA"/>
    <w:lvl w:ilvl="0" w:tentative="0">
      <w:start w:val="1"/>
      <w:numFmt w:val="decimal"/>
      <w:suff w:val="nothing"/>
      <w:lvlText w:val="%1、"/>
      <w:lvlJc w:val="left"/>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D73E5"/>
    <w:rsid w:val="005E5545"/>
    <w:rsid w:val="00B9787C"/>
    <w:rsid w:val="00BC7E8B"/>
    <w:rsid w:val="0113523D"/>
    <w:rsid w:val="014260F2"/>
    <w:rsid w:val="01AE5FBF"/>
    <w:rsid w:val="01E23352"/>
    <w:rsid w:val="0260284A"/>
    <w:rsid w:val="02E77547"/>
    <w:rsid w:val="03253920"/>
    <w:rsid w:val="04F40199"/>
    <w:rsid w:val="0523412C"/>
    <w:rsid w:val="056044B9"/>
    <w:rsid w:val="05B54D6F"/>
    <w:rsid w:val="05E71BB0"/>
    <w:rsid w:val="061231EC"/>
    <w:rsid w:val="063A20C2"/>
    <w:rsid w:val="06A3211A"/>
    <w:rsid w:val="06CC2E89"/>
    <w:rsid w:val="071242F5"/>
    <w:rsid w:val="07355BF1"/>
    <w:rsid w:val="07A01EA5"/>
    <w:rsid w:val="07ED1B4E"/>
    <w:rsid w:val="08C46131"/>
    <w:rsid w:val="09543169"/>
    <w:rsid w:val="0A0B344D"/>
    <w:rsid w:val="0A1209CC"/>
    <w:rsid w:val="0A2947A5"/>
    <w:rsid w:val="0A9D5896"/>
    <w:rsid w:val="0A9F7E51"/>
    <w:rsid w:val="0AF33025"/>
    <w:rsid w:val="0B43399B"/>
    <w:rsid w:val="0B667284"/>
    <w:rsid w:val="0B8B7C93"/>
    <w:rsid w:val="0BB4317F"/>
    <w:rsid w:val="0BFD7D24"/>
    <w:rsid w:val="0C714229"/>
    <w:rsid w:val="0CBE7056"/>
    <w:rsid w:val="0D4B4D53"/>
    <w:rsid w:val="0D543261"/>
    <w:rsid w:val="0DED77CA"/>
    <w:rsid w:val="0E783784"/>
    <w:rsid w:val="109E6A4D"/>
    <w:rsid w:val="10A60D13"/>
    <w:rsid w:val="110A4A8B"/>
    <w:rsid w:val="11431970"/>
    <w:rsid w:val="11A05107"/>
    <w:rsid w:val="11B43305"/>
    <w:rsid w:val="11B80FBA"/>
    <w:rsid w:val="120569AE"/>
    <w:rsid w:val="122E1421"/>
    <w:rsid w:val="1246077C"/>
    <w:rsid w:val="128A4FE7"/>
    <w:rsid w:val="12AC7671"/>
    <w:rsid w:val="134A3FFC"/>
    <w:rsid w:val="13C7690E"/>
    <w:rsid w:val="141A26B5"/>
    <w:rsid w:val="14346CCF"/>
    <w:rsid w:val="144B6377"/>
    <w:rsid w:val="144E297F"/>
    <w:rsid w:val="145967C5"/>
    <w:rsid w:val="149C70B9"/>
    <w:rsid w:val="14D3041C"/>
    <w:rsid w:val="14ED0C95"/>
    <w:rsid w:val="151F7B1A"/>
    <w:rsid w:val="15457AAB"/>
    <w:rsid w:val="154D6770"/>
    <w:rsid w:val="15523A9F"/>
    <w:rsid w:val="165672FB"/>
    <w:rsid w:val="165A63CE"/>
    <w:rsid w:val="179376C2"/>
    <w:rsid w:val="17B5007C"/>
    <w:rsid w:val="17CE7838"/>
    <w:rsid w:val="17E6522C"/>
    <w:rsid w:val="185923ED"/>
    <w:rsid w:val="18864C6B"/>
    <w:rsid w:val="18F661FC"/>
    <w:rsid w:val="18F91326"/>
    <w:rsid w:val="19345810"/>
    <w:rsid w:val="193A5580"/>
    <w:rsid w:val="19501968"/>
    <w:rsid w:val="19E33E73"/>
    <w:rsid w:val="19ED685A"/>
    <w:rsid w:val="19F27172"/>
    <w:rsid w:val="1A480610"/>
    <w:rsid w:val="1A5106C6"/>
    <w:rsid w:val="1A5368AD"/>
    <w:rsid w:val="1A5B0DE5"/>
    <w:rsid w:val="1AA97951"/>
    <w:rsid w:val="1AC306E6"/>
    <w:rsid w:val="1AD878C2"/>
    <w:rsid w:val="1B5106C9"/>
    <w:rsid w:val="1BB916A4"/>
    <w:rsid w:val="1C035A2A"/>
    <w:rsid w:val="1C652062"/>
    <w:rsid w:val="1C730EAB"/>
    <w:rsid w:val="1C873880"/>
    <w:rsid w:val="1CA657E0"/>
    <w:rsid w:val="1CCE1853"/>
    <w:rsid w:val="1D260821"/>
    <w:rsid w:val="1D6C6C8C"/>
    <w:rsid w:val="1DC848FE"/>
    <w:rsid w:val="1DCD2D9D"/>
    <w:rsid w:val="1E3A3255"/>
    <w:rsid w:val="1E475451"/>
    <w:rsid w:val="1EA164C1"/>
    <w:rsid w:val="1EBF6F7E"/>
    <w:rsid w:val="1EC70D2E"/>
    <w:rsid w:val="1F3F6665"/>
    <w:rsid w:val="1F985310"/>
    <w:rsid w:val="1FD32486"/>
    <w:rsid w:val="202626EA"/>
    <w:rsid w:val="203E6238"/>
    <w:rsid w:val="20526452"/>
    <w:rsid w:val="206D3BAC"/>
    <w:rsid w:val="20BF48A6"/>
    <w:rsid w:val="20CD197C"/>
    <w:rsid w:val="21075971"/>
    <w:rsid w:val="213D0B15"/>
    <w:rsid w:val="219D43A5"/>
    <w:rsid w:val="21CD178F"/>
    <w:rsid w:val="220E4CBA"/>
    <w:rsid w:val="2290251E"/>
    <w:rsid w:val="23166EFD"/>
    <w:rsid w:val="231F6A63"/>
    <w:rsid w:val="234C7F5F"/>
    <w:rsid w:val="23692AF5"/>
    <w:rsid w:val="23882DCE"/>
    <w:rsid w:val="23A15AAF"/>
    <w:rsid w:val="23FC4495"/>
    <w:rsid w:val="243A4043"/>
    <w:rsid w:val="249270DA"/>
    <w:rsid w:val="24E4477D"/>
    <w:rsid w:val="25026CF6"/>
    <w:rsid w:val="2504296F"/>
    <w:rsid w:val="252058CA"/>
    <w:rsid w:val="25596A9C"/>
    <w:rsid w:val="2628092C"/>
    <w:rsid w:val="2678365C"/>
    <w:rsid w:val="26C15BDE"/>
    <w:rsid w:val="26D81CDA"/>
    <w:rsid w:val="26E97B6C"/>
    <w:rsid w:val="26F979EF"/>
    <w:rsid w:val="271C4678"/>
    <w:rsid w:val="276B67F5"/>
    <w:rsid w:val="27BA2D99"/>
    <w:rsid w:val="27BC0BA2"/>
    <w:rsid w:val="27C263C7"/>
    <w:rsid w:val="282F42E9"/>
    <w:rsid w:val="284730C5"/>
    <w:rsid w:val="288B208F"/>
    <w:rsid w:val="28CE2F9A"/>
    <w:rsid w:val="28E5036B"/>
    <w:rsid w:val="29E423A5"/>
    <w:rsid w:val="2A6779BA"/>
    <w:rsid w:val="2A846944"/>
    <w:rsid w:val="2ACC2104"/>
    <w:rsid w:val="2AF36A1A"/>
    <w:rsid w:val="2B631A8D"/>
    <w:rsid w:val="2B664037"/>
    <w:rsid w:val="2B6A084C"/>
    <w:rsid w:val="2B7E766B"/>
    <w:rsid w:val="2B877087"/>
    <w:rsid w:val="2BA03F31"/>
    <w:rsid w:val="2BA965E5"/>
    <w:rsid w:val="2BDC4EFC"/>
    <w:rsid w:val="2C0C531F"/>
    <w:rsid w:val="2C3B1DAF"/>
    <w:rsid w:val="2C487F67"/>
    <w:rsid w:val="2C605EBE"/>
    <w:rsid w:val="2C7B1B7F"/>
    <w:rsid w:val="2CE87EDF"/>
    <w:rsid w:val="2CF7084E"/>
    <w:rsid w:val="2D3053CF"/>
    <w:rsid w:val="2D4E5CCD"/>
    <w:rsid w:val="2D800342"/>
    <w:rsid w:val="2D9955BA"/>
    <w:rsid w:val="2DB631EB"/>
    <w:rsid w:val="2DD76C8C"/>
    <w:rsid w:val="2E033FB3"/>
    <w:rsid w:val="2E4508F4"/>
    <w:rsid w:val="2E694293"/>
    <w:rsid w:val="2E8D141B"/>
    <w:rsid w:val="2ED03866"/>
    <w:rsid w:val="2F7C56E2"/>
    <w:rsid w:val="2F9C182C"/>
    <w:rsid w:val="2FD75808"/>
    <w:rsid w:val="2FE30473"/>
    <w:rsid w:val="30135A42"/>
    <w:rsid w:val="303A4CCB"/>
    <w:rsid w:val="30707CD3"/>
    <w:rsid w:val="31006F68"/>
    <w:rsid w:val="314D596F"/>
    <w:rsid w:val="31547B99"/>
    <w:rsid w:val="319F6378"/>
    <w:rsid w:val="3217531F"/>
    <w:rsid w:val="32A3409B"/>
    <w:rsid w:val="3340175E"/>
    <w:rsid w:val="33B4736C"/>
    <w:rsid w:val="33E5316E"/>
    <w:rsid w:val="33FA1C90"/>
    <w:rsid w:val="33FB3A60"/>
    <w:rsid w:val="34D24EB4"/>
    <w:rsid w:val="35416BB3"/>
    <w:rsid w:val="35593D0E"/>
    <w:rsid w:val="3616378B"/>
    <w:rsid w:val="3648037C"/>
    <w:rsid w:val="365C6593"/>
    <w:rsid w:val="36856196"/>
    <w:rsid w:val="36866B28"/>
    <w:rsid w:val="368F6165"/>
    <w:rsid w:val="36A40645"/>
    <w:rsid w:val="37194C6F"/>
    <w:rsid w:val="376909F2"/>
    <w:rsid w:val="37FA30C8"/>
    <w:rsid w:val="381E474F"/>
    <w:rsid w:val="387F72BF"/>
    <w:rsid w:val="389078C4"/>
    <w:rsid w:val="390375CC"/>
    <w:rsid w:val="390F6E67"/>
    <w:rsid w:val="394B71A8"/>
    <w:rsid w:val="3A1F56D7"/>
    <w:rsid w:val="3A49130A"/>
    <w:rsid w:val="3A9376BA"/>
    <w:rsid w:val="3AA92982"/>
    <w:rsid w:val="3AB01CF1"/>
    <w:rsid w:val="3AEF2CFB"/>
    <w:rsid w:val="3AEF3476"/>
    <w:rsid w:val="3B355B90"/>
    <w:rsid w:val="3B4F55E0"/>
    <w:rsid w:val="3BB836B0"/>
    <w:rsid w:val="3C120C68"/>
    <w:rsid w:val="3C5511A8"/>
    <w:rsid w:val="3C733BB6"/>
    <w:rsid w:val="3D96746F"/>
    <w:rsid w:val="3E1123B5"/>
    <w:rsid w:val="3E1D416C"/>
    <w:rsid w:val="3E9C2A55"/>
    <w:rsid w:val="3F357A72"/>
    <w:rsid w:val="3F4277C0"/>
    <w:rsid w:val="3FC60E73"/>
    <w:rsid w:val="3FF42348"/>
    <w:rsid w:val="40351D1D"/>
    <w:rsid w:val="404041B3"/>
    <w:rsid w:val="409C5D60"/>
    <w:rsid w:val="40F421AA"/>
    <w:rsid w:val="41344BF5"/>
    <w:rsid w:val="414A2663"/>
    <w:rsid w:val="416C74F7"/>
    <w:rsid w:val="420F4655"/>
    <w:rsid w:val="42B856EE"/>
    <w:rsid w:val="432C7E4A"/>
    <w:rsid w:val="43310809"/>
    <w:rsid w:val="43952D8B"/>
    <w:rsid w:val="43FF3AEE"/>
    <w:rsid w:val="442F0510"/>
    <w:rsid w:val="44A22AE9"/>
    <w:rsid w:val="44C66AAC"/>
    <w:rsid w:val="44D637C6"/>
    <w:rsid w:val="450D22F8"/>
    <w:rsid w:val="45152843"/>
    <w:rsid w:val="453F31A8"/>
    <w:rsid w:val="456A6DBE"/>
    <w:rsid w:val="456B4F59"/>
    <w:rsid w:val="45BC672D"/>
    <w:rsid w:val="460A71DA"/>
    <w:rsid w:val="46976E60"/>
    <w:rsid w:val="46B9776F"/>
    <w:rsid w:val="46E74D7F"/>
    <w:rsid w:val="46F60948"/>
    <w:rsid w:val="46FC1DFB"/>
    <w:rsid w:val="470C63D7"/>
    <w:rsid w:val="478C4578"/>
    <w:rsid w:val="478D3965"/>
    <w:rsid w:val="47B50FB6"/>
    <w:rsid w:val="47CE5BF0"/>
    <w:rsid w:val="47CE7EF5"/>
    <w:rsid w:val="47EC2437"/>
    <w:rsid w:val="47ED1BAD"/>
    <w:rsid w:val="4868714A"/>
    <w:rsid w:val="48A87226"/>
    <w:rsid w:val="48D21DAE"/>
    <w:rsid w:val="48DF360B"/>
    <w:rsid w:val="48E3050F"/>
    <w:rsid w:val="493368C2"/>
    <w:rsid w:val="49F5197F"/>
    <w:rsid w:val="4A3D3375"/>
    <w:rsid w:val="4AA64585"/>
    <w:rsid w:val="4ABD14F9"/>
    <w:rsid w:val="4ACF5DF8"/>
    <w:rsid w:val="4AD35014"/>
    <w:rsid w:val="4B1F1CD3"/>
    <w:rsid w:val="4B231F73"/>
    <w:rsid w:val="4B3A597C"/>
    <w:rsid w:val="4B8B45DE"/>
    <w:rsid w:val="4BBC4B0D"/>
    <w:rsid w:val="4BEA3F6D"/>
    <w:rsid w:val="4C9C4A46"/>
    <w:rsid w:val="4CB74E9B"/>
    <w:rsid w:val="4CE625DD"/>
    <w:rsid w:val="4D1A7A6C"/>
    <w:rsid w:val="4D383D31"/>
    <w:rsid w:val="4D4A66F1"/>
    <w:rsid w:val="4D5D52CD"/>
    <w:rsid w:val="4DC33888"/>
    <w:rsid w:val="4DF011C4"/>
    <w:rsid w:val="4DFB5DBB"/>
    <w:rsid w:val="4E1D7553"/>
    <w:rsid w:val="4EA12649"/>
    <w:rsid w:val="4F160651"/>
    <w:rsid w:val="4F960325"/>
    <w:rsid w:val="4FF91246"/>
    <w:rsid w:val="503D3C93"/>
    <w:rsid w:val="504804D7"/>
    <w:rsid w:val="50500B7B"/>
    <w:rsid w:val="509B1807"/>
    <w:rsid w:val="509C36B5"/>
    <w:rsid w:val="510F0C55"/>
    <w:rsid w:val="51387F9D"/>
    <w:rsid w:val="51597DD8"/>
    <w:rsid w:val="51655D70"/>
    <w:rsid w:val="5174314E"/>
    <w:rsid w:val="519205F2"/>
    <w:rsid w:val="51C6441D"/>
    <w:rsid w:val="51EC536E"/>
    <w:rsid w:val="5256797B"/>
    <w:rsid w:val="52954BCD"/>
    <w:rsid w:val="52AC34A9"/>
    <w:rsid w:val="52FE543E"/>
    <w:rsid w:val="531375D6"/>
    <w:rsid w:val="53477F4C"/>
    <w:rsid w:val="534C3692"/>
    <w:rsid w:val="53806CC0"/>
    <w:rsid w:val="53B60EEC"/>
    <w:rsid w:val="53CD6044"/>
    <w:rsid w:val="53DE57B7"/>
    <w:rsid w:val="540105B8"/>
    <w:rsid w:val="542601DE"/>
    <w:rsid w:val="54504872"/>
    <w:rsid w:val="5453207B"/>
    <w:rsid w:val="546B51B6"/>
    <w:rsid w:val="547B654B"/>
    <w:rsid w:val="549D2635"/>
    <w:rsid w:val="54B57E16"/>
    <w:rsid w:val="55253B53"/>
    <w:rsid w:val="553C3177"/>
    <w:rsid w:val="55727212"/>
    <w:rsid w:val="55B819AB"/>
    <w:rsid w:val="55DF522E"/>
    <w:rsid w:val="567D4698"/>
    <w:rsid w:val="5685252E"/>
    <w:rsid w:val="574D2611"/>
    <w:rsid w:val="57786BBE"/>
    <w:rsid w:val="57B85A0D"/>
    <w:rsid w:val="57BF32D0"/>
    <w:rsid w:val="581C7ECB"/>
    <w:rsid w:val="585974A6"/>
    <w:rsid w:val="585F787E"/>
    <w:rsid w:val="58955298"/>
    <w:rsid w:val="58D522AB"/>
    <w:rsid w:val="591147C1"/>
    <w:rsid w:val="593212DE"/>
    <w:rsid w:val="59337FE0"/>
    <w:rsid w:val="594D131D"/>
    <w:rsid w:val="59561F54"/>
    <w:rsid w:val="59653B8C"/>
    <w:rsid w:val="59D92608"/>
    <w:rsid w:val="5A27588F"/>
    <w:rsid w:val="5A7B11A7"/>
    <w:rsid w:val="5B1B75D7"/>
    <w:rsid w:val="5B453A76"/>
    <w:rsid w:val="5B67739A"/>
    <w:rsid w:val="5BBD13C0"/>
    <w:rsid w:val="5CCD03FB"/>
    <w:rsid w:val="5CCE3FFA"/>
    <w:rsid w:val="5D33262A"/>
    <w:rsid w:val="5D427E20"/>
    <w:rsid w:val="5D846620"/>
    <w:rsid w:val="5DCB1F1F"/>
    <w:rsid w:val="5DD831C4"/>
    <w:rsid w:val="5DFB7B6E"/>
    <w:rsid w:val="5E4752DA"/>
    <w:rsid w:val="5E480549"/>
    <w:rsid w:val="5EA47EA5"/>
    <w:rsid w:val="5F0B12A2"/>
    <w:rsid w:val="5F3C5D25"/>
    <w:rsid w:val="5F663EFA"/>
    <w:rsid w:val="5FAA77CB"/>
    <w:rsid w:val="5FE628AB"/>
    <w:rsid w:val="605A35F6"/>
    <w:rsid w:val="60BB6C4F"/>
    <w:rsid w:val="60F33356"/>
    <w:rsid w:val="6107454F"/>
    <w:rsid w:val="6120692A"/>
    <w:rsid w:val="61552B2E"/>
    <w:rsid w:val="6161350D"/>
    <w:rsid w:val="61693AB6"/>
    <w:rsid w:val="61A12A71"/>
    <w:rsid w:val="61AD6069"/>
    <w:rsid w:val="61BB3B1D"/>
    <w:rsid w:val="61C372F7"/>
    <w:rsid w:val="62927472"/>
    <w:rsid w:val="62A440FC"/>
    <w:rsid w:val="62F53ED9"/>
    <w:rsid w:val="632B3750"/>
    <w:rsid w:val="6341470E"/>
    <w:rsid w:val="638407BF"/>
    <w:rsid w:val="63B24DCC"/>
    <w:rsid w:val="63B4433C"/>
    <w:rsid w:val="63EA3979"/>
    <w:rsid w:val="64196E61"/>
    <w:rsid w:val="641E0994"/>
    <w:rsid w:val="64791BC3"/>
    <w:rsid w:val="64E23FF9"/>
    <w:rsid w:val="64E816CD"/>
    <w:rsid w:val="653B3905"/>
    <w:rsid w:val="653D700A"/>
    <w:rsid w:val="65597FBE"/>
    <w:rsid w:val="65D043EB"/>
    <w:rsid w:val="65D22D5E"/>
    <w:rsid w:val="66440FD3"/>
    <w:rsid w:val="6686795B"/>
    <w:rsid w:val="66867B9F"/>
    <w:rsid w:val="668A7C39"/>
    <w:rsid w:val="668B7ABB"/>
    <w:rsid w:val="66A4704F"/>
    <w:rsid w:val="66C73117"/>
    <w:rsid w:val="675F755D"/>
    <w:rsid w:val="6782525D"/>
    <w:rsid w:val="679A08CD"/>
    <w:rsid w:val="67B31FB6"/>
    <w:rsid w:val="67B71DBC"/>
    <w:rsid w:val="67DA3155"/>
    <w:rsid w:val="67FA504F"/>
    <w:rsid w:val="68476DD9"/>
    <w:rsid w:val="68AF615A"/>
    <w:rsid w:val="68CA5357"/>
    <w:rsid w:val="68D64D2F"/>
    <w:rsid w:val="68E42CCA"/>
    <w:rsid w:val="68FC115E"/>
    <w:rsid w:val="6919549C"/>
    <w:rsid w:val="698D067A"/>
    <w:rsid w:val="69F35127"/>
    <w:rsid w:val="6A14431B"/>
    <w:rsid w:val="6A4A07F7"/>
    <w:rsid w:val="6A525D19"/>
    <w:rsid w:val="6A915B92"/>
    <w:rsid w:val="6AD9562D"/>
    <w:rsid w:val="6B0772F0"/>
    <w:rsid w:val="6B351D63"/>
    <w:rsid w:val="6B3766E1"/>
    <w:rsid w:val="6B613786"/>
    <w:rsid w:val="6B8B4EF6"/>
    <w:rsid w:val="6BBA2371"/>
    <w:rsid w:val="6BC33006"/>
    <w:rsid w:val="6BDD6F2B"/>
    <w:rsid w:val="6C66203C"/>
    <w:rsid w:val="6C8D16A0"/>
    <w:rsid w:val="6CFD49DA"/>
    <w:rsid w:val="6D241F9F"/>
    <w:rsid w:val="6D3F61BF"/>
    <w:rsid w:val="6D7F0356"/>
    <w:rsid w:val="6D8E511A"/>
    <w:rsid w:val="6DA301FC"/>
    <w:rsid w:val="6DAF1F54"/>
    <w:rsid w:val="6E0152CD"/>
    <w:rsid w:val="6E1619E2"/>
    <w:rsid w:val="6E223E85"/>
    <w:rsid w:val="6E5459C6"/>
    <w:rsid w:val="6E6B5E60"/>
    <w:rsid w:val="6EF4340E"/>
    <w:rsid w:val="6F061ABB"/>
    <w:rsid w:val="6F144CCD"/>
    <w:rsid w:val="6F2973A9"/>
    <w:rsid w:val="6F615B1F"/>
    <w:rsid w:val="6F9F4A21"/>
    <w:rsid w:val="6FA6676C"/>
    <w:rsid w:val="70014D8E"/>
    <w:rsid w:val="7071207C"/>
    <w:rsid w:val="709F30F3"/>
    <w:rsid w:val="71162CEB"/>
    <w:rsid w:val="715F4E9F"/>
    <w:rsid w:val="718C643A"/>
    <w:rsid w:val="71A624C0"/>
    <w:rsid w:val="71A9603A"/>
    <w:rsid w:val="71AF44A7"/>
    <w:rsid w:val="71FE0EA1"/>
    <w:rsid w:val="720746DA"/>
    <w:rsid w:val="729F2037"/>
    <w:rsid w:val="72C14B62"/>
    <w:rsid w:val="732E72F6"/>
    <w:rsid w:val="73FB4C6E"/>
    <w:rsid w:val="74405C0E"/>
    <w:rsid w:val="756976FE"/>
    <w:rsid w:val="765A5D39"/>
    <w:rsid w:val="76800652"/>
    <w:rsid w:val="77123F72"/>
    <w:rsid w:val="77226EE4"/>
    <w:rsid w:val="784D0A85"/>
    <w:rsid w:val="78B452D3"/>
    <w:rsid w:val="79351216"/>
    <w:rsid w:val="793A3A94"/>
    <w:rsid w:val="7963077D"/>
    <w:rsid w:val="79A94B9A"/>
    <w:rsid w:val="79D11676"/>
    <w:rsid w:val="7A6F67E6"/>
    <w:rsid w:val="7A842BF5"/>
    <w:rsid w:val="7AEE0EAA"/>
    <w:rsid w:val="7B17333E"/>
    <w:rsid w:val="7B424D60"/>
    <w:rsid w:val="7B4C61FB"/>
    <w:rsid w:val="7B711180"/>
    <w:rsid w:val="7C1A7B38"/>
    <w:rsid w:val="7C395C91"/>
    <w:rsid w:val="7C811FE2"/>
    <w:rsid w:val="7C88580B"/>
    <w:rsid w:val="7CA73BBE"/>
    <w:rsid w:val="7CB421A1"/>
    <w:rsid w:val="7E2D47C0"/>
    <w:rsid w:val="7E443D4F"/>
    <w:rsid w:val="7E896DC9"/>
    <w:rsid w:val="7F502884"/>
    <w:rsid w:val="7F842D6D"/>
    <w:rsid w:val="7F98414A"/>
    <w:rsid w:val="7FD55402"/>
    <w:rsid w:val="7FFB4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style>
  <w:style w:type="paragraph" w:styleId="3">
    <w:name w:val="Body Text"/>
    <w:basedOn w:val="1"/>
    <w:qFormat/>
    <w:uiPriority w:val="0"/>
    <w:rPr>
      <w:rFonts w:ascii="宋体" w:hAnsi="宋体"/>
      <w:sz w:val="28"/>
    </w:rPr>
  </w:style>
  <w:style w:type="paragraph" w:styleId="4">
    <w:name w:val="Normal Indent"/>
    <w:basedOn w:val="1"/>
    <w:qFormat/>
    <w:uiPriority w:val="0"/>
    <w:pPr>
      <w:spacing w:line="520" w:lineRule="atLeast"/>
      <w:ind w:firstLine="200" w:firstLineChars="200"/>
    </w:pPr>
    <w:rPr>
      <w:sz w:val="28"/>
      <w:szCs w:val="21"/>
    </w:rPr>
  </w:style>
  <w:style w:type="paragraph" w:styleId="5">
    <w:name w:val="annotation text"/>
    <w:basedOn w:val="1"/>
    <w:qFormat/>
    <w:uiPriority w:val="0"/>
    <w:pPr>
      <w:jc w:val="left"/>
    </w:pPr>
  </w:style>
  <w:style w:type="paragraph" w:styleId="6">
    <w:name w:val="Body Text Indent"/>
    <w:basedOn w:val="1"/>
    <w:qFormat/>
    <w:uiPriority w:val="0"/>
    <w:pPr>
      <w:spacing w:line="480" w:lineRule="exact"/>
      <w:ind w:firstLine="810" w:firstLineChars="297"/>
    </w:pPr>
    <w:rPr>
      <w:rFonts w:eastAsia="黑体"/>
      <w:sz w:val="28"/>
    </w:rPr>
  </w:style>
  <w:style w:type="paragraph" w:styleId="7">
    <w:name w:val="Plain Text"/>
    <w:basedOn w:val="1"/>
    <w:qFormat/>
    <w:uiPriority w:val="0"/>
    <w:rPr>
      <w:rFonts w:ascii="宋体" w:hAnsi="Courier New"/>
      <w:szCs w:val="20"/>
    </w:rPr>
  </w:style>
  <w:style w:type="paragraph" w:styleId="8">
    <w:name w:val="Body Text Indent 2"/>
    <w:basedOn w:val="1"/>
    <w:qFormat/>
    <w:uiPriority w:val="0"/>
    <w:pPr>
      <w:spacing w:line="480" w:lineRule="exact"/>
      <w:ind w:firstLine="545" w:firstLineChars="200"/>
    </w:pPr>
    <w:rPr>
      <w:rFonts w:ascii="宋体" w:hAnsi="宋体"/>
      <w:sz w:val="2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unhideWhenUsed/>
    <w:qFormat/>
    <w:uiPriority w:val="99"/>
    <w:pPr>
      <w:widowControl/>
      <w:jc w:val="left"/>
    </w:pPr>
    <w:rPr>
      <w:rFonts w:ascii="宋体" w:hAnsi="宋体" w:cs="宋体"/>
      <w:color w:val="000000"/>
      <w:kern w:val="0"/>
      <w:sz w:val="20"/>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annotation reference"/>
    <w:basedOn w:val="14"/>
    <w:qFormat/>
    <w:uiPriority w:val="0"/>
    <w:rPr>
      <w:sz w:val="21"/>
      <w:szCs w:val="21"/>
    </w:rPr>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
    <w:name w:val="表格"/>
    <w:basedOn w:val="4"/>
    <w:next w:val="4"/>
    <w:qFormat/>
    <w:uiPriority w:val="0"/>
    <w:pPr>
      <w:keepNext/>
      <w:adjustRightInd w:val="0"/>
      <w:spacing w:line="312" w:lineRule="atLeast"/>
      <w:jc w:val="center"/>
      <w:textAlignment w:val="baseline"/>
    </w:pPr>
    <w:rPr>
      <w:kern w:val="0"/>
    </w:rPr>
  </w:style>
  <w:style w:type="paragraph" w:customStyle="1" w:styleId="18">
    <w:name w:val="表内字"/>
    <w:qFormat/>
    <w:uiPriority w:val="0"/>
    <w:pPr>
      <w:spacing w:line="320" w:lineRule="exact"/>
      <w:jc w:val="center"/>
    </w:pPr>
    <w:rPr>
      <w:rFonts w:ascii="Times New Roman" w:hAnsi="Times New Roman" w:eastAsia="宋体" w:cs="Times New Roman"/>
      <w:bCs/>
      <w:kern w:val="2"/>
      <w:sz w:val="21"/>
      <w:szCs w:val="21"/>
      <w:lang w:val="en-US" w:eastAsia="zh-CN" w:bidi="ar-SA"/>
    </w:rPr>
  </w:style>
  <w:style w:type="paragraph" w:customStyle="1" w:styleId="19">
    <w:name w:val="正文文本5"/>
    <w:basedOn w:val="1"/>
    <w:link w:val="21"/>
    <w:qFormat/>
    <w:uiPriority w:val="0"/>
    <w:pPr>
      <w:shd w:val="clear" w:color="auto" w:fill="FFFFFF"/>
      <w:spacing w:after="960" w:line="0" w:lineRule="atLeast"/>
      <w:jc w:val="center"/>
    </w:pPr>
    <w:rPr>
      <w:rFonts w:ascii="MingLiU" w:hAnsi="MingLiU" w:eastAsia="MingLiU" w:cs="MingLiU"/>
      <w:kern w:val="0"/>
      <w:sz w:val="19"/>
      <w:szCs w:val="19"/>
    </w:rPr>
  </w:style>
  <w:style w:type="character" w:customStyle="1" w:styleId="20">
    <w:name w:val="正文文本2"/>
    <w:basedOn w:val="21"/>
    <w:qFormat/>
    <w:uiPriority w:val="0"/>
    <w:rPr>
      <w:rFonts w:ascii="MingLiU" w:hAnsi="MingLiU" w:eastAsia="MingLiU" w:cs="MingLiU"/>
      <w:color w:val="000000"/>
      <w:spacing w:val="0"/>
      <w:w w:val="100"/>
      <w:position w:val="0"/>
      <w:sz w:val="19"/>
      <w:szCs w:val="19"/>
      <w:shd w:val="clear" w:color="auto" w:fill="FFFFFF"/>
      <w:lang w:val="zh-TW"/>
    </w:rPr>
  </w:style>
  <w:style w:type="character" w:customStyle="1" w:styleId="21">
    <w:name w:val="Body text_"/>
    <w:basedOn w:val="14"/>
    <w:link w:val="19"/>
    <w:qFormat/>
    <w:uiPriority w:val="0"/>
    <w:rPr>
      <w:rFonts w:ascii="MingLiU" w:hAnsi="MingLiU" w:eastAsia="MingLiU" w:cs="MingLiU"/>
      <w:kern w:val="0"/>
      <w:sz w:val="19"/>
      <w:szCs w:val="19"/>
    </w:rPr>
  </w:style>
  <w:style w:type="character" w:customStyle="1" w:styleId="22">
    <w:name w:val="Body text + Arial Unicode MS"/>
    <w:basedOn w:val="21"/>
    <w:qFormat/>
    <w:uiPriority w:val="0"/>
    <w:rPr>
      <w:rFonts w:ascii="Arial Unicode MS" w:hAnsi="Arial Unicode MS" w:eastAsia="Arial Unicode MS" w:cs="Arial Unicode MS"/>
      <w:color w:val="000000"/>
      <w:spacing w:val="0"/>
      <w:w w:val="100"/>
      <w:position w:val="0"/>
      <w:sz w:val="19"/>
      <w:szCs w:val="19"/>
      <w:shd w:val="clear" w:color="auto" w:fill="FFFFFF"/>
      <w:lang w:val="en-US"/>
    </w:rPr>
  </w:style>
  <w:style w:type="paragraph" w:styleId="23">
    <w:name w:val="List Paragraph"/>
    <w:basedOn w:val="1"/>
    <w:qFormat/>
    <w:uiPriority w:val="0"/>
    <w:pPr>
      <w:ind w:firstLine="420" w:firstLineChars="200"/>
    </w:pPr>
    <w:rPr>
      <w:rFonts w:ascii="Calibri" w:hAnsi="Calibri"/>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image" Target="media/image4.w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30"/>
    <customShpInfo spid="_x0000_s1033"/>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jia</dc:creator>
  <cp:lastModifiedBy>小兵</cp:lastModifiedBy>
  <cp:lastPrinted>2020-04-16T03:44:00Z</cp:lastPrinted>
  <dcterms:modified xsi:type="dcterms:W3CDTF">2020-04-17T03:52:29Z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