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720"/>
        <w:rPr>
          <w:rFonts w:hint="eastAsia" w:ascii="仿宋_GB2312" w:hAnsi="仿宋_GB2312" w:eastAsia="仿宋_GB2312" w:cs="仿宋_GB2312"/>
          <w:sz w:val="36"/>
          <w:szCs w:val="36"/>
          <w:lang w:val="en-US" w:eastAsia="zh-CN"/>
        </w:rPr>
      </w:pPr>
    </w:p>
    <w:p>
      <w:pPr>
        <w:ind w:firstLine="720"/>
        <w:rPr>
          <w:rFonts w:ascii="仿宋_GB2312" w:hAnsi="仿宋_GB2312" w:eastAsia="仿宋_GB2312" w:cs="仿宋_GB2312"/>
          <w:sz w:val="36"/>
          <w:szCs w:val="36"/>
        </w:rPr>
      </w:pPr>
    </w:p>
    <w:p>
      <w:pPr>
        <w:adjustRightInd w:val="0"/>
        <w:snapToGrid w:val="0"/>
        <w:ind w:firstLine="0" w:firstLineChars="0"/>
        <w:jc w:val="center"/>
        <w:outlineLvl w:val="0"/>
        <w:rPr>
          <w:rFonts w:hint="eastAsia" w:ascii="方正小标宋_GBK" w:eastAsia="方正小标宋_GBK"/>
          <w:bCs/>
          <w:sz w:val="72"/>
          <w:szCs w:val="72"/>
        </w:rPr>
      </w:pPr>
      <w:r>
        <w:rPr>
          <w:rFonts w:hint="eastAsia" w:ascii="方正小标宋_GBK" w:eastAsia="方正小标宋_GBK"/>
          <w:bCs/>
          <w:sz w:val="72"/>
          <w:szCs w:val="72"/>
        </w:rPr>
        <w:t>建设项目环境影响报告表</w:t>
      </w:r>
    </w:p>
    <w:p>
      <w:pPr>
        <w:adjustRightInd w:val="0"/>
        <w:snapToGrid w:val="0"/>
        <w:spacing w:before="192" w:beforeLines="80"/>
        <w:ind w:firstLine="0" w:firstLineChars="0"/>
        <w:jc w:val="center"/>
        <w:rPr>
          <w:rFonts w:hint="eastAsia" w:ascii="楷体_GB2312" w:eastAsia="楷体_GB2312"/>
          <w:bCs/>
          <w:sz w:val="48"/>
          <w:szCs w:val="48"/>
        </w:rPr>
      </w:pPr>
      <w:r>
        <w:rPr>
          <w:rFonts w:hint="eastAsia" w:ascii="楷体_GB2312" w:eastAsia="楷体_GB2312"/>
          <w:bCs/>
          <w:sz w:val="48"/>
          <w:szCs w:val="48"/>
        </w:rPr>
        <w:t>（污染影响类）</w:t>
      </w:r>
    </w:p>
    <w:p>
      <w:pPr>
        <w:adjustRightInd w:val="0"/>
        <w:snapToGrid w:val="0"/>
        <w:spacing w:line="288" w:lineRule="auto"/>
        <w:ind w:firstLine="0" w:firstLineChars="0"/>
        <w:jc w:val="center"/>
        <w:outlineLvl w:val="0"/>
        <w:rPr>
          <w:rFonts w:ascii="华文仿宋" w:hAnsi="华文仿宋" w:eastAsia="华文仿宋" w:cs="华文仿宋"/>
          <w:color w:val="000000"/>
          <w:kern w:val="44"/>
          <w:sz w:val="44"/>
          <w:szCs w:val="44"/>
        </w:rPr>
      </w:pPr>
    </w:p>
    <w:p>
      <w:pPr>
        <w:ind w:firstLine="0" w:firstLineChars="0"/>
        <w:jc w:val="center"/>
        <w:rPr>
          <w:rFonts w:eastAsia="仿宋"/>
          <w:sz w:val="52"/>
          <w:szCs w:val="52"/>
        </w:rPr>
      </w:pPr>
    </w:p>
    <w:p>
      <w:pPr>
        <w:spacing w:line="240" w:lineRule="auto"/>
        <w:ind w:firstLine="880"/>
        <w:rPr>
          <w:rFonts w:eastAsia="仿宋"/>
          <w:sz w:val="44"/>
          <w:szCs w:val="44"/>
        </w:rPr>
      </w:pPr>
    </w:p>
    <w:p>
      <w:pPr>
        <w:ind w:firstLine="880"/>
        <w:rPr>
          <w:rFonts w:eastAsia="仿宋"/>
          <w:sz w:val="44"/>
          <w:szCs w:val="44"/>
        </w:rPr>
      </w:pPr>
    </w:p>
    <w:p>
      <w:pPr>
        <w:adjustRightInd w:val="0"/>
        <w:snapToGrid w:val="0"/>
        <w:ind w:left="4320" w:leftChars="300" w:hanging="3600" w:hangingChars="1000"/>
        <w:rPr>
          <w:rFonts w:hint="eastAsia" w:ascii="仿宋_GB2312" w:eastAsia="仿宋_GB2312"/>
          <w:sz w:val="32"/>
          <w:szCs w:val="32"/>
          <w:u w:val="single"/>
        </w:rPr>
      </w:pPr>
      <w:r>
        <w:rPr>
          <w:rFonts w:hint="eastAsia" w:ascii="仿宋_GB2312" w:eastAsia="仿宋_GB2312"/>
          <w:sz w:val="36"/>
          <w:szCs w:val="36"/>
        </w:rPr>
        <w:t>项目名称：</w:t>
      </w:r>
      <w:r>
        <w:rPr>
          <w:rFonts w:hint="eastAsia" w:ascii="仿宋_GB2312" w:eastAsia="仿宋_GB2312"/>
          <w:sz w:val="36"/>
          <w:szCs w:val="36"/>
          <w:u w:val="single"/>
          <w:lang w:val="en-US" w:eastAsia="zh-CN"/>
        </w:rPr>
        <w:t xml:space="preserve">       </w:t>
      </w:r>
      <w:r>
        <w:rPr>
          <w:rFonts w:hint="eastAsia" w:ascii="仿宋_GB2312" w:eastAsia="仿宋_GB2312"/>
          <w:sz w:val="32"/>
          <w:szCs w:val="32"/>
          <w:u w:val="single"/>
          <w:lang w:eastAsia="zh-CN"/>
        </w:rPr>
        <w:t>废旧铅蓄电池收集与贮存项目</w:t>
      </w:r>
      <w:r>
        <w:rPr>
          <w:rFonts w:hint="eastAsia" w:ascii="仿宋_GB2312" w:eastAsia="仿宋_GB2312"/>
          <w:sz w:val="32"/>
          <w:szCs w:val="32"/>
          <w:u w:val="single"/>
        </w:rPr>
        <w:t xml:space="preserve">  </w:t>
      </w:r>
      <w:r>
        <w:rPr>
          <w:rFonts w:hint="eastAsia" w:ascii="仿宋_GB2312" w:eastAsia="仿宋_GB2312"/>
          <w:sz w:val="32"/>
          <w:szCs w:val="32"/>
          <w:u w:val="single"/>
          <w:lang w:val="en-US" w:eastAsia="zh-CN"/>
        </w:rPr>
        <w:t xml:space="preserve">    </w:t>
      </w:r>
      <w:r>
        <w:rPr>
          <w:rFonts w:hint="eastAsia" w:ascii="仿宋_GB2312" w:eastAsia="仿宋_GB2312"/>
          <w:sz w:val="32"/>
          <w:szCs w:val="32"/>
          <w:u w:val="single"/>
        </w:rPr>
        <w:t xml:space="preserve"> </w:t>
      </w:r>
    </w:p>
    <w:p>
      <w:pPr>
        <w:adjustRightInd w:val="0"/>
        <w:snapToGrid w:val="0"/>
        <w:ind w:left="720" w:leftChars="300" w:right="204" w:rightChars="85" w:firstLine="0" w:firstLineChars="0"/>
        <w:rPr>
          <w:rFonts w:ascii="仿宋_GB2312" w:eastAsia="仿宋_GB2312"/>
          <w:sz w:val="36"/>
          <w:szCs w:val="36"/>
          <w:u w:val="single"/>
        </w:rPr>
      </w:pPr>
      <w:r>
        <w:rPr>
          <w:rFonts w:hint="eastAsia" w:ascii="仿宋_GB2312" w:eastAsia="仿宋_GB2312"/>
          <w:sz w:val="36"/>
          <w:szCs w:val="36"/>
        </w:rPr>
        <w:t>建设单位（盖章）：</w:t>
      </w:r>
      <w:r>
        <w:rPr>
          <w:rFonts w:hint="eastAsia" w:ascii="仿宋_GB2312" w:eastAsia="仿宋_GB2312"/>
          <w:sz w:val="32"/>
          <w:szCs w:val="32"/>
          <w:u w:val="single"/>
        </w:rPr>
        <w:t xml:space="preserve"> </w:t>
      </w:r>
      <w:r>
        <w:rPr>
          <w:rFonts w:hint="eastAsia" w:ascii="仿宋_GB2312" w:eastAsia="仿宋_GB2312"/>
          <w:sz w:val="32"/>
          <w:szCs w:val="32"/>
          <w:u w:val="single"/>
          <w:lang w:eastAsia="zh-CN"/>
        </w:rPr>
        <w:t>济源市源清环保科技有限公司</w:t>
      </w:r>
      <w:r>
        <w:rPr>
          <w:rFonts w:hint="eastAsia" w:ascii="仿宋_GB2312" w:eastAsia="仿宋_GB2312"/>
          <w:sz w:val="32"/>
          <w:szCs w:val="32"/>
          <w:u w:val="single"/>
        </w:rPr>
        <w:t xml:space="preserve">   </w:t>
      </w:r>
    </w:p>
    <w:p>
      <w:pPr>
        <w:adjustRightInd w:val="0"/>
        <w:snapToGrid w:val="0"/>
        <w:ind w:right="204" w:rightChars="85" w:firstLine="720"/>
        <w:rPr>
          <w:rFonts w:hint="eastAsia" w:ascii="仿宋_GB2312" w:eastAsia="仿宋_GB2312"/>
          <w:sz w:val="36"/>
          <w:szCs w:val="36"/>
          <w:u w:val="single"/>
        </w:rPr>
      </w:pPr>
      <w:r>
        <w:rPr>
          <w:rFonts w:hint="eastAsia" w:ascii="仿宋_GB2312" w:eastAsia="仿宋_GB2312"/>
          <w:sz w:val="36"/>
          <w:szCs w:val="36"/>
        </w:rPr>
        <w:t>编制日期：</w:t>
      </w:r>
      <w:r>
        <w:rPr>
          <w:rFonts w:hint="eastAsia" w:ascii="仿宋_GB2312" w:eastAsia="仿宋_GB2312"/>
          <w:sz w:val="36"/>
          <w:szCs w:val="36"/>
          <w:u w:val="single"/>
        </w:rPr>
        <w:t xml:space="preserve">       </w:t>
      </w:r>
      <w:r>
        <w:rPr>
          <w:rFonts w:ascii="仿宋_GB2312" w:eastAsia="仿宋_GB2312"/>
          <w:sz w:val="36"/>
          <w:szCs w:val="36"/>
          <w:u w:val="single"/>
        </w:rPr>
        <w:t xml:space="preserve">   </w:t>
      </w:r>
      <w:r>
        <w:rPr>
          <w:rFonts w:hint="eastAsia" w:ascii="仿宋_GB2312" w:eastAsia="仿宋_GB2312"/>
          <w:sz w:val="32"/>
          <w:szCs w:val="32"/>
          <w:u w:val="single"/>
        </w:rPr>
        <w:t>202</w:t>
      </w:r>
      <w:r>
        <w:rPr>
          <w:rFonts w:hint="eastAsia" w:ascii="仿宋_GB2312" w:eastAsia="仿宋_GB2312"/>
          <w:sz w:val="32"/>
          <w:szCs w:val="32"/>
          <w:u w:val="single"/>
          <w:lang w:val="en-US" w:eastAsia="zh-CN"/>
        </w:rPr>
        <w:t>2</w:t>
      </w:r>
      <w:r>
        <w:rPr>
          <w:rFonts w:hint="eastAsia" w:ascii="仿宋_GB2312" w:eastAsia="仿宋_GB2312"/>
          <w:sz w:val="32"/>
          <w:szCs w:val="32"/>
          <w:u w:val="single"/>
        </w:rPr>
        <w:t>年</w:t>
      </w:r>
      <w:r>
        <w:rPr>
          <w:rFonts w:hint="eastAsia" w:ascii="仿宋_GB2312" w:eastAsia="仿宋_GB2312"/>
          <w:sz w:val="32"/>
          <w:szCs w:val="32"/>
          <w:u w:val="single"/>
          <w:lang w:val="en-US" w:eastAsia="zh-CN"/>
        </w:rPr>
        <w:t>1</w:t>
      </w:r>
      <w:r>
        <w:rPr>
          <w:rFonts w:hint="eastAsia" w:ascii="仿宋_GB2312" w:eastAsia="仿宋_GB2312"/>
          <w:sz w:val="32"/>
          <w:szCs w:val="32"/>
          <w:u w:val="single"/>
        </w:rPr>
        <w:t>月</w:t>
      </w:r>
      <w:r>
        <w:rPr>
          <w:rFonts w:hint="eastAsia" w:ascii="仿宋_GB2312" w:eastAsia="仿宋_GB2312"/>
          <w:sz w:val="36"/>
          <w:szCs w:val="36"/>
          <w:u w:val="single"/>
        </w:rPr>
        <w:t xml:space="preserve">             </w:t>
      </w:r>
    </w:p>
    <w:p>
      <w:pPr>
        <w:adjustRightInd w:val="0"/>
        <w:snapToGrid w:val="0"/>
        <w:spacing w:line="288" w:lineRule="auto"/>
        <w:ind w:firstLine="720"/>
        <w:rPr>
          <w:rFonts w:ascii="仿宋_GB2312" w:eastAsia="仿宋_GB2312"/>
          <w:sz w:val="36"/>
          <w:szCs w:val="36"/>
        </w:rPr>
      </w:pPr>
      <w:bookmarkStart w:id="0" w:name="_Hlk57884087"/>
    </w:p>
    <w:p>
      <w:pPr>
        <w:adjustRightInd w:val="0"/>
        <w:snapToGrid w:val="0"/>
        <w:spacing w:line="288" w:lineRule="auto"/>
        <w:ind w:firstLine="720"/>
        <w:rPr>
          <w:rFonts w:hint="eastAsia" w:ascii="仿宋_GB2312" w:eastAsia="仿宋_GB2312"/>
          <w:sz w:val="36"/>
          <w:szCs w:val="36"/>
        </w:rPr>
      </w:pPr>
    </w:p>
    <w:p>
      <w:pPr>
        <w:rPr>
          <w:rFonts w:hint="eastAsia" w:ascii="仿宋_GB2312" w:eastAsia="仿宋_GB2312"/>
          <w:sz w:val="36"/>
          <w:szCs w:val="36"/>
        </w:rPr>
      </w:pPr>
    </w:p>
    <w:p>
      <w:pPr>
        <w:pStyle w:val="3"/>
        <w:rPr>
          <w:rFonts w:hint="eastAsia"/>
        </w:rPr>
      </w:pPr>
    </w:p>
    <w:bookmarkEnd w:id="0"/>
    <w:p>
      <w:pPr>
        <w:adjustRightInd w:val="0"/>
        <w:snapToGrid w:val="0"/>
        <w:spacing w:line="288" w:lineRule="auto"/>
        <w:ind w:firstLine="0" w:firstLineChars="0"/>
        <w:jc w:val="center"/>
        <w:rPr>
          <w:rFonts w:hint="eastAsia" w:ascii="楷体_GB2312" w:eastAsia="楷体_GB2312"/>
          <w:sz w:val="36"/>
          <w:szCs w:val="36"/>
        </w:rPr>
      </w:pPr>
      <w:r>
        <w:rPr>
          <w:rFonts w:hint="eastAsia" w:ascii="楷体_GB2312" w:eastAsia="楷体_GB2312"/>
          <w:sz w:val="36"/>
          <w:szCs w:val="36"/>
        </w:rPr>
        <w:t>中华人民共和国生态环境部制</w:t>
      </w:r>
    </w:p>
    <w:p>
      <w:pPr>
        <w:adjustRightInd w:val="0"/>
        <w:snapToGrid w:val="0"/>
        <w:spacing w:line="288" w:lineRule="auto"/>
        <w:ind w:firstLine="720"/>
        <w:rPr>
          <w:rFonts w:ascii="仿宋_GB2312" w:eastAsia="仿宋_GB2312"/>
          <w:sz w:val="36"/>
          <w:szCs w:val="36"/>
          <w:highlight w:val="yellow"/>
        </w:rPr>
        <w:sectPr>
          <w:headerReference r:id="rId7" w:type="first"/>
          <w:footerReference r:id="rId10" w:type="first"/>
          <w:headerReference r:id="rId5" w:type="default"/>
          <w:footerReference r:id="rId8" w:type="default"/>
          <w:headerReference r:id="rId6" w:type="even"/>
          <w:footerReference r:id="rId9" w:type="even"/>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p>
    <w:p>
      <w:pPr>
        <w:pStyle w:val="12"/>
        <w:ind w:firstLine="0" w:firstLineChars="0"/>
        <w:jc w:val="center"/>
        <w:outlineLvl w:val="0"/>
        <w:rPr>
          <w:rFonts w:hint="eastAsia" w:ascii="黑体" w:hAnsi="黑体" w:eastAsia="黑体"/>
          <w:snapToGrid w:val="0"/>
          <w:sz w:val="30"/>
          <w:szCs w:val="30"/>
        </w:rPr>
      </w:pPr>
      <w:r>
        <w:rPr>
          <w:rFonts w:hint="eastAsia" w:ascii="黑体" w:hAnsi="黑体" w:eastAsia="黑体"/>
          <w:snapToGrid w:val="0"/>
          <w:sz w:val="30"/>
          <w:szCs w:val="30"/>
        </w:rPr>
        <w:t>一、建设项目基本情况</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1200"/>
        <w:gridCol w:w="2819"/>
        <w:gridCol w:w="1381"/>
        <w:gridCol w:w="347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建设项目名称</w:t>
            </w:r>
          </w:p>
        </w:tc>
        <w:tc>
          <w:tcPr>
            <w:tcW w:w="7670" w:type="dxa"/>
            <w:gridSpan w:val="3"/>
            <w:noWrap w:val="0"/>
            <w:vAlign w:val="center"/>
          </w:tcPr>
          <w:p>
            <w:pPr>
              <w:adjustRightInd w:val="0"/>
              <w:snapToGrid w:val="0"/>
              <w:spacing w:line="280" w:lineRule="exact"/>
              <w:ind w:firstLine="0" w:firstLineChars="0"/>
              <w:jc w:val="center"/>
            </w:pPr>
            <w:r>
              <w:rPr>
                <w:rFonts w:hint="eastAsia"/>
                <w:lang w:eastAsia="zh-CN"/>
              </w:rPr>
              <w:t>废铅蓄电池收集与贮存项目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项目代码</w:t>
            </w:r>
          </w:p>
        </w:tc>
        <w:tc>
          <w:tcPr>
            <w:tcW w:w="7670" w:type="dxa"/>
            <w:gridSpan w:val="3"/>
            <w:noWrap w:val="0"/>
            <w:vAlign w:val="center"/>
          </w:tcPr>
          <w:p>
            <w:pPr>
              <w:adjustRightInd w:val="0"/>
              <w:snapToGrid w:val="0"/>
              <w:spacing w:line="280" w:lineRule="exact"/>
              <w:ind w:firstLine="0" w:firstLineChars="0"/>
              <w:jc w:val="center"/>
              <w:rPr>
                <w:rFonts w:hint="default" w:eastAsia="宋体"/>
                <w:lang w:val="en-US" w:eastAsia="zh-CN"/>
              </w:rPr>
            </w:pPr>
            <w:r>
              <w:rPr>
                <w:rFonts w:hint="eastAsia"/>
                <w:lang w:val="en-US" w:eastAsia="zh-CN"/>
              </w:rPr>
              <w:t>2201</w:t>
            </w:r>
            <w:r>
              <w:t>-41</w:t>
            </w:r>
            <w:r>
              <w:rPr>
                <w:rFonts w:hint="eastAsia"/>
              </w:rPr>
              <w:t>9001</w:t>
            </w:r>
            <w:r>
              <w:t>-</w:t>
            </w:r>
            <w:r>
              <w:rPr>
                <w:rFonts w:hint="eastAsia"/>
                <w:lang w:val="en-US" w:eastAsia="zh-CN"/>
              </w:rPr>
              <w:t>04</w:t>
            </w:r>
            <w:r>
              <w:t>-</w:t>
            </w:r>
            <w:r>
              <w:rPr>
                <w:rFonts w:hint="eastAsia"/>
                <w:lang w:val="en-US" w:eastAsia="zh-CN"/>
              </w:rPr>
              <w:t>01</w:t>
            </w:r>
            <w:r>
              <w:t>-</w:t>
            </w:r>
            <w:r>
              <w:rPr>
                <w:rFonts w:hint="eastAsia"/>
                <w:lang w:val="en-US" w:eastAsia="zh-CN"/>
              </w:rPr>
              <w:t>479329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建设单位</w:t>
            </w:r>
          </w:p>
          <w:p>
            <w:pPr>
              <w:adjustRightInd w:val="0"/>
              <w:snapToGrid w:val="0"/>
              <w:spacing w:line="280" w:lineRule="exact"/>
              <w:ind w:firstLine="0" w:firstLineChars="0"/>
              <w:jc w:val="center"/>
            </w:pPr>
            <w:r>
              <w:t>联系人</w:t>
            </w:r>
          </w:p>
        </w:tc>
        <w:tc>
          <w:tcPr>
            <w:tcW w:w="2819" w:type="dxa"/>
            <w:noWrap w:val="0"/>
            <w:vAlign w:val="center"/>
          </w:tcPr>
          <w:p>
            <w:pPr>
              <w:adjustRightInd w:val="0"/>
              <w:snapToGrid w:val="0"/>
              <w:spacing w:line="280" w:lineRule="exact"/>
              <w:ind w:firstLine="0" w:firstLineChars="0"/>
              <w:jc w:val="center"/>
              <w:rPr>
                <w:rFonts w:hint="eastAsia" w:eastAsia="宋体"/>
                <w:lang w:eastAsia="zh-CN"/>
              </w:rPr>
            </w:pPr>
            <w:r>
              <w:rPr>
                <w:rFonts w:hint="eastAsia"/>
                <w:lang w:eastAsia="zh-CN"/>
              </w:rPr>
              <w:t>杨建军</w:t>
            </w:r>
          </w:p>
        </w:tc>
        <w:tc>
          <w:tcPr>
            <w:tcW w:w="1381" w:type="dxa"/>
            <w:noWrap w:val="0"/>
            <w:vAlign w:val="center"/>
          </w:tcPr>
          <w:p>
            <w:pPr>
              <w:adjustRightInd w:val="0"/>
              <w:snapToGrid w:val="0"/>
              <w:spacing w:line="280" w:lineRule="exact"/>
              <w:ind w:firstLine="0" w:firstLineChars="0"/>
              <w:jc w:val="center"/>
            </w:pPr>
            <w:r>
              <w:t>联系方式</w:t>
            </w:r>
          </w:p>
        </w:tc>
        <w:tc>
          <w:tcPr>
            <w:tcW w:w="3470" w:type="dxa"/>
            <w:noWrap w:val="0"/>
            <w:vAlign w:val="center"/>
          </w:tcPr>
          <w:p>
            <w:pPr>
              <w:adjustRightInd w:val="0"/>
              <w:snapToGrid w:val="0"/>
              <w:spacing w:line="280" w:lineRule="exact"/>
              <w:ind w:firstLine="0" w:firstLineChars="0"/>
              <w:jc w:val="center"/>
              <w:rPr>
                <w:rFonts w:hint="default" w:eastAsia="宋体"/>
                <w:lang w:val="en-US" w:eastAsia="zh-CN"/>
              </w:rPr>
            </w:pPr>
            <w:r>
              <w:rPr>
                <w:rFonts w:hint="eastAsia"/>
                <w:lang w:val="en-US" w:eastAsia="zh-CN"/>
              </w:rPr>
              <w:t>18803905616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建设地点</w:t>
            </w:r>
          </w:p>
        </w:tc>
        <w:tc>
          <w:tcPr>
            <w:tcW w:w="7670" w:type="dxa"/>
            <w:gridSpan w:val="3"/>
            <w:noWrap w:val="0"/>
            <w:vAlign w:val="center"/>
          </w:tcPr>
          <w:p>
            <w:pPr>
              <w:adjustRightInd w:val="0"/>
              <w:snapToGrid w:val="0"/>
              <w:spacing w:line="280" w:lineRule="exact"/>
              <w:ind w:firstLine="0" w:firstLineChars="0"/>
              <w:jc w:val="center"/>
              <w:rPr>
                <w:rFonts w:hint="default" w:eastAsia="宋体"/>
                <w:lang w:val="en-US" w:eastAsia="zh-CN"/>
              </w:rPr>
            </w:pPr>
            <w:r>
              <w:rPr>
                <w:rFonts w:hint="eastAsia"/>
                <w:bCs/>
              </w:rPr>
              <w:t>济源</w:t>
            </w:r>
            <w:r>
              <w:rPr>
                <w:bCs/>
              </w:rPr>
              <w:t>市</w:t>
            </w:r>
            <w:r>
              <w:rPr>
                <w:rFonts w:hint="eastAsia"/>
                <w:bCs/>
                <w:lang w:eastAsia="zh-CN"/>
              </w:rPr>
              <w:t>玉川贵金属产业园</w:t>
            </w:r>
            <w:r>
              <w:rPr>
                <w:rFonts w:hint="eastAsia"/>
                <w:bCs/>
                <w:lang w:val="en-US" w:eastAsia="zh-CN"/>
              </w:rPr>
              <w:t>1号厂房内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地理坐标</w:t>
            </w:r>
          </w:p>
        </w:tc>
        <w:tc>
          <w:tcPr>
            <w:tcW w:w="7670" w:type="dxa"/>
            <w:gridSpan w:val="3"/>
            <w:noWrap w:val="0"/>
            <w:vAlign w:val="center"/>
          </w:tcPr>
          <w:p>
            <w:pPr>
              <w:spacing w:line="280" w:lineRule="exact"/>
              <w:ind w:firstLine="0" w:firstLineChars="0"/>
              <w:jc w:val="center"/>
            </w:pPr>
            <w:r>
              <w:t>（</w:t>
            </w:r>
            <w:r>
              <w:rPr>
                <w:u w:val="single"/>
              </w:rPr>
              <w:t>11</w:t>
            </w:r>
            <w:r>
              <w:rPr>
                <w:rFonts w:hint="eastAsia"/>
                <w:u w:val="single"/>
              </w:rPr>
              <w:t>2</w:t>
            </w:r>
            <w:r>
              <w:t>度</w:t>
            </w:r>
            <w:r>
              <w:rPr>
                <w:u w:val="single"/>
              </w:rPr>
              <w:t xml:space="preserve"> </w:t>
            </w:r>
            <w:r>
              <w:rPr>
                <w:rFonts w:hint="eastAsia"/>
                <w:u w:val="single"/>
                <w:lang w:val="en-US" w:eastAsia="zh-CN"/>
              </w:rPr>
              <w:t>34</w:t>
            </w:r>
            <w:r>
              <w:t>分</w:t>
            </w:r>
            <w:r>
              <w:rPr>
                <w:rFonts w:hint="eastAsia"/>
                <w:u w:val="single"/>
                <w:lang w:val="en-US" w:eastAsia="zh-CN"/>
              </w:rPr>
              <w:t>17.08</w:t>
            </w:r>
            <w:r>
              <w:rPr>
                <w:u w:val="single"/>
              </w:rPr>
              <w:t xml:space="preserve"> </w:t>
            </w:r>
            <w:r>
              <w:t>秒，</w:t>
            </w:r>
            <w:r>
              <w:rPr>
                <w:u w:val="single"/>
              </w:rPr>
              <w:t xml:space="preserve"> </w:t>
            </w:r>
            <w:r>
              <w:rPr>
                <w:rFonts w:hint="eastAsia"/>
                <w:u w:val="single"/>
              </w:rPr>
              <w:t>35</w:t>
            </w:r>
            <w:r>
              <w:rPr>
                <w:u w:val="single"/>
              </w:rPr>
              <w:t xml:space="preserve"> </w:t>
            </w:r>
            <w:r>
              <w:t>度</w:t>
            </w:r>
            <w:r>
              <w:rPr>
                <w:u w:val="single"/>
              </w:rPr>
              <w:t xml:space="preserve"> </w:t>
            </w:r>
            <w:r>
              <w:rPr>
                <w:rFonts w:hint="eastAsia"/>
                <w:u w:val="single"/>
              </w:rPr>
              <w:t>0</w:t>
            </w:r>
            <w:r>
              <w:rPr>
                <w:rFonts w:hint="eastAsia"/>
                <w:u w:val="single"/>
                <w:lang w:val="en-US" w:eastAsia="zh-CN"/>
              </w:rPr>
              <w:t>9</w:t>
            </w:r>
            <w:r>
              <w:rPr>
                <w:u w:val="single"/>
              </w:rPr>
              <w:t xml:space="preserve"> </w:t>
            </w:r>
            <w:r>
              <w:t>分</w:t>
            </w:r>
            <w:r>
              <w:rPr>
                <w:u w:val="single"/>
              </w:rPr>
              <w:t xml:space="preserve"> </w:t>
            </w:r>
            <w:r>
              <w:rPr>
                <w:rFonts w:hint="eastAsia"/>
                <w:u w:val="single"/>
                <w:lang w:val="en-US" w:eastAsia="zh-CN"/>
              </w:rPr>
              <w:t>29.35</w:t>
            </w:r>
            <w:r>
              <w:rPr>
                <w:u w:val="single"/>
              </w:rPr>
              <w:t xml:space="preserve"> </w:t>
            </w:r>
            <w: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61"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国民经济</w:t>
            </w:r>
          </w:p>
          <w:p>
            <w:pPr>
              <w:adjustRightInd w:val="0"/>
              <w:snapToGrid w:val="0"/>
              <w:spacing w:line="280" w:lineRule="exact"/>
              <w:ind w:firstLine="0" w:firstLineChars="0"/>
              <w:jc w:val="center"/>
            </w:pPr>
            <w:r>
              <w:t>行业类别</w:t>
            </w:r>
          </w:p>
        </w:tc>
        <w:tc>
          <w:tcPr>
            <w:tcW w:w="2819" w:type="dxa"/>
            <w:noWrap w:val="0"/>
            <w:vAlign w:val="center"/>
          </w:tcPr>
          <w:p>
            <w:pPr>
              <w:adjustRightInd w:val="0"/>
              <w:snapToGrid w:val="0"/>
              <w:spacing w:line="240" w:lineRule="auto"/>
              <w:ind w:firstLine="0" w:firstLineChars="0"/>
              <w:rPr>
                <w:rFonts w:hint="default" w:eastAsia="宋体"/>
                <w:highlight w:val="yellow"/>
                <w:lang w:val="en-US" w:eastAsia="zh-CN"/>
              </w:rPr>
            </w:pPr>
            <w:r>
              <w:rPr>
                <w:rFonts w:hint="eastAsia"/>
                <w:highlight w:val="none"/>
                <w:lang w:val="en-US" w:eastAsia="zh-CN"/>
              </w:rPr>
              <w:t>G5949 其他危险品仓储</w:t>
            </w:r>
          </w:p>
        </w:tc>
        <w:tc>
          <w:tcPr>
            <w:tcW w:w="1381" w:type="dxa"/>
            <w:noWrap w:val="0"/>
            <w:vAlign w:val="center"/>
          </w:tcPr>
          <w:p>
            <w:pPr>
              <w:adjustRightInd w:val="0"/>
              <w:snapToGrid w:val="0"/>
              <w:spacing w:line="280" w:lineRule="exact"/>
              <w:ind w:firstLine="0" w:firstLineChars="0"/>
              <w:jc w:val="center"/>
            </w:pPr>
            <w:bookmarkStart w:id="1" w:name="_Hlk49843745"/>
            <w:r>
              <w:t>建设项目</w:t>
            </w:r>
          </w:p>
          <w:p>
            <w:pPr>
              <w:adjustRightInd w:val="0"/>
              <w:snapToGrid w:val="0"/>
              <w:spacing w:line="280" w:lineRule="exact"/>
              <w:ind w:firstLine="0" w:firstLineChars="0"/>
              <w:jc w:val="center"/>
            </w:pPr>
            <w:r>
              <w:t>行业类别</w:t>
            </w:r>
            <w:bookmarkEnd w:id="1"/>
          </w:p>
        </w:tc>
        <w:tc>
          <w:tcPr>
            <w:tcW w:w="3470" w:type="dxa"/>
            <w:noWrap w:val="0"/>
            <w:vAlign w:val="center"/>
          </w:tcPr>
          <w:p>
            <w:pPr>
              <w:adjustRightInd w:val="0"/>
              <w:snapToGrid w:val="0"/>
              <w:spacing w:line="280" w:lineRule="exact"/>
              <w:ind w:firstLine="0" w:firstLineChars="0"/>
              <w:rPr>
                <w:rFonts w:hint="default" w:eastAsia="宋体"/>
                <w:highlight w:val="yellow"/>
                <w:lang w:val="en-US" w:eastAsia="zh-CN"/>
              </w:rPr>
            </w:pPr>
            <w:r>
              <w:rPr>
                <w:rFonts w:hint="eastAsia"/>
                <w:lang w:val="en-US" w:eastAsia="zh-CN"/>
              </w:rPr>
              <w:t>149、危险品仓储594（不含加油站的油库；不含加气站的气库）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建设性质</w:t>
            </w:r>
          </w:p>
        </w:tc>
        <w:tc>
          <w:tcPr>
            <w:tcW w:w="2819" w:type="dxa"/>
            <w:noWrap w:val="0"/>
            <w:vAlign w:val="center"/>
          </w:tcPr>
          <w:p>
            <w:pPr>
              <w:spacing w:line="280" w:lineRule="exact"/>
              <w:ind w:firstLine="0" w:firstLineChars="0"/>
              <w:jc w:val="left"/>
            </w:pPr>
            <w:r>
              <w:rPr/>
              <w:sym w:font="Wingdings 2" w:char="00A3"/>
            </w:r>
            <w:r>
              <w:t>新建（迁建）</w:t>
            </w:r>
          </w:p>
          <w:p>
            <w:pPr>
              <w:spacing w:line="280" w:lineRule="exact"/>
              <w:ind w:firstLine="0" w:firstLineChars="0"/>
              <w:jc w:val="left"/>
            </w:pPr>
            <w:r>
              <w:rPr/>
              <w:sym w:font="Wingdings 2" w:char="00A3"/>
            </w:r>
            <w:r>
              <w:t>改建</w:t>
            </w:r>
          </w:p>
          <w:p>
            <w:pPr>
              <w:spacing w:line="280" w:lineRule="exact"/>
              <w:ind w:firstLine="0" w:firstLineChars="0"/>
              <w:jc w:val="left"/>
            </w:pPr>
            <w:r>
              <w:rPr/>
              <w:sym w:font="Wingdings 2" w:char="0052"/>
            </w:r>
            <w:r>
              <w:t>扩建</w:t>
            </w:r>
          </w:p>
          <w:p>
            <w:pPr>
              <w:spacing w:line="280" w:lineRule="exact"/>
              <w:ind w:firstLine="0" w:firstLineChars="0"/>
              <w:jc w:val="left"/>
              <w:rPr>
                <w:highlight w:val="yellow"/>
              </w:rPr>
            </w:pPr>
            <w:r>
              <w:rPr/>
              <w:sym w:font="Wingdings 2" w:char="00A3"/>
            </w:r>
            <w:r>
              <w:t>技术改造</w:t>
            </w:r>
          </w:p>
        </w:tc>
        <w:tc>
          <w:tcPr>
            <w:tcW w:w="1381" w:type="dxa"/>
            <w:noWrap w:val="0"/>
            <w:vAlign w:val="center"/>
          </w:tcPr>
          <w:p>
            <w:pPr>
              <w:adjustRightInd w:val="0"/>
              <w:snapToGrid w:val="0"/>
              <w:spacing w:line="280" w:lineRule="exact"/>
              <w:ind w:firstLine="0" w:firstLineChars="0"/>
              <w:jc w:val="center"/>
            </w:pPr>
            <w:r>
              <w:t>建设项目</w:t>
            </w:r>
          </w:p>
          <w:p>
            <w:pPr>
              <w:adjustRightInd w:val="0"/>
              <w:snapToGrid w:val="0"/>
              <w:spacing w:line="280" w:lineRule="exact"/>
              <w:ind w:firstLine="0" w:firstLineChars="0"/>
              <w:jc w:val="center"/>
              <w:rPr>
                <w:highlight w:val="yellow"/>
              </w:rPr>
            </w:pPr>
            <w:r>
              <w:t>申报情形</w:t>
            </w:r>
          </w:p>
        </w:tc>
        <w:tc>
          <w:tcPr>
            <w:tcW w:w="3470" w:type="dxa"/>
            <w:noWrap w:val="0"/>
            <w:vAlign w:val="center"/>
          </w:tcPr>
          <w:p>
            <w:pPr>
              <w:spacing w:line="280" w:lineRule="exact"/>
              <w:ind w:firstLine="0" w:firstLineChars="0"/>
              <w:jc w:val="left"/>
            </w:pPr>
            <w:r>
              <w:rPr/>
              <w:sym w:font="Wingdings 2" w:char="0052"/>
            </w:r>
            <w:r>
              <w:t xml:space="preserve">首次申报项目             </w:t>
            </w:r>
          </w:p>
          <w:p>
            <w:pPr>
              <w:spacing w:line="280" w:lineRule="exact"/>
              <w:ind w:firstLine="0" w:firstLineChars="0"/>
              <w:jc w:val="left"/>
            </w:pPr>
            <w:r>
              <w:rPr/>
              <w:sym w:font="Wingdings 2" w:char="00A3"/>
            </w:r>
            <w:r>
              <w:t>不予批准后再次申报项目</w:t>
            </w:r>
          </w:p>
          <w:p>
            <w:pPr>
              <w:spacing w:line="280" w:lineRule="exact"/>
              <w:ind w:firstLine="0" w:firstLineChars="0"/>
              <w:jc w:val="left"/>
            </w:pPr>
            <w:r>
              <w:rPr/>
              <w:sym w:font="Wingdings 2" w:char="00A3"/>
            </w:r>
            <w:r>
              <w:t xml:space="preserve">超五年重新审核项目     </w:t>
            </w:r>
          </w:p>
          <w:p>
            <w:pPr>
              <w:spacing w:line="280" w:lineRule="exact"/>
              <w:ind w:firstLine="0" w:firstLineChars="0"/>
              <w:jc w:val="left"/>
              <w:rPr>
                <w:highlight w:val="yellow"/>
              </w:rPr>
            </w:pPr>
            <w:r>
              <w:rPr/>
              <w:sym w:font="Wingdings 2" w:char="00A3"/>
            </w:r>
            <w: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项目审批（核准/备案）部门（选填）</w:t>
            </w:r>
          </w:p>
        </w:tc>
        <w:tc>
          <w:tcPr>
            <w:tcW w:w="2819" w:type="dxa"/>
            <w:noWrap w:val="0"/>
            <w:vAlign w:val="center"/>
          </w:tcPr>
          <w:p>
            <w:pPr>
              <w:adjustRightInd w:val="0"/>
              <w:snapToGrid w:val="0"/>
              <w:spacing w:line="280" w:lineRule="exact"/>
              <w:ind w:firstLine="0" w:firstLineChars="0"/>
              <w:jc w:val="center"/>
              <w:rPr>
                <w:highlight w:val="yellow"/>
              </w:rPr>
            </w:pPr>
            <w:r>
              <w:rPr>
                <w:rFonts w:hint="eastAsia"/>
                <w:bCs/>
              </w:rPr>
              <w:t>济源</w:t>
            </w:r>
            <w:r>
              <w:rPr>
                <w:bCs/>
              </w:rPr>
              <w:t>市</w:t>
            </w:r>
            <w:r>
              <w:rPr>
                <w:rFonts w:hint="eastAsia"/>
                <w:bCs/>
                <w:lang w:eastAsia="zh-CN"/>
              </w:rPr>
              <w:t>玉川</w:t>
            </w:r>
            <w:r>
              <w:rPr>
                <w:bCs/>
              </w:rPr>
              <w:t>产业集聚区</w:t>
            </w:r>
            <w:r>
              <w:t>管理委员会</w:t>
            </w:r>
          </w:p>
        </w:tc>
        <w:tc>
          <w:tcPr>
            <w:tcW w:w="1381" w:type="dxa"/>
            <w:noWrap w:val="0"/>
            <w:vAlign w:val="center"/>
          </w:tcPr>
          <w:p>
            <w:pPr>
              <w:adjustRightInd w:val="0"/>
              <w:snapToGrid w:val="0"/>
              <w:spacing w:line="280" w:lineRule="exact"/>
              <w:ind w:firstLine="0" w:firstLineChars="0"/>
              <w:jc w:val="center"/>
            </w:pPr>
            <w:r>
              <w:t>项目审批（核准/备案）文号（选填）</w:t>
            </w:r>
          </w:p>
        </w:tc>
        <w:tc>
          <w:tcPr>
            <w:tcW w:w="3470" w:type="dxa"/>
            <w:noWrap w:val="0"/>
            <w:vAlign w:val="center"/>
          </w:tcPr>
          <w:p>
            <w:pPr>
              <w:adjustRightInd w:val="0"/>
              <w:snapToGrid w:val="0"/>
              <w:spacing w:line="280" w:lineRule="exact"/>
              <w:ind w:firstLine="0" w:firstLineChars="0"/>
              <w:jc w:val="center"/>
            </w:pPr>
            <w:r>
              <w:rPr>
                <w:rFonts w:hint="eastAsia"/>
                <w:lang w:val="en-US" w:eastAsia="zh-CN"/>
              </w:rPr>
              <w:t>2201</w:t>
            </w:r>
            <w:r>
              <w:t>-41</w:t>
            </w:r>
            <w:r>
              <w:rPr>
                <w:rFonts w:hint="eastAsia"/>
              </w:rPr>
              <w:t>9001</w:t>
            </w:r>
            <w:r>
              <w:t>-</w:t>
            </w:r>
            <w:r>
              <w:rPr>
                <w:rFonts w:hint="eastAsia"/>
                <w:lang w:val="en-US" w:eastAsia="zh-CN"/>
              </w:rPr>
              <w:t>04</w:t>
            </w:r>
            <w:r>
              <w:t>-</w:t>
            </w:r>
            <w:r>
              <w:rPr>
                <w:rFonts w:hint="eastAsia"/>
                <w:lang w:val="en-US" w:eastAsia="zh-CN"/>
              </w:rPr>
              <w:t>01</w:t>
            </w:r>
            <w:r>
              <w:t>-</w:t>
            </w:r>
            <w:r>
              <w:rPr>
                <w:rFonts w:hint="eastAsia"/>
                <w:lang w:val="en-US" w:eastAsia="zh-CN"/>
              </w:rPr>
              <w:t>479329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总投资（万元）</w:t>
            </w:r>
          </w:p>
        </w:tc>
        <w:tc>
          <w:tcPr>
            <w:tcW w:w="2819" w:type="dxa"/>
            <w:noWrap w:val="0"/>
            <w:vAlign w:val="center"/>
          </w:tcPr>
          <w:p>
            <w:pPr>
              <w:adjustRightInd w:val="0"/>
              <w:snapToGrid w:val="0"/>
              <w:spacing w:line="280" w:lineRule="exact"/>
              <w:ind w:firstLine="0" w:firstLineChars="0"/>
              <w:jc w:val="center"/>
              <w:rPr>
                <w:rFonts w:hint="default" w:eastAsia="宋体"/>
                <w:highlight w:val="yellow"/>
                <w:lang w:val="en-US" w:eastAsia="zh-CN"/>
              </w:rPr>
            </w:pPr>
            <w:r>
              <w:rPr>
                <w:rFonts w:hint="eastAsia"/>
                <w:lang w:val="en-US" w:eastAsia="zh-CN"/>
              </w:rPr>
              <w:t>1000</w:t>
            </w:r>
          </w:p>
        </w:tc>
        <w:tc>
          <w:tcPr>
            <w:tcW w:w="1381" w:type="dxa"/>
            <w:noWrap w:val="0"/>
            <w:tcMar>
              <w:top w:w="16" w:type="dxa"/>
              <w:left w:w="16" w:type="dxa"/>
              <w:right w:w="16" w:type="dxa"/>
            </w:tcMar>
            <w:vAlign w:val="center"/>
          </w:tcPr>
          <w:p>
            <w:pPr>
              <w:adjustRightInd w:val="0"/>
              <w:snapToGrid w:val="0"/>
              <w:spacing w:line="280" w:lineRule="exact"/>
              <w:ind w:firstLine="0" w:firstLineChars="0"/>
              <w:jc w:val="center"/>
              <w:rPr>
                <w:highlight w:val="none"/>
              </w:rPr>
            </w:pPr>
            <w:r>
              <w:rPr>
                <w:highlight w:val="none"/>
              </w:rPr>
              <w:t>环保投资</w:t>
            </w:r>
          </w:p>
          <w:p>
            <w:pPr>
              <w:adjustRightInd w:val="0"/>
              <w:snapToGrid w:val="0"/>
              <w:spacing w:line="280" w:lineRule="exact"/>
              <w:ind w:firstLine="0" w:firstLineChars="0"/>
              <w:jc w:val="center"/>
              <w:rPr>
                <w:highlight w:val="none"/>
              </w:rPr>
            </w:pPr>
            <w:r>
              <w:rPr>
                <w:highlight w:val="none"/>
              </w:rPr>
              <w:t>（万元）</w:t>
            </w:r>
          </w:p>
        </w:tc>
        <w:tc>
          <w:tcPr>
            <w:tcW w:w="3470" w:type="dxa"/>
            <w:noWrap w:val="0"/>
            <w:vAlign w:val="center"/>
          </w:tcPr>
          <w:p>
            <w:pPr>
              <w:adjustRightInd w:val="0"/>
              <w:snapToGrid w:val="0"/>
              <w:spacing w:line="280" w:lineRule="exact"/>
              <w:ind w:firstLine="0" w:firstLineChars="0"/>
              <w:jc w:val="center"/>
              <w:rPr>
                <w:rFonts w:hint="default" w:eastAsia="宋体"/>
                <w:highlight w:val="none"/>
                <w:lang w:val="en-US" w:eastAsia="zh-CN"/>
              </w:rPr>
            </w:pPr>
            <w:r>
              <w:rPr>
                <w:rFonts w:hint="eastAsia"/>
                <w:highlight w:val="none"/>
                <w:lang w:val="en-US" w:eastAsia="zh-CN"/>
              </w:rPr>
              <w:t>20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环保投资占比（%）</w:t>
            </w:r>
          </w:p>
        </w:tc>
        <w:tc>
          <w:tcPr>
            <w:tcW w:w="2819" w:type="dxa"/>
            <w:noWrap w:val="0"/>
            <w:vAlign w:val="center"/>
          </w:tcPr>
          <w:p>
            <w:pPr>
              <w:adjustRightInd w:val="0"/>
              <w:snapToGrid w:val="0"/>
              <w:spacing w:line="280" w:lineRule="exact"/>
              <w:ind w:firstLine="0" w:firstLineChars="0"/>
              <w:jc w:val="center"/>
              <w:rPr>
                <w:rFonts w:hint="default" w:eastAsia="宋体"/>
                <w:highlight w:val="yellow"/>
                <w:lang w:val="en-US" w:eastAsia="zh-CN"/>
              </w:rPr>
            </w:pPr>
            <w:r>
              <w:rPr>
                <w:rFonts w:hint="eastAsia"/>
                <w:highlight w:val="none"/>
                <w:lang w:val="en-US" w:eastAsia="zh-CN"/>
              </w:rPr>
              <w:t>2</w:t>
            </w:r>
          </w:p>
        </w:tc>
        <w:tc>
          <w:tcPr>
            <w:tcW w:w="1381" w:type="dxa"/>
            <w:noWrap w:val="0"/>
            <w:tcMar>
              <w:top w:w="16" w:type="dxa"/>
              <w:left w:w="16" w:type="dxa"/>
              <w:right w:w="16" w:type="dxa"/>
            </w:tcMar>
            <w:vAlign w:val="center"/>
          </w:tcPr>
          <w:p>
            <w:pPr>
              <w:adjustRightInd w:val="0"/>
              <w:snapToGrid w:val="0"/>
              <w:spacing w:line="280" w:lineRule="exact"/>
              <w:ind w:firstLine="0" w:firstLineChars="0"/>
              <w:jc w:val="center"/>
            </w:pPr>
            <w:r>
              <w:t>施工工期</w:t>
            </w:r>
          </w:p>
        </w:tc>
        <w:tc>
          <w:tcPr>
            <w:tcW w:w="3470" w:type="dxa"/>
            <w:noWrap w:val="0"/>
            <w:vAlign w:val="center"/>
          </w:tcPr>
          <w:p>
            <w:pPr>
              <w:adjustRightInd w:val="0"/>
              <w:snapToGrid w:val="0"/>
              <w:spacing w:line="280" w:lineRule="exact"/>
              <w:ind w:firstLine="0" w:firstLineChars="0"/>
              <w:jc w:val="center"/>
              <w:rPr>
                <w:rFonts w:hint="eastAsia" w:eastAsia="宋体"/>
                <w:lang w:val="en-US" w:eastAsia="zh-CN"/>
              </w:rPr>
            </w:pPr>
            <w:r>
              <w:rPr>
                <w:rFonts w:hint="eastAsia"/>
                <w:lang w:val="en-US" w:eastAsia="zh-CN"/>
              </w:rPr>
              <w:t>3个月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97" w:hRule="atLeast"/>
          <w:jc w:val="center"/>
        </w:trPr>
        <w:tc>
          <w:tcPr>
            <w:tcW w:w="1200" w:type="dxa"/>
            <w:noWrap w:val="0"/>
            <w:tcMar>
              <w:top w:w="16" w:type="dxa"/>
              <w:left w:w="16" w:type="dxa"/>
              <w:right w:w="16" w:type="dxa"/>
            </w:tcMar>
            <w:vAlign w:val="center"/>
          </w:tcPr>
          <w:p>
            <w:pPr>
              <w:adjustRightInd w:val="0"/>
              <w:snapToGrid w:val="0"/>
              <w:spacing w:line="280" w:lineRule="exact"/>
              <w:ind w:firstLine="0" w:firstLineChars="0"/>
              <w:jc w:val="center"/>
            </w:pPr>
            <w:r>
              <w:t>是否开工建设</w:t>
            </w:r>
          </w:p>
        </w:tc>
        <w:tc>
          <w:tcPr>
            <w:tcW w:w="2819" w:type="dxa"/>
            <w:noWrap w:val="0"/>
            <w:vAlign w:val="center"/>
          </w:tcPr>
          <w:p>
            <w:pPr>
              <w:adjustRightInd w:val="0"/>
              <w:snapToGrid w:val="0"/>
              <w:spacing w:line="280" w:lineRule="exact"/>
              <w:ind w:firstLine="0" w:firstLineChars="0"/>
            </w:pPr>
            <w:r>
              <w:rPr/>
              <w:sym w:font="Wingdings 2" w:char="0052"/>
            </w:r>
            <w:r>
              <w:t>否</w:t>
            </w:r>
          </w:p>
          <w:p>
            <w:pPr>
              <w:adjustRightInd w:val="0"/>
              <w:snapToGrid w:val="0"/>
              <w:spacing w:line="280" w:lineRule="exact"/>
              <w:ind w:firstLine="0" w:firstLineChars="0"/>
            </w:pPr>
            <w:r>
              <w:rPr/>
              <w:sym w:font="Wingdings 2" w:char="00A3"/>
            </w:r>
            <w:r>
              <w:t>是：</w:t>
            </w:r>
            <w:r>
              <w:rPr>
                <w:u w:val="single"/>
              </w:rPr>
              <w:t xml:space="preserve">             </w:t>
            </w:r>
          </w:p>
        </w:tc>
        <w:tc>
          <w:tcPr>
            <w:tcW w:w="1381" w:type="dxa"/>
            <w:noWrap w:val="0"/>
            <w:tcMar>
              <w:top w:w="16" w:type="dxa"/>
              <w:left w:w="16" w:type="dxa"/>
              <w:right w:w="16" w:type="dxa"/>
            </w:tcMar>
            <w:vAlign w:val="center"/>
          </w:tcPr>
          <w:p>
            <w:pPr>
              <w:adjustRightInd w:val="0"/>
              <w:snapToGrid w:val="0"/>
              <w:spacing w:line="280" w:lineRule="exact"/>
              <w:ind w:firstLine="0" w:firstLineChars="0"/>
              <w:jc w:val="center"/>
              <w:rPr>
                <w:spacing w:val="-6"/>
              </w:rPr>
            </w:pPr>
            <w:r>
              <w:rPr>
                <w:spacing w:val="-6"/>
              </w:rPr>
              <w:t>用地（用海）</w:t>
            </w:r>
          </w:p>
          <w:p>
            <w:pPr>
              <w:adjustRightInd w:val="0"/>
              <w:snapToGrid w:val="0"/>
              <w:spacing w:line="280" w:lineRule="exact"/>
              <w:ind w:firstLine="0" w:firstLineChars="0"/>
              <w:jc w:val="center"/>
            </w:pPr>
            <w:r>
              <w:rPr>
                <w:spacing w:val="-6"/>
              </w:rPr>
              <w:t>面积（m</w:t>
            </w:r>
            <w:r>
              <w:rPr>
                <w:spacing w:val="-6"/>
                <w:vertAlign w:val="superscript"/>
              </w:rPr>
              <w:t>2</w:t>
            </w:r>
            <w:r>
              <w:rPr>
                <w:spacing w:val="-6"/>
              </w:rPr>
              <w:t>）</w:t>
            </w:r>
          </w:p>
        </w:tc>
        <w:tc>
          <w:tcPr>
            <w:tcW w:w="3470" w:type="dxa"/>
            <w:noWrap w:val="0"/>
            <w:vAlign w:val="center"/>
          </w:tcPr>
          <w:p>
            <w:pPr>
              <w:adjustRightInd w:val="0"/>
              <w:snapToGrid w:val="0"/>
              <w:spacing w:line="280" w:lineRule="exact"/>
              <w:ind w:firstLine="0" w:firstLineChars="0"/>
              <w:jc w:val="center"/>
              <w:rPr>
                <w:rFonts w:hint="default" w:eastAsia="宋体"/>
                <w:highlight w:val="yellow"/>
                <w:lang w:val="en-US" w:eastAsia="zh-CN"/>
              </w:rPr>
            </w:pPr>
            <w:r>
              <w:rPr>
                <w:rFonts w:hint="eastAsia"/>
                <w:lang w:val="en-US" w:eastAsia="zh-CN"/>
              </w:rPr>
              <w:t>2400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200" w:type="dxa"/>
            <w:noWrap w:val="0"/>
            <w:vAlign w:val="center"/>
          </w:tcPr>
          <w:p>
            <w:pPr>
              <w:autoSpaceDE w:val="0"/>
              <w:autoSpaceDN w:val="0"/>
              <w:adjustRightInd w:val="0"/>
              <w:snapToGrid w:val="0"/>
              <w:spacing w:line="280" w:lineRule="exact"/>
              <w:ind w:left="-72" w:leftChars="-30" w:right="-72" w:rightChars="-30" w:firstLine="0" w:firstLineChars="0"/>
              <w:jc w:val="center"/>
              <w:rPr>
                <w:kern w:val="0"/>
              </w:rPr>
            </w:pPr>
            <w:r>
              <w:rPr>
                <w:kern w:val="0"/>
              </w:rPr>
              <w:t>专项评价设置情况</w:t>
            </w:r>
          </w:p>
        </w:tc>
        <w:tc>
          <w:tcPr>
            <w:tcW w:w="7670" w:type="dxa"/>
            <w:gridSpan w:val="3"/>
            <w:noWrap w:val="0"/>
            <w:vAlign w:val="center"/>
          </w:tcPr>
          <w:p>
            <w:pPr>
              <w:autoSpaceDE w:val="0"/>
              <w:autoSpaceDN w:val="0"/>
              <w:adjustRightInd w:val="0"/>
              <w:snapToGrid w:val="0"/>
              <w:spacing w:line="280" w:lineRule="exact"/>
              <w:ind w:left="-72" w:leftChars="-30" w:right="-72" w:rightChars="-30" w:firstLine="0" w:firstLineChars="0"/>
              <w:jc w:val="center"/>
              <w:rPr>
                <w:kern w:val="0"/>
                <w:szCs w:val="21"/>
                <w:highlight w:val="yellow"/>
              </w:rPr>
            </w:pPr>
            <w:r>
              <w:rPr>
                <w:rFonts w:hint="eastAsia"/>
                <w:kern w:val="0"/>
                <w:szCs w:val="21"/>
              </w:rPr>
              <w:t xml:space="preserve"> </w:t>
            </w:r>
            <w:r>
              <w:rPr>
                <w:kern w:val="0"/>
                <w:szCs w:val="21"/>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200" w:type="dxa"/>
            <w:noWrap w:val="0"/>
            <w:vAlign w:val="center"/>
          </w:tcPr>
          <w:p>
            <w:pPr>
              <w:autoSpaceDE w:val="0"/>
              <w:autoSpaceDN w:val="0"/>
              <w:adjustRightInd w:val="0"/>
              <w:snapToGrid w:val="0"/>
              <w:ind w:left="-72" w:leftChars="-30" w:right="-72" w:rightChars="-30" w:firstLine="0" w:firstLineChars="0"/>
              <w:jc w:val="center"/>
              <w:rPr>
                <w:kern w:val="0"/>
                <w:highlight w:val="yellow"/>
              </w:rPr>
            </w:pPr>
            <w:r>
              <w:t>规划情况</w:t>
            </w:r>
          </w:p>
        </w:tc>
        <w:tc>
          <w:tcPr>
            <w:tcW w:w="7670" w:type="dxa"/>
            <w:gridSpan w:val="3"/>
            <w:noWrap w:val="0"/>
            <w:vAlign w:val="center"/>
          </w:tcPr>
          <w:p>
            <w:pPr>
              <w:keepLines w:val="0"/>
              <w:pageBreakBefore w:val="0"/>
              <w:widowControl w:val="0"/>
              <w:kinsoku/>
              <w:wordWrap/>
              <w:topLinePunct w:val="0"/>
              <w:autoSpaceDE w:val="0"/>
              <w:autoSpaceDN w:val="0"/>
              <w:bidi w:val="0"/>
              <w:adjustRightInd w:val="0"/>
              <w:snapToGrid w:val="0"/>
              <w:spacing w:line="420" w:lineRule="exact"/>
              <w:ind w:left="-72" w:leftChars="-30" w:right="-72" w:rightChars="-30" w:firstLine="482"/>
              <w:textAlignment w:val="auto"/>
              <w:rPr>
                <w:rFonts w:hint="eastAsia"/>
              </w:rPr>
            </w:pPr>
            <w:r>
              <w:rPr>
                <w:b/>
                <w:kern w:val="0"/>
                <w:szCs w:val="21"/>
              </w:rPr>
              <w:t>规划名称：</w:t>
            </w:r>
            <w:r>
              <w:rPr>
                <w:bCs/>
                <w:kern w:val="0"/>
                <w:szCs w:val="21"/>
              </w:rPr>
              <w:t>《</w:t>
            </w:r>
            <w:r>
              <w:rPr>
                <w:rFonts w:hint="eastAsia"/>
                <w:b w:val="0"/>
                <w:bCs w:val="0"/>
                <w:sz w:val="24"/>
              </w:rPr>
              <w:t>济源市玉川产业集聚区总体规划</w:t>
            </w:r>
            <w:r>
              <w:rPr>
                <w:rFonts w:hint="eastAsia"/>
                <w:bCs/>
                <w:kern w:val="0"/>
                <w:szCs w:val="21"/>
              </w:rPr>
              <w:t>》</w:t>
            </w:r>
            <w:r>
              <w:rPr>
                <w:rFonts w:hint="eastAsia"/>
                <w:b w:val="0"/>
                <w:bCs w:val="0"/>
                <w:sz w:val="24"/>
              </w:rPr>
              <w:t>（20</w:t>
            </w:r>
            <w:r>
              <w:rPr>
                <w:rFonts w:hint="eastAsia"/>
                <w:b w:val="0"/>
                <w:bCs w:val="0"/>
                <w:sz w:val="24"/>
                <w:lang w:val="en-US" w:eastAsia="zh-CN"/>
              </w:rPr>
              <w:t>09</w:t>
            </w:r>
            <w:r>
              <w:rPr>
                <w:rFonts w:hint="eastAsia"/>
                <w:b w:val="0"/>
                <w:bCs w:val="0"/>
                <w:sz w:val="24"/>
              </w:rPr>
              <w:t>～2020）</w:t>
            </w:r>
          </w:p>
          <w:p>
            <w:pPr>
              <w:keepLines w:val="0"/>
              <w:pageBreakBefore w:val="0"/>
              <w:widowControl w:val="0"/>
              <w:kinsoku/>
              <w:wordWrap/>
              <w:topLinePunct w:val="0"/>
              <w:autoSpaceDE w:val="0"/>
              <w:autoSpaceDN w:val="0"/>
              <w:bidi w:val="0"/>
              <w:adjustRightInd w:val="0"/>
              <w:snapToGrid w:val="0"/>
              <w:spacing w:line="420" w:lineRule="exact"/>
              <w:ind w:left="-72" w:leftChars="-30" w:right="-72" w:rightChars="-30" w:firstLine="482"/>
              <w:textAlignment w:val="auto"/>
              <w:rPr>
                <w:bCs/>
                <w:kern w:val="0"/>
                <w:szCs w:val="21"/>
              </w:rPr>
            </w:pPr>
            <w:r>
              <w:rPr>
                <w:b/>
                <w:kern w:val="0"/>
                <w:szCs w:val="21"/>
              </w:rPr>
              <w:t>审批机关：</w:t>
            </w:r>
            <w:r>
              <w:rPr>
                <w:bCs/>
                <w:kern w:val="0"/>
                <w:szCs w:val="21"/>
              </w:rPr>
              <w:t>河南省发展和改革委员会</w:t>
            </w:r>
          </w:p>
          <w:p>
            <w:pPr>
              <w:keepLines w:val="0"/>
              <w:pageBreakBefore w:val="0"/>
              <w:widowControl w:val="0"/>
              <w:kinsoku/>
              <w:wordWrap/>
              <w:topLinePunct w:val="0"/>
              <w:autoSpaceDE w:val="0"/>
              <w:autoSpaceDN w:val="0"/>
              <w:bidi w:val="0"/>
              <w:adjustRightInd w:val="0"/>
              <w:snapToGrid w:val="0"/>
              <w:spacing w:line="420" w:lineRule="exact"/>
              <w:ind w:left="-72" w:leftChars="-30" w:right="-72" w:rightChars="-30" w:firstLine="482"/>
              <w:textAlignment w:val="auto"/>
              <w:rPr>
                <w:rFonts w:hint="eastAsia" w:eastAsia="宋体"/>
                <w:bCs/>
                <w:kern w:val="0"/>
                <w:szCs w:val="21"/>
                <w:lang w:eastAsia="zh-CN"/>
              </w:rPr>
            </w:pPr>
            <w:r>
              <w:rPr>
                <w:rFonts w:hint="eastAsia" w:eastAsia="宋体"/>
                <w:b/>
                <w:kern w:val="0"/>
                <w:szCs w:val="21"/>
                <w:lang w:eastAsia="zh-CN"/>
              </w:rPr>
              <w:t>审查文件名称及文号：</w:t>
            </w:r>
            <w:r>
              <w:rPr>
                <w:rFonts w:hint="eastAsia"/>
                <w:bCs/>
                <w:kern w:val="0"/>
                <w:szCs w:val="21"/>
                <w:lang w:eastAsia="zh-CN"/>
              </w:rPr>
              <w:t>《河南省发展和改革委员会关于济源市玉川产业集聚区发展规划（</w:t>
            </w:r>
            <w:r>
              <w:rPr>
                <w:rFonts w:hint="eastAsia"/>
                <w:bCs/>
                <w:kern w:val="0"/>
                <w:szCs w:val="21"/>
                <w:lang w:val="en-US" w:eastAsia="zh-CN"/>
              </w:rPr>
              <w:t>2009~2020</w:t>
            </w:r>
            <w:r>
              <w:rPr>
                <w:rFonts w:hint="eastAsia"/>
                <w:bCs/>
                <w:kern w:val="0"/>
                <w:szCs w:val="21"/>
                <w:lang w:eastAsia="zh-CN"/>
              </w:rPr>
              <w:t>）的批复》（豫发改工业</w:t>
            </w:r>
            <w:r>
              <w:rPr>
                <w:rFonts w:hint="eastAsia"/>
                <w:bCs/>
                <w:kern w:val="0"/>
                <w:szCs w:val="21"/>
                <w:lang w:val="en-US" w:eastAsia="zh-CN"/>
              </w:rPr>
              <w:t>[2010]2073号</w:t>
            </w:r>
            <w:r>
              <w:rPr>
                <w:rFonts w:hint="eastAsia"/>
                <w:bCs/>
                <w:kern w:val="0"/>
                <w:szCs w:val="21"/>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1200" w:type="dxa"/>
            <w:noWrap w:val="0"/>
            <w:vAlign w:val="center"/>
          </w:tcPr>
          <w:p>
            <w:pPr>
              <w:adjustRightInd w:val="0"/>
              <w:snapToGrid w:val="0"/>
              <w:ind w:left="-72" w:leftChars="-30" w:right="-72" w:rightChars="-30" w:firstLine="0" w:firstLineChars="0"/>
              <w:jc w:val="center"/>
            </w:pPr>
            <w:r>
              <w:t>规划环境影响评价情况</w:t>
            </w:r>
          </w:p>
        </w:tc>
        <w:tc>
          <w:tcPr>
            <w:tcW w:w="7670" w:type="dxa"/>
            <w:gridSpan w:val="3"/>
            <w:noWrap w:val="0"/>
            <w:vAlign w:val="center"/>
          </w:tcPr>
          <w:p>
            <w:pPr>
              <w:keepNext w:val="0"/>
              <w:keepLines w:val="0"/>
              <w:pageBreakBefore w:val="0"/>
              <w:widowControl/>
              <w:suppressLineNumbers w:val="0"/>
              <w:kinsoku/>
              <w:wordWrap/>
              <w:overflowPunct/>
              <w:topLinePunct w:val="0"/>
              <w:bidi w:val="0"/>
              <w:spacing w:line="420" w:lineRule="exact"/>
              <w:jc w:val="left"/>
              <w:textAlignment w:val="auto"/>
              <w:rPr>
                <w:rFonts w:hint="eastAsia" w:eastAsia="宋体"/>
                <w:bCs/>
                <w:kern w:val="0"/>
                <w:szCs w:val="21"/>
                <w:lang w:eastAsia="zh-CN"/>
              </w:rPr>
            </w:pPr>
            <w:r>
              <w:rPr>
                <w:b/>
                <w:kern w:val="0"/>
                <w:szCs w:val="21"/>
              </w:rPr>
              <w:t>规划环境影响评价文件名称</w:t>
            </w:r>
            <w:r>
              <w:rPr>
                <w:kern w:val="0"/>
                <w:szCs w:val="21"/>
              </w:rPr>
              <w:t>：</w:t>
            </w:r>
            <w:r>
              <w:rPr>
                <w:rFonts w:hint="eastAsia" w:eastAsia="宋体"/>
                <w:bCs/>
                <w:kern w:val="0"/>
                <w:szCs w:val="21"/>
                <w:lang w:val="en-US" w:eastAsia="zh-CN"/>
              </w:rPr>
              <w:t>《济源市玉川产业集聚区发展规划环境影响报告书》</w:t>
            </w:r>
          </w:p>
          <w:p>
            <w:pPr>
              <w:keepNext w:val="0"/>
              <w:keepLines w:val="0"/>
              <w:pageBreakBefore w:val="0"/>
              <w:widowControl w:val="0"/>
              <w:kinsoku/>
              <w:wordWrap/>
              <w:overflowPunct/>
              <w:topLinePunct w:val="0"/>
              <w:autoSpaceDE w:val="0"/>
              <w:autoSpaceDN w:val="0"/>
              <w:bidi w:val="0"/>
              <w:adjustRightInd w:val="0"/>
              <w:snapToGrid w:val="0"/>
              <w:spacing w:line="420" w:lineRule="exact"/>
              <w:ind w:left="-72" w:leftChars="-30" w:right="-72" w:rightChars="-30" w:firstLine="482"/>
              <w:textAlignment w:val="auto"/>
              <w:rPr>
                <w:bCs/>
                <w:kern w:val="0"/>
                <w:szCs w:val="21"/>
              </w:rPr>
            </w:pPr>
            <w:r>
              <w:rPr>
                <w:b/>
                <w:kern w:val="0"/>
                <w:szCs w:val="21"/>
              </w:rPr>
              <w:t>审查机关：</w:t>
            </w:r>
            <w:r>
              <w:rPr>
                <w:bCs/>
                <w:kern w:val="0"/>
                <w:szCs w:val="21"/>
              </w:rPr>
              <w:t>河南省生态环境厅</w:t>
            </w:r>
          </w:p>
          <w:p>
            <w:pPr>
              <w:keepNext w:val="0"/>
              <w:keepLines w:val="0"/>
              <w:pageBreakBefore w:val="0"/>
              <w:widowControl w:val="0"/>
              <w:kinsoku/>
              <w:wordWrap/>
              <w:overflowPunct/>
              <w:topLinePunct w:val="0"/>
              <w:autoSpaceDE w:val="0"/>
              <w:autoSpaceDN w:val="0"/>
              <w:bidi w:val="0"/>
              <w:adjustRightInd w:val="0"/>
              <w:snapToGrid w:val="0"/>
              <w:spacing w:line="420" w:lineRule="exact"/>
              <w:ind w:left="-72" w:leftChars="-30" w:right="-72" w:rightChars="-30" w:firstLine="482"/>
              <w:textAlignment w:val="auto"/>
              <w:rPr>
                <w:kern w:val="0"/>
                <w:szCs w:val="21"/>
                <w:highlight w:val="yellow"/>
              </w:rPr>
            </w:pPr>
            <w:r>
              <w:rPr>
                <w:b/>
                <w:kern w:val="0"/>
                <w:szCs w:val="21"/>
              </w:rPr>
              <w:t>审查</w:t>
            </w:r>
            <w:r>
              <w:rPr>
                <w:rFonts w:hint="eastAsia"/>
                <w:b/>
                <w:kern w:val="0"/>
                <w:szCs w:val="21"/>
                <w:lang w:eastAsia="zh-CN"/>
              </w:rPr>
              <w:t>文件名称及</w:t>
            </w:r>
            <w:r>
              <w:rPr>
                <w:b/>
                <w:kern w:val="0"/>
                <w:szCs w:val="21"/>
              </w:rPr>
              <w:t>文号：</w:t>
            </w:r>
            <w:r>
              <w:rPr>
                <w:rFonts w:hint="eastAsia"/>
                <w:b w:val="0"/>
                <w:bCs/>
                <w:kern w:val="0"/>
                <w:szCs w:val="21"/>
                <w:lang w:eastAsia="zh-CN"/>
              </w:rPr>
              <w:t>《河南省环境保护厅关于济源市玉川产业集聚区发展规划环境影响报告书的审查意见》（</w:t>
            </w:r>
            <w:r>
              <w:rPr>
                <w:b w:val="0"/>
                <w:bCs/>
                <w:kern w:val="0"/>
                <w:szCs w:val="21"/>
              </w:rPr>
              <w:t>豫环</w:t>
            </w:r>
            <w:r>
              <w:rPr>
                <w:rFonts w:hint="eastAsia"/>
                <w:b w:val="0"/>
                <w:bCs/>
                <w:kern w:val="0"/>
                <w:szCs w:val="21"/>
                <w:lang w:eastAsia="zh-CN"/>
              </w:rPr>
              <w:t>审</w:t>
            </w:r>
            <w:r>
              <w:rPr>
                <w:b w:val="0"/>
                <w:bCs/>
                <w:kern w:val="0"/>
                <w:szCs w:val="21"/>
              </w:rPr>
              <w:t>[201</w:t>
            </w:r>
            <w:r>
              <w:rPr>
                <w:rFonts w:hint="eastAsia"/>
                <w:b w:val="0"/>
                <w:bCs/>
                <w:kern w:val="0"/>
                <w:szCs w:val="21"/>
                <w:lang w:val="en-US" w:eastAsia="zh-CN"/>
              </w:rPr>
              <w:t>3</w:t>
            </w:r>
            <w:r>
              <w:rPr>
                <w:b w:val="0"/>
                <w:bCs/>
                <w:kern w:val="0"/>
                <w:szCs w:val="21"/>
              </w:rPr>
              <w:t>]</w:t>
            </w:r>
            <w:r>
              <w:rPr>
                <w:rFonts w:hint="eastAsia"/>
                <w:b w:val="0"/>
                <w:bCs/>
                <w:kern w:val="0"/>
                <w:szCs w:val="21"/>
                <w:lang w:val="en-US" w:eastAsia="zh-CN"/>
              </w:rPr>
              <w:t>370</w:t>
            </w:r>
            <w:r>
              <w:rPr>
                <w:b w:val="0"/>
                <w:bCs/>
                <w:kern w:val="0"/>
                <w:szCs w:val="21"/>
              </w:rPr>
              <w:t>号</w:t>
            </w:r>
            <w:r>
              <w:rPr>
                <w:rFonts w:hint="eastAsia"/>
                <w:b w:val="0"/>
                <w:bCs/>
                <w:kern w:val="0"/>
                <w:szCs w:val="21"/>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81" w:hRule="atLeast"/>
          <w:jc w:val="center"/>
        </w:trPr>
        <w:tc>
          <w:tcPr>
            <w:tcW w:w="1200" w:type="dxa"/>
            <w:noWrap w:val="0"/>
            <w:vAlign w:val="center"/>
          </w:tcPr>
          <w:p>
            <w:pPr>
              <w:autoSpaceDE w:val="0"/>
              <w:autoSpaceDN w:val="0"/>
              <w:adjustRightInd w:val="0"/>
              <w:snapToGrid w:val="0"/>
              <w:spacing w:line="280" w:lineRule="exact"/>
              <w:ind w:left="-72" w:leftChars="-30" w:right="-72" w:rightChars="-30" w:firstLine="0" w:firstLineChars="0"/>
              <w:jc w:val="center"/>
              <w:rPr>
                <w:kern w:val="0"/>
              </w:rPr>
            </w:pPr>
            <w:r>
              <w:rPr>
                <w:kern w:val="0"/>
              </w:rPr>
              <w:t>规划及规划环境影响评价符合性分析</w:t>
            </w:r>
          </w:p>
        </w:tc>
        <w:tc>
          <w:tcPr>
            <w:tcW w:w="7670" w:type="dxa"/>
            <w:gridSpan w:val="3"/>
            <w:noWrap w:val="0"/>
            <w:vAlign w:val="center"/>
          </w:tcPr>
          <w:p>
            <w:pPr>
              <w:spacing w:before="203" w:line="184" w:lineRule="auto"/>
              <w:ind w:left="0" w:leftChars="0" w:firstLine="0" w:firstLineChars="0"/>
              <w:rPr>
                <w:rFonts w:hint="eastAsia" w:ascii="宋体" w:hAnsi="宋体" w:eastAsia="宋体" w:cs="宋体"/>
                <w:spacing w:val="-4"/>
                <w:sz w:val="24"/>
                <w:szCs w:val="24"/>
                <w:lang w:eastAsia="zh-CN"/>
                <w14:textOutline w14:w="4358" w14:cap="sq" w14:cmpd="sng">
                  <w14:solidFill>
                    <w14:srgbClr w14:val="000000"/>
                  </w14:solidFill>
                  <w14:prstDash w14:val="solid"/>
                  <w14:bevel/>
                </w14:textOutline>
              </w:rPr>
            </w:pPr>
            <w:r>
              <w:rPr>
                <w:rFonts w:hint="eastAsia" w:ascii="宋体" w:hAnsi="宋体" w:eastAsia="宋体" w:cs="宋体"/>
                <w:spacing w:val="-4"/>
                <w:sz w:val="24"/>
                <w:szCs w:val="24"/>
                <w:lang w:eastAsia="zh-CN"/>
                <w14:textOutline w14:w="4358" w14:cap="sq" w14:cmpd="sng">
                  <w14:solidFill>
                    <w14:srgbClr w14:val="000000"/>
                  </w14:solidFill>
                  <w14:prstDash w14:val="solid"/>
                  <w14:bevel/>
                </w14:textOutline>
              </w:rPr>
              <w:t>一、《济源市玉川产业集聚区发展规划》</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 xml:space="preserve">）规划范围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济源市玉川产业集聚区位于济源市中心城区以北、太行山南麓，西临克井组团，规划用地总面积</w:t>
            </w:r>
            <w:r>
              <w:rPr>
                <w:rFonts w:hint="default" w:ascii="Times New Roman" w:hAnsi="Times New Roman" w:eastAsia="宋体" w:cs="Times New Roman"/>
                <w:color w:val="000000"/>
                <w:kern w:val="0"/>
                <w:sz w:val="24"/>
                <w:szCs w:val="24"/>
                <w:lang w:val="en-US" w:eastAsia="zh-CN" w:bidi="ar"/>
              </w:rPr>
              <w:t>11.6</w:t>
            </w:r>
            <w:r>
              <w:rPr>
                <w:rFonts w:hint="eastAsia" w:ascii="宋体" w:hAnsi="宋体" w:eastAsia="宋体" w:cs="宋体"/>
                <w:color w:val="000000"/>
                <w:kern w:val="0"/>
                <w:sz w:val="24"/>
                <w:szCs w:val="24"/>
                <w:lang w:val="en-US" w:eastAsia="zh-CN" w:bidi="ar"/>
              </w:rPr>
              <w:t>平方公里。在空间上集聚区分为两块：北侧一块用地在西、北至侯月铁路，东至玉川四路，南以玉川北路为界；南侧一块用地东至工业大道，西至交通驾校考练场，南至西许北路，北至引沁济蟒一干渠。</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2</w:t>
            </w:r>
            <w:r>
              <w:rPr>
                <w:rFonts w:hint="eastAsia" w:ascii="宋体" w:hAnsi="宋体" w:eastAsia="宋体" w:cs="宋体"/>
                <w:color w:val="000000"/>
                <w:kern w:val="0"/>
                <w:sz w:val="24"/>
                <w:szCs w:val="24"/>
                <w:lang w:val="en-US" w:eastAsia="zh-CN" w:bidi="ar"/>
              </w:rPr>
              <w:t xml:space="preserve">）发展定位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规划区的总体发展定位是：国家级有色金属深加工基地，河南省重要的新能源及能源基地，济源市集聚产业布局、发展循环经济、促进产城一体、实现城乡融合的重要载体。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 xml:space="preserve">）空间结构和发展目标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以玉川大道为发展主轴，规划建设新兴产业区、传统产业区、基础能源区、仓储物流区、生产生活服务区、自然生态控制区、配套服务区和特殊功能区，形成“一心一轴八区”的空间结构。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①新兴产业区：以新能源、有色金属深加工、精加工等产业为主，符合国家、河南省的产业政策导向以及对济源市的产业定位，也与周边地区的现状传统产业高度关联，是未来体现园区产业竞争力和特色的产业。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②传统产业区：以钢铁、建材等传统产业为主，应严格限制产能，走集约化和规模化道路，引导其使用先进工艺、提高环保标准、优化产业结构、延长产业链条。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③基础能源区：为满足规划区内企业生产以及周边地区生活所必需的热电厂等。</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④仓储物流区：依托盘古寺车站建设的铁路场站、仓储区。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⑤生产生活服务区：位于焦克路、济阳路、渠马公路两侧，以现状居住、学校、商业、耕地为主，现状保留并适当扩建。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⑥自然生态控制区：孔山上坡度超过</w:t>
            </w:r>
            <w:r>
              <w:rPr>
                <w:rFonts w:hint="default" w:ascii="Times New Roman" w:hAnsi="Times New Roman" w:eastAsia="宋体" w:cs="Times New Roman"/>
                <w:color w:val="000000"/>
                <w:kern w:val="0"/>
                <w:sz w:val="24"/>
                <w:szCs w:val="24"/>
                <w:lang w:val="en-US" w:eastAsia="zh-CN" w:bidi="ar"/>
              </w:rPr>
              <w:t>15</w:t>
            </w:r>
            <w:r>
              <w:rPr>
                <w:rFonts w:hint="eastAsia" w:ascii="宋体" w:hAnsi="宋体" w:eastAsia="宋体" w:cs="宋体"/>
                <w:color w:val="000000"/>
                <w:kern w:val="0"/>
                <w:sz w:val="24"/>
                <w:szCs w:val="24"/>
                <w:lang w:val="en-US" w:eastAsia="zh-CN" w:bidi="ar"/>
              </w:rPr>
              <w:t>％不适宜进行城市建设，以及根据规划需要保留的生态用地。</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⑦配套服务区：玉川产业集聚区的行政管理及配套服务中心，提供行政办公、科技研发、技能培训、职业教育、会议展览、员工休闲住宿等功能。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⑧特殊功能区：现状保留的军事用地、发展备用地。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4</w:t>
            </w:r>
            <w:r>
              <w:rPr>
                <w:rFonts w:hint="eastAsia" w:ascii="宋体" w:hAnsi="宋体" w:eastAsia="宋体" w:cs="宋体"/>
                <w:color w:val="000000"/>
                <w:kern w:val="0"/>
                <w:sz w:val="24"/>
                <w:szCs w:val="24"/>
                <w:lang w:val="en-US" w:eastAsia="zh-CN" w:bidi="ar"/>
              </w:rPr>
              <w:t xml:space="preserve">）土地利用规划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根据国家相关标准，将规划用地分为城市建设用地、水域和其他用地两大类。其中，城市建设用地包括居住用地、公共设施用地、工业用地、仓储用地、对外交通用地、道路广场用地、市政公用设施用地、绿地、特殊用地九大类，水域和其他用地包括水域、耕地、林地、发展备用地四大类。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其中工业用地：工业用地总面积</w:t>
            </w:r>
            <w:r>
              <w:rPr>
                <w:rFonts w:hint="default" w:ascii="Times New Roman" w:hAnsi="Times New Roman" w:eastAsia="宋体" w:cs="Times New Roman"/>
                <w:color w:val="000000"/>
                <w:kern w:val="0"/>
                <w:sz w:val="24"/>
                <w:szCs w:val="24"/>
                <w:lang w:val="en-US" w:eastAsia="zh-CN" w:bidi="ar"/>
              </w:rPr>
              <w:t>741.05</w:t>
            </w:r>
            <w:r>
              <w:rPr>
                <w:rFonts w:hint="eastAsia" w:ascii="宋体" w:hAnsi="宋体" w:eastAsia="宋体" w:cs="宋体"/>
                <w:color w:val="000000"/>
                <w:kern w:val="0"/>
                <w:sz w:val="24"/>
                <w:szCs w:val="24"/>
                <w:lang w:val="en-US" w:eastAsia="zh-CN" w:bidi="ar"/>
              </w:rPr>
              <w:t>公顷，占城市建设用地的</w:t>
            </w:r>
            <w:r>
              <w:rPr>
                <w:rFonts w:hint="default" w:ascii="Times New Roman" w:hAnsi="Times New Roman" w:eastAsia="宋体" w:cs="Times New Roman"/>
                <w:color w:val="000000"/>
                <w:kern w:val="0"/>
                <w:sz w:val="24"/>
                <w:szCs w:val="24"/>
                <w:lang w:val="en-US" w:eastAsia="zh-CN" w:bidi="ar"/>
              </w:rPr>
              <w:t>65.31%</w:t>
            </w:r>
            <w:r>
              <w:rPr>
                <w:rFonts w:hint="eastAsia" w:ascii="宋体" w:hAnsi="宋体" w:eastAsia="宋体" w:cs="宋体"/>
                <w:color w:val="000000"/>
                <w:kern w:val="0"/>
                <w:sz w:val="24"/>
                <w:szCs w:val="24"/>
                <w:lang w:val="en-US" w:eastAsia="zh-CN" w:bidi="ar"/>
              </w:rPr>
              <w:t xml:space="preserve">。根据产业的不同以及相应的国家标准，分为一类工业用地、二类工业用地、三类工业用地，一类工业用地主要布局新能源（太阳能光伏）、精加工等产业，二类工业用地主要布局有色金属深加工产业，三类工业用地主要布局有色金属冶炼、能源、钢铁、建材等产业。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w:t>
            </w:r>
            <w:r>
              <w:rPr>
                <w:rFonts w:hint="default" w:ascii="Times New Roman" w:hAnsi="Times New Roman" w:eastAsia="宋体" w:cs="Times New Roman"/>
                <w:color w:val="000000"/>
                <w:kern w:val="0"/>
                <w:sz w:val="24"/>
                <w:szCs w:val="24"/>
                <w:lang w:val="en-US" w:eastAsia="zh-CN" w:bidi="ar"/>
              </w:rPr>
              <w:t>5</w:t>
            </w:r>
            <w:r>
              <w:rPr>
                <w:rFonts w:hint="eastAsia" w:ascii="宋体" w:hAnsi="宋体" w:eastAsia="宋体" w:cs="宋体"/>
                <w:color w:val="000000"/>
                <w:kern w:val="0"/>
                <w:sz w:val="24"/>
                <w:szCs w:val="24"/>
                <w:lang w:val="en-US" w:eastAsia="zh-CN" w:bidi="ar"/>
              </w:rPr>
              <w:t xml:space="preserve">）基础工程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①供水规划：水源：以引沁济蟒渠和河口村水库水为水源。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目前，集聚区工业供水厂已经建设完成；生产用水和生活用水给水管网随玉川大道和玉川一号线铺设，满足项目需要。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②排水规划：规划排水体制采用雨、污分流制。工业污水和生活废水分开收集处理，工业污水在厂内经过一级处理后方可排入污水管道系统，经收集后排入规划的污水处理厂，经处理达标后方可排放；生活废水经污水管道收集后，沿集聚区污水主干管排入污水处理厂处理。雨水分片收集后排入盘溪河。</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③污水工程规划：规划研究范围有</w:t>
            </w:r>
            <w:r>
              <w:rPr>
                <w:rFonts w:hint="default" w:ascii="Times New Roman" w:hAnsi="Times New Roman" w:eastAsia="宋体" w:cs="Times New Roman"/>
                <w:color w:val="000000"/>
                <w:kern w:val="0"/>
                <w:sz w:val="24"/>
                <w:szCs w:val="24"/>
                <w:lang w:val="en-US" w:eastAsia="zh-CN" w:bidi="ar"/>
              </w:rPr>
              <w:t>6</w:t>
            </w:r>
            <w:r>
              <w:rPr>
                <w:rFonts w:hint="eastAsia" w:ascii="宋体" w:hAnsi="宋体" w:eastAsia="宋体" w:cs="宋体"/>
                <w:color w:val="000000"/>
                <w:kern w:val="0"/>
                <w:sz w:val="24"/>
                <w:szCs w:val="24"/>
                <w:lang w:val="en-US" w:eastAsia="zh-CN" w:bidi="ar"/>
              </w:rPr>
              <w:t>万立方米</w:t>
            </w:r>
            <w:r>
              <w:rPr>
                <w:rFonts w:hint="default" w:ascii="Times New Roman" w:hAnsi="Times New Roman" w:eastAsia="宋体" w:cs="Times New Roman"/>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日的污水排至区外污水处理厂处理，规划研究范围内新建玉川污水处理厂，目前玉川污水处理厂</w:t>
            </w:r>
            <w:r>
              <w:rPr>
                <w:rFonts w:hint="default" w:ascii="Times New Roman" w:hAnsi="Times New Roman" w:eastAsia="宋体" w:cs="Times New Roman"/>
                <w:color w:val="000000"/>
                <w:kern w:val="0"/>
                <w:sz w:val="24"/>
                <w:szCs w:val="24"/>
                <w:lang w:val="en-US" w:eastAsia="zh-CN" w:bidi="ar"/>
              </w:rPr>
              <w:t>A</w:t>
            </w:r>
            <w:r>
              <w:rPr>
                <w:rFonts w:hint="eastAsia" w:ascii="宋体" w:hAnsi="宋体" w:eastAsia="宋体" w:cs="宋体"/>
                <w:color w:val="000000"/>
                <w:kern w:val="0"/>
                <w:sz w:val="24"/>
                <w:szCs w:val="24"/>
                <w:lang w:val="en-US" w:eastAsia="zh-CN" w:bidi="ar"/>
              </w:rPr>
              <w:t>区已建成并开始运行，规模</w:t>
            </w:r>
            <w:r>
              <w:rPr>
                <w:rFonts w:hint="default" w:ascii="Times New Roman" w:hAnsi="Times New Roman" w:eastAsia="宋体" w:cs="Times New Roman"/>
                <w:color w:val="000000"/>
                <w:kern w:val="0"/>
                <w:sz w:val="24"/>
                <w:szCs w:val="24"/>
                <w:lang w:val="en-US" w:eastAsia="zh-CN" w:bidi="ar"/>
              </w:rPr>
              <w:t>4</w:t>
            </w:r>
            <w:r>
              <w:rPr>
                <w:rFonts w:hint="eastAsia" w:ascii="宋体" w:hAnsi="宋体" w:eastAsia="宋体" w:cs="宋体"/>
                <w:color w:val="000000"/>
                <w:kern w:val="0"/>
                <w:sz w:val="24"/>
                <w:szCs w:val="24"/>
                <w:lang w:val="en-US" w:eastAsia="zh-CN" w:bidi="ar"/>
              </w:rPr>
              <w:t>万立方米</w:t>
            </w:r>
            <w:r>
              <w:rPr>
                <w:rFonts w:hint="default" w:ascii="Times New Roman" w:hAnsi="Times New Roman" w:eastAsia="宋体" w:cs="Times New Roman"/>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日，占地</w:t>
            </w:r>
            <w:r>
              <w:rPr>
                <w:rFonts w:hint="default" w:ascii="Times New Roman" w:hAnsi="Times New Roman" w:eastAsia="宋体" w:cs="Times New Roman"/>
                <w:color w:val="000000"/>
                <w:kern w:val="0"/>
                <w:sz w:val="24"/>
                <w:szCs w:val="24"/>
                <w:lang w:val="en-US" w:eastAsia="zh-CN" w:bidi="ar"/>
              </w:rPr>
              <w:t>2.4</w:t>
            </w:r>
            <w:r>
              <w:rPr>
                <w:rFonts w:hint="eastAsia" w:ascii="宋体" w:hAnsi="宋体" w:eastAsia="宋体" w:cs="宋体"/>
                <w:color w:val="000000"/>
                <w:kern w:val="0"/>
                <w:sz w:val="24"/>
                <w:szCs w:val="24"/>
                <w:lang w:val="en-US" w:eastAsia="zh-CN" w:bidi="ar"/>
              </w:rPr>
              <w:t xml:space="preserve">公顷。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 xml:space="preserve">本项目生活废水排入玉川污水处理厂。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④供电规划：目前规划区内的电源由济源电网解决。规划区内规划新增</w:t>
            </w:r>
            <w:r>
              <w:rPr>
                <w:rFonts w:hint="default" w:ascii="Times New Roman" w:hAnsi="Times New Roman" w:eastAsia="宋体" w:cs="Times New Roman"/>
                <w:color w:val="000000"/>
                <w:kern w:val="0"/>
                <w:sz w:val="24"/>
                <w:szCs w:val="24"/>
                <w:lang w:val="en-US" w:eastAsia="zh-CN" w:bidi="ar"/>
              </w:rPr>
              <w:t>220kV</w:t>
            </w:r>
            <w:r>
              <w:rPr>
                <w:rFonts w:hint="eastAsia" w:ascii="宋体" w:hAnsi="宋体" w:eastAsia="宋体" w:cs="宋体"/>
                <w:color w:val="000000"/>
                <w:kern w:val="0"/>
                <w:sz w:val="24"/>
                <w:szCs w:val="24"/>
                <w:lang w:val="en-US" w:eastAsia="zh-CN" w:bidi="ar"/>
              </w:rPr>
              <w:t>变电站一座（玉川站），其电源分别由规划区外</w:t>
            </w:r>
            <w:r>
              <w:rPr>
                <w:rFonts w:hint="default" w:ascii="Times New Roman" w:hAnsi="Times New Roman" w:eastAsia="宋体" w:cs="Times New Roman"/>
                <w:color w:val="000000"/>
                <w:kern w:val="0"/>
                <w:sz w:val="24"/>
                <w:szCs w:val="24"/>
                <w:lang w:val="en-US" w:eastAsia="zh-CN" w:bidi="ar"/>
              </w:rPr>
              <w:t>500kV</w:t>
            </w:r>
            <w:r>
              <w:rPr>
                <w:rFonts w:hint="eastAsia" w:ascii="宋体" w:hAnsi="宋体" w:eastAsia="宋体" w:cs="宋体"/>
                <w:color w:val="000000"/>
                <w:kern w:val="0"/>
                <w:sz w:val="24"/>
                <w:szCs w:val="24"/>
                <w:lang w:val="en-US" w:eastAsia="zh-CN" w:bidi="ar"/>
              </w:rPr>
              <w:t>济源站引入</w:t>
            </w:r>
            <w:r>
              <w:rPr>
                <w:rFonts w:hint="default" w:ascii="Times New Roman" w:hAnsi="Times New Roman" w:eastAsia="宋体" w:cs="Times New Roman"/>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回</w:t>
            </w:r>
            <w:r>
              <w:rPr>
                <w:rFonts w:hint="default" w:ascii="Times New Roman" w:hAnsi="Times New Roman" w:eastAsia="宋体" w:cs="Times New Roman"/>
                <w:color w:val="000000"/>
                <w:kern w:val="0"/>
                <w:sz w:val="24"/>
                <w:szCs w:val="24"/>
                <w:lang w:val="en-US" w:eastAsia="zh-CN" w:bidi="ar"/>
              </w:rPr>
              <w:t>220kV</w:t>
            </w:r>
            <w:r>
              <w:rPr>
                <w:rFonts w:hint="eastAsia" w:ascii="宋体" w:hAnsi="宋体" w:eastAsia="宋体" w:cs="宋体"/>
                <w:color w:val="000000"/>
                <w:kern w:val="0"/>
                <w:sz w:val="24"/>
                <w:szCs w:val="24"/>
                <w:lang w:val="en-US" w:eastAsia="zh-CN" w:bidi="ar"/>
              </w:rPr>
              <w:t>架空线路和目前已有的</w:t>
            </w:r>
            <w:r>
              <w:rPr>
                <w:rFonts w:hint="default" w:ascii="Times New Roman" w:hAnsi="Times New Roman" w:eastAsia="宋体" w:cs="Times New Roman"/>
                <w:color w:val="000000"/>
                <w:kern w:val="0"/>
                <w:sz w:val="24"/>
                <w:szCs w:val="24"/>
                <w:lang w:val="en-US" w:eastAsia="zh-CN" w:bidi="ar"/>
              </w:rPr>
              <w:t>220kV</w:t>
            </w:r>
            <w:r>
              <w:rPr>
                <w:rFonts w:hint="eastAsia" w:ascii="宋体" w:hAnsi="宋体" w:eastAsia="宋体" w:cs="宋体"/>
                <w:color w:val="000000"/>
                <w:kern w:val="0"/>
                <w:sz w:val="24"/>
                <w:szCs w:val="24"/>
                <w:lang w:val="en-US" w:eastAsia="zh-CN" w:bidi="ar"/>
              </w:rPr>
              <w:t>荆华站引</w:t>
            </w:r>
            <w:r>
              <w:rPr>
                <w:rFonts w:hint="default" w:ascii="Times New Roman" w:hAnsi="Times New Roman" w:eastAsia="宋体" w:cs="Times New Roman"/>
                <w:color w:val="000000"/>
                <w:kern w:val="0"/>
                <w:sz w:val="24"/>
                <w:szCs w:val="24"/>
                <w:lang w:val="en-US" w:eastAsia="zh-CN" w:bidi="ar"/>
              </w:rPr>
              <w:t>1</w:t>
            </w:r>
            <w:r>
              <w:rPr>
                <w:rFonts w:hint="eastAsia" w:ascii="宋体" w:hAnsi="宋体" w:eastAsia="宋体" w:cs="宋体"/>
                <w:color w:val="000000"/>
                <w:kern w:val="0"/>
                <w:sz w:val="24"/>
                <w:szCs w:val="24"/>
                <w:lang w:val="en-US" w:eastAsia="zh-CN" w:bidi="ar"/>
              </w:rPr>
              <w:t>回</w:t>
            </w:r>
            <w:r>
              <w:rPr>
                <w:rFonts w:hint="default" w:ascii="Times New Roman" w:hAnsi="Times New Roman" w:eastAsia="宋体" w:cs="Times New Roman"/>
                <w:color w:val="000000"/>
                <w:kern w:val="0"/>
                <w:sz w:val="24"/>
                <w:szCs w:val="24"/>
                <w:lang w:val="en-US" w:eastAsia="zh-CN" w:bidi="ar"/>
              </w:rPr>
              <w:t>220kV</w:t>
            </w:r>
            <w:r>
              <w:rPr>
                <w:rFonts w:hint="eastAsia" w:ascii="宋体" w:hAnsi="宋体" w:eastAsia="宋体" w:cs="宋体"/>
                <w:color w:val="000000"/>
                <w:kern w:val="0"/>
                <w:sz w:val="24"/>
                <w:szCs w:val="24"/>
                <w:lang w:val="en-US" w:eastAsia="zh-CN" w:bidi="ar"/>
              </w:rPr>
              <w:t>架空线路。规划末期区内需规划新增</w:t>
            </w:r>
            <w:r>
              <w:rPr>
                <w:rFonts w:hint="default" w:ascii="Times New Roman" w:hAnsi="Times New Roman" w:eastAsia="宋体" w:cs="Times New Roman"/>
                <w:color w:val="000000"/>
                <w:kern w:val="0"/>
                <w:sz w:val="24"/>
                <w:szCs w:val="24"/>
                <w:lang w:val="en-US" w:eastAsia="zh-CN" w:bidi="ar"/>
              </w:rPr>
              <w:t>3~5</w:t>
            </w:r>
            <w:r>
              <w:rPr>
                <w:rFonts w:hint="eastAsia" w:ascii="宋体" w:hAnsi="宋体" w:eastAsia="宋体" w:cs="宋体"/>
                <w:color w:val="000000"/>
                <w:kern w:val="0"/>
                <w:sz w:val="24"/>
                <w:szCs w:val="24"/>
                <w:lang w:val="en-US" w:eastAsia="zh-CN" w:bidi="ar"/>
              </w:rPr>
              <w:t>座</w:t>
            </w:r>
            <w:r>
              <w:rPr>
                <w:rFonts w:hint="default" w:ascii="Times New Roman" w:hAnsi="Times New Roman" w:eastAsia="宋体" w:cs="Times New Roman"/>
                <w:color w:val="000000"/>
                <w:kern w:val="0"/>
                <w:sz w:val="24"/>
                <w:szCs w:val="24"/>
                <w:lang w:val="en-US" w:eastAsia="zh-CN" w:bidi="ar"/>
              </w:rPr>
              <w:t>110kV</w:t>
            </w:r>
            <w:r>
              <w:rPr>
                <w:rFonts w:hint="eastAsia" w:ascii="宋体" w:hAnsi="宋体" w:eastAsia="宋体" w:cs="宋体"/>
                <w:color w:val="000000"/>
                <w:kern w:val="0"/>
                <w:sz w:val="24"/>
                <w:szCs w:val="24"/>
                <w:lang w:val="en-US" w:eastAsia="zh-CN" w:bidi="ar"/>
              </w:rPr>
              <w:t xml:space="preserve">变电站。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目前，园区已建设</w:t>
            </w:r>
            <w:r>
              <w:rPr>
                <w:rFonts w:hint="default" w:ascii="Times New Roman" w:hAnsi="Times New Roman" w:eastAsia="宋体" w:cs="Times New Roman"/>
                <w:color w:val="000000"/>
                <w:kern w:val="0"/>
                <w:sz w:val="24"/>
                <w:szCs w:val="24"/>
                <w:lang w:val="en-US" w:eastAsia="zh-CN" w:bidi="ar"/>
              </w:rPr>
              <w:t>110kV</w:t>
            </w:r>
            <w:r>
              <w:rPr>
                <w:rFonts w:hint="eastAsia" w:ascii="宋体" w:hAnsi="宋体" w:eastAsia="宋体" w:cs="宋体"/>
                <w:color w:val="000000"/>
                <w:kern w:val="0"/>
                <w:sz w:val="24"/>
                <w:szCs w:val="24"/>
                <w:lang w:val="en-US" w:eastAsia="zh-CN" w:bidi="ar"/>
              </w:rPr>
              <w:t xml:space="preserve">变电站及配套电网已建成，可实现对厂区供电。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本项目位于济源玉川产业集聚区</w:t>
            </w:r>
            <w:r>
              <w:rPr>
                <w:rFonts w:hint="default" w:ascii="Times New Roman" w:hAnsi="Times New Roman" w:eastAsia="宋体" w:cs="Times New Roman"/>
                <w:color w:val="000000"/>
                <w:kern w:val="0"/>
                <w:sz w:val="24"/>
                <w:szCs w:val="24"/>
                <w:lang w:val="en-US" w:eastAsia="zh-CN" w:bidi="ar"/>
              </w:rPr>
              <w:t>6</w:t>
            </w:r>
            <w:r>
              <w:rPr>
                <w:rFonts w:hint="eastAsia" w:ascii="宋体" w:hAnsi="宋体" w:eastAsia="宋体" w:cs="宋体"/>
                <w:color w:val="000000"/>
                <w:kern w:val="0"/>
                <w:sz w:val="24"/>
                <w:szCs w:val="24"/>
                <w:lang w:val="en-US" w:eastAsia="zh-CN" w:bidi="ar"/>
              </w:rPr>
              <w:t xml:space="preserve">号标准化厂房内，占地为二类工业用地，属于新兴产业区，项目主要收集、转运废旧铅蓄电池，符合玉川产业集聚区发展规划。 </w:t>
            </w:r>
          </w:p>
          <w:p>
            <w:pPr>
              <w:keepNext w:val="0"/>
              <w:keepLines w:val="0"/>
              <w:pageBreakBefore w:val="0"/>
              <w:widowControl/>
              <w:suppressLineNumbers w:val="0"/>
              <w:kinsoku/>
              <w:wordWrap/>
              <w:overflowPunct/>
              <w:topLinePunct w:val="0"/>
              <w:autoSpaceDE/>
              <w:autoSpaceDN/>
              <w:bidi w:val="0"/>
              <w:adjustRightInd/>
              <w:snapToGrid/>
              <w:spacing w:line="420" w:lineRule="exact"/>
              <w:jc w:val="left"/>
              <w:textAlignment w:val="auto"/>
            </w:pPr>
            <w:r>
              <w:rPr>
                <w:rFonts w:hint="eastAsia" w:ascii="宋体" w:hAnsi="宋体" w:eastAsia="宋体" w:cs="宋体"/>
                <w:color w:val="000000"/>
                <w:kern w:val="0"/>
                <w:sz w:val="24"/>
                <w:szCs w:val="24"/>
                <w:lang w:val="en-US" w:eastAsia="zh-CN" w:bidi="ar"/>
              </w:rPr>
              <w:t>项目在玉川产业集聚区产业布局图中位置详见附图</w:t>
            </w:r>
            <w:r>
              <w:rPr>
                <w:rFonts w:hint="default" w:ascii="Times New Roman" w:hAnsi="Times New Roman" w:eastAsia="宋体" w:cs="Times New Roman"/>
                <w:color w:val="000000"/>
                <w:kern w:val="0"/>
                <w:sz w:val="24"/>
                <w:szCs w:val="24"/>
                <w:lang w:val="en-US" w:eastAsia="zh-CN" w:bidi="ar"/>
              </w:rPr>
              <w:t>3</w:t>
            </w:r>
            <w:r>
              <w:rPr>
                <w:rFonts w:hint="eastAsia" w:ascii="宋体" w:hAnsi="宋体" w:eastAsia="宋体" w:cs="宋体"/>
                <w:color w:val="000000"/>
                <w:kern w:val="0"/>
                <w:sz w:val="24"/>
                <w:szCs w:val="24"/>
                <w:lang w:val="en-US" w:eastAsia="zh-CN" w:bidi="ar"/>
              </w:rPr>
              <w:t>。</w:t>
            </w:r>
          </w:p>
          <w:p>
            <w:pPr>
              <w:keepNext w:val="0"/>
              <w:keepLines w:val="0"/>
              <w:pageBreakBefore w:val="0"/>
              <w:widowControl w:val="0"/>
              <w:kinsoku/>
              <w:wordWrap/>
              <w:overflowPunct/>
              <w:topLinePunct w:val="0"/>
              <w:autoSpaceDE/>
              <w:autoSpaceDN/>
              <w:bidi w:val="0"/>
              <w:adjustRightInd/>
              <w:snapToGrid/>
              <w:spacing w:line="480" w:lineRule="exact"/>
              <w:ind w:left="0" w:leftChars="0" w:firstLine="0" w:firstLineChars="0"/>
              <w:textAlignment w:val="auto"/>
              <w:rPr>
                <w:rFonts w:ascii="宋体" w:hAnsi="宋体" w:eastAsia="宋体" w:cs="宋体"/>
                <w:sz w:val="24"/>
                <w:szCs w:val="24"/>
              </w:rPr>
            </w:pPr>
            <w:r>
              <w:rPr>
                <w:rFonts w:ascii="宋体" w:hAnsi="宋体" w:eastAsia="宋体" w:cs="宋体"/>
                <w:spacing w:val="-4"/>
                <w:sz w:val="24"/>
                <w:szCs w:val="24"/>
                <w14:textOutline w14:w="4358" w14:cap="sq" w14:cmpd="sng">
                  <w14:solidFill>
                    <w14:srgbClr w14:val="000000"/>
                  </w14:solidFill>
                  <w14:prstDash w14:val="solid"/>
                  <w14:bevel/>
                </w14:textOutline>
              </w:rPr>
              <w:t>二、</w:t>
            </w:r>
            <w:r>
              <w:rPr>
                <w:rFonts w:ascii="宋体" w:hAnsi="宋体" w:eastAsia="宋体" w:cs="宋体"/>
                <w:spacing w:val="-104"/>
                <w:sz w:val="24"/>
                <w:szCs w:val="24"/>
              </w:rPr>
              <w:t xml:space="preserve"> </w:t>
            </w:r>
            <w:r>
              <w:rPr>
                <w:rFonts w:ascii="宋体" w:hAnsi="宋体" w:eastAsia="宋体" w:cs="宋体"/>
                <w:spacing w:val="-4"/>
                <w:sz w:val="24"/>
                <w:szCs w:val="24"/>
                <w14:textOutline w14:w="4358" w14:cap="sq" w14:cmpd="sng">
                  <w14:solidFill>
                    <w14:srgbClr w14:val="000000"/>
                  </w14:solidFill>
                  <w14:prstDash w14:val="solid"/>
                  <w14:bevel/>
                </w14:textOutline>
              </w:rPr>
              <w:t>《济源市玉川产业集聚区发展规划》</w:t>
            </w:r>
            <w:r>
              <w:rPr>
                <w:rFonts w:ascii="宋体" w:hAnsi="宋体" w:eastAsia="宋体" w:cs="宋体"/>
                <w:spacing w:val="-3"/>
                <w:sz w:val="24"/>
                <w:szCs w:val="24"/>
              </w:rPr>
              <w:t xml:space="preserve"> </w:t>
            </w:r>
            <w:r>
              <w:rPr>
                <w:rFonts w:ascii="宋体" w:hAnsi="宋体" w:eastAsia="宋体" w:cs="宋体"/>
                <w:spacing w:val="-4"/>
                <w:sz w:val="24"/>
                <w:szCs w:val="24"/>
                <w14:textOutline w14:w="4358" w14:cap="sq" w14:cmpd="sng">
                  <w14:solidFill>
                    <w14:srgbClr w14:val="000000"/>
                  </w14:solidFill>
                  <w14:prstDash w14:val="solid"/>
                  <w14:bevel/>
                </w14:textOutline>
              </w:rPr>
              <w:t>规划环评要求及相符性分析</w:t>
            </w:r>
          </w:p>
          <w:p>
            <w:pPr>
              <w:keepNext w:val="0"/>
              <w:keepLines w:val="0"/>
              <w:pageBreakBefore w:val="0"/>
              <w:widowControl w:val="0"/>
              <w:kinsoku/>
              <w:wordWrap/>
              <w:overflowPunct/>
              <w:topLinePunct w:val="0"/>
              <w:autoSpaceDE/>
              <w:autoSpaceDN/>
              <w:bidi w:val="0"/>
              <w:adjustRightInd/>
              <w:snapToGrid/>
              <w:spacing w:line="420" w:lineRule="exact"/>
              <w:ind w:left="113" w:right="102" w:firstLine="476"/>
              <w:textAlignment w:val="auto"/>
              <w:rPr>
                <w:rFonts w:ascii="宋体" w:hAnsi="宋体" w:eastAsia="宋体" w:cs="宋体"/>
                <w:sz w:val="24"/>
                <w:szCs w:val="24"/>
              </w:rPr>
            </w:pPr>
            <w:r>
              <w:rPr>
                <w:rFonts w:ascii="宋体" w:hAnsi="宋体" w:eastAsia="宋体" w:cs="宋体"/>
                <w:sz w:val="24"/>
                <w:szCs w:val="24"/>
              </w:rPr>
              <w:t>根据玉川产业集聚区规划环评，项目与集聚区环境准入条件相符性分析</w:t>
            </w:r>
            <w:r>
              <w:rPr>
                <w:rFonts w:ascii="宋体" w:hAnsi="宋体" w:eastAsia="宋体" w:cs="宋体"/>
                <w:spacing w:val="-5"/>
                <w:sz w:val="24"/>
                <w:szCs w:val="24"/>
              </w:rPr>
              <w:t>如下：</w:t>
            </w:r>
          </w:p>
          <w:p>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b w:val="0"/>
                <w:bCs w:val="0"/>
                <w:kern w:val="0"/>
                <w:szCs w:val="21"/>
                <w:lang w:eastAsia="zh-CN"/>
              </w:rPr>
            </w:pPr>
            <w:r>
              <w:rPr>
                <w:rFonts w:hint="eastAsia" w:ascii="黑体" w:hAnsi="黑体" w:eastAsia="黑体" w:cs="黑体"/>
                <w:b w:val="0"/>
                <w:bCs w:val="0"/>
                <w:kern w:val="0"/>
                <w:szCs w:val="21"/>
                <w:lang w:eastAsia="zh-CN"/>
              </w:rPr>
              <w:t>项目与玉川产业集聚区规划环评相符性分析一览表</w:t>
            </w:r>
          </w:p>
          <w:tbl>
            <w:tblPr>
              <w:tblStyle w:val="16"/>
              <w:tblW w:w="74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1"/>
              <w:gridCol w:w="3217"/>
              <w:gridCol w:w="2033"/>
              <w:gridCol w:w="9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项目</w:t>
                  </w:r>
                </w:p>
              </w:tc>
              <w:tc>
                <w:tcPr>
                  <w:tcW w:w="32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规划环评要求</w:t>
                  </w:r>
                </w:p>
              </w:tc>
              <w:tc>
                <w:tcPr>
                  <w:tcW w:w="20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本项目情况</w:t>
                  </w:r>
                </w:p>
              </w:tc>
              <w:tc>
                <w:tcPr>
                  <w:tcW w:w="99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鼓励</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发展</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产业</w:t>
                  </w:r>
                </w:p>
              </w:tc>
              <w:tc>
                <w:tcPr>
                  <w:tcW w:w="32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eastAsia"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spacing w:val="-4"/>
                      <w:sz w:val="21"/>
                      <w:szCs w:val="21"/>
                    </w:rPr>
                    <w:t>属于国家产业政策鼓励类，同时符合集聚区</w:t>
                  </w:r>
                  <w:r>
                    <w:rPr>
                      <w:rFonts w:hint="default" w:ascii="Times New Roman" w:hAnsi="Times New Roman" w:eastAsia="宋体" w:cs="Times New Roman"/>
                      <w:spacing w:val="13"/>
                      <w:sz w:val="21"/>
                      <w:szCs w:val="21"/>
                    </w:rPr>
                    <w:t xml:space="preserve"> </w:t>
                  </w:r>
                  <w:r>
                    <w:rPr>
                      <w:rFonts w:hint="default" w:ascii="Times New Roman" w:hAnsi="Times New Roman" w:eastAsia="宋体" w:cs="Times New Roman"/>
                      <w:spacing w:val="-1"/>
                      <w:sz w:val="21"/>
                      <w:szCs w:val="21"/>
                    </w:rPr>
                    <w:t>产业定位的项目，有利于集聚区产业链条延伸的项目、固废综合利用的项目；</w:t>
                  </w:r>
                  <w:r>
                    <w:rPr>
                      <w:rFonts w:hint="default" w:ascii="Times New Roman" w:hAnsi="Times New Roman" w:eastAsia="宋体" w:cs="Times New Roman"/>
                      <w:spacing w:val="-4"/>
                      <w:sz w:val="21"/>
                      <w:szCs w:val="21"/>
                    </w:rPr>
                    <w:t>高新技术产业、市政基础设施、资源综合利</w:t>
                  </w:r>
                  <w:r>
                    <w:rPr>
                      <w:rFonts w:hint="default" w:ascii="Times New Roman" w:hAnsi="Times New Roman" w:eastAsia="宋体" w:cs="Times New Roman"/>
                      <w:spacing w:val="13"/>
                      <w:sz w:val="21"/>
                      <w:szCs w:val="21"/>
                    </w:rPr>
                    <w:t xml:space="preserve"> </w:t>
                  </w:r>
                  <w:r>
                    <w:rPr>
                      <w:rFonts w:hint="default" w:ascii="Times New Roman" w:hAnsi="Times New Roman" w:eastAsia="宋体" w:cs="Times New Roman"/>
                      <w:spacing w:val="-1"/>
                      <w:sz w:val="21"/>
                      <w:szCs w:val="21"/>
                    </w:rPr>
                    <w:t>用、有利于节能减排的技术改造项目；符合国家产业政策的有色金属下游产品精</w:t>
                  </w:r>
                  <w:r>
                    <w:rPr>
                      <w:rFonts w:hint="default" w:ascii="Times New Roman" w:hAnsi="Times New Roman" w:eastAsia="宋体" w:cs="Times New Roman"/>
                      <w:spacing w:val="-2"/>
                      <w:sz w:val="21"/>
                      <w:szCs w:val="21"/>
                    </w:rPr>
                    <w:t>深加工项目</w:t>
                  </w:r>
                  <w:r>
                    <w:rPr>
                      <w:rFonts w:hint="eastAsia" w:ascii="Times New Roman" w:hAnsi="Times New Roman" w:eastAsia="宋体" w:cs="Times New Roman"/>
                      <w:spacing w:val="-2"/>
                      <w:sz w:val="21"/>
                      <w:szCs w:val="21"/>
                      <w:lang w:eastAsia="zh-CN"/>
                    </w:rPr>
                    <w:t>。</w:t>
                  </w:r>
                </w:p>
              </w:tc>
              <w:tc>
                <w:tcPr>
                  <w:tcW w:w="20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hint="default" w:ascii="Times New Roman" w:hAnsi="Times New Roman" w:eastAsia="宋体" w:cs="Times New Roman"/>
                      <w:spacing w:val="-4"/>
                      <w:sz w:val="21"/>
                      <w:szCs w:val="21"/>
                    </w:rPr>
                    <w:t>本</w:t>
                  </w:r>
                  <w:r>
                    <w:rPr>
                      <w:rFonts w:hint="default" w:ascii="Times New Roman" w:hAnsi="Times New Roman" w:eastAsia="宋体" w:cs="Times New Roman"/>
                      <w:spacing w:val="-62"/>
                      <w:sz w:val="21"/>
                      <w:szCs w:val="21"/>
                    </w:rPr>
                    <w:t xml:space="preserve"> </w:t>
                  </w:r>
                  <w:r>
                    <w:rPr>
                      <w:rFonts w:hint="default" w:ascii="Times New Roman" w:hAnsi="Times New Roman" w:eastAsia="宋体" w:cs="Times New Roman"/>
                      <w:spacing w:val="-4"/>
                      <w:sz w:val="21"/>
                      <w:szCs w:val="21"/>
                    </w:rPr>
                    <w:t>项</w:t>
                  </w:r>
                  <w:r>
                    <w:rPr>
                      <w:rFonts w:hint="default" w:ascii="Times New Roman" w:hAnsi="Times New Roman" w:eastAsia="宋体" w:cs="Times New Roman"/>
                      <w:spacing w:val="-28"/>
                      <w:sz w:val="21"/>
                      <w:szCs w:val="21"/>
                    </w:rPr>
                    <w:t xml:space="preserve"> </w:t>
                  </w:r>
                  <w:r>
                    <w:rPr>
                      <w:rFonts w:hint="default" w:ascii="Times New Roman" w:hAnsi="Times New Roman" w:eastAsia="宋体" w:cs="Times New Roman"/>
                      <w:spacing w:val="-4"/>
                      <w:sz w:val="21"/>
                      <w:szCs w:val="21"/>
                    </w:rPr>
                    <w:t>目为危</w:t>
                  </w:r>
                  <w:r>
                    <w:rPr>
                      <w:rFonts w:hint="default" w:ascii="Times New Roman" w:hAnsi="Times New Roman" w:eastAsia="宋体" w:cs="Times New Roman"/>
                      <w:spacing w:val="-55"/>
                      <w:sz w:val="21"/>
                      <w:szCs w:val="21"/>
                    </w:rPr>
                    <w:t xml:space="preserve"> </w:t>
                  </w:r>
                  <w:r>
                    <w:rPr>
                      <w:rFonts w:hint="default" w:ascii="Times New Roman" w:hAnsi="Times New Roman" w:eastAsia="宋体" w:cs="Times New Roman"/>
                      <w:spacing w:val="-4"/>
                      <w:sz w:val="21"/>
                      <w:szCs w:val="21"/>
                    </w:rPr>
                    <w:t>险</w:t>
                  </w:r>
                  <w:r>
                    <w:rPr>
                      <w:rFonts w:hint="default" w:ascii="Times New Roman" w:hAnsi="Times New Roman" w:eastAsia="宋体" w:cs="Times New Roman"/>
                      <w:spacing w:val="-51"/>
                      <w:sz w:val="21"/>
                      <w:szCs w:val="21"/>
                    </w:rPr>
                    <w:t xml:space="preserve"> </w:t>
                  </w:r>
                  <w:r>
                    <w:rPr>
                      <w:rFonts w:hint="default" w:ascii="Times New Roman" w:hAnsi="Times New Roman" w:eastAsia="宋体" w:cs="Times New Roman"/>
                      <w:spacing w:val="-4"/>
                      <w:sz w:val="21"/>
                      <w:szCs w:val="21"/>
                    </w:rPr>
                    <w:t>品仓</w:t>
                  </w:r>
                  <w:r>
                    <w:rPr>
                      <w:rFonts w:hint="default" w:ascii="Times New Roman" w:hAnsi="Times New Roman" w:eastAsia="宋体" w:cs="Times New Roman"/>
                      <w:spacing w:val="-2"/>
                      <w:sz w:val="21"/>
                      <w:szCs w:val="21"/>
                    </w:rPr>
                    <w:t>储，符合产业政策和</w:t>
                  </w:r>
                  <w:r>
                    <w:rPr>
                      <w:rFonts w:hint="default" w:ascii="Times New Roman" w:hAnsi="Times New Roman" w:eastAsia="宋体" w:cs="Times New Roman"/>
                      <w:spacing w:val="2"/>
                      <w:sz w:val="21"/>
                      <w:szCs w:val="21"/>
                    </w:rPr>
                    <w:t xml:space="preserve"> </w:t>
                  </w:r>
                  <w:r>
                    <w:rPr>
                      <w:rFonts w:hint="default" w:ascii="Times New Roman" w:hAnsi="Times New Roman" w:eastAsia="宋体" w:cs="Times New Roman"/>
                      <w:spacing w:val="-2"/>
                      <w:sz w:val="21"/>
                      <w:szCs w:val="21"/>
                    </w:rPr>
                    <w:t>规划要求。</w:t>
                  </w:r>
                </w:p>
              </w:tc>
              <w:tc>
                <w:tcPr>
                  <w:tcW w:w="99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限制</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发展</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产业</w:t>
                  </w:r>
                </w:p>
              </w:tc>
              <w:tc>
                <w:tcPr>
                  <w:tcW w:w="32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hint="default" w:ascii="Times New Roman" w:hAnsi="Times New Roman" w:eastAsia="宋体" w:cs="Times New Roman"/>
                      <w:spacing w:val="-4"/>
                      <w:sz w:val="21"/>
                      <w:szCs w:val="21"/>
                    </w:rPr>
                    <w:t>国家限制类产业，区内的焦化企业及占用规 划的科研教育用地的企业；不符合集聚区主导产业定位，但与国家产业政策和集聚区规划不冲突的已有和拟入驻项目。</w:t>
                  </w:r>
                </w:p>
              </w:tc>
              <w:tc>
                <w:tcPr>
                  <w:tcW w:w="20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hint="default" w:ascii="Times New Roman" w:hAnsi="Times New Roman" w:eastAsia="宋体" w:cs="Times New Roman"/>
                      <w:spacing w:val="-4"/>
                      <w:sz w:val="21"/>
                      <w:szCs w:val="21"/>
                    </w:rPr>
                    <w:t>属于《产业结构调整 指导目录》 （2019年本）允许类项目，与 国家产业政策和集聚区规划不冲突，不属于限制类。</w:t>
                  </w:r>
                </w:p>
              </w:tc>
              <w:tc>
                <w:tcPr>
                  <w:tcW w:w="99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不相符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禁止</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发展</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产业</w:t>
                  </w:r>
                </w:p>
              </w:tc>
              <w:tc>
                <w:tcPr>
                  <w:tcW w:w="32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default" w:ascii="Times New Roman" w:hAnsi="Times New Roman" w:eastAsia="宋体" w:cs="Times New Roman"/>
                      <w:spacing w:val="-4"/>
                      <w:sz w:val="21"/>
                      <w:szCs w:val="21"/>
                    </w:rPr>
                  </w:pPr>
                  <w:r>
                    <w:rPr>
                      <w:rFonts w:hint="default" w:ascii="Times New Roman" w:hAnsi="Times New Roman" w:eastAsia="宋体" w:cs="Times New Roman"/>
                      <w:spacing w:val="-4"/>
                      <w:sz w:val="21"/>
                      <w:szCs w:val="21"/>
                    </w:rPr>
                    <w:t>不符合国家或行业产业政策要求的项目（包括：①国际上和国家各部门禁止或准备禁止 生产的项目、明令淘汰项目；②严禁引进不符合经济规模要求，经济效益差，污染严重的小企业。）废水排放量大的项目；污染严重，破坏自然生态和损害人体健康又 无治理技术或难以治理的项目；生产方式落后、高能耗、高水耗、严重浪费资源和污染资源的项目。</w:t>
                  </w:r>
                </w:p>
              </w:tc>
              <w:tc>
                <w:tcPr>
                  <w:tcW w:w="20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default"/>
                      <w:sz w:val="21"/>
                      <w:szCs w:val="21"/>
                    </w:rPr>
                  </w:pPr>
                  <w:r>
                    <w:rPr>
                      <w:rFonts w:hint="default" w:ascii="Times New Roman" w:hAnsi="Times New Roman" w:eastAsia="宋体" w:cs="Times New Roman"/>
                      <w:sz w:val="21"/>
                      <w:szCs w:val="21"/>
                    </w:rPr>
                    <w:t>本项目为危险品仓储，为允许类项目，符合国家产业政策，污染控制水平较高，不属于高耗能及严重浪费资源的禁 止 建设项目。</w:t>
                  </w:r>
                </w:p>
              </w:tc>
              <w:tc>
                <w:tcPr>
                  <w:tcW w:w="99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不相符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允许进驻产业的基本条件</w:t>
                  </w:r>
                </w:p>
              </w:tc>
              <w:tc>
                <w:tcPr>
                  <w:tcW w:w="32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105" w:firstLine="0" w:firstLineChars="0"/>
                    <w:jc w:val="left"/>
                    <w:textAlignment w:val="auto"/>
                    <w:rPr>
                      <w:rFonts w:hint="default" w:ascii="Times New Roman" w:hAnsi="Times New Roman" w:eastAsia="宋体" w:cs="Times New Roman"/>
                      <w:spacing w:val="-4"/>
                      <w:sz w:val="21"/>
                      <w:szCs w:val="21"/>
                    </w:rPr>
                  </w:pPr>
                  <w:r>
                    <w:rPr>
                      <w:rFonts w:hint="default" w:ascii="Times New Roman" w:hAnsi="Times New Roman" w:eastAsia="宋体" w:cs="Times New Roman"/>
                      <w:spacing w:val="-4"/>
                      <w:sz w:val="21"/>
                      <w:szCs w:val="21"/>
                    </w:rPr>
                    <w:t>应符合国家和行业环境保护标准、清洁生产 标准和行业准入条件要求，其中入驻的有色 金属及深加工与钢铁及深加工企业清洁生产 水平必须达到国内或国际</w:t>
                  </w:r>
                  <w:r>
                    <w:rPr>
                      <w:rFonts w:hint="eastAsia" w:ascii="Times New Roman" w:hAnsi="Times New Roman" w:eastAsia="宋体" w:cs="Times New Roman"/>
                      <w:spacing w:val="-4"/>
                      <w:sz w:val="21"/>
                      <w:szCs w:val="21"/>
                      <w:lang w:eastAsia="zh-CN"/>
                    </w:rPr>
                    <w:t>先</w:t>
                  </w:r>
                  <w:r>
                    <w:rPr>
                      <w:rFonts w:hint="default" w:ascii="Times New Roman" w:hAnsi="Times New Roman" w:eastAsia="宋体" w:cs="Times New Roman"/>
                      <w:spacing w:val="-4"/>
                      <w:sz w:val="21"/>
                      <w:szCs w:val="21"/>
                    </w:rPr>
                    <w:t>进水平要求；建设规模应符合国家产业政策的最小经济 规模要求；搬迁入驻的企业应进行产品和生产技术的 升级改造，达到国家相关规定的要求。</w:t>
                  </w:r>
                </w:p>
              </w:tc>
              <w:tc>
                <w:tcPr>
                  <w:tcW w:w="20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本项目污染物排放均满足相关标准要求。</w:t>
                  </w:r>
                </w:p>
              </w:tc>
              <w:tc>
                <w:tcPr>
                  <w:tcW w:w="99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总量控制要求</w:t>
                  </w:r>
                </w:p>
              </w:tc>
              <w:tc>
                <w:tcPr>
                  <w:tcW w:w="32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105" w:firstLine="0" w:firstLineChars="0"/>
                    <w:jc w:val="left"/>
                    <w:textAlignment w:val="auto"/>
                    <w:rPr>
                      <w:rFonts w:hint="default" w:ascii="Times New Roman" w:hAnsi="Times New Roman" w:eastAsia="宋体" w:cs="Times New Roman"/>
                      <w:b w:val="0"/>
                      <w:bCs w:val="0"/>
                      <w:kern w:val="0"/>
                      <w:sz w:val="21"/>
                      <w:szCs w:val="21"/>
                      <w:vertAlign w:val="baseline"/>
                    </w:rPr>
                  </w:pPr>
                  <w:r>
                    <w:rPr>
                      <w:rFonts w:hint="default" w:ascii="Times New Roman" w:hAnsi="Times New Roman" w:eastAsia="宋体" w:cs="Times New Roman"/>
                      <w:spacing w:val="-4"/>
                      <w:sz w:val="21"/>
                      <w:szCs w:val="21"/>
                    </w:rPr>
                    <w:t>新建项目的污染物排放指标必须满足区域 总量控制指标要求；涉及重金属污染项目，区域重金属污染物排放指标必须符合《重金属污染综合防治规化》 的要求。</w:t>
                  </w:r>
                </w:p>
              </w:tc>
              <w:tc>
                <w:tcPr>
                  <w:tcW w:w="20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本项目不排放重金属，排放的废水能够满足总量控制指标要求。</w:t>
                  </w:r>
                </w:p>
              </w:tc>
              <w:tc>
                <w:tcPr>
                  <w:tcW w:w="99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bl>
          <w:p>
            <w:pPr>
              <w:pStyle w:val="7"/>
              <w:keepLines w:val="0"/>
              <w:pageBreakBefore w:val="0"/>
              <w:widowControl w:val="0"/>
              <w:kinsoku/>
              <w:wordWrap/>
              <w:topLinePunct w:val="0"/>
              <w:bidi w:val="0"/>
              <w:spacing w:after="0" w:line="420" w:lineRule="exact"/>
              <w:ind w:left="0" w:leftChars="0" w:firstLine="480"/>
              <w:textAlignment w:val="auto"/>
              <w:rPr>
                <w:highlight w:val="yellow"/>
              </w:rPr>
            </w:pPr>
            <w:r>
              <w:rPr>
                <w:rFonts w:hint="eastAsia"/>
                <w:szCs w:val="24"/>
                <w:lang w:val="en-US" w:eastAsia="zh-CN"/>
              </w:rPr>
              <w:t>由上表可知，本项目符合济源市玉川产业集聚区规划环评要求。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35" w:hRule="atLeast"/>
          <w:jc w:val="center"/>
        </w:trPr>
        <w:tc>
          <w:tcPr>
            <w:tcW w:w="1200" w:type="dxa"/>
            <w:noWrap w:val="0"/>
            <w:vAlign w:val="center"/>
          </w:tcPr>
          <w:p>
            <w:pPr>
              <w:autoSpaceDE w:val="0"/>
              <w:autoSpaceDN w:val="0"/>
              <w:adjustRightInd w:val="0"/>
              <w:snapToGrid w:val="0"/>
              <w:ind w:left="-120" w:leftChars="-50" w:right="-120" w:rightChars="-50" w:firstLine="0" w:firstLineChars="0"/>
              <w:jc w:val="center"/>
              <w:rPr>
                <w:rFonts w:ascii="宋体" w:hAnsi="宋体" w:cs="宋体"/>
                <w:kern w:val="0"/>
              </w:rPr>
            </w:pPr>
            <w:r>
              <w:rPr>
                <w:rFonts w:hint="eastAsia" w:ascii="宋体" w:hAnsi="宋体" w:cs="宋体"/>
                <w:kern w:val="0"/>
              </w:rPr>
              <w:t>其他符合性</w:t>
            </w:r>
          </w:p>
          <w:p>
            <w:pPr>
              <w:autoSpaceDE w:val="0"/>
              <w:autoSpaceDN w:val="0"/>
              <w:adjustRightInd w:val="0"/>
              <w:snapToGrid w:val="0"/>
              <w:spacing w:line="280" w:lineRule="exact"/>
              <w:ind w:left="-72" w:leftChars="-30" w:right="-72" w:rightChars="-30" w:firstLine="0" w:firstLineChars="0"/>
              <w:jc w:val="center"/>
              <w:rPr>
                <w:kern w:val="0"/>
              </w:rPr>
            </w:pPr>
            <w:r>
              <w:rPr>
                <w:rFonts w:hint="eastAsia" w:ascii="宋体" w:hAnsi="宋体" w:cs="宋体"/>
                <w:kern w:val="0"/>
              </w:rPr>
              <w:t>分析</w:t>
            </w:r>
          </w:p>
        </w:tc>
        <w:tc>
          <w:tcPr>
            <w:tcW w:w="7670" w:type="dxa"/>
            <w:gridSpan w:val="3"/>
            <w:noWrap w:val="0"/>
            <w:vAlign w:val="top"/>
          </w:tcPr>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textAlignment w:val="auto"/>
              <w:rPr>
                <w:rFonts w:ascii="宋体" w:hAnsi="宋体" w:eastAsia="宋体" w:cs="宋体"/>
                <w:sz w:val="24"/>
                <w:szCs w:val="24"/>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一</w:t>
            </w:r>
            <w:r>
              <w:rPr>
                <w:rFonts w:ascii="宋体" w:hAnsi="宋体" w:eastAsia="宋体" w:cs="宋体"/>
                <w:spacing w:val="-4"/>
                <w:sz w:val="24"/>
                <w:szCs w:val="24"/>
                <w14:textOutline w14:w="4358" w14:cap="sq" w14:cmpd="sng">
                  <w14:solidFill>
                    <w14:srgbClr w14:val="000000"/>
                  </w14:solidFill>
                  <w14:prstDash w14:val="solid"/>
                  <w14:bevel/>
                </w14:textOutline>
              </w:rPr>
              <w:t>、</w:t>
            </w:r>
            <w:r>
              <w:rPr>
                <w:rFonts w:ascii="宋体" w:hAnsi="宋体" w:eastAsia="宋体" w:cs="宋体"/>
                <w:spacing w:val="-104"/>
                <w:sz w:val="24"/>
                <w:szCs w:val="24"/>
              </w:rPr>
              <w:t xml:space="preserve"> </w:t>
            </w:r>
            <w:r>
              <w:rPr>
                <w:rFonts w:ascii="宋体" w:hAnsi="宋体" w:eastAsia="宋体" w:cs="宋体"/>
                <w:spacing w:val="-3"/>
                <w:sz w:val="24"/>
                <w:szCs w:val="24"/>
                <w14:textOutline w14:w="4358" w14:cap="sq" w14:cmpd="sng">
                  <w14:solidFill>
                    <w14:srgbClr w14:val="000000"/>
                  </w14:solidFill>
                  <w14:prstDash w14:val="solid"/>
                  <w14:bevel/>
                </w14:textOutline>
              </w:rPr>
              <w:t>饮用水源保护规划</w:t>
            </w:r>
          </w:p>
          <w:p>
            <w:pPr>
              <w:keepNext w:val="0"/>
              <w:keepLines w:val="0"/>
              <w:pageBreakBefore w:val="0"/>
              <w:widowControl w:val="0"/>
              <w:kinsoku/>
              <w:wordWrap/>
              <w:overflowPunct/>
              <w:topLinePunct w:val="0"/>
              <w:autoSpaceDE/>
              <w:autoSpaceDN/>
              <w:bidi w:val="0"/>
              <w:adjustRightInd/>
              <w:snapToGrid w:val="0"/>
              <w:spacing w:line="420" w:lineRule="exact"/>
              <w:ind w:firstLine="468" w:firstLineChars="200"/>
              <w:textAlignment w:val="auto"/>
              <w:rPr>
                <w:rFonts w:hint="eastAsia" w:eastAsia="宋体"/>
                <w:sz w:val="24"/>
                <w:lang w:val="en-US" w:eastAsia="zh-CN"/>
              </w:rPr>
            </w:pPr>
            <w:r>
              <w:rPr>
                <w:rFonts w:hint="eastAsia" w:ascii="宋体" w:hAnsi="宋体" w:cs="宋体"/>
                <w:spacing w:val="-3"/>
                <w:sz w:val="24"/>
                <w:szCs w:val="24"/>
                <w:lang w:val="en-US" w:eastAsia="zh-CN"/>
                <w14:textOutline w14:w="4358" w14:cap="sq" w14:cmpd="sng">
                  <w14:solidFill>
                    <w14:srgbClr w14:val="000000"/>
                  </w14:solidFill>
                  <w14:prstDash w14:val="solid"/>
                  <w14:bevel/>
                </w14:textOutline>
              </w:rPr>
              <w:t>1、</w:t>
            </w:r>
            <w:r>
              <w:rPr>
                <w:rFonts w:ascii="宋体" w:hAnsi="宋体" w:eastAsia="宋体" w:cs="宋体"/>
                <w:spacing w:val="-3"/>
                <w:sz w:val="24"/>
                <w:szCs w:val="24"/>
                <w14:textOutline w14:w="4358" w14:cap="sq" w14:cmpd="sng">
                  <w14:solidFill>
                    <w14:srgbClr w14:val="000000"/>
                  </w14:solidFill>
                  <w14:prstDash w14:val="solid"/>
                  <w14:bevel/>
                </w14:textOutline>
              </w:rPr>
              <w:t>济源市</w:t>
            </w:r>
            <w:r>
              <w:rPr>
                <w:rFonts w:hint="eastAsia" w:ascii="宋体" w:hAnsi="宋体" w:cs="宋体"/>
                <w:spacing w:val="-3"/>
                <w:sz w:val="24"/>
                <w:szCs w:val="24"/>
                <w:lang w:eastAsia="zh-CN"/>
                <w14:textOutline w14:w="4358" w14:cap="sq" w14:cmpd="sng">
                  <w14:solidFill>
                    <w14:srgbClr w14:val="000000"/>
                  </w14:solidFill>
                  <w14:prstDash w14:val="solid"/>
                  <w14:bevel/>
                </w14:textOutline>
              </w:rPr>
              <w:t>饮用水源保护规划</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rFonts w:hint="eastAsia"/>
                <w:sz w:val="24"/>
              </w:rPr>
              <w:t>根据《河南省人民政府关于划定调整取消部分集中式饮用水水源保护区的通知》（豫政文[2019]125号）</w:t>
            </w:r>
            <w:r>
              <w:rPr>
                <w:sz w:val="24"/>
              </w:rPr>
              <w:t>，济源市水源保护区划分结果如下：</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sz w:val="24"/>
              </w:rPr>
              <w:t>（1）小庄水源地</w:t>
            </w:r>
            <w:r>
              <w:rPr>
                <w:rFonts w:hint="eastAsia"/>
                <w:sz w:val="24"/>
              </w:rPr>
              <w:t>（共14眼井）</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sz w:val="24"/>
              </w:rPr>
              <w:t>一级保护区</w:t>
            </w:r>
            <w:r>
              <w:rPr>
                <w:rFonts w:hint="eastAsia"/>
                <w:sz w:val="24"/>
              </w:rPr>
              <w:t>：井群外包线以内及外围245米至济克路交通量观测站--丰田路（原济克路）西侧红线--济世药业公司西边界--灵山北坡脚线的区域</w:t>
            </w:r>
            <w:r>
              <w:rPr>
                <w:sz w:val="24"/>
              </w:rPr>
              <w:t>。</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sz w:val="24"/>
              </w:rPr>
              <w:t>二级保护区</w:t>
            </w:r>
            <w:r>
              <w:rPr>
                <w:rFonts w:hint="eastAsia"/>
                <w:sz w:val="24"/>
              </w:rPr>
              <w:t>：一级保护区外，东至侯月铁路西侧红线、西至大郭富村东界--塘石村东界--洛峪新村东界、南至洛峪新村北界--灵山村北界、北至济源市第五中学南侧道路的区域。</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rFonts w:hint="eastAsia"/>
                <w:sz w:val="24"/>
              </w:rPr>
              <w:t>准保护区：二级保护区外，东至侯月铁路西侧红线、西至克留线（道路）东侧红线、南至范寺村北界--洛峪新村西界、北至任庄煤矿南边界的区域。</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sz w:val="24"/>
              </w:rPr>
              <w:t>（2）柴庄水源地</w:t>
            </w:r>
            <w:r>
              <w:rPr>
                <w:rFonts w:hint="eastAsia"/>
                <w:sz w:val="24"/>
              </w:rPr>
              <w:t>（共4眼井）</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sz w:val="24"/>
              </w:rPr>
              <w:t>一级保护区为</w:t>
            </w:r>
            <w:r>
              <w:rPr>
                <w:rFonts w:hint="eastAsia"/>
                <w:sz w:val="24"/>
              </w:rPr>
              <w:t>：C1取水井外围245米东至龙潭生态园中心道路旁篮球场西边界、西至西环路东侧红线的矩形区域；C2取水井外围245米东至柴庄村东侧道路、南至C2取水井南260米道路北边界的矩形区域；C3取水井外围245米东至西环路西侧红线、南至蟒河堤岸的矩形区域；C4取水井外围245米的矩形区域。</w:t>
            </w:r>
          </w:p>
          <w:p>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textAlignment w:val="auto"/>
              <w:rPr>
                <w:sz w:val="24"/>
              </w:rPr>
            </w:pPr>
            <w:r>
              <w:rPr>
                <w:sz w:val="24"/>
              </w:rPr>
              <w:t>二级保护区</w:t>
            </w:r>
            <w:r>
              <w:rPr>
                <w:rFonts w:hint="eastAsia"/>
                <w:sz w:val="24"/>
              </w:rPr>
              <w:t>：一级保护区外，东至伯王庄村--南贾庄村--北潘村的“村村通”道路、西至石牛村东界、南至济邵路北侧红线--西二环道路东侧红线--北海大道西段北侧红线、北至洛峪新村北界--灵山村北界--小庄村北的区域。</w:t>
            </w:r>
          </w:p>
          <w:p>
            <w:pPr>
              <w:pStyle w:val="5"/>
              <w:keepNext w:val="0"/>
              <w:keepLines w:val="0"/>
              <w:pageBreakBefore w:val="0"/>
              <w:widowControl w:val="0"/>
              <w:numPr>
                <w:ilvl w:val="0"/>
                <w:numId w:val="1"/>
              </w:numPr>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河口村水库水源地</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一级保护区界定范围：</w:t>
            </w:r>
            <w:r>
              <w:rPr>
                <w:rFonts w:hint="eastAsia"/>
                <w:sz w:val="24"/>
                <w:szCs w:val="24"/>
              </w:rPr>
              <w:t>水库大坝至上游830米，正常水位线（275米）以内的区域及正常水位线以外水库左右岸第一重山脊线内的区域；取水池及下游东至溢洪道西边界、西至低位水电站东侧、南至河道护坡北边界的区域。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rFonts w:hint="eastAsia"/>
                <w:sz w:val="24"/>
                <w:szCs w:val="24"/>
              </w:rPr>
              <w:t>二级保护区：一级保护区外至水库上游3000米正常水位线以内的区域及正常水位线以外左右岸第一重山脊线内的区域。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rFonts w:hint="eastAsia"/>
                <w:sz w:val="24"/>
                <w:szCs w:val="24"/>
              </w:rPr>
              <w:t>准保护区：二级保护区外至水库上游4000米（圪了滩猕猴过河索桥处）正常水位线以内的区域及正常水位线以外水库左右岸第一重山脊线济源市境内的区域。</w:t>
            </w:r>
          </w:p>
          <w:p>
            <w:pPr>
              <w:keepNext w:val="0"/>
              <w:keepLines w:val="0"/>
              <w:pageBreakBefore w:val="0"/>
              <w:widowControl w:val="0"/>
              <w:kinsoku/>
              <w:wordWrap/>
              <w:overflowPunct/>
              <w:topLinePunct w:val="0"/>
              <w:autoSpaceDE/>
              <w:autoSpaceDN/>
              <w:bidi w:val="0"/>
              <w:adjustRightInd/>
              <w:snapToGrid w:val="0"/>
              <w:spacing w:line="400" w:lineRule="exact"/>
              <w:ind w:firstLine="468" w:firstLineChars="200"/>
              <w:textAlignment w:val="auto"/>
              <w:rPr>
                <w:rFonts w:hint="eastAsia" w:ascii="宋体" w:hAnsi="宋体" w:cs="宋体"/>
                <w:spacing w:val="-3"/>
                <w:sz w:val="24"/>
                <w:szCs w:val="24"/>
                <w:lang w:val="en-US" w:eastAsia="zh-CN"/>
                <w14:textOutline w14:w="4358" w14:cap="sq" w14:cmpd="sng">
                  <w14:solidFill>
                    <w14:srgbClr w14:val="000000"/>
                  </w14:solidFill>
                  <w14:prstDash w14:val="solid"/>
                  <w14:bevel/>
                </w14:textOutline>
              </w:rPr>
            </w:pPr>
            <w:r>
              <w:rPr>
                <w:rFonts w:hint="eastAsia" w:ascii="宋体" w:hAnsi="宋体" w:cs="宋体"/>
                <w:spacing w:val="-3"/>
                <w:sz w:val="24"/>
                <w:szCs w:val="24"/>
                <w:lang w:val="en-US" w:eastAsia="zh-CN"/>
                <w14:textOutline w14:w="4358" w14:cap="sq" w14:cmpd="sng">
                  <w14:solidFill>
                    <w14:srgbClr w14:val="000000"/>
                  </w14:solidFill>
                  <w14:prstDash w14:val="solid"/>
                  <w14:bevel/>
                </w14:textOutline>
              </w:rPr>
              <w:t>2、河南省乡镇集中式饮用水水源保护区划</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按照《中华人民共和国水污染防治法》《中华人民共和国水法》的有关要求，依据《饮用水水源保护区划分技术规范(HJ/T338—2007)》，划定乡镇级集中式饮用水水源保护区。</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①济源市梨林镇地下水井群(共4眼井)</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一级保护区范围:水厂厂区及外围东670米、西670米、南480米、北至沁河中泓线的区域。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②济源市王屋镇天坛山水库</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一级保护区范围:水库正常水位线(577米)以下区域及取水口南、北两侧正常水位线以上200米但不超过流域分水岭的区域。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二级保护区范围:一级保护区外，入库主河流上溯2000米河道内及两侧分水岭内的区域。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准保护区范围:二级保护区外，济源市境内的全部汇水区域。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③济源市邵原镇布袋沟水库</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一级保护区范围：水库正常水位线(753米)以下的区域,取水口东、西两侧正常水位线以上200米但不超过分水岭的区域。</w:t>
            </w:r>
          </w:p>
          <w:p>
            <w:pPr>
              <w:pStyle w:val="5"/>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sz w:val="24"/>
                <w:szCs w:val="24"/>
              </w:rPr>
            </w:pPr>
            <w:r>
              <w:rPr>
                <w:sz w:val="24"/>
                <w:szCs w:val="24"/>
              </w:rPr>
              <w:t>二级保护区范围：一级保护区外，入库主河流上溯2000米河道内及两侧分水岭内的区域。</w:t>
            </w:r>
          </w:p>
          <w:p>
            <w:pPr>
              <w:pStyle w:val="9"/>
              <w:keepNext w:val="0"/>
              <w:keepLines w:val="0"/>
              <w:pageBreakBefore w:val="0"/>
              <w:widowControl w:val="0"/>
              <w:kinsoku/>
              <w:wordWrap/>
              <w:overflowPunct/>
              <w:topLinePunct w:val="0"/>
              <w:autoSpaceDE/>
              <w:autoSpaceDN/>
              <w:bidi w:val="0"/>
              <w:adjustRightInd/>
              <w:snapToGrid w:val="0"/>
              <w:spacing w:line="400" w:lineRule="exact"/>
              <w:ind w:firstLine="480"/>
              <w:textAlignment w:val="auto"/>
              <w:rPr>
                <w:rFonts w:ascii="Times New Roman" w:hAnsi="Times New Roman"/>
                <w:sz w:val="24"/>
              </w:rPr>
            </w:pPr>
            <w:r>
              <w:rPr>
                <w:rFonts w:ascii="Times New Roman" w:hAnsi="Times New Roman"/>
                <w:sz w:val="24"/>
              </w:rPr>
              <w:t>准保护区范围：二级保护区外，济源市境内的全部汇水区域。</w:t>
            </w:r>
          </w:p>
          <w:p>
            <w:pPr>
              <w:keepNext w:val="0"/>
              <w:keepLines w:val="0"/>
              <w:pageBreakBefore w:val="0"/>
              <w:widowControl w:val="0"/>
              <w:kinsoku/>
              <w:wordWrap/>
              <w:overflowPunct/>
              <w:topLinePunct w:val="0"/>
              <w:autoSpaceDE/>
              <w:autoSpaceDN/>
              <w:bidi w:val="0"/>
              <w:adjustRightInd/>
              <w:spacing w:line="400" w:lineRule="exact"/>
              <w:ind w:firstLine="480" w:firstLineChars="200"/>
              <w:textAlignment w:val="auto"/>
              <w:rPr>
                <w:bCs/>
                <w:color w:val="000000"/>
                <w:sz w:val="24"/>
                <w:szCs w:val="22"/>
              </w:rPr>
            </w:pPr>
            <w:r>
              <w:rPr>
                <w:bCs/>
                <w:color w:val="000000"/>
                <w:sz w:val="24"/>
                <w:szCs w:val="22"/>
              </w:rPr>
              <w:t>经调查项目不在济源市集中式饮用水水源保护区范围之内，也不在济源市乡镇级集中式饮用水水源保护区，距离最近的</w:t>
            </w:r>
            <w:r>
              <w:rPr>
                <w:rFonts w:hint="eastAsia"/>
                <w:bCs/>
                <w:color w:val="000000"/>
                <w:sz w:val="24"/>
                <w:szCs w:val="22"/>
                <w:lang w:eastAsia="zh-CN"/>
              </w:rPr>
              <w:t>小庄</w:t>
            </w:r>
            <w:r>
              <w:rPr>
                <w:bCs/>
                <w:color w:val="000000"/>
                <w:sz w:val="24"/>
                <w:szCs w:val="22"/>
              </w:rPr>
              <w:t>饮用水源</w:t>
            </w:r>
            <w:r>
              <w:rPr>
                <w:rFonts w:hint="eastAsia"/>
                <w:bCs/>
                <w:color w:val="000000"/>
                <w:sz w:val="24"/>
                <w:szCs w:val="22"/>
                <w:lang w:eastAsia="zh-CN"/>
              </w:rPr>
              <w:t>准</w:t>
            </w:r>
            <w:r>
              <w:rPr>
                <w:bCs/>
                <w:color w:val="000000"/>
                <w:sz w:val="24"/>
                <w:szCs w:val="22"/>
              </w:rPr>
              <w:t>保护区</w:t>
            </w:r>
            <w:r>
              <w:rPr>
                <w:rFonts w:hint="eastAsia"/>
                <w:bCs/>
                <w:color w:val="000000"/>
                <w:sz w:val="24"/>
                <w:szCs w:val="22"/>
                <w:lang w:eastAsia="zh-CN"/>
              </w:rPr>
              <w:t>东南</w:t>
            </w:r>
            <w:r>
              <w:rPr>
                <w:bCs/>
                <w:color w:val="000000"/>
                <w:sz w:val="24"/>
                <w:szCs w:val="22"/>
              </w:rPr>
              <w:t>边界</w:t>
            </w:r>
            <w:r>
              <w:rPr>
                <w:rFonts w:hint="eastAsia"/>
                <w:bCs/>
                <w:color w:val="000000"/>
                <w:sz w:val="24"/>
                <w:szCs w:val="22"/>
                <w:lang w:val="en-US" w:eastAsia="zh-CN"/>
              </w:rPr>
              <w:t>550</w:t>
            </w:r>
            <w:r>
              <w:rPr>
                <w:bCs/>
                <w:color w:val="000000"/>
                <w:sz w:val="24"/>
                <w:szCs w:val="22"/>
              </w:rPr>
              <w:t>m</w:t>
            </w:r>
            <w:r>
              <w:rPr>
                <w:rFonts w:hint="eastAsia"/>
                <w:bCs/>
                <w:color w:val="000000"/>
                <w:sz w:val="24"/>
                <w:szCs w:val="22"/>
              </w:rPr>
              <w:t>，项目所在地不在饮用水源保护区补给径流区，</w:t>
            </w:r>
            <w:r>
              <w:rPr>
                <w:bCs/>
                <w:color w:val="000000"/>
                <w:sz w:val="24"/>
                <w:szCs w:val="22"/>
              </w:rPr>
              <w:t>不会对</w:t>
            </w:r>
            <w:r>
              <w:rPr>
                <w:rFonts w:hint="eastAsia"/>
                <w:bCs/>
                <w:color w:val="000000"/>
                <w:sz w:val="24"/>
                <w:szCs w:val="22"/>
                <w:lang w:eastAsia="zh-CN"/>
              </w:rPr>
              <w:t>小庄</w:t>
            </w:r>
            <w:r>
              <w:rPr>
                <w:bCs/>
                <w:color w:val="000000"/>
                <w:sz w:val="24"/>
                <w:szCs w:val="22"/>
              </w:rPr>
              <w:t>饮用水源地环境造成影响</w:t>
            </w:r>
            <w:r>
              <w:rPr>
                <w:bCs/>
                <w:sz w:val="24"/>
                <w:szCs w:val="22"/>
              </w:rPr>
              <w:t>。项目与饮用水源地的位置关系示意图见附</w:t>
            </w:r>
            <w:r>
              <w:rPr>
                <w:bCs/>
                <w:sz w:val="24"/>
                <w:szCs w:val="22"/>
                <w:highlight w:val="none"/>
              </w:rPr>
              <w:t>图</w:t>
            </w:r>
            <w:r>
              <w:rPr>
                <w:rFonts w:hint="eastAsia"/>
                <w:bCs/>
                <w:sz w:val="24"/>
                <w:szCs w:val="22"/>
                <w:highlight w:val="none"/>
                <w:lang w:val="en-US" w:eastAsia="zh-CN"/>
              </w:rPr>
              <w:t>5</w:t>
            </w:r>
            <w:r>
              <w:rPr>
                <w:bCs/>
                <w:sz w:val="24"/>
                <w:szCs w:val="22"/>
              </w:rPr>
              <w:t>。</w:t>
            </w:r>
          </w:p>
          <w:p>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二</w:t>
            </w:r>
            <w:r>
              <w:rPr>
                <w:rFonts w:ascii="宋体" w:hAnsi="宋体" w:eastAsia="宋体" w:cs="宋体"/>
                <w:spacing w:val="-4"/>
                <w:sz w:val="24"/>
                <w:szCs w:val="24"/>
                <w14:textOutline w14:w="4358" w14:cap="sq" w14:cmpd="sng">
                  <w14:solidFill>
                    <w14:srgbClr w14:val="000000"/>
                  </w14:solidFill>
                  <w14:prstDash w14:val="solid"/>
                  <w14:bevel/>
                </w14:textOutline>
              </w:rPr>
              <w:t>、</w:t>
            </w:r>
            <w:r>
              <w:rPr>
                <w:rFonts w:ascii="宋体" w:hAnsi="宋体" w:eastAsia="宋体" w:cs="宋体"/>
                <w:spacing w:val="-104"/>
                <w:sz w:val="24"/>
                <w:szCs w:val="24"/>
              </w:rPr>
              <w:t xml:space="preserve"> </w:t>
            </w:r>
            <w:r>
              <w:rPr>
                <w:rFonts w:hint="eastAsia" w:ascii="宋体" w:hAnsi="宋体" w:cs="宋体"/>
                <w:spacing w:val="-3"/>
                <w:sz w:val="24"/>
                <w:szCs w:val="24"/>
                <w:lang w:eastAsia="zh-CN"/>
                <w14:textOutline w14:w="4358" w14:cap="sq" w14:cmpd="sng">
                  <w14:solidFill>
                    <w14:srgbClr w14:val="000000"/>
                  </w14:solidFill>
                  <w14:prstDash w14:val="solid"/>
                  <w14:bevel/>
                </w14:textOutline>
              </w:rPr>
              <w:t>与《济源示范区“三线一单”》相符性分析</w:t>
            </w:r>
          </w:p>
          <w:p>
            <w:pPr>
              <w:keepNext w:val="0"/>
              <w:keepLines w:val="0"/>
              <w:pageBreakBefore w:val="0"/>
              <w:widowControl w:val="0"/>
              <w:kinsoku/>
              <w:wordWrap/>
              <w:overflowPunct/>
              <w:topLinePunct w:val="0"/>
              <w:autoSpaceDE/>
              <w:autoSpaceDN/>
              <w:bidi w:val="0"/>
              <w:adjustRightInd/>
              <w:snapToGrid/>
              <w:spacing w:line="400" w:lineRule="exact"/>
              <w:ind w:left="110" w:right="103" w:firstLine="479"/>
              <w:textAlignment w:val="auto"/>
              <w:rPr>
                <w:rFonts w:ascii="宋体" w:hAnsi="宋体" w:eastAsia="宋体" w:cs="宋体"/>
                <w:sz w:val="24"/>
                <w:szCs w:val="24"/>
              </w:rPr>
            </w:pPr>
            <w:r>
              <w:rPr>
                <w:rFonts w:ascii="宋体" w:hAnsi="宋体" w:eastAsia="宋体" w:cs="宋体"/>
                <w:spacing w:val="-5"/>
                <w:sz w:val="24"/>
                <w:szCs w:val="24"/>
              </w:rPr>
              <w:t>根据《河南省“三线一单”研究报告》</w:t>
            </w:r>
            <w:r>
              <w:rPr>
                <w:rFonts w:ascii="宋体" w:hAnsi="宋体" w:eastAsia="宋体" w:cs="宋体"/>
                <w:spacing w:val="54"/>
                <w:sz w:val="24"/>
                <w:szCs w:val="24"/>
              </w:rPr>
              <w:t xml:space="preserve"> </w:t>
            </w:r>
            <w:r>
              <w:rPr>
                <w:rFonts w:ascii="宋体" w:hAnsi="宋体" w:eastAsia="宋体" w:cs="宋体"/>
                <w:spacing w:val="-5"/>
                <w:sz w:val="24"/>
                <w:szCs w:val="24"/>
              </w:rPr>
              <w:t>，济源示范区已确定生态保护红</w:t>
            </w:r>
            <w:r>
              <w:rPr>
                <w:rFonts w:ascii="宋体" w:hAnsi="宋体" w:eastAsia="宋体" w:cs="宋体"/>
                <w:sz w:val="24"/>
                <w:szCs w:val="24"/>
              </w:rPr>
              <w:t xml:space="preserve"> 线、环境质量底线、资源利用上线，并提出了示范区生态环境总体准入要求</w:t>
            </w:r>
            <w:r>
              <w:rPr>
                <w:rFonts w:ascii="宋体" w:hAnsi="宋体" w:eastAsia="宋体" w:cs="宋体"/>
                <w:spacing w:val="18"/>
                <w:sz w:val="24"/>
                <w:szCs w:val="24"/>
              </w:rPr>
              <w:t xml:space="preserve"> </w:t>
            </w:r>
            <w:r>
              <w:rPr>
                <w:rFonts w:ascii="宋体" w:hAnsi="宋体" w:eastAsia="宋体" w:cs="宋体"/>
                <w:spacing w:val="-1"/>
                <w:sz w:val="24"/>
                <w:szCs w:val="24"/>
              </w:rPr>
              <w:t>和环境管控单元生态环境准入清单。</w:t>
            </w:r>
          </w:p>
          <w:p>
            <w:pPr>
              <w:keepNext w:val="0"/>
              <w:keepLines w:val="0"/>
              <w:pageBreakBefore w:val="0"/>
              <w:widowControl w:val="0"/>
              <w:kinsoku/>
              <w:wordWrap/>
              <w:overflowPunct/>
              <w:topLinePunct w:val="0"/>
              <w:autoSpaceDE/>
              <w:autoSpaceDN/>
              <w:bidi w:val="0"/>
              <w:adjustRightInd/>
              <w:snapToGrid/>
              <w:spacing w:line="400" w:lineRule="exact"/>
              <w:ind w:firstLine="595"/>
              <w:textAlignment w:val="auto"/>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1</w:t>
            </w:r>
            <w:r>
              <w:rPr>
                <w:rFonts w:ascii="宋体" w:hAnsi="宋体" w:eastAsia="宋体" w:cs="宋体"/>
                <w:spacing w:val="-1"/>
                <w:sz w:val="24"/>
                <w:szCs w:val="24"/>
              </w:rPr>
              <w:t>）示范区生态环境总体准入要求</w:t>
            </w:r>
          </w:p>
          <w:p>
            <w:pPr>
              <w:keepNext w:val="0"/>
              <w:keepLines w:val="0"/>
              <w:pageBreakBefore w:val="0"/>
              <w:widowControl w:val="0"/>
              <w:kinsoku/>
              <w:wordWrap/>
              <w:overflowPunct/>
              <w:topLinePunct w:val="0"/>
              <w:autoSpaceDE/>
              <w:autoSpaceDN/>
              <w:bidi w:val="0"/>
              <w:adjustRightInd/>
              <w:snapToGrid/>
              <w:spacing w:line="400" w:lineRule="exact"/>
              <w:ind w:left="124" w:right="103" w:firstLine="466"/>
              <w:textAlignment w:val="auto"/>
              <w:rPr>
                <w:rFonts w:ascii="宋体" w:hAnsi="宋体" w:eastAsia="宋体" w:cs="宋体"/>
                <w:sz w:val="24"/>
                <w:szCs w:val="24"/>
              </w:rPr>
            </w:pPr>
            <w:r>
              <w:rPr>
                <w:rFonts w:ascii="宋体" w:hAnsi="宋体" w:eastAsia="宋体" w:cs="宋体"/>
                <w:sz w:val="24"/>
                <w:szCs w:val="24"/>
              </w:rPr>
              <w:t>生态环境总体准入要求包括空间布局约束、污染物排放控制、环境风险</w:t>
            </w:r>
            <w:r>
              <w:rPr>
                <w:rFonts w:ascii="宋体" w:hAnsi="宋体" w:eastAsia="宋体" w:cs="宋体"/>
                <w:spacing w:val="17"/>
                <w:sz w:val="24"/>
                <w:szCs w:val="24"/>
              </w:rPr>
              <w:t xml:space="preserve"> </w:t>
            </w:r>
            <w:r>
              <w:rPr>
                <w:rFonts w:ascii="宋体" w:hAnsi="宋体" w:eastAsia="宋体" w:cs="宋体"/>
                <w:spacing w:val="-2"/>
                <w:sz w:val="24"/>
                <w:szCs w:val="24"/>
              </w:rPr>
              <w:t>防控、资源利用效率要求四个维度。</w:t>
            </w:r>
          </w:p>
          <w:p>
            <w:pPr>
              <w:keepNext w:val="0"/>
              <w:keepLines w:val="0"/>
              <w:pageBreakBefore w:val="0"/>
              <w:widowControl w:val="0"/>
              <w:kinsoku/>
              <w:wordWrap/>
              <w:overflowPunct/>
              <w:topLinePunct w:val="0"/>
              <w:autoSpaceDE/>
              <w:autoSpaceDN/>
              <w:bidi w:val="0"/>
              <w:adjustRightInd/>
              <w:snapToGrid/>
              <w:spacing w:line="400" w:lineRule="exact"/>
              <w:ind w:firstLine="595"/>
              <w:textAlignment w:val="auto"/>
              <w:rPr>
                <w:rFonts w:ascii="宋体" w:hAnsi="宋体" w:eastAsia="宋体" w:cs="宋体"/>
                <w:sz w:val="24"/>
                <w:szCs w:val="24"/>
              </w:rPr>
            </w:pPr>
            <w:r>
              <w:rPr>
                <w:rFonts w:ascii="宋体" w:hAnsi="宋体" w:eastAsia="宋体" w:cs="宋体"/>
                <w:spacing w:val="-1"/>
                <w:sz w:val="24"/>
                <w:szCs w:val="24"/>
              </w:rPr>
              <w:t>（</w:t>
            </w:r>
            <w:r>
              <w:rPr>
                <w:rFonts w:ascii="Times New Roman" w:hAnsi="Times New Roman" w:eastAsia="Times New Roman" w:cs="Times New Roman"/>
                <w:spacing w:val="-1"/>
                <w:sz w:val="24"/>
                <w:szCs w:val="24"/>
              </w:rPr>
              <w:t>2</w:t>
            </w:r>
            <w:r>
              <w:rPr>
                <w:rFonts w:ascii="宋体" w:hAnsi="宋体" w:eastAsia="宋体" w:cs="宋体"/>
                <w:spacing w:val="-1"/>
                <w:sz w:val="24"/>
                <w:szCs w:val="24"/>
              </w:rPr>
              <w:t>）示范区环境管控单元生态环境准入清单</w:t>
            </w:r>
          </w:p>
          <w:p>
            <w:pPr>
              <w:keepNext w:val="0"/>
              <w:keepLines w:val="0"/>
              <w:pageBreakBefore w:val="0"/>
              <w:widowControl w:val="0"/>
              <w:kinsoku/>
              <w:wordWrap/>
              <w:overflowPunct/>
              <w:topLinePunct w:val="0"/>
              <w:autoSpaceDE/>
              <w:autoSpaceDN/>
              <w:bidi w:val="0"/>
              <w:adjustRightInd/>
              <w:snapToGrid/>
              <w:spacing w:line="400" w:lineRule="exact"/>
              <w:ind w:left="111" w:right="103" w:firstLine="478"/>
              <w:textAlignment w:val="auto"/>
              <w:rPr>
                <w:rFonts w:ascii="宋体" w:hAnsi="宋体" w:eastAsia="宋体" w:cs="宋体"/>
                <w:sz w:val="24"/>
                <w:szCs w:val="24"/>
              </w:rPr>
            </w:pPr>
            <w:r>
              <w:rPr>
                <w:rFonts w:ascii="宋体" w:hAnsi="宋体" w:eastAsia="宋体" w:cs="宋体"/>
                <w:spacing w:val="-8"/>
                <w:sz w:val="24"/>
                <w:szCs w:val="24"/>
              </w:rPr>
              <w:t>根据《河南省“三线一单”研究报告》</w:t>
            </w:r>
            <w:r>
              <w:rPr>
                <w:rFonts w:ascii="宋体" w:hAnsi="宋体" w:eastAsia="宋体" w:cs="宋体"/>
                <w:spacing w:val="-3"/>
                <w:sz w:val="24"/>
                <w:szCs w:val="24"/>
              </w:rPr>
              <w:t xml:space="preserve"> </w:t>
            </w:r>
            <w:r>
              <w:rPr>
                <w:rFonts w:ascii="宋体" w:hAnsi="宋体" w:eastAsia="宋体" w:cs="宋体"/>
                <w:spacing w:val="-8"/>
                <w:sz w:val="24"/>
                <w:szCs w:val="24"/>
              </w:rPr>
              <w:t>，示范区共划定</w:t>
            </w:r>
            <w:r>
              <w:rPr>
                <w:rFonts w:ascii="宋体" w:hAnsi="宋体" w:eastAsia="宋体" w:cs="宋体"/>
                <w:spacing w:val="-31"/>
                <w:sz w:val="24"/>
                <w:szCs w:val="24"/>
              </w:rPr>
              <w:t xml:space="preserve"> </w:t>
            </w:r>
            <w:r>
              <w:rPr>
                <w:rFonts w:ascii="Times New Roman" w:hAnsi="Times New Roman" w:eastAsia="Times New Roman" w:cs="Times New Roman"/>
                <w:spacing w:val="-8"/>
                <w:sz w:val="24"/>
                <w:szCs w:val="24"/>
              </w:rPr>
              <w:t>10</w:t>
            </w:r>
            <w:r>
              <w:rPr>
                <w:rFonts w:ascii="Times New Roman" w:hAnsi="Times New Roman" w:eastAsia="Times New Roman" w:cs="Times New Roman"/>
                <w:spacing w:val="9"/>
                <w:sz w:val="24"/>
                <w:szCs w:val="24"/>
              </w:rPr>
              <w:t xml:space="preserve"> </w:t>
            </w:r>
            <w:r>
              <w:rPr>
                <w:rFonts w:ascii="宋体" w:hAnsi="宋体" w:eastAsia="宋体" w:cs="宋体"/>
                <w:spacing w:val="-8"/>
                <w:sz w:val="24"/>
                <w:szCs w:val="24"/>
              </w:rPr>
              <w:t>个综合管控单</w:t>
            </w:r>
            <w:r>
              <w:rPr>
                <w:rFonts w:ascii="宋体" w:hAnsi="宋体" w:eastAsia="宋体" w:cs="宋体"/>
                <w:sz w:val="24"/>
                <w:szCs w:val="24"/>
              </w:rPr>
              <w:t xml:space="preserve"> </w:t>
            </w:r>
            <w:r>
              <w:rPr>
                <w:rFonts w:ascii="宋体" w:hAnsi="宋体" w:eastAsia="宋体" w:cs="宋体"/>
                <w:spacing w:val="-2"/>
                <w:sz w:val="24"/>
                <w:szCs w:val="24"/>
              </w:rPr>
              <w:t>元。包括优先保护单元、重点管控单元和一般管控单元</w:t>
            </w:r>
            <w:r>
              <w:rPr>
                <w:rFonts w:ascii="宋体" w:hAnsi="宋体" w:eastAsia="宋体" w:cs="宋体"/>
                <w:spacing w:val="-27"/>
                <w:sz w:val="24"/>
                <w:szCs w:val="24"/>
              </w:rPr>
              <w:t xml:space="preserve"> </w:t>
            </w:r>
            <w:r>
              <w:rPr>
                <w:rFonts w:ascii="Times New Roman" w:hAnsi="Times New Roman" w:eastAsia="Times New Roman" w:cs="Times New Roman"/>
                <w:spacing w:val="-2"/>
                <w:sz w:val="24"/>
                <w:szCs w:val="24"/>
              </w:rPr>
              <w:t>3</w:t>
            </w:r>
            <w:r>
              <w:rPr>
                <w:rFonts w:ascii="Times New Roman" w:hAnsi="Times New Roman" w:eastAsia="Times New Roman" w:cs="Times New Roman"/>
                <w:spacing w:val="9"/>
                <w:w w:val="101"/>
                <w:sz w:val="24"/>
                <w:szCs w:val="24"/>
              </w:rPr>
              <w:t xml:space="preserve"> </w:t>
            </w:r>
            <w:r>
              <w:rPr>
                <w:rFonts w:ascii="宋体" w:hAnsi="宋体" w:eastAsia="宋体" w:cs="宋体"/>
                <w:spacing w:val="-2"/>
                <w:sz w:val="24"/>
                <w:szCs w:val="24"/>
              </w:rPr>
              <w:t>类。</w:t>
            </w:r>
          </w:p>
          <w:p>
            <w:pPr>
              <w:keepNext w:val="0"/>
              <w:keepLines w:val="0"/>
              <w:pageBreakBefore w:val="0"/>
              <w:widowControl w:val="0"/>
              <w:kinsoku/>
              <w:wordWrap/>
              <w:overflowPunct/>
              <w:topLinePunct w:val="0"/>
              <w:autoSpaceDE/>
              <w:autoSpaceDN/>
              <w:bidi w:val="0"/>
              <w:adjustRightInd/>
              <w:snapToGrid/>
              <w:spacing w:line="400" w:lineRule="exact"/>
              <w:ind w:firstLine="696" w:firstLineChars="300"/>
              <w:textAlignment w:val="auto"/>
              <w:rPr>
                <w:rFonts w:ascii="宋体" w:hAnsi="宋体" w:eastAsia="宋体" w:cs="宋体"/>
                <w:sz w:val="24"/>
                <w:szCs w:val="24"/>
              </w:rPr>
            </w:pPr>
            <w:r>
              <w:rPr>
                <w:rFonts w:hint="eastAsia" w:ascii="Times New Roman" w:hAnsi="Times New Roman" w:eastAsia="宋体" w:cs="Times New Roman"/>
                <w:spacing w:val="-4"/>
                <w:sz w:val="24"/>
                <w:szCs w:val="24"/>
                <w:lang w:val="en-US" w:eastAsia="zh-CN"/>
              </w:rPr>
              <w:t>1、</w:t>
            </w:r>
            <w:r>
              <w:rPr>
                <w:rFonts w:ascii="宋体" w:hAnsi="宋体" w:eastAsia="宋体" w:cs="宋体"/>
                <w:spacing w:val="-4"/>
                <w:sz w:val="24"/>
                <w:szCs w:val="24"/>
              </w:rPr>
              <w:t>优先保护单元</w:t>
            </w:r>
          </w:p>
          <w:p>
            <w:pPr>
              <w:keepNext w:val="0"/>
              <w:keepLines w:val="0"/>
              <w:pageBreakBefore w:val="0"/>
              <w:widowControl w:val="0"/>
              <w:kinsoku/>
              <w:wordWrap/>
              <w:overflowPunct/>
              <w:topLinePunct w:val="0"/>
              <w:autoSpaceDE/>
              <w:autoSpaceDN/>
              <w:bidi w:val="0"/>
              <w:adjustRightInd/>
              <w:snapToGrid/>
              <w:spacing w:line="400" w:lineRule="exact"/>
              <w:ind w:left="108" w:right="18" w:firstLine="480"/>
              <w:textAlignment w:val="auto"/>
              <w:rPr>
                <w:rFonts w:ascii="宋体" w:hAnsi="宋体" w:eastAsia="宋体" w:cs="宋体"/>
                <w:sz w:val="24"/>
                <w:szCs w:val="24"/>
              </w:rPr>
            </w:pPr>
            <w:r>
              <w:rPr>
                <w:rFonts w:ascii="宋体" w:hAnsi="宋体" w:eastAsia="宋体" w:cs="宋体"/>
                <w:spacing w:val="1"/>
                <w:sz w:val="24"/>
                <w:szCs w:val="24"/>
              </w:rPr>
              <w:t>优先保护单元包括生态保护红线、一般生态空间、水环境优先保护区。</w:t>
            </w:r>
            <w:r>
              <w:rPr>
                <w:rFonts w:ascii="宋体" w:hAnsi="宋体" w:eastAsia="宋体" w:cs="宋体"/>
                <w:spacing w:val="22"/>
                <w:sz w:val="24"/>
                <w:szCs w:val="24"/>
              </w:rPr>
              <w:t xml:space="preserve"> </w:t>
            </w:r>
            <w:r>
              <w:rPr>
                <w:rFonts w:ascii="宋体" w:hAnsi="宋体" w:eastAsia="宋体" w:cs="宋体"/>
                <w:sz w:val="24"/>
                <w:szCs w:val="24"/>
              </w:rPr>
              <w:t>具体分布在河南王屋山国家地质公园、河南济源万阳湖省级湿地公园、王屋</w:t>
            </w:r>
            <w:r>
              <w:rPr>
                <w:rFonts w:ascii="宋体" w:hAnsi="宋体" w:eastAsia="宋体" w:cs="宋体"/>
                <w:spacing w:val="20"/>
                <w:sz w:val="24"/>
                <w:szCs w:val="24"/>
              </w:rPr>
              <w:t xml:space="preserve"> </w:t>
            </w:r>
            <w:r>
              <w:rPr>
                <w:rFonts w:ascii="宋体" w:hAnsi="宋体" w:eastAsia="宋体" w:cs="宋体"/>
                <w:spacing w:val="-4"/>
                <w:sz w:val="24"/>
                <w:szCs w:val="24"/>
              </w:rPr>
              <w:t>山风景名胜区、河南黄河湿地国家级自然保护区、河南黛眉山国家地质公园、</w:t>
            </w:r>
            <w:r>
              <w:rPr>
                <w:rFonts w:ascii="宋体" w:hAnsi="宋体" w:eastAsia="宋体" w:cs="宋体"/>
                <w:spacing w:val="1"/>
                <w:sz w:val="24"/>
                <w:szCs w:val="24"/>
              </w:rPr>
              <w:t xml:space="preserve"> </w:t>
            </w:r>
            <w:r>
              <w:rPr>
                <w:rFonts w:ascii="宋体" w:hAnsi="宋体" w:eastAsia="宋体" w:cs="宋体"/>
                <w:spacing w:val="-4"/>
                <w:sz w:val="24"/>
                <w:szCs w:val="24"/>
              </w:rPr>
              <w:t>河南太行山猕猴国家级自然保护区、济源市河口村水库、五龙口风景名胜区、</w:t>
            </w:r>
            <w:r>
              <w:rPr>
                <w:rFonts w:ascii="宋体" w:hAnsi="宋体" w:eastAsia="宋体" w:cs="宋体"/>
                <w:spacing w:val="1"/>
                <w:sz w:val="24"/>
                <w:szCs w:val="24"/>
              </w:rPr>
              <w:t xml:space="preserve"> </w:t>
            </w:r>
            <w:r>
              <w:rPr>
                <w:rFonts w:ascii="宋体" w:hAnsi="宋体" w:eastAsia="宋体" w:cs="宋体"/>
                <w:sz w:val="24"/>
                <w:szCs w:val="24"/>
              </w:rPr>
              <w:t>小浪底水库湿地、西霞院水库湿地、国家一级公益林、国家二级公益林等区</w:t>
            </w:r>
            <w:r>
              <w:rPr>
                <w:rFonts w:ascii="宋体" w:hAnsi="宋体" w:eastAsia="宋体" w:cs="宋体"/>
                <w:spacing w:val="20"/>
                <w:sz w:val="24"/>
                <w:szCs w:val="24"/>
              </w:rPr>
              <w:t xml:space="preserve"> </w:t>
            </w:r>
            <w:r>
              <w:rPr>
                <w:rFonts w:ascii="宋体" w:hAnsi="宋体" w:eastAsia="宋体" w:cs="宋体"/>
                <w:spacing w:val="-5"/>
                <w:sz w:val="24"/>
                <w:szCs w:val="24"/>
              </w:rPr>
              <w:t>域。</w:t>
            </w:r>
          </w:p>
          <w:p>
            <w:pPr>
              <w:keepNext w:val="0"/>
              <w:keepLines w:val="0"/>
              <w:pageBreakBefore w:val="0"/>
              <w:widowControl w:val="0"/>
              <w:kinsoku/>
              <w:wordWrap/>
              <w:overflowPunct/>
              <w:topLinePunct w:val="0"/>
              <w:autoSpaceDE/>
              <w:autoSpaceDN/>
              <w:bidi w:val="0"/>
              <w:adjustRightInd/>
              <w:snapToGrid/>
              <w:spacing w:line="400" w:lineRule="exact"/>
              <w:ind w:firstLine="714" w:firstLineChars="300"/>
              <w:textAlignment w:val="auto"/>
              <w:rPr>
                <w:rFonts w:ascii="宋体" w:hAnsi="宋体" w:eastAsia="宋体" w:cs="宋体"/>
                <w:sz w:val="24"/>
                <w:szCs w:val="24"/>
              </w:rPr>
            </w:pPr>
            <w:r>
              <w:rPr>
                <w:rFonts w:hint="eastAsia" w:ascii="Times New Roman" w:hAnsi="Times New Roman" w:eastAsia="宋体" w:cs="Times New Roman"/>
                <w:spacing w:val="-1"/>
                <w:sz w:val="24"/>
                <w:szCs w:val="24"/>
                <w:lang w:val="en-US" w:eastAsia="zh-CN"/>
              </w:rPr>
              <w:t>2、</w:t>
            </w:r>
            <w:r>
              <w:rPr>
                <w:rFonts w:ascii="宋体" w:hAnsi="宋体" w:eastAsia="宋体" w:cs="宋体"/>
                <w:spacing w:val="-1"/>
                <w:sz w:val="24"/>
                <w:szCs w:val="24"/>
              </w:rPr>
              <w:t>重点管控单元</w:t>
            </w:r>
          </w:p>
          <w:p>
            <w:pPr>
              <w:keepNext w:val="0"/>
              <w:keepLines w:val="0"/>
              <w:pageBreakBefore w:val="0"/>
              <w:widowControl w:val="0"/>
              <w:kinsoku/>
              <w:wordWrap/>
              <w:overflowPunct/>
              <w:topLinePunct w:val="0"/>
              <w:autoSpaceDE/>
              <w:autoSpaceDN/>
              <w:bidi w:val="0"/>
              <w:adjustRightInd/>
              <w:snapToGrid/>
              <w:spacing w:line="400" w:lineRule="exact"/>
              <w:ind w:firstLine="588"/>
              <w:textAlignment w:val="auto"/>
              <w:rPr>
                <w:rFonts w:ascii="宋体" w:hAnsi="宋体" w:eastAsia="宋体" w:cs="宋体"/>
                <w:sz w:val="24"/>
                <w:szCs w:val="24"/>
              </w:rPr>
            </w:pPr>
            <w:r>
              <w:rPr>
                <w:rFonts w:ascii="宋体" w:hAnsi="宋体" w:eastAsia="宋体" w:cs="宋体"/>
                <w:spacing w:val="-1"/>
                <w:sz w:val="24"/>
                <w:szCs w:val="24"/>
              </w:rPr>
              <w:t>①玉川产业集聚区单元</w:t>
            </w:r>
          </w:p>
          <w:p>
            <w:pPr>
              <w:keepNext w:val="0"/>
              <w:keepLines w:val="0"/>
              <w:pageBreakBefore w:val="0"/>
              <w:widowControl w:val="0"/>
              <w:kinsoku/>
              <w:wordWrap/>
              <w:overflowPunct/>
              <w:topLinePunct w:val="0"/>
              <w:autoSpaceDE/>
              <w:autoSpaceDN/>
              <w:bidi w:val="0"/>
              <w:adjustRightInd/>
              <w:snapToGrid/>
              <w:spacing w:line="400" w:lineRule="exact"/>
              <w:ind w:firstLine="587"/>
              <w:textAlignment w:val="auto"/>
              <w:rPr>
                <w:rFonts w:ascii="宋体" w:hAnsi="宋体" w:eastAsia="宋体" w:cs="宋体"/>
                <w:sz w:val="24"/>
                <w:szCs w:val="24"/>
              </w:rPr>
            </w:pPr>
            <w:r>
              <w:rPr>
                <w:rFonts w:ascii="宋体" w:hAnsi="宋体" w:eastAsia="宋体" w:cs="宋体"/>
                <w:spacing w:val="-1"/>
                <w:sz w:val="24"/>
                <w:szCs w:val="24"/>
              </w:rPr>
              <w:t>②虎岭产业集聚区单元</w:t>
            </w:r>
          </w:p>
          <w:p>
            <w:pPr>
              <w:keepNext w:val="0"/>
              <w:keepLines w:val="0"/>
              <w:pageBreakBefore w:val="0"/>
              <w:widowControl w:val="0"/>
              <w:kinsoku/>
              <w:wordWrap/>
              <w:overflowPunct/>
              <w:topLinePunct w:val="0"/>
              <w:autoSpaceDE/>
              <w:autoSpaceDN/>
              <w:bidi w:val="0"/>
              <w:adjustRightInd/>
              <w:snapToGrid/>
              <w:spacing w:line="400" w:lineRule="exact"/>
              <w:ind w:firstLine="109"/>
              <w:textAlignment w:val="auto"/>
              <w:rPr>
                <w:rFonts w:ascii="宋体" w:hAnsi="宋体" w:eastAsia="宋体" w:cs="宋体"/>
                <w:sz w:val="24"/>
                <w:szCs w:val="24"/>
              </w:rPr>
            </w:pPr>
            <w:r>
              <w:rPr>
                <w:rFonts w:ascii="宋体" w:hAnsi="宋体" w:eastAsia="宋体" w:cs="宋体"/>
                <w:sz w:val="24"/>
                <w:szCs w:val="24"/>
              </w:rPr>
              <w:t>③城镇重点单元，该单元涉及沁园、玉泉、济水、天坛、北海、轵城镇</w:t>
            </w:r>
            <w:r>
              <w:rPr>
                <w:rFonts w:ascii="宋体" w:hAnsi="宋体" w:eastAsia="宋体" w:cs="宋体"/>
                <w:spacing w:val="21"/>
                <w:sz w:val="24"/>
                <w:szCs w:val="24"/>
              </w:rPr>
              <w:t xml:space="preserve"> </w:t>
            </w:r>
            <w:r>
              <w:rPr>
                <w:rFonts w:ascii="宋体" w:hAnsi="宋体" w:eastAsia="宋体" w:cs="宋体"/>
                <w:spacing w:val="-5"/>
                <w:sz w:val="24"/>
                <w:szCs w:val="24"/>
              </w:rPr>
              <w:t>等。分布企业主要有国电豫源、豫港焦化、方升化学、腾盛纸业、丰田肥业、</w:t>
            </w:r>
            <w:r>
              <w:rPr>
                <w:rFonts w:ascii="宋体" w:hAnsi="宋体" w:eastAsia="宋体" w:cs="宋体"/>
                <w:spacing w:val="-1"/>
                <w:sz w:val="24"/>
                <w:szCs w:val="24"/>
              </w:rPr>
              <w:t>豫光铅盐、白云实业、玉泉特色产业园、济源市城市污水处理厂等。</w:t>
            </w:r>
          </w:p>
          <w:p>
            <w:pPr>
              <w:keepNext w:val="0"/>
              <w:keepLines w:val="0"/>
              <w:pageBreakBefore w:val="0"/>
              <w:widowControl w:val="0"/>
              <w:kinsoku/>
              <w:wordWrap/>
              <w:overflowPunct/>
              <w:topLinePunct w:val="0"/>
              <w:autoSpaceDE/>
              <w:autoSpaceDN/>
              <w:bidi w:val="0"/>
              <w:adjustRightInd/>
              <w:snapToGrid/>
              <w:spacing w:line="400" w:lineRule="exact"/>
              <w:ind w:firstLine="708" w:firstLineChars="300"/>
              <w:textAlignment w:val="auto"/>
              <w:rPr>
                <w:rFonts w:ascii="宋体" w:hAnsi="宋体" w:eastAsia="宋体" w:cs="宋体"/>
                <w:sz w:val="24"/>
                <w:szCs w:val="24"/>
              </w:rPr>
            </w:pPr>
            <w:r>
              <w:rPr>
                <w:rFonts w:hint="eastAsia" w:ascii="Times New Roman" w:hAnsi="Times New Roman" w:eastAsia="宋体" w:cs="Times New Roman"/>
                <w:spacing w:val="-2"/>
                <w:sz w:val="24"/>
                <w:szCs w:val="24"/>
                <w:lang w:val="en-US" w:eastAsia="zh-CN"/>
              </w:rPr>
              <w:t>3、</w:t>
            </w:r>
            <w:r>
              <w:rPr>
                <w:rFonts w:ascii="宋体" w:hAnsi="宋体" w:eastAsia="宋体" w:cs="宋体"/>
                <w:spacing w:val="-2"/>
                <w:sz w:val="24"/>
                <w:szCs w:val="24"/>
              </w:rPr>
              <w:t>一般管控单元</w:t>
            </w:r>
          </w:p>
          <w:p>
            <w:pPr>
              <w:keepNext w:val="0"/>
              <w:keepLines w:val="0"/>
              <w:pageBreakBefore w:val="0"/>
              <w:widowControl w:val="0"/>
              <w:kinsoku/>
              <w:wordWrap/>
              <w:overflowPunct/>
              <w:topLinePunct w:val="0"/>
              <w:autoSpaceDE/>
              <w:autoSpaceDN/>
              <w:bidi w:val="0"/>
              <w:adjustRightInd/>
              <w:snapToGrid/>
              <w:spacing w:line="400" w:lineRule="exact"/>
              <w:ind w:left="113" w:right="103" w:firstLine="480"/>
              <w:textAlignment w:val="auto"/>
              <w:rPr>
                <w:rFonts w:ascii="宋体" w:hAnsi="宋体" w:eastAsia="宋体" w:cs="宋体"/>
                <w:sz w:val="24"/>
                <w:szCs w:val="24"/>
              </w:rPr>
            </w:pPr>
            <w:r>
              <w:rPr>
                <w:rFonts w:ascii="宋体" w:hAnsi="宋体" w:eastAsia="宋体" w:cs="宋体"/>
                <w:sz w:val="24"/>
                <w:szCs w:val="24"/>
              </w:rPr>
              <w:t>该单元为除去优先保护单元和重点管控单元剩余区域。涉及下冶镇、坡</w:t>
            </w:r>
            <w:r>
              <w:rPr>
                <w:rFonts w:ascii="宋体" w:hAnsi="宋体" w:eastAsia="宋体" w:cs="宋体"/>
                <w:spacing w:val="15"/>
                <w:sz w:val="24"/>
                <w:szCs w:val="24"/>
              </w:rPr>
              <w:t xml:space="preserve"> </w:t>
            </w:r>
            <w:r>
              <w:rPr>
                <w:rFonts w:ascii="宋体" w:hAnsi="宋体" w:eastAsia="宋体" w:cs="宋体"/>
                <w:sz w:val="24"/>
                <w:szCs w:val="24"/>
              </w:rPr>
              <w:t>头镇、大峪镇、王屋镇、克井镇、邵原镇、轵城镇、承留镇、五龙口镇、思</w:t>
            </w:r>
            <w:r>
              <w:rPr>
                <w:rFonts w:ascii="宋体" w:hAnsi="宋体" w:eastAsia="宋体" w:cs="宋体"/>
                <w:spacing w:val="15"/>
                <w:sz w:val="24"/>
                <w:szCs w:val="24"/>
              </w:rPr>
              <w:t xml:space="preserve"> </w:t>
            </w:r>
            <w:r>
              <w:rPr>
                <w:rFonts w:ascii="宋体" w:hAnsi="宋体" w:eastAsia="宋体" w:cs="宋体"/>
                <w:spacing w:val="-4"/>
                <w:sz w:val="24"/>
                <w:szCs w:val="24"/>
              </w:rPr>
              <w:t>礼镇等。</w:t>
            </w:r>
          </w:p>
          <w:p>
            <w:pPr>
              <w:keepNext w:val="0"/>
              <w:keepLines w:val="0"/>
              <w:pageBreakBefore w:val="0"/>
              <w:widowControl w:val="0"/>
              <w:kinsoku/>
              <w:wordWrap/>
              <w:overflowPunct/>
              <w:topLinePunct w:val="0"/>
              <w:autoSpaceDE/>
              <w:autoSpaceDN/>
              <w:bidi w:val="0"/>
              <w:adjustRightInd/>
              <w:snapToGrid/>
              <w:spacing w:line="400" w:lineRule="exact"/>
              <w:ind w:left="111" w:right="100" w:firstLine="479"/>
              <w:textAlignment w:val="auto"/>
              <w:rPr>
                <w:rFonts w:ascii="宋体" w:hAnsi="宋体" w:eastAsia="宋体" w:cs="宋体"/>
                <w:sz w:val="24"/>
                <w:szCs w:val="24"/>
              </w:rPr>
            </w:pPr>
            <w:r>
              <w:rPr>
                <w:rFonts w:ascii="宋体" w:hAnsi="宋体" w:eastAsia="宋体" w:cs="宋体"/>
                <w:sz w:val="24"/>
                <w:szCs w:val="24"/>
              </w:rPr>
              <w:t>本项目位于济源市玉川产业集聚区内，属于重点单元中的玉川产业集聚</w:t>
            </w:r>
            <w:r>
              <w:rPr>
                <w:rFonts w:ascii="宋体" w:hAnsi="宋体" w:eastAsia="宋体" w:cs="宋体"/>
                <w:spacing w:val="20"/>
                <w:sz w:val="24"/>
                <w:szCs w:val="24"/>
              </w:rPr>
              <w:t xml:space="preserve"> </w:t>
            </w:r>
            <w:r>
              <w:rPr>
                <w:rFonts w:ascii="宋体" w:hAnsi="宋体" w:eastAsia="宋体" w:cs="宋体"/>
                <w:spacing w:val="-1"/>
                <w:sz w:val="24"/>
                <w:szCs w:val="24"/>
              </w:rPr>
              <w:t>单元。本项目与其管控要求相符性分析如下：</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项目与济源示范区“三线一单”的相符性分析</w:t>
            </w:r>
          </w:p>
          <w:tbl>
            <w:tblPr>
              <w:tblStyle w:val="16"/>
              <w:tblW w:w="74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4659"/>
              <w:gridCol w:w="1168"/>
              <w:gridCol w:w="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项目</w:t>
                  </w:r>
                </w:p>
              </w:tc>
              <w:tc>
                <w:tcPr>
                  <w:tcW w:w="465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规范及要求</w:t>
                  </w:r>
                </w:p>
              </w:tc>
              <w:tc>
                <w:tcPr>
                  <w:tcW w:w="116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本项目情况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空间</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布局</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约束</w:t>
                  </w:r>
                </w:p>
              </w:tc>
              <w:tc>
                <w:tcPr>
                  <w:tcW w:w="465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eastAsia" w:ascii="Times New Roman" w:hAnsi="Times New Roman" w:eastAsia="宋体" w:cs="Times New Roman"/>
                      <w:b w:val="0"/>
                      <w:bCs w:val="0"/>
                      <w:kern w:val="0"/>
                      <w:sz w:val="21"/>
                      <w:szCs w:val="21"/>
                      <w:vertAlign w:val="baseline"/>
                      <w:lang w:eastAsia="zh-CN"/>
                    </w:rPr>
                  </w:pPr>
                  <w:r>
                    <w:rPr>
                      <w:rFonts w:ascii="宋体" w:hAnsi="宋体" w:eastAsia="宋体" w:cs="宋体"/>
                      <w:spacing w:val="-3"/>
                      <w:sz w:val="21"/>
                      <w:szCs w:val="21"/>
                    </w:rPr>
                    <w:t>限制不符合园区产业定位且与现状产</w:t>
                  </w:r>
                  <w:r>
                    <w:rPr>
                      <w:rFonts w:hint="eastAsia" w:ascii="宋体" w:hAnsi="宋体" w:eastAsia="宋体" w:cs="宋体"/>
                      <w:spacing w:val="-3"/>
                      <w:sz w:val="21"/>
                      <w:szCs w:val="21"/>
                      <w:lang w:eastAsia="zh-CN"/>
                    </w:rPr>
                    <w:t>业</w:t>
                  </w:r>
                  <w:r>
                    <w:rPr>
                      <w:rFonts w:ascii="宋体" w:hAnsi="宋体" w:eastAsia="宋体" w:cs="宋体"/>
                      <w:spacing w:val="-3"/>
                      <w:sz w:val="21"/>
                      <w:szCs w:val="21"/>
                    </w:rPr>
                    <w:t>无关联</w:t>
                  </w:r>
                  <w:r>
                    <w:rPr>
                      <w:rFonts w:ascii="宋体" w:hAnsi="宋体" w:eastAsia="宋体" w:cs="宋体"/>
                      <w:spacing w:val="-8"/>
                      <w:sz w:val="21"/>
                      <w:szCs w:val="21"/>
                    </w:rPr>
                    <w:t>的新建项目入驻；对不符合规划功能布局的现有</w:t>
                  </w:r>
                  <w:r>
                    <w:rPr>
                      <w:rFonts w:ascii="宋体" w:hAnsi="宋体" w:eastAsia="宋体" w:cs="宋体"/>
                      <w:sz w:val="21"/>
                      <w:szCs w:val="21"/>
                    </w:rPr>
                    <w:t xml:space="preserve">  </w:t>
                  </w:r>
                  <w:r>
                    <w:rPr>
                      <w:rFonts w:ascii="宋体" w:hAnsi="宋体" w:eastAsia="宋体" w:cs="宋体"/>
                      <w:spacing w:val="-1"/>
                      <w:sz w:val="21"/>
                      <w:szCs w:val="21"/>
                    </w:rPr>
                    <w:t>二、三类工业项目禁止新增用地，可在落实“增</w:t>
                  </w:r>
                  <w:r>
                    <w:rPr>
                      <w:rFonts w:ascii="宋体" w:hAnsi="宋体" w:eastAsia="宋体" w:cs="宋体"/>
                      <w:spacing w:val="-2"/>
                      <w:sz w:val="21"/>
                      <w:szCs w:val="21"/>
                    </w:rPr>
                    <w:t>产减</w:t>
                  </w:r>
                  <w:r>
                    <w:rPr>
                      <w:rFonts w:hint="eastAsia" w:ascii="宋体" w:hAnsi="宋体" w:eastAsia="宋体" w:cs="宋体"/>
                      <w:spacing w:val="-2"/>
                      <w:sz w:val="21"/>
                      <w:szCs w:val="21"/>
                      <w:lang w:eastAsia="zh-CN"/>
                    </w:rPr>
                    <w:t>污</w:t>
                  </w:r>
                  <w:r>
                    <w:rPr>
                      <w:rFonts w:ascii="宋体" w:hAnsi="宋体" w:eastAsia="宋体" w:cs="宋体"/>
                      <w:spacing w:val="-2"/>
                      <w:sz w:val="21"/>
                      <w:szCs w:val="21"/>
                    </w:rPr>
                    <w:t>”的前提下，在现有用地范围内进行技改、</w:t>
                  </w:r>
                  <w:r>
                    <w:rPr>
                      <w:rFonts w:ascii="宋体" w:hAnsi="宋体" w:eastAsia="宋体" w:cs="宋体"/>
                      <w:spacing w:val="-3"/>
                      <w:sz w:val="21"/>
                      <w:szCs w:val="21"/>
                    </w:rPr>
                    <w:t>扩建。</w:t>
                  </w:r>
                </w:p>
              </w:tc>
              <w:tc>
                <w:tcPr>
                  <w:tcW w:w="116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hint="eastAsia" w:ascii="宋体" w:hAnsi="宋体" w:cs="宋体"/>
                      <w:spacing w:val="6"/>
                      <w:sz w:val="21"/>
                      <w:szCs w:val="21"/>
                      <w:lang w:eastAsia="zh-CN"/>
                    </w:rPr>
                    <w:t>本项目</w:t>
                  </w:r>
                  <w:r>
                    <w:rPr>
                      <w:rFonts w:ascii="宋体" w:hAnsi="宋体" w:eastAsia="宋体" w:cs="宋体"/>
                      <w:spacing w:val="6"/>
                      <w:sz w:val="21"/>
                      <w:szCs w:val="21"/>
                    </w:rPr>
                    <w:t>不属于限</w:t>
                  </w:r>
                  <w:r>
                    <w:rPr>
                      <w:rFonts w:ascii="宋体" w:hAnsi="宋体" w:eastAsia="宋体" w:cs="宋体"/>
                      <w:spacing w:val="-14"/>
                      <w:sz w:val="21"/>
                      <w:szCs w:val="21"/>
                    </w:rPr>
                    <w:t>制</w:t>
                  </w:r>
                  <w:r>
                    <w:rPr>
                      <w:rFonts w:ascii="宋体" w:hAnsi="宋体" w:eastAsia="宋体" w:cs="宋体"/>
                      <w:spacing w:val="-27"/>
                      <w:sz w:val="21"/>
                      <w:szCs w:val="21"/>
                    </w:rPr>
                    <w:t xml:space="preserve"> </w:t>
                  </w:r>
                  <w:r>
                    <w:rPr>
                      <w:rFonts w:ascii="宋体" w:hAnsi="宋体" w:eastAsia="宋体" w:cs="宋体"/>
                      <w:spacing w:val="-14"/>
                      <w:sz w:val="21"/>
                      <w:szCs w:val="21"/>
                    </w:rPr>
                    <w:t>入</w:t>
                  </w:r>
                  <w:r>
                    <w:rPr>
                      <w:rFonts w:ascii="宋体" w:hAnsi="宋体" w:eastAsia="宋体" w:cs="宋体"/>
                      <w:spacing w:val="-31"/>
                      <w:sz w:val="21"/>
                      <w:szCs w:val="21"/>
                    </w:rPr>
                    <w:t xml:space="preserve"> </w:t>
                  </w:r>
                  <w:r>
                    <w:rPr>
                      <w:rFonts w:ascii="宋体" w:hAnsi="宋体" w:eastAsia="宋体" w:cs="宋体"/>
                      <w:spacing w:val="-14"/>
                      <w:sz w:val="21"/>
                      <w:szCs w:val="21"/>
                    </w:rPr>
                    <w:t>驻</w:t>
                  </w:r>
                  <w:r>
                    <w:rPr>
                      <w:rFonts w:ascii="宋体" w:hAnsi="宋体" w:eastAsia="宋体" w:cs="宋体"/>
                      <w:spacing w:val="-13"/>
                      <w:sz w:val="21"/>
                      <w:szCs w:val="21"/>
                    </w:rPr>
                    <w:t xml:space="preserve"> </w:t>
                  </w:r>
                  <w:r>
                    <w:rPr>
                      <w:rFonts w:ascii="宋体" w:hAnsi="宋体" w:eastAsia="宋体" w:cs="宋体"/>
                      <w:spacing w:val="-14"/>
                      <w:sz w:val="21"/>
                      <w:szCs w:val="21"/>
                    </w:rPr>
                    <w:t>的</w:t>
                  </w:r>
                  <w:r>
                    <w:rPr>
                      <w:rFonts w:ascii="宋体" w:hAnsi="宋体" w:eastAsia="宋体" w:cs="宋体"/>
                      <w:spacing w:val="-29"/>
                      <w:sz w:val="21"/>
                      <w:szCs w:val="21"/>
                    </w:rPr>
                    <w:t xml:space="preserve"> </w:t>
                  </w:r>
                  <w:r>
                    <w:rPr>
                      <w:rFonts w:ascii="宋体" w:hAnsi="宋体" w:eastAsia="宋体" w:cs="宋体"/>
                      <w:spacing w:val="-14"/>
                      <w:sz w:val="21"/>
                      <w:szCs w:val="21"/>
                    </w:rPr>
                    <w:t>企</w:t>
                  </w:r>
                  <w:r>
                    <w:rPr>
                      <w:rFonts w:ascii="宋体" w:hAnsi="宋体" w:eastAsia="宋体" w:cs="宋体"/>
                      <w:spacing w:val="-5"/>
                      <w:sz w:val="21"/>
                      <w:szCs w:val="21"/>
                    </w:rPr>
                    <w:t>业。</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ascii="宋体" w:hAnsi="宋体" w:eastAsia="宋体" w:cs="宋体"/>
                      <w:spacing w:val="-6"/>
                      <w:sz w:val="21"/>
                      <w:szCs w:val="21"/>
                    </w:rPr>
                    <w:t>污染</w:t>
                  </w:r>
                  <w:r>
                    <w:rPr>
                      <w:rFonts w:ascii="宋体" w:hAnsi="宋体" w:eastAsia="宋体" w:cs="宋体"/>
                      <w:spacing w:val="-5"/>
                      <w:sz w:val="21"/>
                      <w:szCs w:val="21"/>
                    </w:rPr>
                    <w:t>物排放管</w:t>
                  </w:r>
                  <w:r>
                    <w:rPr>
                      <w:rFonts w:ascii="宋体" w:hAnsi="宋体" w:eastAsia="宋体" w:cs="宋体"/>
                      <w:sz w:val="21"/>
                      <w:szCs w:val="21"/>
                    </w:rPr>
                    <w:t>控</w:t>
                  </w:r>
                </w:p>
              </w:tc>
              <w:tc>
                <w:tcPr>
                  <w:tcW w:w="4659"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ascii="宋体" w:hAnsi="宋体" w:eastAsia="宋体" w:cs="宋体"/>
                      <w:sz w:val="21"/>
                      <w:szCs w:val="21"/>
                    </w:rPr>
                  </w:pPr>
                  <w:r>
                    <w:rPr>
                      <w:rFonts w:hint="eastAsia" w:ascii="宋体" w:hAnsi="宋体" w:eastAsia="宋体" w:cs="宋体"/>
                      <w:spacing w:val="-4"/>
                      <w:sz w:val="21"/>
                      <w:szCs w:val="21"/>
                      <w:lang w:val="en-US" w:eastAsia="zh-CN"/>
                    </w:rPr>
                    <w:t>1、</w:t>
                  </w:r>
                  <w:r>
                    <w:rPr>
                      <w:rFonts w:ascii="宋体" w:hAnsi="宋体" w:eastAsia="宋体" w:cs="宋体"/>
                      <w:spacing w:val="-4"/>
                      <w:sz w:val="21"/>
                      <w:szCs w:val="21"/>
                    </w:rPr>
                    <w:t>加快集聚区污水管网及中水回用工程建设，确保</w:t>
                  </w:r>
                  <w:r>
                    <w:rPr>
                      <w:rFonts w:ascii="宋体" w:hAnsi="宋体" w:eastAsia="宋体" w:cs="宋体"/>
                      <w:spacing w:val="1"/>
                      <w:sz w:val="21"/>
                      <w:szCs w:val="21"/>
                    </w:rPr>
                    <w:t>集聚区废水全收集、全处理。</w:t>
                  </w:r>
                  <w:r>
                    <w:rPr>
                      <w:rFonts w:ascii="宋体" w:hAnsi="宋体" w:eastAsia="宋体" w:cs="宋体"/>
                      <w:sz w:val="21"/>
                      <w:szCs w:val="21"/>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ascii="宋体" w:hAnsi="宋体" w:eastAsia="宋体" w:cs="宋体"/>
                      <w:sz w:val="21"/>
                      <w:szCs w:val="21"/>
                    </w:rPr>
                  </w:pPr>
                  <w:r>
                    <w:rPr>
                      <w:rFonts w:hint="eastAsia" w:ascii="Times New Roman" w:hAnsi="Times New Roman" w:eastAsia="宋体" w:cs="Times New Roman"/>
                      <w:spacing w:val="-3"/>
                      <w:sz w:val="21"/>
                      <w:szCs w:val="21"/>
                      <w:lang w:val="en-US" w:eastAsia="zh-CN"/>
                    </w:rPr>
                    <w:t>2、</w:t>
                  </w:r>
                  <w:r>
                    <w:rPr>
                      <w:rFonts w:ascii="宋体" w:hAnsi="宋体" w:eastAsia="宋体" w:cs="宋体"/>
                      <w:spacing w:val="-3"/>
                      <w:sz w:val="21"/>
                      <w:szCs w:val="21"/>
                    </w:rPr>
                    <w:t>集中污水处理厂尾水排放必须达到或优于《城镇</w:t>
                  </w:r>
                  <w:r>
                    <w:rPr>
                      <w:rFonts w:ascii="宋体" w:hAnsi="宋体" w:eastAsia="宋体" w:cs="宋体"/>
                      <w:spacing w:val="9"/>
                      <w:sz w:val="21"/>
                      <w:szCs w:val="21"/>
                    </w:rPr>
                    <w:t xml:space="preserve"> </w:t>
                  </w:r>
                  <w:r>
                    <w:rPr>
                      <w:rFonts w:ascii="宋体" w:hAnsi="宋体" w:eastAsia="宋体" w:cs="宋体"/>
                      <w:spacing w:val="-3"/>
                      <w:sz w:val="21"/>
                      <w:szCs w:val="21"/>
                    </w:rPr>
                    <w:t>污水处理厂污染物排放标准》（</w:t>
                  </w:r>
                  <w:r>
                    <w:rPr>
                      <w:rFonts w:ascii="Times New Roman" w:hAnsi="Times New Roman" w:eastAsia="Times New Roman" w:cs="Times New Roman"/>
                      <w:spacing w:val="-3"/>
                      <w:sz w:val="21"/>
                      <w:szCs w:val="21"/>
                    </w:rPr>
                    <w:t>GB18918-2002</w:t>
                  </w:r>
                  <w:r>
                    <w:rPr>
                      <w:rFonts w:ascii="宋体" w:hAnsi="宋体" w:eastAsia="宋体" w:cs="宋体"/>
                      <w:spacing w:val="-3"/>
                      <w:sz w:val="21"/>
                      <w:szCs w:val="21"/>
                    </w:rPr>
                    <w:t>）</w:t>
                  </w:r>
                  <w:r>
                    <w:rPr>
                      <w:rFonts w:ascii="宋体" w:hAnsi="宋体" w:eastAsia="宋体" w:cs="宋体"/>
                      <w:sz w:val="21"/>
                      <w:szCs w:val="21"/>
                    </w:rPr>
                    <w:t xml:space="preserve"> </w:t>
                  </w:r>
                  <w:r>
                    <w:rPr>
                      <w:rFonts w:ascii="宋体" w:hAnsi="宋体" w:eastAsia="宋体" w:cs="宋体"/>
                      <w:spacing w:val="1"/>
                      <w:sz w:val="21"/>
                      <w:szCs w:val="21"/>
                    </w:rPr>
                    <w:t>一级</w:t>
                  </w:r>
                  <w:r>
                    <w:rPr>
                      <w:rFonts w:ascii="宋体" w:hAnsi="宋体" w:eastAsia="宋体" w:cs="宋体"/>
                      <w:spacing w:val="-47"/>
                      <w:sz w:val="21"/>
                      <w:szCs w:val="21"/>
                    </w:rPr>
                    <w:t xml:space="preserve"> </w:t>
                  </w:r>
                  <w:r>
                    <w:rPr>
                      <w:rFonts w:ascii="Times New Roman" w:hAnsi="Times New Roman" w:eastAsia="Times New Roman" w:cs="Times New Roman"/>
                      <w:spacing w:val="1"/>
                      <w:sz w:val="21"/>
                      <w:szCs w:val="21"/>
                    </w:rPr>
                    <w:t>A</w:t>
                  </w:r>
                  <w:r>
                    <w:rPr>
                      <w:rFonts w:ascii="宋体" w:hAnsi="宋体" w:eastAsia="宋体" w:cs="宋体"/>
                      <w:spacing w:val="1"/>
                      <w:sz w:val="21"/>
                      <w:szCs w:val="21"/>
                    </w:rPr>
                    <w:t>标准。</w:t>
                  </w:r>
                  <w:r>
                    <w:rPr>
                      <w:rFonts w:ascii="宋体" w:hAnsi="宋体" w:eastAsia="宋体" w:cs="宋体"/>
                      <w:sz w:val="21"/>
                      <w:szCs w:val="21"/>
                    </w:rPr>
                    <w:t xml:space="preserve">                               </w:t>
                  </w:r>
                  <w:r>
                    <w:rPr>
                      <w:rFonts w:hint="eastAsia" w:ascii="Times New Roman" w:hAnsi="Times New Roman" w:eastAsia="宋体" w:cs="Times New Roman"/>
                      <w:spacing w:val="-1"/>
                      <w:sz w:val="21"/>
                      <w:szCs w:val="21"/>
                      <w:lang w:val="en-US" w:eastAsia="zh-CN"/>
                    </w:rPr>
                    <w:t>3、</w:t>
                  </w:r>
                  <w:r>
                    <w:rPr>
                      <w:rFonts w:ascii="宋体" w:hAnsi="宋体" w:eastAsia="宋体" w:cs="宋体"/>
                      <w:spacing w:val="-1"/>
                      <w:sz w:val="21"/>
                      <w:szCs w:val="21"/>
                    </w:rPr>
                    <w:t>二氧化硫、氮氧化物、颗粒物、</w:t>
                  </w:r>
                  <w:r>
                    <w:rPr>
                      <w:rFonts w:ascii="Times New Roman" w:hAnsi="Times New Roman" w:eastAsia="Times New Roman" w:cs="Times New Roman"/>
                      <w:spacing w:val="-1"/>
                      <w:sz w:val="21"/>
                      <w:szCs w:val="21"/>
                    </w:rPr>
                    <w:t>VOCs</w:t>
                  </w:r>
                  <w:r>
                    <w:rPr>
                      <w:rFonts w:ascii="Times New Roman" w:hAnsi="Times New Roman" w:eastAsia="Times New Roman" w:cs="Times New Roman"/>
                      <w:spacing w:val="19"/>
                      <w:sz w:val="21"/>
                      <w:szCs w:val="21"/>
                    </w:rPr>
                    <w:t xml:space="preserve"> </w:t>
                  </w:r>
                  <w:r>
                    <w:rPr>
                      <w:rFonts w:ascii="宋体" w:hAnsi="宋体" w:eastAsia="宋体" w:cs="宋体"/>
                      <w:spacing w:val="-1"/>
                      <w:sz w:val="21"/>
                      <w:szCs w:val="21"/>
                    </w:rPr>
                    <w:t>执行大气污染物特别排放限值。</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ascii="宋体" w:hAnsi="宋体" w:eastAsia="宋体" w:cs="宋体"/>
                      <w:sz w:val="21"/>
                      <w:szCs w:val="21"/>
                    </w:rPr>
                  </w:pPr>
                  <w:r>
                    <w:rPr>
                      <w:rFonts w:hint="eastAsia" w:ascii="Times New Roman" w:hAnsi="Times New Roman" w:eastAsia="宋体" w:cs="Times New Roman"/>
                      <w:spacing w:val="-3"/>
                      <w:sz w:val="21"/>
                      <w:szCs w:val="21"/>
                      <w:lang w:val="en-US" w:eastAsia="zh-CN"/>
                    </w:rPr>
                    <w:t>4、</w:t>
                  </w:r>
                  <w:r>
                    <w:rPr>
                      <w:rFonts w:ascii="宋体" w:hAnsi="宋体" w:eastAsia="宋体" w:cs="宋体"/>
                      <w:spacing w:val="-3"/>
                      <w:sz w:val="21"/>
                      <w:szCs w:val="21"/>
                    </w:rPr>
                    <w:t>实施水泥行业超低排放，实现有组织烟气、无组</w:t>
                  </w:r>
                  <w:r>
                    <w:rPr>
                      <w:rFonts w:ascii="宋体" w:hAnsi="宋体" w:eastAsia="宋体" w:cs="宋体"/>
                      <w:spacing w:val="12"/>
                      <w:sz w:val="21"/>
                      <w:szCs w:val="21"/>
                    </w:rPr>
                    <w:t xml:space="preserve"> </w:t>
                  </w:r>
                  <w:r>
                    <w:rPr>
                      <w:rFonts w:ascii="宋体" w:hAnsi="宋体" w:eastAsia="宋体" w:cs="宋体"/>
                      <w:spacing w:val="4"/>
                      <w:sz w:val="21"/>
                      <w:szCs w:val="21"/>
                    </w:rPr>
                    <w:t>织排放监测监控、物料运输等全流程、全过程环</w:t>
                  </w:r>
                  <w:r>
                    <w:rPr>
                      <w:rFonts w:ascii="宋体" w:hAnsi="宋体" w:eastAsia="宋体" w:cs="宋体"/>
                      <w:spacing w:val="-3"/>
                      <w:sz w:val="21"/>
                      <w:szCs w:val="21"/>
                    </w:rPr>
                    <w:t>境管理。</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ascii="宋体" w:hAnsi="宋体" w:eastAsia="宋体" w:cs="宋体"/>
                      <w:sz w:val="21"/>
                      <w:szCs w:val="21"/>
                    </w:rPr>
                  </w:pPr>
                  <w:r>
                    <w:rPr>
                      <w:rFonts w:hint="eastAsia" w:ascii="Times New Roman" w:hAnsi="Times New Roman" w:eastAsia="宋体" w:cs="Times New Roman"/>
                      <w:spacing w:val="-3"/>
                      <w:sz w:val="21"/>
                      <w:szCs w:val="21"/>
                      <w:lang w:val="en-US" w:eastAsia="zh-CN"/>
                    </w:rPr>
                    <w:t>5、</w:t>
                  </w:r>
                  <w:r>
                    <w:rPr>
                      <w:rFonts w:ascii="宋体" w:hAnsi="宋体" w:eastAsia="宋体" w:cs="宋体"/>
                      <w:spacing w:val="-3"/>
                      <w:sz w:val="21"/>
                      <w:szCs w:val="21"/>
                    </w:rPr>
                    <w:t>新建、改建、扩建重点行业重金属污染物排放项</w:t>
                  </w:r>
                  <w:r>
                    <w:rPr>
                      <w:rFonts w:ascii="宋体" w:hAnsi="宋体" w:eastAsia="宋体" w:cs="宋体"/>
                      <w:spacing w:val="5"/>
                      <w:sz w:val="21"/>
                      <w:szCs w:val="21"/>
                    </w:rPr>
                    <w:t xml:space="preserve"> </w:t>
                  </w:r>
                  <w:r>
                    <w:rPr>
                      <w:rFonts w:ascii="宋体" w:hAnsi="宋体" w:eastAsia="宋体" w:cs="宋体"/>
                      <w:spacing w:val="4"/>
                      <w:sz w:val="21"/>
                      <w:szCs w:val="21"/>
                    </w:rPr>
                    <w:t>目，要通过“以新代老”治理、淘汰落后产能、区域替代等“等量置换”或“减量置换”措施，实现重点重金属污染物排放总量零增长或进一步</w:t>
                  </w:r>
                  <w:r>
                    <w:rPr>
                      <w:rFonts w:ascii="宋体" w:hAnsi="宋体" w:eastAsia="宋体" w:cs="宋体"/>
                      <w:spacing w:val="6"/>
                      <w:sz w:val="21"/>
                      <w:szCs w:val="21"/>
                    </w:rPr>
                    <w:t>削减。</w:t>
                  </w:r>
                  <w:r>
                    <w:rPr>
                      <w:rFonts w:ascii="宋体" w:hAnsi="宋体" w:eastAsia="宋体" w:cs="宋体"/>
                      <w:sz w:val="21"/>
                      <w:szCs w:val="21"/>
                    </w:rPr>
                    <w:t xml:space="preserve">                                     </w:t>
                  </w:r>
                  <w:r>
                    <w:rPr>
                      <w:rFonts w:hint="eastAsia" w:ascii="Times New Roman" w:hAnsi="Times New Roman" w:eastAsia="宋体" w:cs="Times New Roman"/>
                      <w:spacing w:val="6"/>
                      <w:sz w:val="21"/>
                      <w:szCs w:val="21"/>
                      <w:lang w:val="en-US" w:eastAsia="zh-CN"/>
                    </w:rPr>
                    <w:t>6、</w:t>
                  </w:r>
                  <w:r>
                    <w:rPr>
                      <w:rFonts w:ascii="宋体" w:hAnsi="宋体" w:eastAsia="宋体" w:cs="宋体"/>
                      <w:spacing w:val="6"/>
                      <w:sz w:val="21"/>
                      <w:szCs w:val="21"/>
                    </w:rPr>
                    <w:t>新改扩建项目主要污染物排放应满足总量减排</w:t>
                  </w:r>
                  <w:r>
                    <w:rPr>
                      <w:rFonts w:ascii="宋体" w:hAnsi="宋体" w:eastAsia="宋体" w:cs="宋体"/>
                      <w:spacing w:val="-4"/>
                      <w:sz w:val="21"/>
                      <w:szCs w:val="21"/>
                    </w:rPr>
                    <w:t>要求。</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hint="eastAsia" w:eastAsia="宋体" w:cs="Times New Roman"/>
                      <w:spacing w:val="6"/>
                      <w:sz w:val="21"/>
                      <w:szCs w:val="21"/>
                      <w:lang w:val="en-US" w:eastAsia="zh-CN"/>
                    </w:rPr>
                    <w:t>7、</w:t>
                  </w:r>
                  <w:r>
                    <w:rPr>
                      <w:rFonts w:ascii="Times New Roman" w:hAnsi="Times New Roman" w:eastAsia="Times New Roman" w:cs="Times New Roman"/>
                      <w:spacing w:val="6"/>
                      <w:sz w:val="21"/>
                      <w:szCs w:val="21"/>
                    </w:rPr>
                    <w:t>对现有工业炉窑及涉 VOCs 行业提升污染治理水平。</w:t>
                  </w:r>
                </w:p>
              </w:tc>
              <w:tc>
                <w:tcPr>
                  <w:tcW w:w="1168" w:type="dxa"/>
                  <w:vAlign w:val="center"/>
                </w:tcPr>
                <w:p>
                  <w:pPr>
                    <w:keepNext w:val="0"/>
                    <w:keepLines w:val="0"/>
                    <w:pageBreakBefore w:val="0"/>
                    <w:widowControl w:val="0"/>
                    <w:kinsoku/>
                    <w:wordWrap/>
                    <w:overflowPunct/>
                    <w:topLinePunct w:val="0"/>
                    <w:autoSpaceDE/>
                    <w:autoSpaceDN/>
                    <w:bidi w:val="0"/>
                    <w:adjustRightInd/>
                    <w:snapToGrid/>
                    <w:spacing w:line="300" w:lineRule="exact"/>
                    <w:ind w:right="0"/>
                    <w:jc w:val="left"/>
                    <w:textAlignment w:val="auto"/>
                    <w:rPr>
                      <w:rFonts w:ascii="Microsoft JhengHei"/>
                      <w:sz w:val="21"/>
                    </w:rPr>
                  </w:pPr>
                </w:p>
                <w:p>
                  <w:pPr>
                    <w:keepNext w:val="0"/>
                    <w:keepLines w:val="0"/>
                    <w:pageBreakBefore w:val="0"/>
                    <w:widowControl w:val="0"/>
                    <w:kinsoku/>
                    <w:wordWrap/>
                    <w:overflowPunct/>
                    <w:topLinePunct w:val="0"/>
                    <w:autoSpaceDE/>
                    <w:autoSpaceDN/>
                    <w:bidi w:val="0"/>
                    <w:adjustRightInd/>
                    <w:snapToGrid/>
                    <w:spacing w:line="300" w:lineRule="exact"/>
                    <w:ind w:right="0"/>
                    <w:jc w:val="left"/>
                    <w:textAlignment w:val="auto"/>
                    <w:rPr>
                      <w:rFonts w:ascii="Microsoft JhengHei"/>
                      <w:sz w:val="21"/>
                    </w:rPr>
                  </w:pPr>
                </w:p>
                <w:p>
                  <w:pPr>
                    <w:keepNext w:val="0"/>
                    <w:keepLines w:val="0"/>
                    <w:pageBreakBefore w:val="0"/>
                    <w:widowControl w:val="0"/>
                    <w:kinsoku/>
                    <w:wordWrap/>
                    <w:overflowPunct/>
                    <w:topLinePunct w:val="0"/>
                    <w:autoSpaceDE/>
                    <w:autoSpaceDN/>
                    <w:bidi w:val="0"/>
                    <w:adjustRightInd/>
                    <w:snapToGrid/>
                    <w:spacing w:line="300" w:lineRule="exact"/>
                    <w:ind w:right="0"/>
                    <w:jc w:val="left"/>
                    <w:textAlignment w:val="auto"/>
                    <w:rPr>
                      <w:rFonts w:ascii="Microsoft JhengHei"/>
                      <w:sz w:val="21"/>
                    </w:rPr>
                  </w:pPr>
                </w:p>
                <w:p>
                  <w:pPr>
                    <w:keepNext w:val="0"/>
                    <w:keepLines w:val="0"/>
                    <w:pageBreakBefore w:val="0"/>
                    <w:widowControl w:val="0"/>
                    <w:kinsoku/>
                    <w:wordWrap/>
                    <w:overflowPunct/>
                    <w:topLinePunct w:val="0"/>
                    <w:autoSpaceDE/>
                    <w:autoSpaceDN/>
                    <w:bidi w:val="0"/>
                    <w:adjustRightInd/>
                    <w:snapToGrid/>
                    <w:spacing w:line="300" w:lineRule="exact"/>
                    <w:ind w:right="0"/>
                    <w:jc w:val="left"/>
                    <w:textAlignment w:val="auto"/>
                    <w:rPr>
                      <w:rFonts w:ascii="Microsoft JhengHei"/>
                      <w:sz w:val="21"/>
                    </w:rPr>
                  </w:pP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ascii="宋体" w:hAnsi="宋体" w:eastAsia="宋体" w:cs="宋体"/>
                      <w:spacing w:val="6"/>
                      <w:sz w:val="21"/>
                      <w:szCs w:val="21"/>
                    </w:rPr>
                    <w:t>项目不排放重金属，硫酸雾</w:t>
                  </w:r>
                  <w:r>
                    <w:rPr>
                      <w:rFonts w:ascii="宋体" w:hAnsi="宋体" w:eastAsia="宋体" w:cs="宋体"/>
                      <w:spacing w:val="7"/>
                      <w:sz w:val="21"/>
                      <w:szCs w:val="21"/>
                    </w:rPr>
                    <w:t>废气经处理后</w:t>
                  </w:r>
                  <w:r>
                    <w:rPr>
                      <w:rFonts w:ascii="宋体" w:hAnsi="宋体" w:eastAsia="宋体" w:cs="宋体"/>
                      <w:spacing w:val="1"/>
                      <w:sz w:val="21"/>
                      <w:szCs w:val="21"/>
                    </w:rPr>
                    <w:t xml:space="preserve"> </w:t>
                  </w:r>
                  <w:r>
                    <w:rPr>
                      <w:rFonts w:ascii="宋体" w:hAnsi="宋体" w:eastAsia="宋体" w:cs="宋体"/>
                      <w:spacing w:val="7"/>
                      <w:sz w:val="21"/>
                      <w:szCs w:val="21"/>
                    </w:rPr>
                    <w:t>能够满足《大气污染物综合</w:t>
                  </w:r>
                  <w:r>
                    <w:rPr>
                      <w:rFonts w:ascii="宋体" w:hAnsi="宋体" w:eastAsia="宋体" w:cs="宋体"/>
                      <w:spacing w:val="-12"/>
                      <w:sz w:val="21"/>
                      <w:szCs w:val="21"/>
                    </w:rPr>
                    <w:t>排放标准》</w:t>
                  </w:r>
                  <w:r>
                    <w:rPr>
                      <w:rFonts w:ascii="宋体" w:hAnsi="宋体" w:eastAsia="宋体" w:cs="宋体"/>
                      <w:sz w:val="21"/>
                      <w:szCs w:val="21"/>
                    </w:rPr>
                    <w:t xml:space="preserve"> </w:t>
                  </w:r>
                  <w:r>
                    <w:rPr>
                      <w:rFonts w:ascii="宋体" w:hAnsi="宋体" w:eastAsia="宋体" w:cs="宋体"/>
                      <w:spacing w:val="-3"/>
                      <w:sz w:val="21"/>
                      <w:szCs w:val="21"/>
                    </w:rPr>
                    <w:t>（</w:t>
                  </w:r>
                  <w:r>
                    <w:rPr>
                      <w:rFonts w:ascii="Times New Roman" w:hAnsi="Times New Roman" w:eastAsia="Times New Roman" w:cs="Times New Roman"/>
                      <w:spacing w:val="-3"/>
                      <w:sz w:val="21"/>
                      <w:szCs w:val="21"/>
                    </w:rPr>
                    <w:t>GB16297-19</w:t>
                  </w:r>
                  <w:r>
                    <w:rPr>
                      <w:rFonts w:ascii="Times New Roman" w:hAnsi="Times New Roman" w:eastAsia="Times New Roman" w:cs="Times New Roman"/>
                      <w:spacing w:val="-2"/>
                      <w:sz w:val="21"/>
                      <w:szCs w:val="21"/>
                    </w:rPr>
                    <w:t>96</w:t>
                  </w:r>
                  <w:r>
                    <w:rPr>
                      <w:rFonts w:ascii="宋体" w:hAnsi="宋体" w:eastAsia="宋体" w:cs="宋体"/>
                      <w:spacing w:val="-2"/>
                      <w:sz w:val="21"/>
                      <w:szCs w:val="21"/>
                    </w:rPr>
                    <w:t>）要求。</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ascii="宋体" w:hAnsi="宋体" w:eastAsia="宋体" w:cs="宋体"/>
                      <w:spacing w:val="-6"/>
                      <w:sz w:val="21"/>
                      <w:szCs w:val="21"/>
                    </w:rPr>
                  </w:pPr>
                  <w:r>
                    <w:rPr>
                      <w:rFonts w:ascii="宋体" w:hAnsi="宋体" w:eastAsia="宋体" w:cs="宋体"/>
                      <w:spacing w:val="-6"/>
                      <w:sz w:val="21"/>
                      <w:szCs w:val="21"/>
                    </w:rPr>
                    <w:t>环境</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ascii="宋体" w:hAnsi="宋体" w:eastAsia="宋体" w:cs="宋体"/>
                      <w:sz w:val="21"/>
                      <w:szCs w:val="21"/>
                    </w:rPr>
                  </w:pPr>
                  <w:r>
                    <w:rPr>
                      <w:rFonts w:ascii="宋体" w:hAnsi="宋体" w:eastAsia="宋体" w:cs="宋体"/>
                      <w:spacing w:val="-6"/>
                      <w:sz w:val="21"/>
                      <w:szCs w:val="21"/>
                    </w:rPr>
                    <w:t>风险</w:t>
                  </w:r>
                </w:p>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ascii="宋体" w:hAnsi="宋体" w:eastAsia="宋体" w:cs="宋体"/>
                      <w:spacing w:val="-6"/>
                      <w:sz w:val="21"/>
                      <w:szCs w:val="21"/>
                    </w:rPr>
                    <w:t>防控</w:t>
                  </w:r>
                </w:p>
              </w:tc>
              <w:tc>
                <w:tcPr>
                  <w:tcW w:w="4659"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ascii="宋体" w:hAnsi="宋体" w:eastAsia="宋体" w:cs="宋体"/>
                      <w:sz w:val="21"/>
                      <w:szCs w:val="21"/>
                    </w:rPr>
                  </w:pPr>
                  <w:r>
                    <w:rPr>
                      <w:rFonts w:hint="eastAsia" w:ascii="宋体" w:hAnsi="宋体" w:eastAsia="宋体" w:cs="宋体"/>
                      <w:spacing w:val="-2"/>
                      <w:sz w:val="21"/>
                      <w:szCs w:val="21"/>
                      <w:lang w:val="en-US" w:eastAsia="zh-CN"/>
                    </w:rPr>
                    <w:t>1、</w:t>
                  </w:r>
                  <w:r>
                    <w:rPr>
                      <w:rFonts w:ascii="宋体" w:hAnsi="宋体" w:eastAsia="宋体" w:cs="宋体"/>
                      <w:spacing w:val="-2"/>
                      <w:sz w:val="21"/>
                      <w:szCs w:val="21"/>
                    </w:rPr>
                    <w:t>集聚区管理部门应加强集聚区环境安全管理工</w:t>
                  </w:r>
                  <w:r>
                    <w:rPr>
                      <w:rFonts w:ascii="宋体" w:hAnsi="宋体" w:eastAsia="宋体" w:cs="宋体"/>
                      <w:spacing w:val="-1"/>
                      <w:sz w:val="21"/>
                      <w:szCs w:val="21"/>
                    </w:rPr>
                    <w:t>作，严格危险化学品管理，建立集聚区风险防范</w:t>
                  </w:r>
                  <w:r>
                    <w:rPr>
                      <w:rFonts w:ascii="宋体" w:hAnsi="宋体" w:eastAsia="宋体" w:cs="宋体"/>
                      <w:spacing w:val="1"/>
                      <w:sz w:val="21"/>
                      <w:szCs w:val="21"/>
                    </w:rPr>
                    <w:t>体系以及风险防范应急预案。</w:t>
                  </w:r>
                  <w:r>
                    <w:rPr>
                      <w:rFonts w:ascii="宋体" w:hAnsi="宋体" w:eastAsia="宋体" w:cs="宋体"/>
                      <w:sz w:val="21"/>
                      <w:szCs w:val="21"/>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ascii="宋体" w:hAnsi="宋体" w:eastAsia="宋体" w:cs="宋体"/>
                      <w:sz w:val="21"/>
                      <w:szCs w:val="21"/>
                    </w:rPr>
                  </w:pPr>
                  <w:r>
                    <w:rPr>
                      <w:rFonts w:hint="eastAsia" w:ascii="宋体" w:hAnsi="宋体" w:eastAsia="宋体" w:cs="宋体"/>
                      <w:spacing w:val="-3"/>
                      <w:sz w:val="21"/>
                      <w:szCs w:val="21"/>
                      <w:lang w:val="en-US" w:eastAsia="zh-CN"/>
                    </w:rPr>
                    <w:t>2、</w:t>
                  </w:r>
                  <w:r>
                    <w:rPr>
                      <w:rFonts w:ascii="宋体" w:hAnsi="宋体" w:eastAsia="宋体" w:cs="宋体"/>
                      <w:spacing w:val="-3"/>
                      <w:sz w:val="21"/>
                      <w:szCs w:val="21"/>
                    </w:rPr>
                    <w:t>企业内部应建立相应的事故风险防范体系，制定</w:t>
                  </w:r>
                  <w:r>
                    <w:rPr>
                      <w:rFonts w:ascii="宋体" w:hAnsi="宋体" w:eastAsia="宋体" w:cs="宋体"/>
                      <w:spacing w:val="7"/>
                      <w:sz w:val="21"/>
                      <w:szCs w:val="21"/>
                    </w:rPr>
                    <w:t xml:space="preserve"> </w:t>
                  </w:r>
                  <w:r>
                    <w:rPr>
                      <w:rFonts w:ascii="宋体" w:hAnsi="宋体" w:eastAsia="宋体" w:cs="宋体"/>
                      <w:spacing w:val="1"/>
                      <w:sz w:val="21"/>
                      <w:szCs w:val="21"/>
                    </w:rPr>
                    <w:t>应急预案，认真落实环境风险防范措施。</w:t>
                  </w:r>
                  <w:r>
                    <w:rPr>
                      <w:rFonts w:ascii="宋体" w:hAnsi="宋体" w:eastAsia="宋体" w:cs="宋体"/>
                      <w:sz w:val="21"/>
                      <w:szCs w:val="21"/>
                    </w:rPr>
                    <w:t xml:space="preserve">       </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ascii="宋体" w:hAnsi="宋体" w:eastAsia="宋体" w:cs="宋体"/>
                      <w:spacing w:val="1"/>
                      <w:sz w:val="21"/>
                      <w:szCs w:val="21"/>
                    </w:rPr>
                  </w:pPr>
                  <w:r>
                    <w:rPr>
                      <w:rFonts w:hint="eastAsia" w:ascii="宋体" w:hAnsi="宋体" w:eastAsia="宋体" w:cs="宋体"/>
                      <w:spacing w:val="-3"/>
                      <w:sz w:val="21"/>
                      <w:szCs w:val="21"/>
                      <w:lang w:val="en-US" w:eastAsia="zh-CN"/>
                    </w:rPr>
                    <w:t>3、</w:t>
                  </w:r>
                  <w:r>
                    <w:rPr>
                      <w:rFonts w:ascii="宋体" w:hAnsi="宋体" w:eastAsia="宋体" w:cs="宋体"/>
                      <w:spacing w:val="-3"/>
                      <w:sz w:val="21"/>
                      <w:szCs w:val="21"/>
                    </w:rPr>
                    <w:t>对涉重行业企业加强管理，建立土壤和地下水隐</w:t>
                  </w:r>
                  <w:r>
                    <w:rPr>
                      <w:rFonts w:ascii="宋体" w:hAnsi="宋体" w:eastAsia="宋体" w:cs="宋体"/>
                      <w:spacing w:val="10"/>
                      <w:sz w:val="21"/>
                      <w:szCs w:val="21"/>
                    </w:rPr>
                    <w:t xml:space="preserve"> </w:t>
                  </w:r>
                  <w:r>
                    <w:rPr>
                      <w:rFonts w:ascii="宋体" w:hAnsi="宋体" w:eastAsia="宋体" w:cs="宋体"/>
                      <w:spacing w:val="1"/>
                      <w:sz w:val="21"/>
                      <w:szCs w:val="21"/>
                    </w:rPr>
                    <w:t xml:space="preserve">患排查制度、风险防控体系和长效监管机制。   </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hint="eastAsia" w:ascii="Times New Roman" w:hAnsi="Times New Roman" w:eastAsia="宋体" w:cs="Times New Roman"/>
                      <w:spacing w:val="-3"/>
                      <w:sz w:val="21"/>
                      <w:szCs w:val="21"/>
                      <w:lang w:val="en-US" w:eastAsia="zh-CN"/>
                    </w:rPr>
                    <w:t>4、</w:t>
                  </w:r>
                  <w:r>
                    <w:rPr>
                      <w:rFonts w:ascii="宋体" w:hAnsi="宋体" w:eastAsia="宋体" w:cs="宋体"/>
                      <w:spacing w:val="-3"/>
                      <w:sz w:val="21"/>
                      <w:szCs w:val="21"/>
                    </w:rPr>
                    <w:t>有色金属冶炼、化工、电镀等行业土壤环境污染</w:t>
                  </w:r>
                  <w:r>
                    <w:rPr>
                      <w:rFonts w:ascii="宋体" w:hAnsi="宋体" w:eastAsia="宋体" w:cs="宋体"/>
                      <w:spacing w:val="10"/>
                      <w:sz w:val="21"/>
                      <w:szCs w:val="21"/>
                    </w:rPr>
                    <w:t xml:space="preserve"> </w:t>
                  </w:r>
                  <w:r>
                    <w:rPr>
                      <w:rFonts w:ascii="宋体" w:hAnsi="宋体" w:eastAsia="宋体" w:cs="宋体"/>
                      <w:spacing w:val="-1"/>
                      <w:sz w:val="21"/>
                      <w:szCs w:val="21"/>
                    </w:rPr>
                    <w:t>重点监管单位新、改、扩建项目，应当在开展建设项目环境影响评价时，按照国家有关技术规范</w:t>
                  </w:r>
                  <w:r>
                    <w:rPr>
                      <w:rFonts w:ascii="宋体" w:hAnsi="宋体" w:eastAsia="宋体" w:cs="宋体"/>
                      <w:spacing w:val="4"/>
                      <w:sz w:val="21"/>
                      <w:szCs w:val="21"/>
                    </w:rPr>
                    <w:t xml:space="preserve">  </w:t>
                  </w:r>
                  <w:r>
                    <w:rPr>
                      <w:rFonts w:ascii="宋体" w:hAnsi="宋体" w:eastAsia="宋体" w:cs="宋体"/>
                      <w:spacing w:val="-1"/>
                      <w:sz w:val="21"/>
                      <w:szCs w:val="21"/>
                    </w:rPr>
                    <w:t>开展工矿用地土壤和地下水环境现状调查，编制调查报告，并按规定上报环境影响评价基础数据</w:t>
                  </w:r>
                  <w:r>
                    <w:rPr>
                      <w:rFonts w:ascii="宋体" w:hAnsi="宋体" w:eastAsia="宋体" w:cs="宋体"/>
                      <w:spacing w:val="9"/>
                      <w:sz w:val="21"/>
                      <w:szCs w:val="21"/>
                    </w:rPr>
                    <w:t>库。</w:t>
                  </w:r>
                  <w:r>
                    <w:rPr>
                      <w:rFonts w:ascii="宋体" w:hAnsi="宋体" w:eastAsia="宋体" w:cs="宋体"/>
                      <w:sz w:val="21"/>
                      <w:szCs w:val="21"/>
                    </w:rPr>
                    <w:t xml:space="preserve">                                       </w:t>
                  </w:r>
                  <w:r>
                    <w:rPr>
                      <w:rFonts w:hint="eastAsia" w:ascii="宋体" w:hAnsi="宋体" w:eastAsia="宋体" w:cs="宋体"/>
                      <w:sz w:val="21"/>
                      <w:szCs w:val="21"/>
                      <w:lang w:val="en-US" w:eastAsia="zh-CN"/>
                    </w:rPr>
                    <w:t>5、</w:t>
                  </w:r>
                  <w:r>
                    <w:rPr>
                      <w:rFonts w:ascii="宋体" w:hAnsi="宋体" w:eastAsia="宋体" w:cs="宋体"/>
                      <w:spacing w:val="-3"/>
                      <w:sz w:val="21"/>
                      <w:szCs w:val="21"/>
                    </w:rPr>
                    <w:t>有色金属冶炼、铅酸蓄电池、化工、电镀、制革</w:t>
                  </w:r>
                  <w:r>
                    <w:rPr>
                      <w:rFonts w:ascii="宋体" w:hAnsi="宋体" w:eastAsia="宋体" w:cs="宋体"/>
                      <w:spacing w:val="3"/>
                      <w:sz w:val="21"/>
                      <w:szCs w:val="21"/>
                    </w:rPr>
                    <w:t xml:space="preserve"> </w:t>
                  </w:r>
                  <w:r>
                    <w:rPr>
                      <w:rFonts w:ascii="宋体" w:hAnsi="宋体" w:eastAsia="宋体" w:cs="宋体"/>
                      <w:spacing w:val="-1"/>
                      <w:sz w:val="21"/>
                      <w:szCs w:val="21"/>
                    </w:rPr>
                    <w:t>和危险化学品生产、储存、使用等企业在拆除生产设施设备、污染治理设施时，要事先制定残留污染物清理和安全处置方案。</w:t>
                  </w:r>
                </w:p>
              </w:tc>
              <w:tc>
                <w:tcPr>
                  <w:tcW w:w="1168" w:type="dxa"/>
                  <w:vAlign w:val="center"/>
                </w:tcPr>
                <w:p>
                  <w:pPr>
                    <w:keepNext w:val="0"/>
                    <w:keepLines w:val="0"/>
                    <w:pageBreakBefore w:val="0"/>
                    <w:widowControl w:val="0"/>
                    <w:kinsoku/>
                    <w:wordWrap/>
                    <w:overflowPunct/>
                    <w:topLinePunct w:val="0"/>
                    <w:autoSpaceDE/>
                    <w:autoSpaceDN/>
                    <w:bidi w:val="0"/>
                    <w:adjustRightInd/>
                    <w:snapToGrid/>
                    <w:spacing w:line="300" w:lineRule="exact"/>
                    <w:ind w:right="0"/>
                    <w:jc w:val="center"/>
                    <w:textAlignment w:val="auto"/>
                    <w:rPr>
                      <w:rFonts w:ascii="Microsoft JhengHei"/>
                      <w:sz w:val="21"/>
                    </w:rPr>
                  </w:pP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3"/>
                      <w:sz w:val="21"/>
                      <w:szCs w:val="21"/>
                    </w:rPr>
                    <w:t>企业制定应急预案，认真落实环境风险防范措施。</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bl>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textAlignment w:val="auto"/>
              <w:rPr>
                <w:rFonts w:hint="eastAsia" w:ascii="宋体" w:hAnsi="宋体" w:cs="宋体"/>
                <w:spacing w:val="-4"/>
                <w:sz w:val="24"/>
                <w:szCs w:val="24"/>
                <w:lang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三、与《废铅酸蓄电池污染放治行动方案》（环办固体</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[2019]3号</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）相符性分析</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项目与《废铅蓄电池污染放治行动方案》（环办固体[2019]3号）</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黑体" w:hAnsi="黑体" w:eastAsia="黑体" w:cs="黑体"/>
                <w:szCs w:val="24"/>
                <w:lang w:val="en-US" w:eastAsia="zh-CN"/>
              </w:rPr>
            </w:pPr>
            <w:r>
              <w:rPr>
                <w:rFonts w:hint="eastAsia" w:ascii="黑体" w:hAnsi="黑体" w:eastAsia="黑体" w:cs="黑体"/>
                <w:szCs w:val="24"/>
                <w:lang w:val="en-US" w:eastAsia="zh-CN"/>
              </w:rPr>
              <w:t>相符性分析</w:t>
            </w:r>
          </w:p>
          <w:tbl>
            <w:tblPr>
              <w:tblStyle w:val="16"/>
              <w:tblW w:w="74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81"/>
              <w:gridCol w:w="3245"/>
              <w:gridCol w:w="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规范及要求</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本项目</w:t>
                  </w:r>
                  <w:r>
                    <w:rPr>
                      <w:rFonts w:hint="default" w:ascii="Times New Roman" w:hAnsi="Times New Roman" w:eastAsia="宋体" w:cs="Times New Roman"/>
                      <w:b w:val="0"/>
                      <w:bCs w:val="0"/>
                      <w:kern w:val="0"/>
                      <w:sz w:val="21"/>
                      <w:szCs w:val="21"/>
                      <w:vertAlign w:val="baseline"/>
                      <w:lang w:eastAsia="zh-CN"/>
                    </w:rPr>
                    <w:t>情况</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hint="eastAsia" w:ascii="Times New Roman" w:hAnsi="Times New Roman" w:eastAsia="宋体" w:cs="Times New Roman"/>
                      <w:b w:val="0"/>
                      <w:bCs w:val="0"/>
                      <w:kern w:val="0"/>
                      <w:sz w:val="21"/>
                      <w:szCs w:val="21"/>
                      <w:vertAlign w:val="baseline"/>
                      <w:lang w:eastAsia="zh-CN"/>
                    </w:rPr>
                  </w:pPr>
                  <w:r>
                    <w:rPr>
                      <w:rFonts w:ascii="宋体" w:hAnsi="宋体" w:eastAsia="宋体" w:cs="宋体"/>
                      <w:spacing w:val="7"/>
                      <w:sz w:val="21"/>
                      <w:szCs w:val="21"/>
                    </w:rPr>
                    <w:t>开展废铅蓄电池集中收集和跨区域转运制度试</w:t>
                  </w:r>
                  <w:r>
                    <w:rPr>
                      <w:rFonts w:ascii="宋体" w:hAnsi="宋体" w:eastAsia="宋体" w:cs="宋体"/>
                      <w:spacing w:val="-4"/>
                      <w:sz w:val="21"/>
                      <w:szCs w:val="21"/>
                    </w:rPr>
                    <w:t>点。为探索废铅蓄电池收集、转移管理制度，选</w:t>
                  </w:r>
                  <w:r>
                    <w:rPr>
                      <w:rFonts w:ascii="宋体" w:hAnsi="宋体" w:eastAsia="宋体" w:cs="宋体"/>
                      <w:spacing w:val="-3"/>
                      <w:sz w:val="21"/>
                      <w:szCs w:val="21"/>
                    </w:rPr>
                    <w:t>择有条件的地区，开展废铅蓄电池集中收集和跨区域转运制度试点，对未破损的密封式免维护废铅蓄电池在收集、贮存、转移等环节有条件豁免或简化管理要求，降低成本，提高效率，推动建</w:t>
                  </w:r>
                  <w:r>
                    <w:rPr>
                      <w:rFonts w:ascii="宋体" w:hAnsi="宋体" w:eastAsia="宋体" w:cs="宋体"/>
                      <w:spacing w:val="-1"/>
                      <w:sz w:val="21"/>
                      <w:szCs w:val="21"/>
                    </w:rPr>
                    <w:t>立规范有序的收集处理体系</w:t>
                  </w:r>
                  <w:r>
                    <w:rPr>
                      <w:rFonts w:hint="eastAsia" w:ascii="宋体" w:hAnsi="宋体" w:eastAsia="宋体" w:cs="宋体"/>
                      <w:spacing w:val="-1"/>
                      <w:sz w:val="21"/>
                      <w:szCs w:val="21"/>
                      <w:lang w:eastAsia="zh-CN"/>
                    </w:rPr>
                    <w:t>。</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left"/>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eastAsia="zh-CN"/>
                    </w:rPr>
                    <w:t>济源市拥有多家废旧铅蓄电池处置企业，具有成熟完备的废铅蓄电池拆解利用工艺，因此本项目建设符合看展废铅蓄电池集中收集和跨区域转运试点的地域要求。</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textAlignment w:val="auto"/>
              <w:rPr>
                <w:rFonts w:hint="eastAsia" w:ascii="宋体" w:hAnsi="宋体" w:cs="宋体"/>
                <w:spacing w:val="-4"/>
                <w:sz w:val="24"/>
                <w:szCs w:val="24"/>
                <w:lang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四、与《废电池污染防治技术政策》（环发</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[2016]82号</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）相符性分析</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jc w:val="center"/>
              <w:textAlignment w:val="auto"/>
              <w:rPr>
                <w:rFonts w:hint="eastAsia" w:ascii="黑体" w:hAnsi="黑体" w:eastAsia="黑体" w:cs="黑体"/>
                <w:kern w:val="0"/>
                <w:sz w:val="24"/>
                <w:szCs w:val="24"/>
                <w:lang w:val="en-US" w:eastAsia="zh-CN" w:bidi="ar-SA"/>
              </w:rPr>
            </w:pPr>
            <w:r>
              <w:rPr>
                <w:rFonts w:hint="eastAsia" w:ascii="黑体" w:hAnsi="黑体" w:eastAsia="黑体" w:cs="黑体"/>
                <w:kern w:val="0"/>
                <w:sz w:val="24"/>
                <w:szCs w:val="24"/>
                <w:lang w:val="en-US" w:eastAsia="zh-CN" w:bidi="ar-SA"/>
              </w:rPr>
              <w:t>项目与《废电池污染放治技术政策》相符性分析</w:t>
            </w:r>
          </w:p>
          <w:tbl>
            <w:tblPr>
              <w:tblStyle w:val="16"/>
              <w:tblpPr w:leftFromText="180" w:rightFromText="180" w:vertAnchor="text" w:horzAnchor="page" w:tblpXSpec="center" w:tblpY="86"/>
              <w:tblOverlap w:val="never"/>
              <w:tblW w:w="7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3173"/>
              <w:gridCol w:w="2654"/>
              <w:gridCol w:w="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项目</w:t>
                  </w:r>
                </w:p>
              </w:tc>
              <w:tc>
                <w:tcPr>
                  <w:tcW w:w="317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规范及要求</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本项目情况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收集</w:t>
                  </w:r>
                </w:p>
              </w:tc>
              <w:tc>
                <w:tcPr>
                  <w:tcW w:w="317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eastAsia" w:ascii="Times New Roman" w:hAnsi="Times New Roman" w:eastAsia="宋体" w:cs="Times New Roman"/>
                      <w:b w:val="0"/>
                      <w:bCs w:val="0"/>
                      <w:kern w:val="0"/>
                      <w:sz w:val="21"/>
                      <w:szCs w:val="21"/>
                      <w:vertAlign w:val="baseline"/>
                      <w:lang w:eastAsia="zh-CN"/>
                    </w:rPr>
                  </w:pPr>
                  <w:r>
                    <w:rPr>
                      <w:rFonts w:ascii="宋体" w:hAnsi="宋体" w:eastAsia="宋体" w:cs="宋体"/>
                      <w:spacing w:val="-10"/>
                      <w:sz w:val="21"/>
                      <w:szCs w:val="21"/>
                    </w:rPr>
                    <w:t>（一）</w:t>
                  </w:r>
                  <w:r>
                    <w:rPr>
                      <w:rFonts w:ascii="宋体" w:hAnsi="宋体" w:eastAsia="宋体" w:cs="宋体"/>
                      <w:spacing w:val="-11"/>
                      <w:sz w:val="21"/>
                      <w:szCs w:val="21"/>
                    </w:rPr>
                    <w:t xml:space="preserve"> </w:t>
                  </w:r>
                  <w:r>
                    <w:rPr>
                      <w:rFonts w:ascii="宋体" w:hAnsi="宋体" w:eastAsia="宋体" w:cs="宋体"/>
                      <w:spacing w:val="-10"/>
                      <w:sz w:val="21"/>
                      <w:szCs w:val="21"/>
                    </w:rPr>
                    <w:t>在具备资源化利用条件的地区，鼓</w:t>
                  </w:r>
                  <w:r>
                    <w:rPr>
                      <w:rFonts w:ascii="宋体" w:hAnsi="宋体" w:eastAsia="宋体" w:cs="宋体"/>
                      <w:spacing w:val="-1"/>
                      <w:sz w:val="21"/>
                      <w:szCs w:val="21"/>
                    </w:rPr>
                    <w:t>励分类收集废原电池。</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济源市拥有多家废旧铅蓄电池处置企业，具有成熟完备的废铅蓄电池拆解利用工艺，符合相应要求。</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b w:val="0"/>
                      <w:bCs w:val="0"/>
                      <w:kern w:val="0"/>
                      <w:sz w:val="21"/>
                      <w:szCs w:val="21"/>
                      <w:vertAlign w:val="baseline"/>
                    </w:rPr>
                  </w:pPr>
                  <w:r>
                    <w:rPr>
                      <w:rFonts w:ascii="宋体" w:hAnsi="宋体" w:eastAsia="宋体" w:cs="宋体"/>
                      <w:spacing w:val="-10"/>
                      <w:sz w:val="21"/>
                      <w:szCs w:val="21"/>
                    </w:rPr>
                    <w:t>（二）</w:t>
                  </w:r>
                  <w:r>
                    <w:rPr>
                      <w:rFonts w:ascii="宋体" w:hAnsi="宋体" w:eastAsia="宋体" w:cs="宋体"/>
                      <w:spacing w:val="-8"/>
                      <w:sz w:val="21"/>
                      <w:szCs w:val="21"/>
                    </w:rPr>
                    <w:t xml:space="preserve"> </w:t>
                  </w:r>
                  <w:r>
                    <w:rPr>
                      <w:rFonts w:ascii="宋体" w:hAnsi="宋体" w:eastAsia="宋体" w:cs="宋体"/>
                      <w:spacing w:val="-10"/>
                      <w:sz w:val="21"/>
                      <w:szCs w:val="21"/>
                    </w:rPr>
                    <w:t>鼓励电池生产企业、废电池收集企</w:t>
                  </w:r>
                  <w:r>
                    <w:rPr>
                      <w:rFonts w:ascii="宋体" w:hAnsi="宋体" w:eastAsia="宋体" w:cs="宋体"/>
                      <w:spacing w:val="-5"/>
                      <w:sz w:val="21"/>
                      <w:szCs w:val="21"/>
                    </w:rPr>
                    <w:t>业及利用企业等建设废电池收集体系。鼓</w:t>
                  </w:r>
                  <w:r>
                    <w:rPr>
                      <w:rFonts w:ascii="宋体" w:hAnsi="宋体" w:eastAsia="宋体" w:cs="宋体"/>
                      <w:spacing w:val="-1"/>
                      <w:sz w:val="21"/>
                      <w:szCs w:val="21"/>
                    </w:rPr>
                    <w:t>励电池生产企业履行生产者延伸责任。</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本项目属于单纯的废铅蓄电池收集项目，企业已与相关电池生产单位签订了合作协议。</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Times New Roman" w:hAnsi="Times New Roman" w:eastAsia="宋体" w:cs="Times New Roman"/>
                      <w:spacing w:val="-4"/>
                      <w:sz w:val="21"/>
                      <w:szCs w:val="21"/>
                      <w:lang w:eastAsia="zh-CN"/>
                    </w:rPr>
                  </w:pPr>
                  <w:r>
                    <w:rPr>
                      <w:rFonts w:ascii="宋体" w:hAnsi="宋体" w:eastAsia="宋体" w:cs="宋体"/>
                      <w:spacing w:val="-4"/>
                      <w:sz w:val="21"/>
                      <w:szCs w:val="21"/>
                    </w:rPr>
                    <w:t>（三）</w:t>
                  </w:r>
                  <w:r>
                    <w:rPr>
                      <w:rFonts w:ascii="宋体" w:hAnsi="宋体" w:eastAsia="宋体" w:cs="宋体"/>
                      <w:spacing w:val="-2"/>
                      <w:sz w:val="21"/>
                      <w:szCs w:val="21"/>
                    </w:rPr>
                    <w:t xml:space="preserve"> </w:t>
                  </w:r>
                  <w:r>
                    <w:rPr>
                      <w:rFonts w:ascii="宋体" w:hAnsi="宋体" w:eastAsia="宋体" w:cs="宋体"/>
                      <w:spacing w:val="-4"/>
                      <w:sz w:val="21"/>
                      <w:szCs w:val="21"/>
                    </w:rPr>
                    <w:t>鼓励废电池收集企业应用</w:t>
                  </w:r>
                  <w:r>
                    <w:rPr>
                      <w:rFonts w:ascii="Times New Roman" w:hAnsi="Times New Roman" w:eastAsia="Times New Roman" w:cs="Times New Roman"/>
                      <w:spacing w:val="-4"/>
                      <w:sz w:val="21"/>
                      <w:szCs w:val="21"/>
                    </w:rPr>
                    <w:t>“</w:t>
                  </w:r>
                  <w:r>
                    <w:rPr>
                      <w:rFonts w:ascii="宋体" w:hAnsi="宋体" w:eastAsia="宋体" w:cs="宋体"/>
                      <w:spacing w:val="-4"/>
                      <w:sz w:val="21"/>
                      <w:szCs w:val="21"/>
                    </w:rPr>
                    <w:t>物联网</w:t>
                  </w:r>
                  <w:r>
                    <w:rPr>
                      <w:rFonts w:ascii="宋体" w:hAnsi="宋体" w:eastAsia="宋体" w:cs="宋体"/>
                      <w:sz w:val="21"/>
                      <w:szCs w:val="21"/>
                    </w:rPr>
                    <w:t xml:space="preserve"> </w:t>
                  </w:r>
                  <w:r>
                    <w:rPr>
                      <w:rFonts w:ascii="Times New Roman" w:hAnsi="Times New Roman" w:eastAsia="Times New Roman" w:cs="Times New Roman"/>
                      <w:spacing w:val="-5"/>
                      <w:sz w:val="21"/>
                      <w:szCs w:val="21"/>
                    </w:rPr>
                    <w:t>+”</w:t>
                  </w:r>
                  <w:r>
                    <w:rPr>
                      <w:rFonts w:ascii="宋体" w:hAnsi="宋体" w:eastAsia="宋体" w:cs="宋体"/>
                      <w:spacing w:val="-5"/>
                      <w:sz w:val="21"/>
                      <w:szCs w:val="21"/>
                    </w:rPr>
                    <w:t>等信息化技术建立废电池收集体系，并</w:t>
                  </w:r>
                  <w:r>
                    <w:rPr>
                      <w:rFonts w:ascii="宋体" w:hAnsi="宋体" w:eastAsia="宋体" w:cs="宋体"/>
                      <w:spacing w:val="8"/>
                      <w:sz w:val="21"/>
                      <w:szCs w:val="21"/>
                    </w:rPr>
                    <w:t>通过信息公开等手段促进废电池的高效</w:t>
                  </w:r>
                  <w:r>
                    <w:rPr>
                      <w:rFonts w:ascii="宋体" w:hAnsi="宋体" w:eastAsia="宋体" w:cs="宋体"/>
                      <w:spacing w:val="-2"/>
                      <w:sz w:val="21"/>
                      <w:szCs w:val="21"/>
                    </w:rPr>
                    <w:t>回收。</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本次评价建议本项目建成后，通过信息公开等手段促进废电池的高效回收。</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5"/>
                      <w:sz w:val="21"/>
                      <w:szCs w:val="21"/>
                    </w:rPr>
                    <w:t>（四）废电池收集企业应设立具有显著标识的废电池分类收集设施。鼓励消费者将</w:t>
                  </w:r>
                  <w:r>
                    <w:rPr>
                      <w:rFonts w:ascii="宋体" w:hAnsi="宋体" w:eastAsia="宋体" w:cs="宋体"/>
                      <w:spacing w:val="7"/>
                      <w:sz w:val="21"/>
                      <w:szCs w:val="21"/>
                    </w:rPr>
                    <w:t>废电池送到相应的废电池收集网点装置</w:t>
                  </w:r>
                  <w:r>
                    <w:rPr>
                      <w:rFonts w:ascii="宋体" w:hAnsi="宋体" w:eastAsia="宋体" w:cs="宋体"/>
                      <w:spacing w:val="14"/>
                      <w:sz w:val="21"/>
                      <w:szCs w:val="21"/>
                    </w:rPr>
                    <w:t xml:space="preserve"> </w:t>
                  </w:r>
                  <w:r>
                    <w:rPr>
                      <w:rFonts w:ascii="宋体" w:hAnsi="宋体" w:eastAsia="宋体" w:cs="宋体"/>
                      <w:spacing w:val="-5"/>
                      <w:sz w:val="21"/>
                      <w:szCs w:val="21"/>
                    </w:rPr>
                    <w:t>中。</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本次评价要求企业建立具有显著标识的废电池分类收集设施。</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5"/>
                      <w:sz w:val="21"/>
                      <w:szCs w:val="21"/>
                    </w:rPr>
                    <w:t>（五）收集过程中应保持废电池的结构和外形完整，严禁私自破损废电池，已破损</w:t>
                  </w:r>
                  <w:r>
                    <w:rPr>
                      <w:rFonts w:ascii="宋体" w:hAnsi="宋体" w:eastAsia="宋体" w:cs="宋体"/>
                      <w:spacing w:val="-2"/>
                      <w:sz w:val="21"/>
                      <w:szCs w:val="21"/>
                    </w:rPr>
                    <w:t>的废电池应单独存放。</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本项目仅收集外观及结构完整的废铅蓄电池，对于运输、包装过程发生破损的废铅蓄电池，项目采用耐腐蚀的容器密闭包装并与其他完好电池分开单独存放。</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运输</w:t>
                  </w: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10"/>
                      <w:sz w:val="21"/>
                      <w:szCs w:val="21"/>
                    </w:rPr>
                    <w:t>（一）</w:t>
                  </w:r>
                  <w:r>
                    <w:rPr>
                      <w:rFonts w:ascii="宋体" w:hAnsi="宋体" w:eastAsia="宋体" w:cs="宋体"/>
                      <w:spacing w:val="-11"/>
                      <w:sz w:val="21"/>
                      <w:szCs w:val="21"/>
                    </w:rPr>
                    <w:t xml:space="preserve"> </w:t>
                  </w:r>
                  <w:r>
                    <w:rPr>
                      <w:rFonts w:ascii="宋体" w:hAnsi="宋体" w:eastAsia="宋体" w:cs="宋体"/>
                      <w:spacing w:val="-10"/>
                      <w:sz w:val="21"/>
                      <w:szCs w:val="21"/>
                    </w:rPr>
                    <w:t>废电池应采取有效的包装措施，防</w:t>
                  </w:r>
                  <w:r>
                    <w:rPr>
                      <w:rFonts w:ascii="宋体" w:hAnsi="宋体" w:eastAsia="宋体" w:cs="宋体"/>
                      <w:spacing w:val="7"/>
                      <w:sz w:val="21"/>
                      <w:szCs w:val="21"/>
                    </w:rPr>
                    <w:t>止运输过程中有毒有害物质泄漏造成污</w:t>
                  </w:r>
                  <w:r>
                    <w:rPr>
                      <w:rFonts w:ascii="宋体" w:hAnsi="宋体" w:eastAsia="宋体" w:cs="宋体"/>
                      <w:spacing w:val="-10"/>
                      <w:sz w:val="21"/>
                      <w:szCs w:val="21"/>
                    </w:rPr>
                    <w:t>染。（二</w:t>
                  </w:r>
                  <w:r>
                    <w:rPr>
                      <w:rFonts w:hint="eastAsia" w:ascii="宋体" w:hAnsi="宋体" w:cs="宋体"/>
                      <w:spacing w:val="-10"/>
                      <w:sz w:val="21"/>
                      <w:szCs w:val="21"/>
                      <w:lang w:eastAsia="zh-CN"/>
                    </w:rPr>
                    <w:t>）</w:t>
                  </w:r>
                  <w:r>
                    <w:rPr>
                      <w:rFonts w:ascii="宋体" w:hAnsi="宋体" w:eastAsia="宋体" w:cs="宋体"/>
                      <w:spacing w:val="-6"/>
                      <w:sz w:val="21"/>
                      <w:szCs w:val="21"/>
                    </w:rPr>
                    <w:t xml:space="preserve"> </w:t>
                  </w:r>
                  <w:r>
                    <w:rPr>
                      <w:rFonts w:ascii="宋体" w:hAnsi="宋体" w:eastAsia="宋体" w:cs="宋体"/>
                      <w:spacing w:val="-10"/>
                      <w:sz w:val="21"/>
                      <w:szCs w:val="21"/>
                    </w:rPr>
                    <w:t>废锂离子电池运输前应采取预</w:t>
                  </w:r>
                  <w:r>
                    <w:rPr>
                      <w:rFonts w:ascii="宋体" w:hAnsi="宋体" w:eastAsia="宋体" w:cs="宋体"/>
                      <w:spacing w:val="-5"/>
                      <w:sz w:val="21"/>
                      <w:szCs w:val="21"/>
                    </w:rPr>
                    <w:t>放电、独立包装等措施，防止因撞击或短</w:t>
                  </w:r>
                  <w:r>
                    <w:rPr>
                      <w:rFonts w:ascii="宋体" w:hAnsi="宋体" w:eastAsia="宋体" w:cs="宋体"/>
                      <w:spacing w:val="-9"/>
                      <w:sz w:val="21"/>
                      <w:szCs w:val="21"/>
                    </w:rPr>
                    <w:t>路发生爆炸等引起的环境风险。（三）</w:t>
                  </w:r>
                  <w:r>
                    <w:rPr>
                      <w:rFonts w:ascii="宋体" w:hAnsi="宋体" w:eastAsia="宋体" w:cs="宋体"/>
                      <w:spacing w:val="-23"/>
                      <w:sz w:val="21"/>
                      <w:szCs w:val="21"/>
                    </w:rPr>
                    <w:t xml:space="preserve"> </w:t>
                  </w:r>
                  <w:r>
                    <w:rPr>
                      <w:rFonts w:ascii="宋体" w:hAnsi="宋体" w:eastAsia="宋体" w:cs="宋体"/>
                      <w:spacing w:val="-9"/>
                      <w:sz w:val="21"/>
                      <w:szCs w:val="21"/>
                    </w:rPr>
                    <w:t>禁</w:t>
                  </w:r>
                  <w:r>
                    <w:rPr>
                      <w:rFonts w:ascii="宋体" w:hAnsi="宋体" w:eastAsia="宋体" w:cs="宋体"/>
                      <w:spacing w:val="-1"/>
                      <w:sz w:val="21"/>
                      <w:szCs w:val="21"/>
                    </w:rPr>
                    <w:t>止在运输过程中自倾倒和丢弃废电池。</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本项目为废铅蓄电池收集项目、企业具有有效的废铅蓄电池包装措施，废铅蓄电池委托具有资质单独专业运输单位进行运输。同时严禁运输过程中倾倒和丢弃废铅蓄电池。</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12"/>
                      <w:sz w:val="21"/>
                      <w:szCs w:val="21"/>
                    </w:rPr>
                    <w:t>（一）废电池应分类贮存，禁止露天堆放。</w:t>
                  </w:r>
                  <w:r>
                    <w:rPr>
                      <w:rFonts w:ascii="宋体" w:hAnsi="宋体" w:eastAsia="宋体" w:cs="宋体"/>
                      <w:spacing w:val="8"/>
                      <w:sz w:val="21"/>
                      <w:szCs w:val="21"/>
                    </w:rPr>
                    <w:t xml:space="preserve"> </w:t>
                  </w:r>
                  <w:r>
                    <w:rPr>
                      <w:rFonts w:ascii="宋体" w:hAnsi="宋体" w:eastAsia="宋体" w:cs="宋体"/>
                      <w:spacing w:val="-5"/>
                      <w:sz w:val="21"/>
                      <w:szCs w:val="21"/>
                    </w:rPr>
                    <w:t>破损的废电池应单独贮存。贮存场所应定</w:t>
                  </w:r>
                  <w:r>
                    <w:rPr>
                      <w:rFonts w:ascii="宋体" w:hAnsi="宋体" w:eastAsia="宋体" w:cs="宋体"/>
                      <w:spacing w:val="-2"/>
                      <w:sz w:val="21"/>
                      <w:szCs w:val="21"/>
                    </w:rPr>
                    <w:t>期清理、清运。</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本项目利用企业现有厂房空闲场地，废铅蓄电池分区存放，包括常规贮存区及破损电池贮存区。</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hint="eastAsia" w:ascii="宋体" w:hAnsi="宋体" w:cs="宋体"/>
                      <w:spacing w:val="-5"/>
                      <w:sz w:val="21"/>
                      <w:szCs w:val="21"/>
                      <w:lang w:eastAsia="zh-CN"/>
                    </w:rPr>
                    <w:t>（</w:t>
                  </w:r>
                  <w:r>
                    <w:rPr>
                      <w:rFonts w:ascii="宋体" w:hAnsi="宋体" w:eastAsia="宋体" w:cs="宋体"/>
                      <w:spacing w:val="-5"/>
                      <w:sz w:val="21"/>
                      <w:szCs w:val="21"/>
                    </w:rPr>
                    <w:t>二）废铅蓄电池的贮存场所应防止电解液泄漏。废铅蓄电池的贮存应避免遭受雨</w:t>
                  </w:r>
                  <w:r>
                    <w:rPr>
                      <w:rFonts w:ascii="宋体" w:hAnsi="宋体" w:eastAsia="宋体" w:cs="宋体"/>
                      <w:spacing w:val="-3"/>
                      <w:sz w:val="21"/>
                      <w:szCs w:val="21"/>
                    </w:rPr>
                    <w:t>淋水漫。</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企业现有厂房空闲场地具有导流沟渠等防止电解液泄露的设施，同时能够避免遭受雨淋水漫。</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Times New Roman" w:cs="Times New Roman"/>
                      <w:spacing w:val="1"/>
                      <w:sz w:val="21"/>
                      <w:szCs w:val="21"/>
                    </w:rPr>
                  </w:pPr>
                  <w:r>
                    <w:rPr>
                      <w:rFonts w:ascii="宋体" w:hAnsi="宋体" w:eastAsia="宋体" w:cs="宋体"/>
                      <w:spacing w:val="-5"/>
                      <w:sz w:val="21"/>
                      <w:szCs w:val="21"/>
                    </w:rPr>
                    <w:t>（三）废锂离子电池贮存前应进行安全性检测，避光贮存，控制贮存场所的环境温</w:t>
                  </w:r>
                  <w:r>
                    <w:rPr>
                      <w:rFonts w:ascii="宋体" w:hAnsi="宋体" w:eastAsia="宋体" w:cs="宋体"/>
                      <w:spacing w:val="-1"/>
                      <w:sz w:val="21"/>
                      <w:szCs w:val="21"/>
                    </w:rPr>
                    <w:t>度，免因高温自燃等引起的环境风险。</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本项目为废铅蓄电池收集项目，不涉及废锂电池贮存。</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20" w:lineRule="exact"/>
              <w:ind w:leftChars="0"/>
              <w:textAlignment w:val="auto"/>
              <w:rPr>
                <w:rFonts w:hint="eastAsia" w:ascii="宋体" w:hAnsi="宋体" w:cs="宋体"/>
                <w:spacing w:val="-4"/>
                <w:sz w:val="24"/>
                <w:szCs w:val="24"/>
                <w:lang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五、与《河南省铅蓄电池集中收集和框区域转运试点工作方案》（豫环文</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[2021]134号</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）相符性分析</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436" w:firstLineChars="200"/>
              <w:textAlignment w:val="auto"/>
              <w:rPr>
                <w:rFonts w:ascii="宋体" w:hAnsi="宋体" w:eastAsia="宋体" w:cs="宋体"/>
                <w:spacing w:val="-2"/>
                <w:sz w:val="24"/>
                <w:szCs w:val="24"/>
              </w:rPr>
            </w:pPr>
            <w:r>
              <w:rPr>
                <w:rFonts w:ascii="宋体" w:hAnsi="宋体" w:eastAsia="宋体" w:cs="宋体"/>
                <w:spacing w:val="-11"/>
                <w:sz w:val="24"/>
                <w:szCs w:val="24"/>
              </w:rPr>
              <w:t>《河南省铅蓄电池集中收集和跨区域转运试点工作方案》（豫环文【</w:t>
            </w:r>
            <w:r>
              <w:rPr>
                <w:rFonts w:ascii="Times New Roman" w:hAnsi="Times New Roman" w:eastAsia="Times New Roman" w:cs="Times New Roman"/>
                <w:spacing w:val="-11"/>
                <w:sz w:val="24"/>
                <w:szCs w:val="24"/>
              </w:rPr>
              <w:t>2021</w:t>
            </w:r>
            <w:r>
              <w:rPr>
                <w:rFonts w:ascii="宋体" w:hAnsi="宋体" w:eastAsia="宋体" w:cs="宋体"/>
                <w:spacing w:val="-11"/>
                <w:sz w:val="24"/>
                <w:szCs w:val="24"/>
              </w:rPr>
              <w:t>】</w:t>
            </w:r>
            <w:r>
              <w:rPr>
                <w:rFonts w:ascii="宋体" w:hAnsi="宋体" w:eastAsia="宋体" w:cs="宋体"/>
                <w:spacing w:val="27"/>
                <w:sz w:val="24"/>
                <w:szCs w:val="24"/>
              </w:rPr>
              <w:t xml:space="preserve"> </w:t>
            </w:r>
            <w:r>
              <w:rPr>
                <w:rFonts w:ascii="Times New Roman" w:hAnsi="Times New Roman" w:eastAsia="Times New Roman" w:cs="Times New Roman"/>
                <w:spacing w:val="-11"/>
                <w:sz w:val="24"/>
                <w:szCs w:val="24"/>
              </w:rPr>
              <w:t>134</w:t>
            </w:r>
            <w:r>
              <w:rPr>
                <w:rFonts w:ascii="宋体" w:hAnsi="宋体" w:eastAsia="宋体" w:cs="宋体"/>
                <w:spacing w:val="-11"/>
                <w:sz w:val="24"/>
                <w:szCs w:val="24"/>
              </w:rPr>
              <w:t>号）</w:t>
            </w:r>
            <w:r>
              <w:rPr>
                <w:rFonts w:ascii="宋体" w:hAnsi="宋体" w:eastAsia="宋体" w:cs="宋体"/>
                <w:spacing w:val="-26"/>
                <w:sz w:val="24"/>
                <w:szCs w:val="24"/>
              </w:rPr>
              <w:t xml:space="preserve"> </w:t>
            </w:r>
            <w:r>
              <w:rPr>
                <w:rFonts w:ascii="宋体" w:hAnsi="宋体" w:eastAsia="宋体" w:cs="宋体"/>
                <w:spacing w:val="-11"/>
                <w:sz w:val="24"/>
                <w:szCs w:val="24"/>
              </w:rPr>
              <w:t>的发布旨在落实《废铅蓄电池污染防治行动方案》（环办固体【</w:t>
            </w:r>
            <w:r>
              <w:rPr>
                <w:rFonts w:ascii="Times New Roman" w:hAnsi="Times New Roman" w:eastAsia="Times New Roman" w:cs="Times New Roman"/>
                <w:spacing w:val="-11"/>
                <w:sz w:val="24"/>
                <w:szCs w:val="24"/>
              </w:rPr>
              <w:t>2019</w:t>
            </w:r>
            <w:r>
              <w:rPr>
                <w:rFonts w:ascii="宋体" w:hAnsi="宋体" w:eastAsia="宋体" w:cs="宋体"/>
                <w:spacing w:val="-11"/>
                <w:sz w:val="24"/>
                <w:szCs w:val="24"/>
              </w:rPr>
              <w:t>】</w:t>
            </w:r>
            <w:r>
              <w:rPr>
                <w:rFonts w:ascii="宋体" w:hAnsi="宋体" w:eastAsia="宋体" w:cs="宋体"/>
                <w:sz w:val="24"/>
                <w:szCs w:val="24"/>
              </w:rPr>
              <w:t xml:space="preserve"> </w:t>
            </w:r>
            <w:r>
              <w:rPr>
                <w:rFonts w:ascii="Times New Roman" w:hAnsi="Times New Roman" w:eastAsia="Times New Roman" w:cs="Times New Roman"/>
                <w:spacing w:val="-3"/>
                <w:sz w:val="24"/>
                <w:szCs w:val="24"/>
              </w:rPr>
              <w:t>3</w:t>
            </w:r>
            <w:r>
              <w:rPr>
                <w:rFonts w:ascii="宋体" w:hAnsi="宋体" w:eastAsia="宋体" w:cs="宋体"/>
                <w:spacing w:val="-3"/>
                <w:sz w:val="24"/>
                <w:szCs w:val="24"/>
              </w:rPr>
              <w:t>号）有关要求，建立规范有序的废铅蓄电池收集处理体系，规范废铅蓄电</w:t>
            </w:r>
            <w:r>
              <w:rPr>
                <w:rFonts w:ascii="宋体" w:hAnsi="宋体" w:eastAsia="宋体" w:cs="宋体"/>
                <w:sz w:val="24"/>
                <w:szCs w:val="24"/>
              </w:rPr>
              <w:t>池中收集和跨区域转移。本项目与该规范性文件相关要求的</w:t>
            </w:r>
            <w:r>
              <w:rPr>
                <w:rFonts w:hint="eastAsia" w:ascii="宋体" w:hAnsi="宋体" w:eastAsia="宋体" w:cs="宋体"/>
                <w:sz w:val="24"/>
                <w:szCs w:val="24"/>
                <w:lang w:eastAsia="zh-CN"/>
              </w:rPr>
              <w:t>相符性</w:t>
            </w:r>
            <w:r>
              <w:rPr>
                <w:rFonts w:ascii="宋体" w:hAnsi="宋体" w:eastAsia="宋体" w:cs="宋体"/>
                <w:spacing w:val="-2"/>
                <w:sz w:val="24"/>
                <w:szCs w:val="24"/>
              </w:rPr>
              <w:t>分析见下表：</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项目与《河南省铅蓄电池集中收集和跨区域转运试点工作方案》</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（豫环文[2021]134号）相符性分析</w:t>
            </w:r>
          </w:p>
          <w:tbl>
            <w:tblPr>
              <w:tblStyle w:val="16"/>
              <w:tblW w:w="74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81"/>
              <w:gridCol w:w="3245"/>
              <w:gridCol w:w="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文件要求</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本项目</w:t>
                  </w:r>
                  <w:r>
                    <w:rPr>
                      <w:rFonts w:hint="default" w:ascii="Times New Roman" w:hAnsi="Times New Roman" w:eastAsia="宋体" w:cs="Times New Roman"/>
                      <w:b w:val="0"/>
                      <w:bCs w:val="0"/>
                      <w:kern w:val="0"/>
                      <w:sz w:val="21"/>
                      <w:szCs w:val="21"/>
                      <w:vertAlign w:val="baseline"/>
                      <w:lang w:eastAsia="zh-CN"/>
                    </w:rPr>
                    <w:t>情况</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hint="eastAsia" w:ascii="Times New Roman" w:hAnsi="Times New Roman" w:eastAsia="宋体" w:cs="Times New Roman"/>
                      <w:b w:val="0"/>
                      <w:bCs w:val="0"/>
                      <w:kern w:val="0"/>
                      <w:sz w:val="21"/>
                      <w:szCs w:val="21"/>
                      <w:vertAlign w:val="baseline"/>
                      <w:lang w:eastAsia="zh-CN"/>
                    </w:rPr>
                  </w:pPr>
                  <w:r>
                    <w:rPr>
                      <w:rFonts w:ascii="宋体" w:hAnsi="宋体" w:eastAsia="宋体" w:cs="宋体"/>
                      <w:spacing w:val="-1"/>
                      <w:sz w:val="21"/>
                      <w:szCs w:val="21"/>
                    </w:rPr>
                    <w:t>具有负责收集贮存运输的专职技术人员</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left"/>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eastAsia="zh-CN"/>
                    </w:rPr>
                    <w:t>公司设置有</w:t>
                  </w:r>
                  <w:r>
                    <w:rPr>
                      <w:rFonts w:hint="eastAsia" w:cs="Times New Roman"/>
                      <w:b w:val="0"/>
                      <w:bCs w:val="0"/>
                      <w:kern w:val="0"/>
                      <w:sz w:val="21"/>
                      <w:szCs w:val="21"/>
                      <w:vertAlign w:val="baseline"/>
                      <w:lang w:val="en-US" w:eastAsia="zh-CN"/>
                    </w:rPr>
                    <w:t>3位负责收集贮存及转运的专职技术人员。</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b w:val="0"/>
                      <w:bCs w:val="0"/>
                      <w:kern w:val="0"/>
                      <w:sz w:val="21"/>
                      <w:szCs w:val="21"/>
                      <w:vertAlign w:val="baseline"/>
                    </w:rPr>
                  </w:pPr>
                  <w:r>
                    <w:rPr>
                      <w:rFonts w:ascii="宋体" w:hAnsi="宋体" w:eastAsia="宋体" w:cs="宋体"/>
                      <w:spacing w:val="8"/>
                      <w:sz w:val="21"/>
                      <w:szCs w:val="21"/>
                    </w:rPr>
                    <w:t>具有符合国家或者地方环境保护标准和安全</w:t>
                  </w:r>
                  <w:r>
                    <w:rPr>
                      <w:rFonts w:ascii="宋体" w:hAnsi="宋体" w:eastAsia="宋体" w:cs="宋体"/>
                      <w:spacing w:val="-1"/>
                      <w:sz w:val="21"/>
                      <w:szCs w:val="21"/>
                    </w:rPr>
                    <w:t>要求的仓储设施、包装设备和运输车辆</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eastAsia="zh-CN"/>
                    </w:rPr>
                    <w:t>公司位于济源市玉川贵金属产业园</w:t>
                  </w:r>
                  <w:r>
                    <w:rPr>
                      <w:rFonts w:hint="eastAsia" w:cs="Times New Roman"/>
                      <w:b w:val="0"/>
                      <w:bCs w:val="0"/>
                      <w:kern w:val="0"/>
                      <w:sz w:val="21"/>
                      <w:szCs w:val="21"/>
                      <w:vertAlign w:val="baseline"/>
                      <w:lang w:val="en-US" w:eastAsia="zh-CN"/>
                    </w:rPr>
                    <w:t>1号厂房，具有符合规定的仓储设施及运输车辆，本次评价要求项目包装设施严格按照《废铅蓄电池处理污染控制技术规范》（HJ519-2020）进行建设。</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3"/>
                      <w:sz w:val="21"/>
                      <w:szCs w:val="21"/>
                    </w:rPr>
                    <w:t>具有保证危险废物收集贮存安全的规章制度、</w:t>
                  </w:r>
                  <w:r>
                    <w:rPr>
                      <w:rFonts w:ascii="宋体" w:hAnsi="宋体" w:eastAsia="宋体" w:cs="宋体"/>
                      <w:spacing w:val="-1"/>
                      <w:sz w:val="21"/>
                      <w:szCs w:val="21"/>
                    </w:rPr>
                    <w:t>污染防治措施和环境应急预案；</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公司已制定了各类保证危险废物收集贮存安全的规章制度、污染放治措施及环境应急预案</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3"/>
                      <w:sz w:val="21"/>
                      <w:szCs w:val="21"/>
                    </w:rPr>
                    <w:t>建立台账，如实记录收集、贮存、转移废铅蓄电池的数量、重量、去向等信息，并纳入全国固体废物管理信息系统，专业回收单位取得危</w:t>
                  </w:r>
                  <w:r>
                    <w:rPr>
                      <w:rFonts w:ascii="宋体" w:hAnsi="宋体" w:eastAsia="宋体" w:cs="宋体"/>
                      <w:spacing w:val="8"/>
                      <w:sz w:val="21"/>
                      <w:szCs w:val="21"/>
                    </w:rPr>
                    <w:t>险废物收集许可证后以危险废物经营单位身</w:t>
                  </w:r>
                  <w:r>
                    <w:rPr>
                      <w:rFonts w:ascii="宋体" w:hAnsi="宋体" w:eastAsia="宋体" w:cs="宋体"/>
                      <w:spacing w:val="-3"/>
                      <w:sz w:val="21"/>
                      <w:szCs w:val="21"/>
                    </w:rPr>
                    <w:t>份登录固体废物信息系统，执行危险废物转移</w:t>
                  </w:r>
                  <w:r>
                    <w:rPr>
                      <w:rFonts w:ascii="宋体" w:hAnsi="宋体" w:eastAsia="宋体" w:cs="宋体"/>
                      <w:spacing w:val="-2"/>
                      <w:sz w:val="21"/>
                      <w:szCs w:val="21"/>
                    </w:rPr>
                    <w:t>电子联单制度。</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本次评价要求，项目建成投产后严格按照相关要求建立台账，如实记录废铅蓄电池收集、贮存、转移的数量、重量、去向等信息，并严格执行危险废物转移电子联单制度。</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81"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Times New Roman" w:hAnsi="Times New Roman" w:eastAsia="宋体" w:cs="Times New Roman"/>
                      <w:spacing w:val="-4"/>
                      <w:sz w:val="21"/>
                      <w:szCs w:val="21"/>
                    </w:rPr>
                  </w:pPr>
                  <w:r>
                    <w:rPr>
                      <w:rFonts w:ascii="宋体" w:hAnsi="宋体" w:eastAsia="宋体" w:cs="宋体"/>
                      <w:spacing w:val="-3"/>
                      <w:sz w:val="21"/>
                      <w:szCs w:val="21"/>
                    </w:rPr>
                    <w:t>通过道路运输废铅蓄电池，应当遵守《道路危</w:t>
                  </w:r>
                  <w:r>
                    <w:rPr>
                      <w:rFonts w:ascii="宋体" w:hAnsi="宋体" w:eastAsia="宋体" w:cs="宋体"/>
                      <w:spacing w:val="-5"/>
                      <w:sz w:val="21"/>
                      <w:szCs w:val="21"/>
                    </w:rPr>
                    <w:t>险货物运输管理规定》</w:t>
                  </w:r>
                  <w:r>
                    <w:rPr>
                      <w:rFonts w:ascii="宋体" w:hAnsi="宋体" w:eastAsia="宋体" w:cs="宋体"/>
                      <w:spacing w:val="13"/>
                      <w:sz w:val="21"/>
                      <w:szCs w:val="21"/>
                    </w:rPr>
                    <w:t xml:space="preserve"> </w:t>
                  </w:r>
                  <w:r>
                    <w:rPr>
                      <w:rFonts w:ascii="宋体" w:hAnsi="宋体" w:eastAsia="宋体" w:cs="宋体"/>
                      <w:spacing w:val="-5"/>
                      <w:sz w:val="21"/>
                      <w:szCs w:val="21"/>
                    </w:rPr>
                    <w:t>和《危险货物道路运</w:t>
                  </w:r>
                  <w:r>
                    <w:rPr>
                      <w:rFonts w:ascii="宋体" w:hAnsi="宋体" w:eastAsia="宋体" w:cs="宋体"/>
                      <w:spacing w:val="-7"/>
                      <w:sz w:val="21"/>
                      <w:szCs w:val="21"/>
                    </w:rPr>
                    <w:t>输规则》</w:t>
                  </w:r>
                  <w:r>
                    <w:rPr>
                      <w:rFonts w:ascii="宋体" w:hAnsi="宋体" w:eastAsia="宋体" w:cs="宋体"/>
                      <w:spacing w:val="10"/>
                      <w:sz w:val="21"/>
                      <w:szCs w:val="21"/>
                    </w:rPr>
                    <w:t xml:space="preserve"> </w:t>
                  </w:r>
                  <w:r>
                    <w:rPr>
                      <w:rFonts w:ascii="Times New Roman" w:hAnsi="Times New Roman" w:eastAsia="Times New Roman" w:cs="Times New Roman"/>
                      <w:spacing w:val="-7"/>
                      <w:sz w:val="21"/>
                      <w:szCs w:val="21"/>
                    </w:rPr>
                    <w:t>(JTT</w:t>
                  </w:r>
                  <w:r>
                    <w:rPr>
                      <w:rFonts w:ascii="Times New Roman" w:hAnsi="Times New Roman" w:eastAsia="Times New Roman" w:cs="Times New Roman"/>
                      <w:spacing w:val="9"/>
                      <w:sz w:val="21"/>
                      <w:szCs w:val="21"/>
                    </w:rPr>
                    <w:t xml:space="preserve"> </w:t>
                  </w:r>
                  <w:r>
                    <w:rPr>
                      <w:rFonts w:ascii="Times New Roman" w:hAnsi="Times New Roman" w:eastAsia="Times New Roman" w:cs="Times New Roman"/>
                      <w:spacing w:val="-7"/>
                      <w:sz w:val="21"/>
                      <w:szCs w:val="21"/>
                    </w:rPr>
                    <w:t>617)</w:t>
                  </w:r>
                  <w:r>
                    <w:rPr>
                      <w:rFonts w:ascii="宋体" w:hAnsi="宋体" w:eastAsia="宋体" w:cs="宋体"/>
                      <w:spacing w:val="-7"/>
                      <w:sz w:val="21"/>
                      <w:szCs w:val="21"/>
                    </w:rPr>
                    <w:t>的规定。按照《危险废物名</w:t>
                  </w:r>
                  <w:r>
                    <w:rPr>
                      <w:rFonts w:ascii="宋体" w:hAnsi="宋体" w:eastAsia="宋体" w:cs="宋体"/>
                      <w:spacing w:val="-2"/>
                      <w:sz w:val="21"/>
                      <w:szCs w:val="21"/>
                    </w:rPr>
                    <w:t>录</w:t>
                  </w:r>
                  <w:r>
                    <w:rPr>
                      <w:rFonts w:ascii="Times New Roman" w:hAnsi="Times New Roman" w:eastAsia="Times New Roman" w:cs="Times New Roman"/>
                      <w:spacing w:val="-2"/>
                      <w:sz w:val="21"/>
                      <w:szCs w:val="21"/>
                    </w:rPr>
                    <w:t>(2021</w:t>
                  </w:r>
                  <w:r>
                    <w:rPr>
                      <w:rFonts w:ascii="Times New Roman" w:hAnsi="Times New Roman" w:eastAsia="Times New Roman" w:cs="Times New Roman"/>
                      <w:spacing w:val="25"/>
                      <w:sz w:val="21"/>
                      <w:szCs w:val="21"/>
                    </w:rPr>
                    <w:t xml:space="preserve"> </w:t>
                  </w:r>
                  <w:r>
                    <w:rPr>
                      <w:rFonts w:ascii="宋体" w:hAnsi="宋体" w:eastAsia="宋体" w:cs="宋体"/>
                      <w:spacing w:val="-2"/>
                      <w:sz w:val="21"/>
                      <w:szCs w:val="21"/>
                    </w:rPr>
                    <w:t>版</w:t>
                  </w:r>
                  <w:r>
                    <w:rPr>
                      <w:rFonts w:ascii="Times New Roman" w:hAnsi="Times New Roman" w:eastAsia="Times New Roman" w:cs="Times New Roman"/>
                      <w:spacing w:val="-2"/>
                      <w:sz w:val="21"/>
                      <w:szCs w:val="21"/>
                    </w:rPr>
                    <w:t>)</w:t>
                  </w:r>
                  <w:r>
                    <w:rPr>
                      <w:rFonts w:ascii="宋体" w:hAnsi="宋体" w:eastAsia="宋体" w:cs="宋体"/>
                      <w:spacing w:val="-2"/>
                      <w:sz w:val="21"/>
                      <w:szCs w:val="21"/>
                    </w:rPr>
                    <w:t>》豁免清单规定，未破损的铅蓄电</w:t>
                  </w:r>
                  <w:r>
                    <w:rPr>
                      <w:rFonts w:ascii="宋体" w:hAnsi="宋体" w:eastAsia="宋体" w:cs="宋体"/>
                      <w:spacing w:val="-3"/>
                      <w:sz w:val="21"/>
                      <w:szCs w:val="21"/>
                    </w:rPr>
                    <w:t>池在运输过程中可豁免按照危险废物管理，但运输工具需满足防雨、防渗漏、防遗撒、耐腐</w:t>
                  </w:r>
                  <w:r>
                    <w:rPr>
                      <w:rFonts w:ascii="宋体" w:hAnsi="宋体" w:eastAsia="宋体" w:cs="宋体"/>
                      <w:spacing w:val="8"/>
                      <w:sz w:val="21"/>
                      <w:szCs w:val="21"/>
                    </w:rPr>
                    <w:t>蚀要求。其他运输要求及豁免管理规定按照</w:t>
                  </w:r>
                  <w:r>
                    <w:rPr>
                      <w:rFonts w:ascii="宋体" w:hAnsi="宋体" w:eastAsia="宋体" w:cs="宋体"/>
                      <w:spacing w:val="14"/>
                      <w:sz w:val="21"/>
                      <w:szCs w:val="21"/>
                    </w:rPr>
                    <w:t xml:space="preserve"> </w:t>
                  </w:r>
                  <w:r>
                    <w:rPr>
                      <w:rFonts w:ascii="宋体" w:hAnsi="宋体" w:eastAsia="宋体" w:cs="宋体"/>
                      <w:spacing w:val="8"/>
                      <w:sz w:val="21"/>
                      <w:szCs w:val="21"/>
                    </w:rPr>
                    <w:t>《铅蓄电池生产企业集中收集和跨区域转运</w:t>
                  </w:r>
                  <w:r>
                    <w:rPr>
                      <w:rFonts w:ascii="宋体" w:hAnsi="宋体" w:eastAsia="宋体" w:cs="宋体"/>
                      <w:spacing w:val="14"/>
                      <w:sz w:val="21"/>
                      <w:szCs w:val="21"/>
                    </w:rPr>
                    <w:t xml:space="preserve"> </w:t>
                  </w:r>
                  <w:r>
                    <w:rPr>
                      <w:rFonts w:ascii="宋体" w:hAnsi="宋体" w:eastAsia="宋体" w:cs="宋体"/>
                      <w:spacing w:val="-7"/>
                      <w:sz w:val="21"/>
                      <w:szCs w:val="21"/>
                    </w:rPr>
                    <w:t>制度试点工作方案》</w:t>
                  </w:r>
                  <w:r>
                    <w:rPr>
                      <w:rFonts w:ascii="宋体" w:hAnsi="宋体" w:eastAsia="宋体" w:cs="宋体"/>
                      <w:spacing w:val="20"/>
                      <w:sz w:val="21"/>
                      <w:szCs w:val="21"/>
                    </w:rPr>
                    <w:t xml:space="preserve"> </w:t>
                  </w:r>
                  <w:r>
                    <w:rPr>
                      <w:rFonts w:ascii="Times New Roman" w:hAnsi="Times New Roman" w:eastAsia="Times New Roman" w:cs="Times New Roman"/>
                      <w:spacing w:val="-7"/>
                      <w:sz w:val="21"/>
                      <w:szCs w:val="21"/>
                    </w:rPr>
                    <w:t>(</w:t>
                  </w:r>
                  <w:r>
                    <w:rPr>
                      <w:rFonts w:ascii="宋体" w:hAnsi="宋体" w:eastAsia="宋体" w:cs="宋体"/>
                      <w:spacing w:val="-7"/>
                      <w:sz w:val="21"/>
                      <w:szCs w:val="21"/>
                    </w:rPr>
                    <w:t>环办固体〔</w:t>
                  </w:r>
                  <w:r>
                    <w:rPr>
                      <w:rFonts w:ascii="Times New Roman" w:hAnsi="Times New Roman" w:eastAsia="Times New Roman" w:cs="Times New Roman"/>
                      <w:spacing w:val="-7"/>
                      <w:sz w:val="21"/>
                      <w:szCs w:val="21"/>
                    </w:rPr>
                    <w:t>2019</w:t>
                  </w:r>
                  <w:r>
                    <w:rPr>
                      <w:rFonts w:ascii="宋体" w:hAnsi="宋体" w:eastAsia="宋体" w:cs="宋体"/>
                      <w:spacing w:val="-7"/>
                      <w:sz w:val="21"/>
                      <w:szCs w:val="21"/>
                    </w:rPr>
                    <w:t>〕</w:t>
                  </w:r>
                  <w:r>
                    <w:rPr>
                      <w:rFonts w:ascii="Times New Roman" w:hAnsi="Times New Roman" w:eastAsia="Times New Roman" w:cs="Times New Roman"/>
                      <w:spacing w:val="-7"/>
                      <w:sz w:val="21"/>
                      <w:szCs w:val="21"/>
                    </w:rPr>
                    <w:t>5</w:t>
                  </w:r>
                  <w:r>
                    <w:rPr>
                      <w:rFonts w:ascii="Times New Roman" w:hAnsi="Times New Roman" w:eastAsia="Times New Roman" w:cs="Times New Roman"/>
                      <w:spacing w:val="14"/>
                      <w:w w:val="101"/>
                      <w:sz w:val="21"/>
                      <w:szCs w:val="21"/>
                    </w:rPr>
                    <w:t xml:space="preserve"> </w:t>
                  </w:r>
                  <w:r>
                    <w:rPr>
                      <w:rFonts w:ascii="宋体" w:hAnsi="宋体" w:eastAsia="宋体" w:cs="宋体"/>
                      <w:spacing w:val="-7"/>
                      <w:sz w:val="21"/>
                      <w:szCs w:val="21"/>
                    </w:rPr>
                    <w:t>号）</w:t>
                  </w:r>
                  <w:r>
                    <w:rPr>
                      <w:rFonts w:ascii="宋体" w:hAnsi="宋体" w:eastAsia="宋体" w:cs="宋体"/>
                      <w:sz w:val="21"/>
                      <w:szCs w:val="21"/>
                    </w:rPr>
                    <w:t xml:space="preserve"> </w:t>
                  </w:r>
                  <w:r>
                    <w:rPr>
                      <w:rFonts w:ascii="宋体" w:hAnsi="宋体" w:eastAsia="宋体" w:cs="宋体"/>
                      <w:spacing w:val="-3"/>
                      <w:sz w:val="21"/>
                      <w:szCs w:val="21"/>
                    </w:rPr>
                    <w:t>执行。</w:t>
                  </w:r>
                </w:p>
              </w:tc>
              <w:tc>
                <w:tcPr>
                  <w:tcW w:w="32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本项目委托有资质单位进行废铅蓄电池道路运输，能够满足《道路危险货物运输管理规定》和《危险货物道路运输规则》（</w:t>
                  </w:r>
                  <w:r>
                    <w:rPr>
                      <w:rFonts w:hint="eastAsia"/>
                      <w:sz w:val="21"/>
                      <w:szCs w:val="21"/>
                      <w:lang w:val="en-US" w:eastAsia="zh-CN"/>
                    </w:rPr>
                    <w:t>JTT617</w:t>
                  </w:r>
                  <w:r>
                    <w:rPr>
                      <w:rFonts w:hint="eastAsia"/>
                      <w:sz w:val="21"/>
                      <w:szCs w:val="21"/>
                      <w:lang w:eastAsia="zh-CN"/>
                    </w:rPr>
                    <w:t>）的规定，运输过程中废铅蓄电池运输工具能够满足防渗漏、防遗撒、耐腐蚀的要求。</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相符</w:t>
                  </w:r>
                </w:p>
              </w:tc>
            </w:tr>
          </w:tbl>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textAlignment w:val="auto"/>
              <w:rPr>
                <w:rFonts w:hint="eastAsia" w:ascii="宋体" w:hAnsi="宋体" w:cs="宋体"/>
                <w:spacing w:val="-4"/>
                <w:sz w:val="24"/>
                <w:szCs w:val="24"/>
                <w:lang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六、与《废铅酸蓄电池处理污染控制技术规范》（</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HJ519-2020</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）相符性</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textAlignment w:val="auto"/>
              <w:rPr>
                <w:rFonts w:hint="eastAsia" w:ascii="宋体" w:hAnsi="宋体" w:cs="宋体"/>
                <w:spacing w:val="-4"/>
                <w:sz w:val="24"/>
                <w:szCs w:val="24"/>
                <w:lang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分析</w:t>
            </w:r>
          </w:p>
          <w:p>
            <w:pPr>
              <w:keepNext w:val="0"/>
              <w:keepLines w:val="0"/>
              <w:pageBreakBefore w:val="0"/>
              <w:widowControl w:val="0"/>
              <w:kinsoku/>
              <w:wordWrap/>
              <w:overflowPunct/>
              <w:topLinePunct w:val="0"/>
              <w:autoSpaceDE/>
              <w:autoSpaceDN/>
              <w:bidi w:val="0"/>
              <w:adjustRightInd/>
              <w:snapToGrid/>
              <w:spacing w:line="420" w:lineRule="exact"/>
              <w:ind w:left="111" w:right="100" w:firstLine="479"/>
              <w:textAlignment w:val="auto"/>
              <w:rPr>
                <w:rFonts w:ascii="宋体" w:hAnsi="宋体" w:eastAsia="宋体" w:cs="宋体"/>
                <w:sz w:val="24"/>
                <w:szCs w:val="24"/>
              </w:rPr>
            </w:pPr>
            <w:r>
              <w:rPr>
                <w:rFonts w:ascii="宋体" w:hAnsi="宋体" w:eastAsia="宋体" w:cs="宋体"/>
                <w:spacing w:val="-3"/>
                <w:sz w:val="24"/>
                <w:szCs w:val="24"/>
              </w:rPr>
              <w:t>《废铅酸蓄电池处理污染控制技术规范》（</w:t>
            </w:r>
            <w:r>
              <w:rPr>
                <w:rFonts w:ascii="Times New Roman" w:hAnsi="Times New Roman" w:eastAsia="Times New Roman" w:cs="Times New Roman"/>
                <w:spacing w:val="-3"/>
                <w:sz w:val="24"/>
                <w:szCs w:val="24"/>
              </w:rPr>
              <w:t>HJ519-2020</w:t>
            </w:r>
            <w:r>
              <w:rPr>
                <w:rFonts w:ascii="宋体" w:hAnsi="宋体" w:eastAsia="宋体" w:cs="宋体"/>
                <w:spacing w:val="-3"/>
                <w:sz w:val="24"/>
                <w:szCs w:val="24"/>
              </w:rPr>
              <w:t>）规定了废铅酸</w:t>
            </w:r>
            <w:r>
              <w:rPr>
                <w:rFonts w:ascii="宋体" w:hAnsi="宋体" w:eastAsia="宋体" w:cs="宋体"/>
                <w:sz w:val="24"/>
                <w:szCs w:val="24"/>
              </w:rPr>
              <w:t>蓄电池收集、贮存、运输、处理等资源再生利用全过程的污染控制，并可用于指导资源再生企业建厂选址、工程建设以及建成后的污染控制管理工作。</w:t>
            </w:r>
            <w:r>
              <w:rPr>
                <w:rFonts w:ascii="宋体" w:hAnsi="宋体" w:eastAsia="宋体" w:cs="宋体"/>
                <w:spacing w:val="-1"/>
                <w:sz w:val="24"/>
                <w:szCs w:val="24"/>
              </w:rPr>
              <w:t>经对比，本项目与该规范的符合性分析详见下表：</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项目与《废铅酸蓄电池处理污染控制技术规范》相符性分析</w:t>
            </w:r>
          </w:p>
          <w:tbl>
            <w:tblPr>
              <w:tblStyle w:val="16"/>
              <w:tblpPr w:leftFromText="180" w:rightFromText="180" w:vertAnchor="text" w:horzAnchor="page" w:tblpXSpec="center" w:tblpY="86"/>
              <w:tblOverlap w:val="never"/>
              <w:tblW w:w="7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1"/>
              <w:gridCol w:w="3173"/>
              <w:gridCol w:w="2654"/>
              <w:gridCol w:w="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项目</w:t>
                  </w:r>
                </w:p>
              </w:tc>
              <w:tc>
                <w:tcPr>
                  <w:tcW w:w="317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规范及要求</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本项目情况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总体要求</w:t>
                  </w:r>
                </w:p>
              </w:tc>
              <w:tc>
                <w:tcPr>
                  <w:tcW w:w="317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eastAsia" w:ascii="Times New Roman" w:hAnsi="Times New Roman" w:eastAsia="宋体" w:cs="Times New Roman"/>
                      <w:b w:val="0"/>
                      <w:bCs w:val="0"/>
                      <w:kern w:val="0"/>
                      <w:sz w:val="21"/>
                      <w:szCs w:val="21"/>
                      <w:vertAlign w:val="baseline"/>
                      <w:lang w:eastAsia="zh-CN"/>
                    </w:rPr>
                  </w:pPr>
                  <w:r>
                    <w:rPr>
                      <w:rFonts w:ascii="Times New Roman" w:hAnsi="Times New Roman" w:eastAsia="Times New Roman" w:cs="Times New Roman"/>
                      <w:sz w:val="21"/>
                      <w:szCs w:val="21"/>
                    </w:rPr>
                    <w:t>1</w:t>
                  </w:r>
                  <w:r>
                    <w:rPr>
                      <w:rFonts w:ascii="Times New Roman" w:hAnsi="Times New Roman" w:eastAsia="Times New Roman" w:cs="Times New Roman"/>
                      <w:spacing w:val="-24"/>
                      <w:sz w:val="21"/>
                      <w:szCs w:val="21"/>
                    </w:rPr>
                    <w:t xml:space="preserve"> </w:t>
                  </w:r>
                  <w:r>
                    <w:rPr>
                      <w:rFonts w:ascii="宋体" w:hAnsi="宋体" w:eastAsia="宋体" w:cs="宋体"/>
                      <w:sz w:val="21"/>
                      <w:szCs w:val="21"/>
                    </w:rPr>
                    <w:t>、从事废铅蓄电池收集、贮存的</w:t>
                  </w:r>
                  <w:r>
                    <w:rPr>
                      <w:rFonts w:ascii="宋体" w:hAnsi="宋体" w:eastAsia="宋体" w:cs="宋体"/>
                      <w:spacing w:val="-4"/>
                      <w:sz w:val="21"/>
                      <w:szCs w:val="21"/>
                    </w:rPr>
                    <w:t>企业，应依法获得危险废物经营许</w:t>
                  </w:r>
                  <w:r>
                    <w:rPr>
                      <w:rFonts w:ascii="宋体" w:hAnsi="宋体" w:eastAsia="宋体" w:cs="宋体"/>
                      <w:spacing w:val="-11"/>
                      <w:sz w:val="21"/>
                      <w:szCs w:val="21"/>
                    </w:rPr>
                    <w:t>可证；</w:t>
                  </w:r>
                  <w:r>
                    <w:rPr>
                      <w:rFonts w:ascii="宋体" w:hAnsi="宋体" w:eastAsia="宋体" w:cs="宋体"/>
                      <w:sz w:val="21"/>
                      <w:szCs w:val="21"/>
                    </w:rPr>
                    <w:t xml:space="preserve"> </w:t>
                  </w:r>
                  <w:r>
                    <w:rPr>
                      <w:rFonts w:ascii="宋体" w:hAnsi="宋体" w:eastAsia="宋体" w:cs="宋体"/>
                      <w:spacing w:val="-11"/>
                      <w:sz w:val="21"/>
                      <w:szCs w:val="21"/>
                    </w:rPr>
                    <w:t>禁止无经营许可证或者不按</w:t>
                  </w:r>
                  <w:r>
                    <w:rPr>
                      <w:rFonts w:ascii="宋体" w:hAnsi="宋体" w:eastAsia="宋体" w:cs="宋体"/>
                      <w:spacing w:val="10"/>
                      <w:sz w:val="21"/>
                      <w:szCs w:val="21"/>
                    </w:rPr>
                    <w:t>照经营许可证规定从事废铅蓄电</w:t>
                  </w:r>
                  <w:r>
                    <w:rPr>
                      <w:rFonts w:ascii="宋体" w:hAnsi="宋体" w:eastAsia="宋体" w:cs="宋体"/>
                      <w:spacing w:val="-1"/>
                      <w:sz w:val="21"/>
                      <w:szCs w:val="21"/>
                    </w:rPr>
                    <w:t>池收集、贮存经营活动。</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ascii="Times New Roman" w:hAnsi="Times New Roman" w:eastAsia="宋体" w:cs="Times New Roman"/>
                      <w:b w:val="0"/>
                      <w:bCs w:val="0"/>
                      <w:kern w:val="0"/>
                      <w:sz w:val="21"/>
                      <w:szCs w:val="21"/>
                      <w:vertAlign w:val="baseline"/>
                    </w:rPr>
                  </w:pPr>
                  <w:r>
                    <w:rPr>
                      <w:rFonts w:ascii="宋体" w:hAnsi="宋体" w:eastAsia="宋体" w:cs="宋体"/>
                      <w:spacing w:val="1"/>
                      <w:sz w:val="21"/>
                      <w:szCs w:val="21"/>
                    </w:rPr>
                    <w:t>本项目现处于环评阶段，下一</w:t>
                  </w:r>
                  <w:r>
                    <w:rPr>
                      <w:rFonts w:ascii="宋体" w:hAnsi="宋体" w:eastAsia="宋体" w:cs="宋体"/>
                      <w:sz w:val="21"/>
                      <w:szCs w:val="21"/>
                    </w:rPr>
                    <w:t>步在严格按照规定办理危险废</w:t>
                  </w:r>
                  <w:r>
                    <w:rPr>
                      <w:rFonts w:ascii="宋体" w:hAnsi="宋体" w:eastAsia="宋体" w:cs="宋体"/>
                      <w:spacing w:val="12"/>
                      <w:sz w:val="21"/>
                      <w:szCs w:val="21"/>
                    </w:rPr>
                    <w:t xml:space="preserve"> </w:t>
                  </w:r>
                  <w:r>
                    <w:rPr>
                      <w:rFonts w:ascii="宋体" w:hAnsi="宋体" w:eastAsia="宋体" w:cs="宋体"/>
                      <w:sz w:val="21"/>
                      <w:szCs w:val="21"/>
                    </w:rPr>
                    <w:t>物经营许可证后，再开展生产</w:t>
                  </w:r>
                  <w:r>
                    <w:rPr>
                      <w:rFonts w:ascii="宋体" w:hAnsi="宋体" w:eastAsia="宋体" w:cs="宋体"/>
                      <w:spacing w:val="-2"/>
                      <w:sz w:val="21"/>
                      <w:szCs w:val="21"/>
                    </w:rPr>
                    <w:t>经营活动。</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left"/>
                    <w:textAlignment w:val="auto"/>
                    <w:rPr>
                      <w:rFonts w:hint="default" w:ascii="Times New Roman" w:hAnsi="Times New Roman" w:eastAsia="宋体" w:cs="Times New Roman"/>
                      <w:b w:val="0"/>
                      <w:bCs w:val="0"/>
                      <w:kern w:val="0"/>
                      <w:sz w:val="21"/>
                      <w:szCs w:val="21"/>
                      <w:vertAlign w:val="baseline"/>
                    </w:rPr>
                  </w:pPr>
                  <w:r>
                    <w:rPr>
                      <w:rFonts w:ascii="Times New Roman" w:hAnsi="Times New Roman" w:eastAsia="Times New Roman" w:cs="Times New Roman"/>
                      <w:spacing w:val="1"/>
                      <w:sz w:val="21"/>
                      <w:szCs w:val="21"/>
                    </w:rPr>
                    <w:t>2</w:t>
                  </w:r>
                  <w:r>
                    <w:rPr>
                      <w:rFonts w:ascii="Times New Roman" w:hAnsi="Times New Roman" w:eastAsia="Times New Roman" w:cs="Times New Roman"/>
                      <w:spacing w:val="-19"/>
                      <w:sz w:val="21"/>
                      <w:szCs w:val="21"/>
                    </w:rPr>
                    <w:t xml:space="preserve"> </w:t>
                  </w:r>
                  <w:r>
                    <w:rPr>
                      <w:rFonts w:ascii="宋体" w:hAnsi="宋体" w:eastAsia="宋体" w:cs="宋体"/>
                      <w:spacing w:val="1"/>
                      <w:sz w:val="21"/>
                      <w:szCs w:val="21"/>
                    </w:rPr>
                    <w:t>、收集、运输、贮存废铅蓄电池</w:t>
                  </w:r>
                  <w:r>
                    <w:rPr>
                      <w:rFonts w:ascii="宋体" w:hAnsi="宋体" w:eastAsia="宋体" w:cs="宋体"/>
                      <w:spacing w:val="-4"/>
                      <w:sz w:val="21"/>
                      <w:szCs w:val="21"/>
                    </w:rPr>
                    <w:t>的容器或托盘，应根据废铅蓄电池的特性设计，不易破损、变形，其</w:t>
                  </w:r>
                  <w:r>
                    <w:rPr>
                      <w:rFonts w:ascii="宋体" w:hAnsi="宋体" w:eastAsia="宋体" w:cs="宋体"/>
                      <w:spacing w:val="10"/>
                      <w:sz w:val="21"/>
                      <w:szCs w:val="21"/>
                    </w:rPr>
                    <w:t>所用材料能有效地防止渗漏、扩</w:t>
                  </w:r>
                  <w:r>
                    <w:rPr>
                      <w:rFonts w:ascii="宋体" w:hAnsi="宋体" w:eastAsia="宋体" w:cs="宋体"/>
                      <w:spacing w:val="-4"/>
                      <w:sz w:val="21"/>
                      <w:szCs w:val="21"/>
                    </w:rPr>
                    <w:t>散，并耐酸腐蚀。装有废铅蓄电池</w:t>
                  </w:r>
                  <w:r>
                    <w:rPr>
                      <w:rFonts w:ascii="宋体" w:hAnsi="宋体" w:eastAsia="宋体" w:cs="宋体"/>
                      <w:spacing w:val="1"/>
                      <w:sz w:val="21"/>
                      <w:szCs w:val="21"/>
                    </w:rPr>
                    <w:t xml:space="preserve"> </w:t>
                  </w:r>
                  <w:r>
                    <w:rPr>
                      <w:rFonts w:ascii="宋体" w:hAnsi="宋体" w:eastAsia="宋体" w:cs="宋体"/>
                      <w:spacing w:val="-11"/>
                      <w:sz w:val="21"/>
                      <w:szCs w:val="21"/>
                    </w:rPr>
                    <w:t>的</w:t>
                  </w:r>
                  <w:r>
                    <w:rPr>
                      <w:rFonts w:ascii="宋体" w:hAnsi="宋体" w:eastAsia="宋体" w:cs="宋体"/>
                      <w:spacing w:val="-34"/>
                      <w:sz w:val="21"/>
                      <w:szCs w:val="21"/>
                    </w:rPr>
                    <w:t xml:space="preserve"> </w:t>
                  </w:r>
                  <w:r>
                    <w:rPr>
                      <w:rFonts w:ascii="宋体" w:hAnsi="宋体" w:eastAsia="宋体" w:cs="宋体"/>
                      <w:spacing w:val="-11"/>
                      <w:sz w:val="21"/>
                      <w:szCs w:val="21"/>
                    </w:rPr>
                    <w:t>容</w:t>
                  </w:r>
                  <w:r>
                    <w:rPr>
                      <w:rFonts w:ascii="宋体" w:hAnsi="宋体" w:eastAsia="宋体" w:cs="宋体"/>
                      <w:spacing w:val="-45"/>
                      <w:sz w:val="21"/>
                      <w:szCs w:val="21"/>
                    </w:rPr>
                    <w:t xml:space="preserve"> </w:t>
                  </w:r>
                  <w:r>
                    <w:rPr>
                      <w:rFonts w:ascii="宋体" w:hAnsi="宋体" w:eastAsia="宋体" w:cs="宋体"/>
                      <w:spacing w:val="-11"/>
                      <w:sz w:val="21"/>
                      <w:szCs w:val="21"/>
                    </w:rPr>
                    <w:t>器</w:t>
                  </w:r>
                  <w:r>
                    <w:rPr>
                      <w:rFonts w:ascii="宋体" w:hAnsi="宋体" w:eastAsia="宋体" w:cs="宋体"/>
                      <w:spacing w:val="-39"/>
                      <w:sz w:val="21"/>
                      <w:szCs w:val="21"/>
                    </w:rPr>
                    <w:t xml:space="preserve"> </w:t>
                  </w:r>
                  <w:r>
                    <w:rPr>
                      <w:rFonts w:ascii="宋体" w:hAnsi="宋体" w:eastAsia="宋体" w:cs="宋体"/>
                      <w:spacing w:val="-11"/>
                      <w:sz w:val="21"/>
                      <w:szCs w:val="21"/>
                    </w:rPr>
                    <w:t>或</w:t>
                  </w:r>
                  <w:r>
                    <w:rPr>
                      <w:rFonts w:ascii="宋体" w:hAnsi="宋体" w:eastAsia="宋体" w:cs="宋体"/>
                      <w:spacing w:val="-44"/>
                      <w:sz w:val="21"/>
                      <w:szCs w:val="21"/>
                    </w:rPr>
                    <w:t xml:space="preserve"> </w:t>
                  </w:r>
                  <w:r>
                    <w:rPr>
                      <w:rFonts w:ascii="宋体" w:hAnsi="宋体" w:eastAsia="宋体" w:cs="宋体"/>
                      <w:spacing w:val="-11"/>
                      <w:sz w:val="21"/>
                      <w:szCs w:val="21"/>
                    </w:rPr>
                    <w:t>托</w:t>
                  </w:r>
                  <w:r>
                    <w:rPr>
                      <w:rFonts w:ascii="宋体" w:hAnsi="宋体" w:eastAsia="宋体" w:cs="宋体"/>
                      <w:spacing w:val="-42"/>
                      <w:sz w:val="21"/>
                      <w:szCs w:val="21"/>
                    </w:rPr>
                    <w:t xml:space="preserve"> </w:t>
                  </w:r>
                  <w:r>
                    <w:rPr>
                      <w:rFonts w:ascii="宋体" w:hAnsi="宋体" w:eastAsia="宋体" w:cs="宋体"/>
                      <w:spacing w:val="-11"/>
                      <w:sz w:val="21"/>
                      <w:szCs w:val="21"/>
                    </w:rPr>
                    <w:t>盘</w:t>
                  </w:r>
                  <w:r>
                    <w:rPr>
                      <w:rFonts w:ascii="宋体" w:hAnsi="宋体" w:eastAsia="宋体" w:cs="宋体"/>
                      <w:spacing w:val="-41"/>
                      <w:sz w:val="21"/>
                      <w:szCs w:val="21"/>
                    </w:rPr>
                    <w:t xml:space="preserve"> </w:t>
                  </w:r>
                  <w:r>
                    <w:rPr>
                      <w:rFonts w:ascii="宋体" w:hAnsi="宋体" w:eastAsia="宋体" w:cs="宋体"/>
                      <w:spacing w:val="-11"/>
                      <w:sz w:val="21"/>
                      <w:szCs w:val="21"/>
                    </w:rPr>
                    <w:t>必</w:t>
                  </w:r>
                  <w:r>
                    <w:rPr>
                      <w:rFonts w:ascii="宋体" w:hAnsi="宋体" w:eastAsia="宋体" w:cs="宋体"/>
                      <w:spacing w:val="-38"/>
                      <w:sz w:val="21"/>
                      <w:szCs w:val="21"/>
                    </w:rPr>
                    <w:t xml:space="preserve"> </w:t>
                  </w:r>
                  <w:r>
                    <w:rPr>
                      <w:rFonts w:ascii="宋体" w:hAnsi="宋体" w:eastAsia="宋体" w:cs="宋体"/>
                      <w:spacing w:val="-11"/>
                      <w:sz w:val="21"/>
                      <w:szCs w:val="21"/>
                    </w:rPr>
                    <w:t>须</w:t>
                  </w:r>
                  <w:r>
                    <w:rPr>
                      <w:rFonts w:ascii="宋体" w:hAnsi="宋体" w:eastAsia="宋体" w:cs="宋体"/>
                      <w:spacing w:val="-45"/>
                      <w:sz w:val="21"/>
                      <w:szCs w:val="21"/>
                    </w:rPr>
                    <w:t xml:space="preserve"> </w:t>
                  </w:r>
                  <w:r>
                    <w:rPr>
                      <w:rFonts w:ascii="宋体" w:hAnsi="宋体" w:eastAsia="宋体" w:cs="宋体"/>
                      <w:spacing w:val="-11"/>
                      <w:sz w:val="21"/>
                      <w:szCs w:val="21"/>
                    </w:rPr>
                    <w:t>粘</w:t>
                  </w:r>
                  <w:r>
                    <w:rPr>
                      <w:rFonts w:ascii="宋体" w:hAnsi="宋体" w:eastAsia="宋体" w:cs="宋体"/>
                      <w:spacing w:val="-38"/>
                      <w:sz w:val="21"/>
                      <w:szCs w:val="21"/>
                    </w:rPr>
                    <w:t xml:space="preserve"> </w:t>
                  </w:r>
                  <w:r>
                    <w:rPr>
                      <w:rFonts w:ascii="宋体" w:hAnsi="宋体" w:eastAsia="宋体" w:cs="宋体"/>
                      <w:spacing w:val="-11"/>
                      <w:sz w:val="21"/>
                      <w:szCs w:val="21"/>
                    </w:rPr>
                    <w:t>贴</w:t>
                  </w:r>
                  <w:r>
                    <w:rPr>
                      <w:rFonts w:ascii="宋体" w:hAnsi="宋体" w:eastAsia="宋体" w:cs="宋体"/>
                      <w:spacing w:val="-43"/>
                      <w:sz w:val="21"/>
                      <w:szCs w:val="21"/>
                    </w:rPr>
                    <w:t xml:space="preserve"> </w:t>
                  </w:r>
                  <w:r>
                    <w:rPr>
                      <w:rFonts w:ascii="宋体" w:hAnsi="宋体" w:eastAsia="宋体" w:cs="宋体"/>
                      <w:spacing w:val="-11"/>
                      <w:sz w:val="21"/>
                      <w:szCs w:val="21"/>
                    </w:rPr>
                    <w:t>符</w:t>
                  </w:r>
                  <w:r>
                    <w:rPr>
                      <w:rFonts w:ascii="宋体" w:hAnsi="宋体" w:eastAsia="宋体" w:cs="宋体"/>
                      <w:spacing w:val="-43"/>
                      <w:sz w:val="21"/>
                      <w:szCs w:val="21"/>
                    </w:rPr>
                    <w:t xml:space="preserve"> </w:t>
                  </w:r>
                  <w:r>
                    <w:rPr>
                      <w:rFonts w:ascii="宋体" w:hAnsi="宋体" w:eastAsia="宋体" w:cs="宋体"/>
                      <w:spacing w:val="-11"/>
                      <w:sz w:val="21"/>
                      <w:szCs w:val="21"/>
                    </w:rPr>
                    <w:t>合</w:t>
                  </w:r>
                  <w:r>
                    <w:rPr>
                      <w:rFonts w:ascii="Times New Roman" w:hAnsi="Times New Roman" w:eastAsia="Times New Roman" w:cs="Times New Roman"/>
                      <w:spacing w:val="-1"/>
                      <w:sz w:val="21"/>
                      <w:szCs w:val="21"/>
                    </w:rPr>
                    <w:t>GB18597</w:t>
                  </w:r>
                  <w:r>
                    <w:rPr>
                      <w:rFonts w:ascii="Times New Roman" w:hAnsi="Times New Roman" w:eastAsia="Times New Roman" w:cs="Times New Roman"/>
                      <w:spacing w:val="8"/>
                      <w:sz w:val="21"/>
                      <w:szCs w:val="21"/>
                    </w:rPr>
                    <w:t xml:space="preserve"> </w:t>
                  </w:r>
                  <w:r>
                    <w:rPr>
                      <w:rFonts w:ascii="宋体" w:hAnsi="宋体" w:eastAsia="宋体" w:cs="宋体"/>
                      <w:spacing w:val="-1"/>
                      <w:sz w:val="21"/>
                      <w:szCs w:val="21"/>
                    </w:rPr>
                    <w:t>要求的危险废物标。</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hint="default" w:ascii="Times New Roman" w:hAnsi="Times New Roman" w:eastAsia="宋体" w:cs="Times New Roman"/>
                      <w:b w:val="0"/>
                      <w:bCs w:val="0"/>
                      <w:kern w:val="0"/>
                      <w:sz w:val="21"/>
                      <w:szCs w:val="21"/>
                      <w:vertAlign w:val="baseline"/>
                    </w:rPr>
                  </w:pPr>
                  <w:r>
                    <w:rPr>
                      <w:rFonts w:ascii="宋体" w:hAnsi="宋体" w:eastAsia="宋体" w:cs="宋体"/>
                      <w:sz w:val="21"/>
                      <w:szCs w:val="21"/>
                    </w:rPr>
                    <w:t>项目收集、运输、贮存废铅蓄</w:t>
                  </w:r>
                  <w:r>
                    <w:rPr>
                      <w:rFonts w:ascii="宋体" w:hAnsi="宋体" w:eastAsia="宋体" w:cs="宋体"/>
                      <w:spacing w:val="1"/>
                      <w:sz w:val="21"/>
                      <w:szCs w:val="21"/>
                    </w:rPr>
                    <w:t>电池的采用托盘进行，本项目废铅酸蓄电池采用专业的车辆</w:t>
                  </w:r>
                  <w:r>
                    <w:rPr>
                      <w:rFonts w:ascii="宋体" w:hAnsi="宋体" w:eastAsia="宋体" w:cs="宋体"/>
                      <w:spacing w:val="-11"/>
                      <w:sz w:val="21"/>
                      <w:szCs w:val="21"/>
                    </w:rPr>
                    <w:t>运输至贮存仓库；</w:t>
                  </w:r>
                  <w:r>
                    <w:rPr>
                      <w:rFonts w:ascii="宋体" w:hAnsi="宋体" w:eastAsia="宋体" w:cs="宋体"/>
                      <w:spacing w:val="51"/>
                      <w:sz w:val="21"/>
                      <w:szCs w:val="21"/>
                    </w:rPr>
                    <w:t xml:space="preserve"> </w:t>
                  </w:r>
                  <w:r>
                    <w:rPr>
                      <w:rFonts w:ascii="宋体" w:hAnsi="宋体" w:eastAsia="宋体" w:cs="宋体"/>
                      <w:spacing w:val="-11"/>
                      <w:sz w:val="21"/>
                      <w:szCs w:val="21"/>
                    </w:rPr>
                    <w:t>铅蓄电池经</w:t>
                  </w:r>
                  <w:r>
                    <w:rPr>
                      <w:rFonts w:ascii="宋体" w:hAnsi="宋体" w:eastAsia="宋体" w:cs="宋体"/>
                      <w:sz w:val="21"/>
                      <w:szCs w:val="21"/>
                    </w:rPr>
                    <w:t xml:space="preserve"> </w:t>
                  </w:r>
                  <w:r>
                    <w:rPr>
                      <w:rFonts w:ascii="宋体" w:hAnsi="宋体" w:eastAsia="宋体" w:cs="宋体"/>
                      <w:spacing w:val="1"/>
                      <w:sz w:val="21"/>
                      <w:szCs w:val="21"/>
                    </w:rPr>
                    <w:t>耐酸膜缠绕包装后置于塑料托盘上，能够有效地防止电解液</w:t>
                  </w:r>
                  <w:r>
                    <w:rPr>
                      <w:rFonts w:ascii="宋体" w:hAnsi="宋体" w:eastAsia="宋体" w:cs="宋体"/>
                      <w:spacing w:val="-12"/>
                      <w:sz w:val="21"/>
                      <w:szCs w:val="21"/>
                    </w:rPr>
                    <w:t>渗漏；严格按照</w:t>
                  </w:r>
                  <w:r>
                    <w:rPr>
                      <w:rFonts w:ascii="宋体" w:hAnsi="宋体" w:eastAsia="宋体" w:cs="宋体"/>
                      <w:spacing w:val="-45"/>
                      <w:sz w:val="21"/>
                      <w:szCs w:val="21"/>
                    </w:rPr>
                    <w:t xml:space="preserve"> </w:t>
                  </w:r>
                  <w:r>
                    <w:rPr>
                      <w:rFonts w:ascii="Times New Roman" w:hAnsi="Times New Roman" w:eastAsia="Times New Roman" w:cs="Times New Roman"/>
                      <w:spacing w:val="-12"/>
                      <w:sz w:val="21"/>
                      <w:szCs w:val="21"/>
                    </w:rPr>
                    <w:t>GB18597</w:t>
                  </w:r>
                  <w:r>
                    <w:rPr>
                      <w:rFonts w:ascii="Times New Roman" w:hAnsi="Times New Roman" w:eastAsia="Times New Roman" w:cs="Times New Roman"/>
                      <w:spacing w:val="8"/>
                      <w:w w:val="101"/>
                      <w:sz w:val="21"/>
                      <w:szCs w:val="21"/>
                    </w:rPr>
                    <w:t xml:space="preserve"> </w:t>
                  </w:r>
                  <w:r>
                    <w:rPr>
                      <w:rFonts w:ascii="宋体" w:hAnsi="宋体" w:eastAsia="宋体" w:cs="宋体"/>
                      <w:spacing w:val="-12"/>
                      <w:sz w:val="21"/>
                      <w:szCs w:val="21"/>
                    </w:rPr>
                    <w:t>要求</w:t>
                  </w:r>
                  <w:r>
                    <w:rPr>
                      <w:rFonts w:ascii="宋体" w:hAnsi="宋体" w:eastAsia="宋体" w:cs="宋体"/>
                      <w:sz w:val="21"/>
                      <w:szCs w:val="21"/>
                    </w:rPr>
                    <w:t xml:space="preserve"> </w:t>
                  </w:r>
                  <w:r>
                    <w:rPr>
                      <w:rFonts w:ascii="宋体" w:hAnsi="宋体" w:eastAsia="宋体" w:cs="宋体"/>
                      <w:spacing w:val="-1"/>
                      <w:sz w:val="21"/>
                      <w:szCs w:val="21"/>
                    </w:rPr>
                    <w:t>粘贴危险废物标签。</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eastAsia" w:ascii="Times New Roman" w:hAnsi="Times New Roman" w:eastAsia="宋体" w:cs="Times New Roman"/>
                      <w:spacing w:val="-4"/>
                      <w:sz w:val="21"/>
                      <w:szCs w:val="21"/>
                      <w:lang w:eastAsia="zh-CN"/>
                    </w:rPr>
                  </w:pPr>
                  <w:r>
                    <w:rPr>
                      <w:rFonts w:ascii="Times New Roman" w:hAnsi="Times New Roman" w:eastAsia="Times New Roman" w:cs="Times New Roman"/>
                      <w:spacing w:val="1"/>
                      <w:sz w:val="21"/>
                      <w:szCs w:val="21"/>
                    </w:rPr>
                    <w:t>3</w:t>
                  </w:r>
                  <w:r>
                    <w:rPr>
                      <w:rFonts w:ascii="Times New Roman" w:hAnsi="Times New Roman" w:eastAsia="Times New Roman" w:cs="Times New Roman"/>
                      <w:spacing w:val="-23"/>
                      <w:sz w:val="21"/>
                      <w:szCs w:val="21"/>
                    </w:rPr>
                    <w:t xml:space="preserve"> </w:t>
                  </w:r>
                  <w:r>
                    <w:rPr>
                      <w:rFonts w:ascii="宋体" w:hAnsi="宋体" w:eastAsia="宋体" w:cs="宋体"/>
                      <w:spacing w:val="1"/>
                      <w:sz w:val="21"/>
                      <w:szCs w:val="21"/>
                    </w:rPr>
                    <w:t>、废铅蓄电池收集、贮存企业应</w:t>
                  </w:r>
                  <w:r>
                    <w:rPr>
                      <w:rFonts w:ascii="宋体" w:hAnsi="宋体" w:eastAsia="宋体" w:cs="宋体"/>
                      <w:spacing w:val="10"/>
                      <w:sz w:val="21"/>
                      <w:szCs w:val="21"/>
                    </w:rPr>
                    <w:t>建立废铅蓄电池收集处理数据信</w:t>
                  </w:r>
                  <w:r>
                    <w:rPr>
                      <w:rFonts w:ascii="宋体" w:hAnsi="宋体" w:eastAsia="宋体" w:cs="宋体"/>
                      <w:spacing w:val="-13"/>
                      <w:sz w:val="21"/>
                      <w:szCs w:val="21"/>
                    </w:rPr>
                    <w:t>息管理系统，如实记录收集、贮存、</w:t>
                  </w:r>
                  <w:r>
                    <w:rPr>
                      <w:rFonts w:ascii="宋体" w:hAnsi="宋体" w:eastAsia="宋体" w:cs="宋体"/>
                      <w:spacing w:val="-5"/>
                      <w:sz w:val="21"/>
                      <w:szCs w:val="21"/>
                    </w:rPr>
                    <w:t>转移废铅蓄电池的重量、来源、去向等信息，并实现与全国固体废物</w:t>
                  </w:r>
                  <w:r>
                    <w:rPr>
                      <w:rFonts w:ascii="宋体" w:hAnsi="宋体" w:eastAsia="宋体" w:cs="宋体"/>
                      <w:spacing w:val="-1"/>
                      <w:sz w:val="21"/>
                      <w:szCs w:val="21"/>
                    </w:rPr>
                    <w:t>管理信息系统的数据对接</w:t>
                  </w:r>
                  <w:r>
                    <w:rPr>
                      <w:rFonts w:hint="eastAsia" w:ascii="宋体" w:hAnsi="宋体" w:eastAsia="宋体" w:cs="宋体"/>
                      <w:spacing w:val="-1"/>
                      <w:sz w:val="21"/>
                      <w:szCs w:val="21"/>
                      <w:lang w:eastAsia="zh-CN"/>
                    </w:rPr>
                    <w:t>。</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z w:val="21"/>
                      <w:szCs w:val="21"/>
                    </w:rPr>
                    <w:t>项目如实记录收集、贮存、转</w:t>
                  </w:r>
                  <w:r>
                    <w:rPr>
                      <w:rFonts w:ascii="宋体" w:hAnsi="宋体" w:eastAsia="宋体" w:cs="宋体"/>
                      <w:spacing w:val="1"/>
                      <w:sz w:val="21"/>
                      <w:szCs w:val="21"/>
                    </w:rPr>
                    <w:t>移废铅蓄电池的重量、来源、去向等信息，与全国固体废物</w:t>
                  </w:r>
                  <w:r>
                    <w:rPr>
                      <w:rFonts w:ascii="宋体" w:hAnsi="宋体" w:eastAsia="宋体" w:cs="宋体"/>
                      <w:spacing w:val="-1"/>
                      <w:sz w:val="21"/>
                      <w:szCs w:val="21"/>
                    </w:rPr>
                    <w:t>管理信息系统进行数据对接。</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ascii="Times New Roman" w:hAnsi="Times New Roman" w:eastAsia="Times New Roman" w:cs="Times New Roman"/>
                      <w:spacing w:val="1"/>
                      <w:sz w:val="21"/>
                      <w:szCs w:val="21"/>
                    </w:rPr>
                    <w:t>4</w:t>
                  </w:r>
                  <w:r>
                    <w:rPr>
                      <w:rFonts w:ascii="Times New Roman" w:hAnsi="Times New Roman" w:eastAsia="Times New Roman" w:cs="Times New Roman"/>
                      <w:spacing w:val="-18"/>
                      <w:sz w:val="21"/>
                      <w:szCs w:val="21"/>
                    </w:rPr>
                    <w:t xml:space="preserve"> </w:t>
                  </w:r>
                  <w:r>
                    <w:rPr>
                      <w:rFonts w:ascii="宋体" w:hAnsi="宋体" w:eastAsia="宋体" w:cs="宋体"/>
                      <w:spacing w:val="1"/>
                      <w:sz w:val="21"/>
                      <w:szCs w:val="21"/>
                    </w:rPr>
                    <w:t>、禁止在收集、运输和贮存过程</w:t>
                  </w:r>
                  <w:r>
                    <w:rPr>
                      <w:rFonts w:ascii="宋体" w:hAnsi="宋体" w:eastAsia="宋体" w:cs="宋体"/>
                      <w:spacing w:val="-4"/>
                      <w:sz w:val="21"/>
                      <w:szCs w:val="21"/>
                    </w:rPr>
                    <w:t>中擅自拆解、破碎、丢弃废铅蓄电</w:t>
                  </w:r>
                  <w:r>
                    <w:rPr>
                      <w:rFonts w:ascii="宋体" w:hAnsi="宋体" w:eastAsia="宋体" w:cs="宋体"/>
                      <w:spacing w:val="-12"/>
                      <w:sz w:val="21"/>
                      <w:szCs w:val="21"/>
                    </w:rPr>
                    <w:t>池；禁止倾倒含铅酸性电解质。</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本项目不涉及废旧铅酸蓄电池</w:t>
                  </w:r>
                  <w:r>
                    <w:rPr>
                      <w:rFonts w:ascii="宋体" w:hAnsi="宋体" w:eastAsia="宋体" w:cs="宋体"/>
                      <w:spacing w:val="-9"/>
                      <w:sz w:val="21"/>
                      <w:szCs w:val="21"/>
                    </w:rPr>
                    <w:t>的拆解、破碎等工序，在收集、</w:t>
                  </w:r>
                  <w:r>
                    <w:rPr>
                      <w:rFonts w:ascii="宋体" w:hAnsi="宋体" w:eastAsia="宋体" w:cs="宋体"/>
                      <w:spacing w:val="4"/>
                      <w:sz w:val="21"/>
                      <w:szCs w:val="21"/>
                    </w:rPr>
                    <w:t xml:space="preserve"> </w:t>
                  </w:r>
                  <w:r>
                    <w:rPr>
                      <w:rFonts w:ascii="宋体" w:hAnsi="宋体" w:eastAsia="宋体" w:cs="宋体"/>
                      <w:spacing w:val="1"/>
                      <w:sz w:val="21"/>
                      <w:szCs w:val="21"/>
                    </w:rPr>
                    <w:t xml:space="preserve">运输和贮存过程中将严禁乱丢 </w:t>
                  </w:r>
                  <w:r>
                    <w:rPr>
                      <w:rFonts w:ascii="宋体" w:hAnsi="宋体" w:eastAsia="宋体" w:cs="宋体"/>
                      <w:spacing w:val="-1"/>
                      <w:sz w:val="21"/>
                      <w:szCs w:val="21"/>
                    </w:rPr>
                    <w:t>电池、倾倒含铅酸性电解质。</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ascii="Times New Roman" w:hAnsi="Times New Roman" w:eastAsia="Times New Roman" w:cs="Times New Roman"/>
                      <w:spacing w:val="1"/>
                      <w:sz w:val="21"/>
                      <w:szCs w:val="21"/>
                    </w:rPr>
                    <w:t>5</w:t>
                  </w:r>
                  <w:r>
                    <w:rPr>
                      <w:rFonts w:ascii="Times New Roman" w:hAnsi="Times New Roman" w:eastAsia="Times New Roman" w:cs="Times New Roman"/>
                      <w:spacing w:val="-24"/>
                      <w:sz w:val="21"/>
                      <w:szCs w:val="21"/>
                    </w:rPr>
                    <w:t xml:space="preserve"> </w:t>
                  </w:r>
                  <w:r>
                    <w:rPr>
                      <w:rFonts w:ascii="宋体" w:hAnsi="宋体" w:eastAsia="宋体" w:cs="宋体"/>
                      <w:spacing w:val="1"/>
                      <w:sz w:val="21"/>
                      <w:szCs w:val="21"/>
                    </w:rPr>
                    <w:t>、废铅蓄电池收集、运输、贮存</w:t>
                  </w:r>
                  <w:r>
                    <w:rPr>
                      <w:rFonts w:ascii="宋体" w:hAnsi="宋体" w:eastAsia="宋体" w:cs="宋体"/>
                      <w:spacing w:val="10"/>
                      <w:sz w:val="21"/>
                      <w:szCs w:val="21"/>
                    </w:rPr>
                    <w:t>过程除应满足环境保护相关要求</w:t>
                  </w:r>
                  <w:r>
                    <w:rPr>
                      <w:rFonts w:ascii="宋体" w:hAnsi="宋体" w:eastAsia="宋体" w:cs="宋体"/>
                      <w:spacing w:val="-5"/>
                      <w:sz w:val="21"/>
                      <w:szCs w:val="21"/>
                    </w:rPr>
                    <w:t>外，还应符合国家安全生产、职业</w:t>
                  </w:r>
                  <w:r>
                    <w:rPr>
                      <w:rFonts w:ascii="宋体" w:hAnsi="宋体" w:eastAsia="宋体" w:cs="宋体"/>
                      <w:spacing w:val="13"/>
                      <w:sz w:val="21"/>
                      <w:szCs w:val="21"/>
                    </w:rPr>
                    <w:t xml:space="preserve"> </w:t>
                  </w:r>
                  <w:r>
                    <w:rPr>
                      <w:rFonts w:ascii="宋体" w:hAnsi="宋体" w:eastAsia="宋体" w:cs="宋体"/>
                      <w:spacing w:val="-4"/>
                      <w:sz w:val="21"/>
                      <w:szCs w:val="21"/>
                    </w:rPr>
                    <w:t>健康、交通运输、消防等法规标准</w:t>
                  </w:r>
                  <w:r>
                    <w:rPr>
                      <w:rFonts w:ascii="宋体" w:hAnsi="宋体" w:eastAsia="宋体" w:cs="宋体"/>
                      <w:spacing w:val="-2"/>
                      <w:sz w:val="21"/>
                      <w:szCs w:val="21"/>
                    </w:rPr>
                    <w:t>的相关要求。</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z w:val="21"/>
                      <w:szCs w:val="21"/>
                    </w:rPr>
                    <w:t>项目将严格按照相关法规及标</w:t>
                  </w:r>
                  <w:r>
                    <w:rPr>
                      <w:rFonts w:ascii="宋体" w:hAnsi="宋体" w:eastAsia="宋体" w:cs="宋体"/>
                      <w:spacing w:val="11"/>
                      <w:sz w:val="21"/>
                      <w:szCs w:val="21"/>
                    </w:rPr>
                    <w:t xml:space="preserve"> </w:t>
                  </w:r>
                  <w:r>
                    <w:rPr>
                      <w:rFonts w:ascii="宋体" w:hAnsi="宋体" w:eastAsia="宋体" w:cs="宋体"/>
                      <w:sz w:val="21"/>
                      <w:szCs w:val="21"/>
                    </w:rPr>
                    <w:t>准的要求，制定使之满足国家安全生产、职业健康、交通运</w:t>
                  </w:r>
                  <w:r>
                    <w:rPr>
                      <w:rFonts w:ascii="宋体" w:hAnsi="宋体" w:eastAsia="宋体" w:cs="宋体"/>
                      <w:spacing w:val="10"/>
                      <w:sz w:val="21"/>
                      <w:szCs w:val="21"/>
                    </w:rPr>
                    <w:t xml:space="preserve"> </w:t>
                  </w:r>
                  <w:r>
                    <w:rPr>
                      <w:rFonts w:ascii="宋体" w:hAnsi="宋体" w:eastAsia="宋体" w:cs="宋体"/>
                      <w:spacing w:val="-1"/>
                      <w:sz w:val="21"/>
                      <w:szCs w:val="21"/>
                    </w:rPr>
                    <w:t>输、消防等相关的要求。</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ascii="Times New Roman" w:hAnsi="Times New Roman" w:eastAsia="Times New Roman" w:cs="Times New Roman"/>
                      <w:spacing w:val="1"/>
                      <w:sz w:val="21"/>
                      <w:szCs w:val="21"/>
                    </w:rPr>
                    <w:t>6</w:t>
                  </w:r>
                  <w:r>
                    <w:rPr>
                      <w:rFonts w:ascii="Times New Roman" w:hAnsi="Times New Roman" w:eastAsia="Times New Roman" w:cs="Times New Roman"/>
                      <w:spacing w:val="-23"/>
                      <w:sz w:val="21"/>
                      <w:szCs w:val="21"/>
                    </w:rPr>
                    <w:t xml:space="preserve"> </w:t>
                  </w:r>
                  <w:r>
                    <w:rPr>
                      <w:rFonts w:ascii="宋体" w:hAnsi="宋体" w:eastAsia="宋体" w:cs="宋体"/>
                      <w:spacing w:val="1"/>
                      <w:sz w:val="21"/>
                      <w:szCs w:val="21"/>
                    </w:rPr>
                    <w:t>、废铅蓄电池收集企业和运输企</w:t>
                  </w:r>
                  <w:r>
                    <w:rPr>
                      <w:rFonts w:ascii="宋体" w:hAnsi="宋体" w:eastAsia="宋体" w:cs="宋体"/>
                      <w:spacing w:val="-4"/>
                      <w:sz w:val="21"/>
                      <w:szCs w:val="21"/>
                    </w:rPr>
                    <w:t>业应组织收集人员、运输车辆驾驶</w:t>
                  </w:r>
                  <w:r>
                    <w:rPr>
                      <w:rFonts w:ascii="宋体" w:hAnsi="宋体" w:eastAsia="宋体" w:cs="宋体"/>
                      <w:spacing w:val="10"/>
                      <w:sz w:val="21"/>
                      <w:szCs w:val="21"/>
                    </w:rPr>
                    <w:t>员等相关人员参加危险废物环境管理和环境事故应急救援方面的</w:t>
                  </w:r>
                  <w:r>
                    <w:rPr>
                      <w:rFonts w:ascii="宋体" w:hAnsi="宋体" w:eastAsia="宋体" w:cs="宋体"/>
                      <w:spacing w:val="-3"/>
                      <w:sz w:val="21"/>
                      <w:szCs w:val="21"/>
                    </w:rPr>
                    <w:t>培训。</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2"/>
                      <w:sz w:val="21"/>
                      <w:szCs w:val="21"/>
                    </w:rPr>
                    <w:t>本项</w:t>
                  </w:r>
                  <w:r>
                    <w:rPr>
                      <w:rFonts w:ascii="宋体" w:hAnsi="宋体" w:eastAsia="宋体" w:cs="宋体"/>
                      <w:spacing w:val="-26"/>
                      <w:sz w:val="21"/>
                      <w:szCs w:val="21"/>
                    </w:rPr>
                    <w:t xml:space="preserve"> </w:t>
                  </w:r>
                  <w:r>
                    <w:rPr>
                      <w:rFonts w:ascii="宋体" w:hAnsi="宋体" w:eastAsia="宋体" w:cs="宋体"/>
                      <w:spacing w:val="12"/>
                      <w:sz w:val="21"/>
                      <w:szCs w:val="21"/>
                    </w:rPr>
                    <w:t>目属废铅蓄电池收集企</w:t>
                  </w:r>
                  <w:r>
                    <w:rPr>
                      <w:rFonts w:ascii="宋体" w:hAnsi="宋体" w:eastAsia="宋体" w:cs="宋体"/>
                      <w:spacing w:val="1"/>
                      <w:sz w:val="21"/>
                      <w:szCs w:val="21"/>
                    </w:rPr>
                    <w:t>业，后续将积极组织人员开展</w:t>
                  </w:r>
                  <w:r>
                    <w:rPr>
                      <w:rFonts w:ascii="宋体" w:hAnsi="宋体" w:eastAsia="宋体" w:cs="宋体"/>
                      <w:spacing w:val="2"/>
                      <w:sz w:val="21"/>
                      <w:szCs w:val="21"/>
                    </w:rPr>
                    <w:t xml:space="preserve"> </w:t>
                  </w:r>
                  <w:r>
                    <w:rPr>
                      <w:rFonts w:ascii="宋体" w:hAnsi="宋体" w:eastAsia="宋体" w:cs="宋体"/>
                      <w:spacing w:val="1"/>
                      <w:sz w:val="21"/>
                      <w:szCs w:val="21"/>
                    </w:rPr>
                    <w:t>危险废物环境管理和环境事故</w:t>
                  </w:r>
                  <w:r>
                    <w:rPr>
                      <w:rFonts w:ascii="宋体" w:hAnsi="宋体" w:eastAsia="宋体" w:cs="宋体"/>
                      <w:spacing w:val="2"/>
                      <w:sz w:val="21"/>
                      <w:szCs w:val="21"/>
                    </w:rPr>
                    <w:t xml:space="preserve"> </w:t>
                  </w:r>
                  <w:r>
                    <w:rPr>
                      <w:rFonts w:ascii="宋体" w:hAnsi="宋体" w:eastAsia="宋体" w:cs="宋体"/>
                      <w:spacing w:val="-1"/>
                      <w:sz w:val="21"/>
                      <w:szCs w:val="21"/>
                    </w:rPr>
                    <w:t>应急救援方面的培训。</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收集</w:t>
                  </w: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ascii="Times New Roman" w:hAnsi="Times New Roman" w:eastAsia="Times New Roman" w:cs="Times New Roman"/>
                      <w:sz w:val="21"/>
                      <w:szCs w:val="21"/>
                    </w:rPr>
                    <w:t>1</w:t>
                  </w:r>
                  <w:r>
                    <w:rPr>
                      <w:rFonts w:ascii="Times New Roman" w:hAnsi="Times New Roman" w:eastAsia="Times New Roman" w:cs="Times New Roman"/>
                      <w:spacing w:val="-24"/>
                      <w:sz w:val="21"/>
                      <w:szCs w:val="21"/>
                    </w:rPr>
                    <w:t xml:space="preserve"> </w:t>
                  </w:r>
                  <w:r>
                    <w:rPr>
                      <w:rFonts w:ascii="宋体" w:hAnsi="宋体" w:eastAsia="宋体" w:cs="宋体"/>
                      <w:sz w:val="21"/>
                      <w:szCs w:val="21"/>
                    </w:rPr>
                    <w:t>、收集企业可在收集区域内设置</w:t>
                  </w:r>
                  <w:r>
                    <w:rPr>
                      <w:rFonts w:ascii="宋体" w:hAnsi="宋体" w:eastAsia="宋体" w:cs="宋体"/>
                      <w:spacing w:val="-4"/>
                      <w:sz w:val="21"/>
                      <w:szCs w:val="21"/>
                    </w:rPr>
                    <w:t>废铅蓄电池收集网点，建设废铅蓄</w:t>
                  </w:r>
                  <w:r>
                    <w:rPr>
                      <w:rFonts w:ascii="宋体" w:hAnsi="宋体" w:eastAsia="宋体" w:cs="宋体"/>
                      <w:spacing w:val="-1"/>
                      <w:sz w:val="21"/>
                      <w:szCs w:val="21"/>
                    </w:rPr>
                    <w:t>电池集中转运点，以利于中转。</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本项目为废铅酸蓄电池的集中</w:t>
                  </w:r>
                  <w:r>
                    <w:rPr>
                      <w:rFonts w:ascii="宋体" w:hAnsi="宋体" w:eastAsia="宋体" w:cs="宋体"/>
                      <w:spacing w:val="-3"/>
                      <w:sz w:val="21"/>
                      <w:szCs w:val="21"/>
                    </w:rPr>
                    <w:t>转运点。</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ascii="宋体" w:hAnsi="宋体" w:eastAsia="宋体" w:cs="宋体"/>
                      <w:spacing w:val="45"/>
                      <w:sz w:val="21"/>
                      <w:szCs w:val="21"/>
                    </w:rPr>
                  </w:pPr>
                  <w:r>
                    <w:rPr>
                      <w:rFonts w:ascii="Times New Roman" w:hAnsi="Times New Roman" w:eastAsia="Times New Roman" w:cs="Times New Roman"/>
                      <w:spacing w:val="1"/>
                      <w:sz w:val="21"/>
                      <w:szCs w:val="21"/>
                    </w:rPr>
                    <w:t>2</w:t>
                  </w:r>
                  <w:r>
                    <w:rPr>
                      <w:rFonts w:ascii="Times New Roman" w:hAnsi="Times New Roman" w:eastAsia="Times New Roman" w:cs="Times New Roman"/>
                      <w:spacing w:val="-19"/>
                      <w:sz w:val="21"/>
                      <w:szCs w:val="21"/>
                    </w:rPr>
                    <w:t xml:space="preserve"> </w:t>
                  </w:r>
                  <w:r>
                    <w:rPr>
                      <w:rFonts w:ascii="宋体" w:hAnsi="宋体" w:eastAsia="宋体" w:cs="宋体"/>
                      <w:spacing w:val="1"/>
                      <w:sz w:val="21"/>
                      <w:szCs w:val="21"/>
                    </w:rPr>
                    <w:t>、废铅蓄电池收集过程应采取以</w:t>
                  </w:r>
                  <w:r>
                    <w:rPr>
                      <w:rFonts w:ascii="宋体" w:hAnsi="宋体" w:eastAsia="宋体" w:cs="宋体"/>
                      <w:spacing w:val="-4"/>
                      <w:sz w:val="21"/>
                      <w:szCs w:val="21"/>
                    </w:rPr>
                    <w:t>下防范措施，避免发生环境污染事</w:t>
                  </w:r>
                  <w:r>
                    <w:rPr>
                      <w:rFonts w:ascii="宋体" w:hAnsi="宋体" w:eastAsia="宋体" w:cs="宋体"/>
                      <w:spacing w:val="1"/>
                      <w:sz w:val="21"/>
                      <w:szCs w:val="21"/>
                    </w:rPr>
                    <w:t>故</w:t>
                  </w:r>
                  <w:r>
                    <w:rPr>
                      <w:rFonts w:ascii="宋体" w:hAnsi="宋体" w:eastAsia="宋体" w:cs="宋体"/>
                      <w:spacing w:val="-87"/>
                      <w:sz w:val="21"/>
                      <w:szCs w:val="21"/>
                    </w:rPr>
                    <w:t>：</w:t>
                  </w:r>
                  <w:r>
                    <w:rPr>
                      <w:rFonts w:ascii="宋体" w:hAnsi="宋体" w:eastAsia="宋体" w:cs="宋体"/>
                      <w:spacing w:val="44"/>
                      <w:sz w:val="21"/>
                      <w:szCs w:val="21"/>
                    </w:rPr>
                    <w:t xml:space="preserve"> </w:t>
                  </w:r>
                  <w:r>
                    <w:rPr>
                      <w:rFonts w:hint="eastAsia" w:ascii="宋体" w:hAnsi="宋体" w:eastAsia="宋体" w:cs="宋体"/>
                      <w:spacing w:val="44"/>
                      <w:sz w:val="21"/>
                      <w:szCs w:val="21"/>
                      <w:lang w:val="en-US" w:eastAsia="zh-CN"/>
                    </w:rPr>
                    <w:t>(1)</w:t>
                  </w:r>
                  <w:r>
                    <w:rPr>
                      <w:rFonts w:ascii="宋体" w:hAnsi="宋体" w:eastAsia="宋体" w:cs="宋体"/>
                      <w:spacing w:val="1"/>
                      <w:sz w:val="21"/>
                      <w:szCs w:val="21"/>
                    </w:rPr>
                    <w:t>废铅蓄电池应进行合理</w:t>
                  </w:r>
                  <w:r>
                    <w:rPr>
                      <w:rFonts w:ascii="宋体" w:hAnsi="宋体" w:eastAsia="宋体" w:cs="宋体"/>
                      <w:spacing w:val="-4"/>
                      <w:sz w:val="21"/>
                      <w:szCs w:val="21"/>
                    </w:rPr>
                    <w:t>包装，防止运输过程破损和电解质</w:t>
                  </w:r>
                  <w:r>
                    <w:rPr>
                      <w:rFonts w:ascii="宋体" w:hAnsi="宋体" w:eastAsia="宋体" w:cs="宋体"/>
                      <w:spacing w:val="5"/>
                      <w:sz w:val="21"/>
                      <w:szCs w:val="21"/>
                    </w:rPr>
                    <w:t>泄漏</w:t>
                  </w:r>
                  <w:r>
                    <w:rPr>
                      <w:rFonts w:ascii="宋体" w:hAnsi="宋体" w:eastAsia="宋体" w:cs="宋体"/>
                      <w:spacing w:val="-85"/>
                      <w:sz w:val="21"/>
                      <w:szCs w:val="21"/>
                    </w:rPr>
                    <w:t>；</w:t>
                  </w:r>
                  <w:r>
                    <w:rPr>
                      <w:rFonts w:ascii="宋体" w:hAnsi="宋体" w:eastAsia="宋体" w:cs="宋体"/>
                      <w:spacing w:val="45"/>
                      <w:sz w:val="21"/>
                      <w:szCs w:val="21"/>
                    </w:rPr>
                    <w:t xml:space="preserve"> </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hint="default" w:ascii="Times New Roman" w:hAnsi="Times New Roman" w:eastAsia="宋体" w:cs="Times New Roman"/>
                      <w:spacing w:val="-4"/>
                      <w:sz w:val="21"/>
                      <w:szCs w:val="21"/>
                    </w:rPr>
                  </w:pPr>
                  <w:r>
                    <w:rPr>
                      <w:rFonts w:hint="eastAsia" w:ascii="宋体" w:hAnsi="宋体" w:eastAsia="宋体" w:cs="宋体"/>
                      <w:spacing w:val="45"/>
                      <w:sz w:val="21"/>
                      <w:szCs w:val="21"/>
                      <w:lang w:val="en-US" w:eastAsia="zh-CN"/>
                    </w:rPr>
                    <w:t>(2)</w:t>
                  </w:r>
                  <w:r>
                    <w:rPr>
                      <w:rFonts w:ascii="宋体" w:hAnsi="宋体" w:eastAsia="宋体" w:cs="宋体"/>
                      <w:spacing w:val="5"/>
                      <w:sz w:val="21"/>
                      <w:szCs w:val="21"/>
                    </w:rPr>
                    <w:t>废铅蓄电池有破损或</w:t>
                  </w:r>
                  <w:r>
                    <w:rPr>
                      <w:rFonts w:ascii="宋体" w:hAnsi="宋体" w:eastAsia="宋体" w:cs="宋体"/>
                      <w:spacing w:val="-6"/>
                      <w:sz w:val="21"/>
                      <w:szCs w:val="21"/>
                    </w:rPr>
                    <w:t>电解质渗漏的，应将废铅蓄电池及</w:t>
                  </w:r>
                  <w:r>
                    <w:rPr>
                      <w:rFonts w:ascii="宋体" w:hAnsi="宋体" w:eastAsia="宋体" w:cs="宋体"/>
                      <w:spacing w:val="-1"/>
                      <w:sz w:val="21"/>
                      <w:szCs w:val="21"/>
                    </w:rPr>
                    <w:t>其渗漏液贮存于耐酸容器中。</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本项目废铅蓄电池在收集过程</w:t>
                  </w:r>
                  <w:r>
                    <w:rPr>
                      <w:rFonts w:ascii="宋体" w:hAnsi="宋体" w:eastAsia="宋体" w:cs="宋体"/>
                      <w:sz w:val="21"/>
                      <w:szCs w:val="21"/>
                    </w:rPr>
                    <w:t xml:space="preserve"> </w:t>
                  </w:r>
                  <w:r>
                    <w:rPr>
                      <w:rFonts w:ascii="宋体" w:hAnsi="宋体" w:eastAsia="宋体" w:cs="宋体"/>
                      <w:spacing w:val="-11"/>
                      <w:sz w:val="21"/>
                      <w:szCs w:val="21"/>
                    </w:rPr>
                    <w:t>中对电池进行合理的包装；对</w:t>
                  </w:r>
                  <w:r>
                    <w:rPr>
                      <w:rFonts w:ascii="宋体" w:hAnsi="宋体" w:eastAsia="宋体" w:cs="宋体"/>
                      <w:spacing w:val="1"/>
                      <w:sz w:val="21"/>
                      <w:szCs w:val="21"/>
                    </w:rPr>
                    <w:t>于破损的电池或者电解质渗漏</w:t>
                  </w:r>
                  <w:r>
                    <w:rPr>
                      <w:rFonts w:ascii="宋体" w:hAnsi="宋体" w:eastAsia="宋体" w:cs="宋体"/>
                      <w:sz w:val="21"/>
                      <w:szCs w:val="21"/>
                    </w:rPr>
                    <w:t>的，收集至耐酸容器中，在破</w:t>
                  </w:r>
                  <w:r>
                    <w:rPr>
                      <w:rFonts w:ascii="宋体" w:hAnsi="宋体" w:eastAsia="宋体" w:cs="宋体"/>
                      <w:spacing w:val="-1"/>
                      <w:sz w:val="21"/>
                      <w:szCs w:val="21"/>
                    </w:rPr>
                    <w:t>损电池贮存区贮存。</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暂存与贮存</w:t>
                  </w: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ascii="Times New Roman" w:hAnsi="Times New Roman" w:eastAsia="Times New Roman" w:cs="Times New Roman"/>
                      <w:sz w:val="21"/>
                      <w:szCs w:val="21"/>
                    </w:rPr>
                    <w:t>1</w:t>
                  </w:r>
                  <w:r>
                    <w:rPr>
                      <w:rFonts w:ascii="Times New Roman" w:hAnsi="Times New Roman" w:eastAsia="Times New Roman" w:cs="Times New Roman"/>
                      <w:spacing w:val="-24"/>
                      <w:sz w:val="21"/>
                      <w:szCs w:val="21"/>
                    </w:rPr>
                    <w:t xml:space="preserve"> </w:t>
                  </w:r>
                  <w:r>
                    <w:rPr>
                      <w:rFonts w:ascii="宋体" w:hAnsi="宋体" w:eastAsia="宋体" w:cs="宋体"/>
                      <w:sz w:val="21"/>
                      <w:szCs w:val="21"/>
                    </w:rPr>
                    <w:t xml:space="preserve">、基于废铅蓄电池收集过程的特 </w:t>
                  </w:r>
                  <w:r>
                    <w:rPr>
                      <w:rFonts w:ascii="宋体" w:hAnsi="宋体" w:eastAsia="宋体" w:cs="宋体"/>
                      <w:spacing w:val="-4"/>
                      <w:sz w:val="21"/>
                      <w:szCs w:val="21"/>
                    </w:rPr>
                    <w:t>殊性及其环境风险，分为收集网点</w:t>
                  </w:r>
                  <w:r>
                    <w:rPr>
                      <w:rFonts w:ascii="宋体" w:hAnsi="宋体" w:eastAsia="宋体" w:cs="宋体"/>
                      <w:spacing w:val="-3"/>
                      <w:sz w:val="21"/>
                      <w:szCs w:val="21"/>
                    </w:rPr>
                    <w:t>暂存和集中转运点贮存两种方式。</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本项目属于集中转运点贮存的</w:t>
                  </w:r>
                  <w:r>
                    <w:rPr>
                      <w:rFonts w:ascii="宋体" w:hAnsi="宋体" w:eastAsia="宋体" w:cs="宋体"/>
                      <w:spacing w:val="-4"/>
                      <w:sz w:val="21"/>
                      <w:szCs w:val="21"/>
                    </w:rPr>
                    <w:t>方式。</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Times New Roman" w:cs="Times New Roman"/>
                      <w:spacing w:val="1"/>
                      <w:sz w:val="21"/>
                      <w:szCs w:val="21"/>
                    </w:rPr>
                  </w:pPr>
                  <w:r>
                    <w:rPr>
                      <w:rFonts w:ascii="Times New Roman" w:hAnsi="Times New Roman" w:eastAsia="Times New Roman" w:cs="Times New Roman"/>
                      <w:spacing w:val="1"/>
                      <w:sz w:val="21"/>
                      <w:szCs w:val="21"/>
                    </w:rPr>
                    <w:t>2 、收集网点暂存时间应不超过90天，重量应不超过3吨； 集中转运点贮存时间最长不超过1年，贮存规模应小于贮存场所的设计容量。</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本项目属集中转运点，收集到的废旧铅蓄电池尽量当天收集</w:t>
                  </w:r>
                  <w:r>
                    <w:rPr>
                      <w:rFonts w:ascii="宋体" w:hAnsi="宋体" w:eastAsia="宋体" w:cs="宋体"/>
                      <w:spacing w:val="14"/>
                      <w:sz w:val="21"/>
                      <w:szCs w:val="21"/>
                    </w:rPr>
                    <w:t>当天转运</w:t>
                  </w:r>
                  <w:r>
                    <w:rPr>
                      <w:rFonts w:ascii="宋体" w:hAnsi="宋体" w:eastAsia="宋体" w:cs="宋体"/>
                      <w:spacing w:val="-50"/>
                      <w:sz w:val="21"/>
                      <w:szCs w:val="21"/>
                    </w:rPr>
                    <w:t xml:space="preserve"> </w:t>
                  </w:r>
                  <w:r>
                    <w:rPr>
                      <w:rFonts w:ascii="宋体" w:hAnsi="宋体" w:eastAsia="宋体" w:cs="宋体"/>
                      <w:spacing w:val="14"/>
                      <w:sz w:val="21"/>
                      <w:szCs w:val="21"/>
                    </w:rPr>
                    <w:t>，厂区最大贮存量</w:t>
                  </w:r>
                  <w:r>
                    <w:rPr>
                      <w:rFonts w:ascii="Times New Roman" w:hAnsi="Times New Roman" w:eastAsia="Times New Roman" w:cs="Times New Roman"/>
                      <w:spacing w:val="-5"/>
                      <w:sz w:val="21"/>
                      <w:szCs w:val="21"/>
                    </w:rPr>
                    <w:t>340t</w:t>
                  </w:r>
                  <w:r>
                    <w:rPr>
                      <w:rFonts w:ascii="Times New Roman" w:hAnsi="Times New Roman" w:eastAsia="Times New Roman" w:cs="Times New Roman"/>
                      <w:spacing w:val="-23"/>
                      <w:sz w:val="21"/>
                      <w:szCs w:val="21"/>
                    </w:rPr>
                    <w:t xml:space="preserve"> </w:t>
                  </w:r>
                  <w:r>
                    <w:rPr>
                      <w:rFonts w:ascii="宋体" w:hAnsi="宋体" w:eastAsia="宋体" w:cs="宋体"/>
                      <w:spacing w:val="-5"/>
                      <w:sz w:val="21"/>
                      <w:szCs w:val="21"/>
                    </w:rPr>
                    <w:t>，贮存库面积</w:t>
                  </w:r>
                  <w:r>
                    <w:rPr>
                      <w:rFonts w:ascii="Times New Roman" w:hAnsi="Times New Roman" w:eastAsia="Times New Roman" w:cs="Times New Roman"/>
                      <w:spacing w:val="-5"/>
                      <w:sz w:val="21"/>
                      <w:szCs w:val="21"/>
                    </w:rPr>
                    <w:t>1200m</w:t>
                  </w:r>
                  <w:r>
                    <w:rPr>
                      <w:rFonts w:ascii="Times New Roman" w:hAnsi="Times New Roman" w:eastAsia="Times New Roman" w:cs="Times New Roman"/>
                      <w:spacing w:val="-5"/>
                      <w:position w:val="6"/>
                      <w:sz w:val="14"/>
                      <w:szCs w:val="14"/>
                    </w:rPr>
                    <w:t>2</w:t>
                  </w:r>
                  <w:r>
                    <w:rPr>
                      <w:rFonts w:ascii="Times New Roman" w:hAnsi="Times New Roman" w:eastAsia="Times New Roman" w:cs="Times New Roman"/>
                      <w:spacing w:val="-11"/>
                      <w:position w:val="6"/>
                      <w:sz w:val="14"/>
                      <w:szCs w:val="14"/>
                    </w:rPr>
                    <w:t xml:space="preserve"> </w:t>
                  </w:r>
                  <w:r>
                    <w:rPr>
                      <w:rFonts w:ascii="宋体" w:hAnsi="宋体" w:eastAsia="宋体" w:cs="宋体"/>
                      <w:spacing w:val="-5"/>
                      <w:sz w:val="21"/>
                      <w:szCs w:val="21"/>
                    </w:rPr>
                    <w:t>，贮</w:t>
                  </w:r>
                  <w:r>
                    <w:rPr>
                      <w:rFonts w:ascii="宋体" w:hAnsi="宋体" w:eastAsia="宋体" w:cs="宋体"/>
                      <w:sz w:val="21"/>
                      <w:szCs w:val="21"/>
                    </w:rPr>
                    <w:t xml:space="preserve"> </w:t>
                  </w:r>
                  <w:r>
                    <w:rPr>
                      <w:rFonts w:ascii="宋体" w:hAnsi="宋体" w:eastAsia="宋体" w:cs="宋体"/>
                      <w:spacing w:val="1"/>
                      <w:sz w:val="21"/>
                      <w:szCs w:val="21"/>
                    </w:rPr>
                    <w:t>存的规模小于贮存场所的设计</w:t>
                  </w:r>
                  <w:r>
                    <w:rPr>
                      <w:rFonts w:ascii="宋体" w:hAnsi="宋体" w:eastAsia="宋体" w:cs="宋体"/>
                      <w:spacing w:val="-3"/>
                      <w:sz w:val="21"/>
                      <w:szCs w:val="21"/>
                    </w:rPr>
                    <w:t>容量。</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Times New Roman" w:cs="Times New Roman"/>
                      <w:spacing w:val="1"/>
                      <w:sz w:val="21"/>
                      <w:szCs w:val="21"/>
                    </w:rPr>
                  </w:pPr>
                  <w:r>
                    <w:rPr>
                      <w:rFonts w:ascii="Times New Roman" w:hAnsi="Times New Roman" w:eastAsia="Times New Roman" w:cs="Times New Roman"/>
                      <w:spacing w:val="1"/>
                      <w:sz w:val="21"/>
                      <w:szCs w:val="21"/>
                    </w:rPr>
                    <w:t>3 、废铅蓄电池集中转运点贮存设施应开展环境影响评价，并参照 GB18597 的有关要求进行建设和管理。</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本项目正在开展环境影响评价</w:t>
                  </w:r>
                  <w:r>
                    <w:rPr>
                      <w:rFonts w:ascii="宋体" w:hAnsi="宋体" w:eastAsia="宋体" w:cs="宋体"/>
                      <w:spacing w:val="-1"/>
                      <w:sz w:val="21"/>
                      <w:szCs w:val="21"/>
                    </w:rPr>
                    <w:t>工作，集中转运点将严格按照</w:t>
                  </w:r>
                  <w:r>
                    <w:rPr>
                      <w:rFonts w:ascii="宋体" w:hAnsi="宋体" w:eastAsia="宋体" w:cs="宋体"/>
                      <w:spacing w:val="4"/>
                      <w:sz w:val="21"/>
                      <w:szCs w:val="21"/>
                    </w:rPr>
                    <w:t xml:space="preserve"> </w:t>
                  </w:r>
                  <w:r>
                    <w:rPr>
                      <w:rFonts w:ascii="Times New Roman" w:hAnsi="Times New Roman" w:eastAsia="Times New Roman" w:cs="Times New Roman"/>
                      <w:spacing w:val="-3"/>
                      <w:sz w:val="21"/>
                      <w:szCs w:val="21"/>
                    </w:rPr>
                    <w:t>GB18597</w:t>
                  </w:r>
                  <w:r>
                    <w:rPr>
                      <w:rFonts w:ascii="Times New Roman" w:hAnsi="Times New Roman" w:eastAsia="Times New Roman" w:cs="Times New Roman"/>
                      <w:spacing w:val="31"/>
                      <w:w w:val="101"/>
                      <w:sz w:val="21"/>
                      <w:szCs w:val="21"/>
                    </w:rPr>
                    <w:t xml:space="preserve"> </w:t>
                  </w:r>
                  <w:r>
                    <w:rPr>
                      <w:rFonts w:ascii="宋体" w:hAnsi="宋体" w:eastAsia="宋体" w:cs="宋体"/>
                      <w:spacing w:val="-3"/>
                      <w:sz w:val="21"/>
                      <w:szCs w:val="21"/>
                    </w:rPr>
                    <w:t>的有关要求进行建设</w:t>
                  </w:r>
                  <w:r>
                    <w:rPr>
                      <w:rFonts w:ascii="宋体" w:hAnsi="宋体" w:eastAsia="宋体" w:cs="宋体"/>
                      <w:sz w:val="21"/>
                      <w:szCs w:val="21"/>
                    </w:rPr>
                    <w:t xml:space="preserve"> </w:t>
                  </w:r>
                  <w:r>
                    <w:rPr>
                      <w:rFonts w:ascii="宋体" w:hAnsi="宋体" w:eastAsia="宋体" w:cs="宋体"/>
                      <w:spacing w:val="-3"/>
                      <w:sz w:val="21"/>
                      <w:szCs w:val="21"/>
                    </w:rPr>
                    <w:t>和管理。</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771"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3173"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Chars="0" w:right="0" w:rightChars="0"/>
                    <w:jc w:val="left"/>
                    <w:textAlignment w:val="auto"/>
                    <w:rPr>
                      <w:rFonts w:hint="default" w:ascii="Times New Roman" w:hAnsi="Times New Roman" w:eastAsia="宋体" w:cs="Times New Roman"/>
                      <w:spacing w:val="-4"/>
                      <w:sz w:val="21"/>
                      <w:szCs w:val="21"/>
                    </w:rPr>
                  </w:pPr>
                  <w:r>
                    <w:rPr>
                      <w:rFonts w:ascii="Times New Roman" w:hAnsi="Times New Roman" w:eastAsia="Times New Roman" w:cs="Times New Roman"/>
                      <w:spacing w:val="1"/>
                      <w:sz w:val="21"/>
                      <w:szCs w:val="21"/>
                    </w:rPr>
                    <w:t>4</w:t>
                  </w:r>
                  <w:r>
                    <w:rPr>
                      <w:rFonts w:ascii="Times New Roman" w:hAnsi="Times New Roman" w:eastAsia="Times New Roman" w:cs="Times New Roman"/>
                      <w:spacing w:val="-18"/>
                      <w:sz w:val="21"/>
                      <w:szCs w:val="21"/>
                    </w:rPr>
                    <w:t xml:space="preserve"> </w:t>
                  </w:r>
                  <w:r>
                    <w:rPr>
                      <w:rFonts w:ascii="宋体" w:hAnsi="宋体" w:eastAsia="宋体" w:cs="宋体"/>
                      <w:spacing w:val="1"/>
                      <w:sz w:val="21"/>
                      <w:szCs w:val="21"/>
                    </w:rPr>
                    <w:t>、禁止将废铅蓄电池堆放在露天</w:t>
                  </w:r>
                  <w:r>
                    <w:rPr>
                      <w:rFonts w:ascii="宋体" w:hAnsi="宋体" w:eastAsia="宋体" w:cs="宋体"/>
                      <w:sz w:val="21"/>
                      <w:szCs w:val="21"/>
                    </w:rPr>
                    <w:t xml:space="preserve"> </w:t>
                  </w:r>
                  <w:r>
                    <w:rPr>
                      <w:rFonts w:ascii="宋体" w:hAnsi="宋体" w:eastAsia="宋体" w:cs="宋体"/>
                      <w:spacing w:val="-4"/>
                      <w:sz w:val="21"/>
                      <w:szCs w:val="21"/>
                    </w:rPr>
                    <w:t>场所，避免废铅蓄电池遭受雨淋水</w:t>
                  </w:r>
                  <w:r>
                    <w:rPr>
                      <w:rFonts w:ascii="宋体" w:hAnsi="宋体" w:eastAsia="宋体" w:cs="宋体"/>
                      <w:spacing w:val="1"/>
                      <w:sz w:val="21"/>
                      <w:szCs w:val="21"/>
                    </w:rPr>
                    <w:t xml:space="preserve"> </w:t>
                  </w:r>
                  <w:r>
                    <w:rPr>
                      <w:rFonts w:ascii="宋体" w:hAnsi="宋体" w:eastAsia="宋体" w:cs="宋体"/>
                      <w:spacing w:val="-5"/>
                      <w:sz w:val="21"/>
                      <w:szCs w:val="21"/>
                    </w:rPr>
                    <w:t>浸。</w:t>
                  </w:r>
                </w:p>
              </w:tc>
              <w:tc>
                <w:tcPr>
                  <w:tcW w:w="265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1"/>
                      <w:sz w:val="21"/>
                      <w:szCs w:val="21"/>
                    </w:rPr>
                    <w:t>本项目收集到的废铅蓄电池存</w:t>
                  </w:r>
                  <w:r>
                    <w:rPr>
                      <w:rFonts w:ascii="宋体" w:hAnsi="宋体" w:eastAsia="宋体" w:cs="宋体"/>
                      <w:sz w:val="21"/>
                      <w:szCs w:val="21"/>
                    </w:rPr>
                    <w:t xml:space="preserve"> </w:t>
                  </w:r>
                  <w:r>
                    <w:rPr>
                      <w:rFonts w:ascii="宋体" w:hAnsi="宋体" w:eastAsia="宋体" w:cs="宋体"/>
                      <w:spacing w:val="1"/>
                      <w:sz w:val="21"/>
                      <w:szCs w:val="21"/>
                    </w:rPr>
                    <w:t>放在专用的贮存仓库内，不会出现露天堆放、使废铅蓄电池</w:t>
                  </w:r>
                  <w:r>
                    <w:rPr>
                      <w:rFonts w:ascii="宋体" w:hAnsi="宋体" w:eastAsia="宋体" w:cs="宋体"/>
                      <w:spacing w:val="-1"/>
                      <w:sz w:val="21"/>
                      <w:szCs w:val="21"/>
                    </w:rPr>
                    <w:t>遭受雨淋水浸的情形。</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val="en-US" w:eastAsia="zh-CN" w:bidi="ar-SA"/>
                    </w:rPr>
                  </w:pPr>
                  <w:r>
                    <w:rPr>
                      <w:rFonts w:hint="eastAsia" w:ascii="Times New Roman" w:hAnsi="Times New Roman" w:eastAsia="宋体" w:cs="Times New Roman"/>
                      <w:b w:val="0"/>
                      <w:bCs w:val="0"/>
                      <w:kern w:val="0"/>
                      <w:sz w:val="21"/>
                      <w:szCs w:val="21"/>
                      <w:vertAlign w:val="baseline"/>
                      <w:lang w:eastAsia="zh-CN"/>
                    </w:rPr>
                    <w:t>相符</w:t>
                  </w:r>
                </w:p>
              </w:tc>
            </w:tr>
          </w:tbl>
          <w:p>
            <w:pPr>
              <w:pStyle w:val="7"/>
              <w:keepNext w:val="0"/>
              <w:keepLines w:val="0"/>
              <w:pageBreakBefore w:val="0"/>
              <w:widowControl w:val="0"/>
              <w:numPr>
                <w:ilvl w:val="0"/>
                <w:numId w:val="0"/>
              </w:numPr>
              <w:kinsoku/>
              <w:wordWrap/>
              <w:overflowPunct/>
              <w:topLinePunct w:val="0"/>
              <w:autoSpaceDE/>
              <w:autoSpaceDN/>
              <w:bidi w:val="0"/>
              <w:adjustRightInd/>
              <w:snapToGrid/>
              <w:spacing w:after="0" w:line="420" w:lineRule="exact"/>
              <w:ind w:leftChars="0"/>
              <w:jc w:val="both"/>
              <w:textAlignment w:val="auto"/>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七、与《危险废物贮存污染控制标准》（</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GB18597-2001</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）及</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2013年修改单的相符性分析</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项目与《危险废物贮存控制标准》（GB18597-2001）</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及2013年修改单相符性分析</w:t>
            </w:r>
          </w:p>
          <w:tbl>
            <w:tblPr>
              <w:tblStyle w:val="16"/>
              <w:tblpPr w:leftFromText="180" w:rightFromText="180" w:vertAnchor="text" w:horzAnchor="page" w:tblpXSpec="center" w:tblpY="111"/>
              <w:tblOverlap w:val="never"/>
              <w:tblW w:w="7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2899"/>
              <w:gridCol w:w="3015"/>
              <w:gridCol w:w="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项目</w:t>
                  </w: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规范及要求</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本项目情况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both"/>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一般要求</w:t>
                  </w: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所有危险废物产生者和危险废物经营者应建造专用的危险废</w:t>
                  </w:r>
                  <w:r>
                    <w:rPr>
                      <w:rFonts w:ascii="宋体" w:hAnsi="宋体" w:eastAsia="宋体" w:cs="宋体"/>
                      <w:spacing w:val="-3"/>
                      <w:sz w:val="21"/>
                      <w:szCs w:val="21"/>
                    </w:rPr>
                    <w:t>物贮存设施，也可利用原有构筑</w:t>
                  </w:r>
                  <w:r>
                    <w:rPr>
                      <w:rFonts w:ascii="宋体" w:hAnsi="宋体" w:eastAsia="宋体" w:cs="宋体"/>
                      <w:spacing w:val="-1"/>
                      <w:sz w:val="21"/>
                      <w:szCs w:val="21"/>
                    </w:rPr>
                    <w:t>物改建成危险废物贮存设施</w:t>
                  </w:r>
                  <w:r>
                    <w:rPr>
                      <w:rFonts w:hint="eastAsia" w:ascii="宋体" w:hAnsi="宋体" w:cs="宋体"/>
                      <w:spacing w:val="-1"/>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eastAsia="zh-CN"/>
                    </w:rPr>
                    <w:t>企业现有危险废物贮存仓库</w:t>
                  </w:r>
                  <w:r>
                    <w:rPr>
                      <w:rFonts w:hint="eastAsia" w:cs="Times New Roman"/>
                      <w:b w:val="0"/>
                      <w:bCs w:val="0"/>
                      <w:kern w:val="0"/>
                      <w:sz w:val="21"/>
                      <w:szCs w:val="21"/>
                      <w:vertAlign w:val="baseline"/>
                      <w:lang w:val="en-US" w:eastAsia="zh-CN"/>
                    </w:rPr>
                    <w:t>4500m</w:t>
                  </w:r>
                  <w:r>
                    <w:rPr>
                      <w:rFonts w:hint="eastAsia" w:cs="Times New Roman"/>
                      <w:b w:val="0"/>
                      <w:bCs w:val="0"/>
                      <w:kern w:val="0"/>
                      <w:sz w:val="21"/>
                      <w:szCs w:val="21"/>
                      <w:vertAlign w:val="superscript"/>
                      <w:lang w:val="en-US" w:eastAsia="zh-CN"/>
                    </w:rPr>
                    <w:t>2</w:t>
                  </w:r>
                  <w:r>
                    <w:rPr>
                      <w:rFonts w:hint="eastAsia" w:cs="Times New Roman"/>
                      <w:b w:val="0"/>
                      <w:bCs w:val="0"/>
                      <w:kern w:val="0"/>
                      <w:sz w:val="21"/>
                      <w:szCs w:val="21"/>
                      <w:vertAlign w:val="baseline"/>
                      <w:lang w:val="en-US" w:eastAsia="zh-CN"/>
                    </w:rPr>
                    <w:t>，本项目利用现有仓库中2400m</w:t>
                  </w:r>
                  <w:r>
                    <w:rPr>
                      <w:rFonts w:hint="eastAsia" w:cs="Times New Roman"/>
                      <w:b w:val="0"/>
                      <w:bCs w:val="0"/>
                      <w:kern w:val="0"/>
                      <w:sz w:val="21"/>
                      <w:szCs w:val="21"/>
                      <w:vertAlign w:val="superscript"/>
                      <w:lang w:val="en-US" w:eastAsia="zh-CN"/>
                    </w:rPr>
                    <w:t>2</w:t>
                  </w:r>
                  <w:r>
                    <w:rPr>
                      <w:rFonts w:hint="eastAsia" w:cs="Times New Roman"/>
                      <w:b w:val="0"/>
                      <w:bCs w:val="0"/>
                      <w:kern w:val="0"/>
                      <w:sz w:val="21"/>
                      <w:szCs w:val="21"/>
                      <w:vertAlign w:val="baseline"/>
                      <w:lang w:val="en-US" w:eastAsia="zh-CN"/>
                    </w:rPr>
                    <w:t>空余场地进行建设。</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盛装危险废物的容器上必须粘</w:t>
                  </w:r>
                  <w:r>
                    <w:rPr>
                      <w:rFonts w:ascii="宋体" w:hAnsi="宋体" w:eastAsia="宋体" w:cs="宋体"/>
                      <w:spacing w:val="6"/>
                      <w:sz w:val="21"/>
                      <w:szCs w:val="21"/>
                    </w:rPr>
                    <w:t>贴符合本标准附录</w:t>
                  </w:r>
                  <w:r>
                    <w:rPr>
                      <w:rFonts w:ascii="宋体" w:hAnsi="宋体" w:eastAsia="宋体" w:cs="宋体"/>
                      <w:spacing w:val="-30"/>
                      <w:sz w:val="21"/>
                      <w:szCs w:val="21"/>
                    </w:rPr>
                    <w:t xml:space="preserve"> </w:t>
                  </w:r>
                  <w:r>
                    <w:rPr>
                      <w:rFonts w:ascii="Times New Roman" w:hAnsi="Times New Roman" w:eastAsia="Times New Roman" w:cs="Times New Roman"/>
                      <w:spacing w:val="6"/>
                      <w:sz w:val="21"/>
                      <w:szCs w:val="21"/>
                    </w:rPr>
                    <w:t>A</w:t>
                  </w:r>
                  <w:r>
                    <w:rPr>
                      <w:rFonts w:ascii="宋体" w:hAnsi="宋体" w:eastAsia="宋体" w:cs="宋体"/>
                      <w:spacing w:val="6"/>
                      <w:sz w:val="21"/>
                      <w:szCs w:val="21"/>
                    </w:rPr>
                    <w:t>所示的标</w:t>
                  </w:r>
                  <w:r>
                    <w:rPr>
                      <w:rFonts w:ascii="宋体" w:hAnsi="宋体" w:eastAsia="宋体" w:cs="宋体"/>
                      <w:sz w:val="21"/>
                      <w:szCs w:val="21"/>
                    </w:rPr>
                    <w:t>签</w:t>
                  </w:r>
                  <w:r>
                    <w:rPr>
                      <w:rFonts w:hint="eastAsia" w:ascii="宋体" w:hAnsi="宋体" w:cs="宋体"/>
                      <w:sz w:val="21"/>
                      <w:szCs w:val="21"/>
                      <w:lang w:eastAsia="zh-CN"/>
                    </w:rPr>
                    <w:t>。</w:t>
                  </w:r>
                </w:p>
              </w:tc>
              <w:tc>
                <w:tcPr>
                  <w:tcW w:w="3015" w:type="dxa"/>
                  <w:vAlign w:val="center"/>
                </w:tcPr>
                <w:p>
                  <w:pPr>
                    <w:keepNext w:val="0"/>
                    <w:keepLines w:val="0"/>
                    <w:pageBreakBefore w:val="0"/>
                    <w:widowControl w:val="0"/>
                    <w:tabs>
                      <w:tab w:val="left" w:pos="685"/>
                    </w:tabs>
                    <w:kinsoku/>
                    <w:wordWrap/>
                    <w:overflowPunct/>
                    <w:topLinePunct w:val="0"/>
                    <w:autoSpaceDE/>
                    <w:autoSpaceDN/>
                    <w:bidi w:val="0"/>
                    <w:adjustRightInd/>
                    <w:snapToGrid/>
                    <w:spacing w:line="300" w:lineRule="exact"/>
                    <w:ind w:left="0" w:leftChars="0" w:right="0" w:firstLine="0" w:firstLineChars="0"/>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eastAsia="zh-CN"/>
                    </w:rPr>
                    <w:t>环评要求项目建成投产后，盛装危险废物的容器必须粘贴符合本标准附录</w:t>
                  </w:r>
                  <w:r>
                    <w:rPr>
                      <w:rFonts w:hint="eastAsia" w:cs="Times New Roman"/>
                      <w:b w:val="0"/>
                      <w:bCs w:val="0"/>
                      <w:kern w:val="0"/>
                      <w:sz w:val="21"/>
                      <w:szCs w:val="21"/>
                      <w:vertAlign w:val="baseline"/>
                      <w:lang w:val="en-US" w:eastAsia="zh-CN"/>
                    </w:rPr>
                    <w:t>A所示的标签。</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危险废物贮存设施在施工前应</w:t>
                  </w:r>
                  <w:r>
                    <w:rPr>
                      <w:rFonts w:ascii="宋体" w:hAnsi="宋体" w:eastAsia="宋体" w:cs="宋体"/>
                      <w:spacing w:val="-2"/>
                      <w:sz w:val="21"/>
                      <w:szCs w:val="21"/>
                    </w:rPr>
                    <w:t>做环境影响评价</w:t>
                  </w:r>
                  <w:r>
                    <w:rPr>
                      <w:rFonts w:hint="eastAsia" w:ascii="宋体" w:hAnsi="宋体" w:cs="宋体"/>
                      <w:spacing w:val="-2"/>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sz w:val="21"/>
                      <w:szCs w:val="21"/>
                      <w:lang w:eastAsia="zh-CN"/>
                    </w:rPr>
                    <w:t>本项目正处于环境影响评价阶段。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4"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危险废物贮存容器</w:t>
                  </w: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应当使用符合标准的容器盛装</w:t>
                  </w:r>
                  <w:r>
                    <w:rPr>
                      <w:rFonts w:ascii="宋体" w:hAnsi="宋体" w:eastAsia="宋体" w:cs="宋体"/>
                      <w:spacing w:val="-3"/>
                      <w:sz w:val="21"/>
                      <w:szCs w:val="21"/>
                    </w:rPr>
                    <w:t>危险废物</w:t>
                  </w:r>
                  <w:r>
                    <w:rPr>
                      <w:rFonts w:hint="eastAsia" w:ascii="宋体" w:hAnsi="宋体" w:cs="宋体"/>
                      <w:spacing w:val="-3"/>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9"/>
                      <w:sz w:val="21"/>
                      <w:szCs w:val="21"/>
                    </w:rPr>
                    <w:t>项目营运期将使用符合标准的</w:t>
                  </w:r>
                  <w:r>
                    <w:rPr>
                      <w:rFonts w:ascii="宋体" w:hAnsi="宋体" w:eastAsia="宋体" w:cs="宋体"/>
                      <w:spacing w:val="-2"/>
                      <w:sz w:val="21"/>
                      <w:szCs w:val="21"/>
                    </w:rPr>
                    <w:t>容器盛装危险废物。</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装载危险废物的容器及材质要</w:t>
                  </w:r>
                  <w:r>
                    <w:rPr>
                      <w:rFonts w:ascii="宋体" w:hAnsi="宋体" w:eastAsia="宋体" w:cs="宋体"/>
                      <w:spacing w:val="-2"/>
                      <w:sz w:val="21"/>
                      <w:szCs w:val="21"/>
                    </w:rPr>
                    <w:t>满足相应的强度要求</w:t>
                  </w:r>
                  <w:r>
                    <w:rPr>
                      <w:rFonts w:hint="eastAsia" w:ascii="宋体" w:hAnsi="宋体" w:cs="宋体"/>
                      <w:spacing w:val="-2"/>
                      <w:sz w:val="21"/>
                      <w:szCs w:val="21"/>
                      <w:lang w:eastAsia="zh-CN"/>
                    </w:rPr>
                    <w:t>。</w:t>
                  </w:r>
                </w:p>
              </w:tc>
              <w:tc>
                <w:tcPr>
                  <w:tcW w:w="3015"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9"/>
                      <w:sz w:val="21"/>
                      <w:szCs w:val="21"/>
                    </w:rPr>
                    <w:t>项目用塑料托盘存放废旧铅蓄</w:t>
                  </w:r>
                  <w:r>
                    <w:rPr>
                      <w:rFonts w:ascii="宋体" w:hAnsi="宋体" w:eastAsia="宋体" w:cs="宋体"/>
                      <w:spacing w:val="-7"/>
                      <w:sz w:val="21"/>
                      <w:szCs w:val="21"/>
                    </w:rPr>
                    <w:t>电池，符合危险废物容器的贮存</w:t>
                  </w:r>
                  <w:r>
                    <w:rPr>
                      <w:rFonts w:ascii="宋体" w:hAnsi="宋体" w:eastAsia="宋体" w:cs="宋体"/>
                      <w:spacing w:val="-4"/>
                      <w:sz w:val="21"/>
                      <w:szCs w:val="21"/>
                    </w:rPr>
                    <w:t>要求。</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装载危险废物的容器必须完好</w:t>
                  </w:r>
                  <w:r>
                    <w:rPr>
                      <w:rFonts w:ascii="宋体" w:hAnsi="宋体" w:eastAsia="宋体" w:cs="宋体"/>
                      <w:spacing w:val="-6"/>
                      <w:sz w:val="21"/>
                      <w:szCs w:val="21"/>
                    </w:rPr>
                    <w:t>无损</w:t>
                  </w:r>
                  <w:r>
                    <w:rPr>
                      <w:rFonts w:hint="eastAsia" w:ascii="宋体" w:hAnsi="宋体" w:cs="宋体"/>
                      <w:spacing w:val="-6"/>
                      <w:sz w:val="21"/>
                      <w:szCs w:val="21"/>
                      <w:lang w:eastAsia="zh-CN"/>
                    </w:rPr>
                    <w:t>。</w:t>
                  </w:r>
                </w:p>
              </w:tc>
              <w:tc>
                <w:tcPr>
                  <w:tcW w:w="3015"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宋体" w:hAnsi="宋体" w:eastAsia="宋体" w:cs="宋体"/>
                      <w:kern w:val="2"/>
                      <w:sz w:val="21"/>
                      <w:szCs w:val="21"/>
                      <w:lang w:val="en-US" w:eastAsia="zh-CN" w:bidi="ar-SA"/>
                    </w:rPr>
                  </w:pPr>
                  <w:r>
                    <w:rPr>
                      <w:rFonts w:ascii="宋体" w:hAnsi="宋体" w:eastAsia="宋体" w:cs="宋体"/>
                      <w:spacing w:val="12"/>
                      <w:sz w:val="21"/>
                      <w:szCs w:val="21"/>
                    </w:rPr>
                    <w:t>盛装危险废物的容器材质和衬</w:t>
                  </w:r>
                  <w:r>
                    <w:rPr>
                      <w:rFonts w:ascii="宋体" w:hAnsi="宋体" w:eastAsia="宋体" w:cs="宋体"/>
                      <w:spacing w:val="-3"/>
                      <w:sz w:val="21"/>
                      <w:szCs w:val="21"/>
                    </w:rPr>
                    <w:t>里要与危险废物相容（不相互反</w:t>
                  </w:r>
                  <w:r>
                    <w:rPr>
                      <w:rFonts w:ascii="宋体" w:hAnsi="宋体" w:eastAsia="宋体" w:cs="宋体"/>
                      <w:spacing w:val="-5"/>
                      <w:sz w:val="21"/>
                      <w:szCs w:val="21"/>
                    </w:rPr>
                    <w:t>应）</w:t>
                  </w:r>
                </w:p>
              </w:tc>
              <w:tc>
                <w:tcPr>
                  <w:tcW w:w="3015"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both"/>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危险废物贮存设施的选址与设计原则</w:t>
                  </w: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地质结构稳定，地震烈度不超过7度的区域内； 设施底部必须高于地下水最高水位</w:t>
                  </w:r>
                  <w:r>
                    <w:rPr>
                      <w:rFonts w:hint="eastAsia" w:ascii="宋体" w:hAnsi="宋体" w:eastAsia="宋体" w:cs="宋体"/>
                      <w:spacing w:val="-12"/>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7"/>
                      <w:sz w:val="21"/>
                      <w:szCs w:val="21"/>
                    </w:rPr>
                    <w:t>项目厂</w:t>
                  </w:r>
                  <w:r>
                    <w:rPr>
                      <w:rFonts w:hint="eastAsia" w:ascii="宋体" w:hAnsi="宋体" w:eastAsia="宋体" w:cs="宋体"/>
                      <w:spacing w:val="-7"/>
                      <w:sz w:val="21"/>
                      <w:szCs w:val="21"/>
                      <w:lang w:eastAsia="zh-CN"/>
                    </w:rPr>
                    <w:t>房所在地区</w:t>
                  </w:r>
                  <w:r>
                    <w:rPr>
                      <w:rFonts w:ascii="宋体" w:hAnsi="宋体" w:eastAsia="宋体" w:cs="宋体"/>
                      <w:spacing w:val="-7"/>
                      <w:sz w:val="21"/>
                      <w:szCs w:val="21"/>
                    </w:rPr>
                    <w:t>地质结构稳定，</w:t>
                  </w:r>
                  <w:r>
                    <w:rPr>
                      <w:rFonts w:hint="eastAsia" w:ascii="宋体" w:hAnsi="宋体" w:eastAsia="宋体" w:cs="宋体"/>
                      <w:spacing w:val="-7"/>
                      <w:sz w:val="21"/>
                      <w:szCs w:val="21"/>
                      <w:lang w:eastAsia="zh-CN"/>
                    </w:rPr>
                    <w:t>贮存仓库</w:t>
                  </w:r>
                  <w:r>
                    <w:rPr>
                      <w:rFonts w:ascii="宋体" w:hAnsi="宋体" w:eastAsia="宋体" w:cs="宋体"/>
                      <w:spacing w:val="-7"/>
                      <w:sz w:val="21"/>
                      <w:szCs w:val="21"/>
                    </w:rPr>
                    <w:t>底</w:t>
                  </w:r>
                  <w:r>
                    <w:rPr>
                      <w:rFonts w:ascii="宋体" w:hAnsi="宋体" w:eastAsia="宋体" w:cs="宋体"/>
                      <w:spacing w:val="-1"/>
                      <w:sz w:val="21"/>
                      <w:szCs w:val="21"/>
                    </w:rPr>
                    <w:t>部高于区域地下水最高水位。</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2"/>
                      <w:sz w:val="21"/>
                      <w:szCs w:val="21"/>
                    </w:rPr>
                    <w:t>衬里放在一个基础或底座上；衬</w:t>
                  </w:r>
                  <w:r>
                    <w:rPr>
                      <w:rFonts w:ascii="宋体" w:hAnsi="宋体" w:eastAsia="宋体" w:cs="宋体"/>
                      <w:sz w:val="21"/>
                      <w:szCs w:val="21"/>
                    </w:rPr>
                    <w:t xml:space="preserve"> </w:t>
                  </w:r>
                  <w:r>
                    <w:rPr>
                      <w:rFonts w:ascii="宋体" w:hAnsi="宋体" w:eastAsia="宋体" w:cs="宋体"/>
                      <w:spacing w:val="12"/>
                      <w:sz w:val="21"/>
                      <w:szCs w:val="21"/>
                    </w:rPr>
                    <w:t>里要能够覆盖危险废物或其溶</w:t>
                  </w:r>
                  <w:r>
                    <w:rPr>
                      <w:rFonts w:ascii="宋体" w:hAnsi="宋体" w:eastAsia="宋体" w:cs="宋体"/>
                      <w:spacing w:val="9"/>
                      <w:sz w:val="21"/>
                      <w:szCs w:val="21"/>
                    </w:rPr>
                    <w:t xml:space="preserve"> </w:t>
                  </w:r>
                  <w:r>
                    <w:rPr>
                      <w:rFonts w:ascii="宋体" w:hAnsi="宋体" w:eastAsia="宋体" w:cs="宋体"/>
                      <w:spacing w:val="-12"/>
                      <w:sz w:val="21"/>
                      <w:szCs w:val="21"/>
                    </w:rPr>
                    <w:t>出物可能涉及的范围；衬里材料</w:t>
                  </w:r>
                  <w:r>
                    <w:rPr>
                      <w:rFonts w:ascii="宋体" w:hAnsi="宋体" w:eastAsia="宋体" w:cs="宋体"/>
                      <w:spacing w:val="-2"/>
                      <w:sz w:val="21"/>
                      <w:szCs w:val="21"/>
                    </w:rPr>
                    <w:t>与堆放危险废物相容</w:t>
                  </w:r>
                  <w:r>
                    <w:rPr>
                      <w:rFonts w:hint="eastAsia" w:ascii="宋体" w:hAnsi="宋体" w:cs="宋体"/>
                      <w:spacing w:val="-2"/>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sz w:val="21"/>
                      <w:szCs w:val="21"/>
                    </w:rPr>
                  </w:pPr>
                  <w:r>
                    <w:rPr>
                      <w:rFonts w:ascii="宋体" w:hAnsi="宋体" w:eastAsia="宋体" w:cs="宋体"/>
                      <w:spacing w:val="9"/>
                      <w:sz w:val="21"/>
                      <w:szCs w:val="21"/>
                    </w:rPr>
                    <w:t>本项目采用定制的塑料托盘存</w:t>
                  </w:r>
                  <w:r>
                    <w:rPr>
                      <w:rFonts w:ascii="宋体" w:hAnsi="宋体" w:eastAsia="宋体" w:cs="宋体"/>
                      <w:spacing w:val="-7"/>
                      <w:sz w:val="21"/>
                      <w:szCs w:val="21"/>
                    </w:rPr>
                    <w:t>放废铅蓄电池，托盘采取防渗漏</w:t>
                  </w:r>
                  <w:r>
                    <w:rPr>
                      <w:rFonts w:ascii="宋体" w:hAnsi="宋体" w:eastAsia="宋体" w:cs="宋体"/>
                      <w:spacing w:val="13"/>
                      <w:sz w:val="21"/>
                      <w:szCs w:val="21"/>
                    </w:rPr>
                    <w:t xml:space="preserve"> </w:t>
                  </w:r>
                  <w:r>
                    <w:rPr>
                      <w:rFonts w:ascii="宋体" w:hAnsi="宋体" w:eastAsia="宋体" w:cs="宋体"/>
                      <w:spacing w:val="-3"/>
                      <w:sz w:val="21"/>
                      <w:szCs w:val="21"/>
                    </w:rPr>
                    <w:t>措施。</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14"/>
                      <w:sz w:val="21"/>
                      <w:szCs w:val="21"/>
                    </w:rPr>
                    <w:t>危险废物堆要防风、防雨、防晒；</w:t>
                  </w:r>
                  <w:r>
                    <w:rPr>
                      <w:rFonts w:ascii="宋体" w:hAnsi="宋体" w:eastAsia="宋体" w:cs="宋体"/>
                      <w:spacing w:val="13"/>
                      <w:sz w:val="21"/>
                      <w:szCs w:val="21"/>
                    </w:rPr>
                    <w:t xml:space="preserve"> </w:t>
                  </w:r>
                  <w:r>
                    <w:rPr>
                      <w:rFonts w:ascii="宋体" w:hAnsi="宋体" w:eastAsia="宋体" w:cs="宋体"/>
                      <w:spacing w:val="12"/>
                      <w:sz w:val="21"/>
                      <w:szCs w:val="21"/>
                    </w:rPr>
                    <w:t>不相容的危险废物不能堆放在</w:t>
                  </w:r>
                  <w:r>
                    <w:rPr>
                      <w:rFonts w:ascii="宋体" w:hAnsi="宋体" w:eastAsia="宋体" w:cs="宋体"/>
                      <w:spacing w:val="9"/>
                      <w:sz w:val="21"/>
                      <w:szCs w:val="21"/>
                    </w:rPr>
                    <w:t xml:space="preserve"> </w:t>
                  </w:r>
                  <w:r>
                    <w:rPr>
                      <w:rFonts w:ascii="宋体" w:hAnsi="宋体" w:eastAsia="宋体" w:cs="宋体"/>
                      <w:spacing w:val="-7"/>
                      <w:sz w:val="21"/>
                      <w:szCs w:val="21"/>
                    </w:rPr>
                    <w:t>一起</w:t>
                  </w:r>
                  <w:r>
                    <w:rPr>
                      <w:rFonts w:hint="eastAsia" w:ascii="宋体" w:hAnsi="宋体" w:cs="宋体"/>
                      <w:spacing w:val="-7"/>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9"/>
                      <w:sz w:val="21"/>
                      <w:szCs w:val="21"/>
                    </w:rPr>
                    <w:t>项目废铅蓄电池站贮存在密闭</w:t>
                  </w:r>
                  <w:r>
                    <w:rPr>
                      <w:rFonts w:ascii="宋体" w:hAnsi="宋体" w:eastAsia="宋体" w:cs="宋体"/>
                      <w:spacing w:val="-3"/>
                      <w:sz w:val="21"/>
                      <w:szCs w:val="21"/>
                    </w:rPr>
                    <w:t>厂房内，能够做到防风、防雨、</w:t>
                  </w:r>
                  <w:r>
                    <w:rPr>
                      <w:rFonts w:ascii="宋体" w:hAnsi="宋体" w:eastAsia="宋体" w:cs="宋体"/>
                      <w:spacing w:val="-12"/>
                      <w:sz w:val="21"/>
                      <w:szCs w:val="21"/>
                    </w:rPr>
                    <w:t>防晒；</w:t>
                  </w:r>
                  <w:r>
                    <w:rPr>
                      <w:rFonts w:hint="eastAsia" w:ascii="宋体" w:hAnsi="宋体" w:eastAsia="宋体" w:cs="宋体"/>
                      <w:spacing w:val="-12"/>
                      <w:sz w:val="21"/>
                      <w:szCs w:val="21"/>
                      <w:lang w:eastAsia="zh-CN"/>
                    </w:rPr>
                    <w:t>本项目收集的废铅蓄电池与企业现有其他危险废物分开存放。</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危险废物贮存设施的运行和管理</w:t>
                  </w: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4"/>
                      <w:sz w:val="21"/>
                      <w:szCs w:val="21"/>
                    </w:rPr>
                    <w:t>危险废物贮存前应进行检验，确</w:t>
                  </w:r>
                  <w:r>
                    <w:rPr>
                      <w:rFonts w:ascii="宋体" w:hAnsi="宋体" w:eastAsia="宋体" w:cs="宋体"/>
                      <w:spacing w:val="11"/>
                      <w:sz w:val="21"/>
                      <w:szCs w:val="21"/>
                    </w:rPr>
                    <w:t xml:space="preserve"> </w:t>
                  </w:r>
                  <w:r>
                    <w:rPr>
                      <w:rFonts w:ascii="宋体" w:hAnsi="宋体" w:eastAsia="宋体" w:cs="宋体"/>
                      <w:spacing w:val="-3"/>
                      <w:sz w:val="21"/>
                      <w:szCs w:val="21"/>
                    </w:rPr>
                    <w:t>保同预定接收的危险废物一致，</w:t>
                  </w:r>
                  <w:r>
                    <w:rPr>
                      <w:rFonts w:ascii="宋体" w:hAnsi="宋体" w:eastAsia="宋体" w:cs="宋体"/>
                      <w:spacing w:val="2"/>
                      <w:sz w:val="21"/>
                      <w:szCs w:val="21"/>
                    </w:rPr>
                    <w:t xml:space="preserve"> </w:t>
                  </w:r>
                  <w:r>
                    <w:rPr>
                      <w:rFonts w:ascii="宋体" w:hAnsi="宋体" w:eastAsia="宋体" w:cs="宋体"/>
                      <w:spacing w:val="-11"/>
                      <w:sz w:val="21"/>
                      <w:szCs w:val="21"/>
                    </w:rPr>
                    <w:t>并登记注册</w:t>
                  </w:r>
                  <w:r>
                    <w:rPr>
                      <w:rFonts w:hint="eastAsia" w:ascii="宋体" w:hAnsi="宋体" w:cs="宋体"/>
                      <w:spacing w:val="-11"/>
                      <w:sz w:val="21"/>
                      <w:szCs w:val="21"/>
                      <w:lang w:eastAsia="zh-CN"/>
                    </w:rPr>
                    <w:t>。</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7"/>
                      <w:sz w:val="21"/>
                      <w:szCs w:val="21"/>
                    </w:rPr>
                    <w:t>项目正常运营时，将先对收集的</w:t>
                  </w:r>
                  <w:r>
                    <w:rPr>
                      <w:rFonts w:ascii="宋体" w:hAnsi="宋体" w:eastAsia="宋体" w:cs="宋体"/>
                      <w:spacing w:val="9"/>
                      <w:sz w:val="21"/>
                      <w:szCs w:val="21"/>
                    </w:rPr>
                    <w:t xml:space="preserve"> </w:t>
                  </w:r>
                  <w:r>
                    <w:rPr>
                      <w:rFonts w:ascii="宋体" w:hAnsi="宋体" w:eastAsia="宋体" w:cs="宋体"/>
                      <w:spacing w:val="-6"/>
                      <w:sz w:val="21"/>
                      <w:szCs w:val="21"/>
                    </w:rPr>
                    <w:t>废铅蓄电池进行检验，确保与预</w:t>
                  </w:r>
                  <w:r>
                    <w:rPr>
                      <w:rFonts w:ascii="宋体" w:hAnsi="宋体" w:eastAsia="宋体" w:cs="宋体"/>
                      <w:sz w:val="21"/>
                      <w:szCs w:val="21"/>
                    </w:rPr>
                    <w:t xml:space="preserve"> </w:t>
                  </w:r>
                  <w:r>
                    <w:rPr>
                      <w:rFonts w:ascii="宋体" w:hAnsi="宋体" w:eastAsia="宋体" w:cs="宋体"/>
                      <w:spacing w:val="-6"/>
                      <w:sz w:val="21"/>
                      <w:szCs w:val="21"/>
                    </w:rPr>
                    <w:t>定接收的危废一致，并进行登记</w:t>
                  </w:r>
                  <w:r>
                    <w:rPr>
                      <w:rFonts w:ascii="宋体" w:hAnsi="宋体" w:eastAsia="宋体" w:cs="宋体"/>
                      <w:spacing w:val="-12"/>
                      <w:sz w:val="21"/>
                      <w:szCs w:val="21"/>
                    </w:rPr>
                    <w:t>注册</w:t>
                  </w:r>
                  <w:r>
                    <w:rPr>
                      <w:rFonts w:hint="eastAsia" w:ascii="宋体" w:hAnsi="宋体" w:eastAsia="宋体" w:cs="宋体"/>
                      <w:spacing w:val="-12"/>
                      <w:sz w:val="21"/>
                      <w:szCs w:val="21"/>
                      <w:lang w:eastAsia="zh-CN"/>
                    </w:rPr>
                    <w:t>。</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宋体" w:hAnsi="宋体" w:eastAsia="宋体" w:cs="宋体"/>
                      <w:spacing w:val="-12"/>
                      <w:sz w:val="21"/>
                      <w:szCs w:val="21"/>
                    </w:rPr>
                  </w:pPr>
                  <w:r>
                    <w:rPr>
                      <w:rFonts w:ascii="宋体" w:hAnsi="宋体" w:eastAsia="宋体" w:cs="宋体"/>
                      <w:spacing w:val="-12"/>
                      <w:sz w:val="21"/>
                      <w:szCs w:val="21"/>
                    </w:rPr>
                    <w:t>危险废物产生者和危险废物贮存设施经营者均须做好危险废 物情况的记录，记录上须注明危险废物的名称、来源、数量、特性和包装容器的类别、入库日期、存放库位、废物出库日期及接收单位名称。</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5"/>
                      <w:sz w:val="21"/>
                      <w:szCs w:val="21"/>
                    </w:rPr>
                    <w:t>本项目属危废贮存设施经营</w:t>
                  </w:r>
                  <w:r>
                    <w:rPr>
                      <w:rFonts w:hint="eastAsia" w:ascii="宋体" w:hAnsi="宋体" w:eastAsia="宋体" w:cs="宋体"/>
                      <w:spacing w:val="-5"/>
                      <w:sz w:val="21"/>
                      <w:szCs w:val="21"/>
                      <w:lang w:eastAsia="zh-CN"/>
                    </w:rPr>
                    <w:t>项目</w:t>
                  </w:r>
                  <w:r>
                    <w:rPr>
                      <w:rFonts w:ascii="宋体" w:hAnsi="宋体" w:eastAsia="宋体" w:cs="宋体"/>
                      <w:spacing w:val="-5"/>
                      <w:sz w:val="21"/>
                      <w:szCs w:val="21"/>
                    </w:rPr>
                    <w:t>，</w:t>
                  </w:r>
                  <w:r>
                    <w:rPr>
                      <w:rFonts w:ascii="宋体" w:hAnsi="宋体" w:eastAsia="宋体" w:cs="宋体"/>
                      <w:spacing w:val="12"/>
                      <w:sz w:val="21"/>
                      <w:szCs w:val="21"/>
                    </w:rPr>
                    <w:t xml:space="preserve"> </w:t>
                  </w:r>
                  <w:r>
                    <w:rPr>
                      <w:rFonts w:ascii="宋体" w:hAnsi="宋体" w:eastAsia="宋体" w:cs="宋体"/>
                      <w:spacing w:val="9"/>
                      <w:sz w:val="21"/>
                      <w:szCs w:val="21"/>
                    </w:rPr>
                    <w:t>营运期将严格按照要求做好废</w:t>
                  </w:r>
                  <w:r>
                    <w:rPr>
                      <w:rFonts w:ascii="宋体" w:hAnsi="宋体" w:eastAsia="宋体" w:cs="宋体"/>
                      <w:spacing w:val="-1"/>
                      <w:sz w:val="21"/>
                      <w:szCs w:val="21"/>
                    </w:rPr>
                    <w:t>铅蓄电池相关情况的记录工作</w:t>
                  </w:r>
                  <w:r>
                    <w:rPr>
                      <w:rFonts w:hint="eastAsia" w:ascii="宋体" w:hAnsi="宋体" w:eastAsia="宋体" w:cs="宋体"/>
                      <w:spacing w:val="-1"/>
                      <w:sz w:val="21"/>
                      <w:szCs w:val="21"/>
                      <w:lang w:eastAsia="zh-CN"/>
                    </w:rPr>
                    <w:t>。</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宋体" w:hAnsi="宋体" w:eastAsia="宋体" w:cs="宋体"/>
                      <w:spacing w:val="12"/>
                      <w:sz w:val="21"/>
                      <w:szCs w:val="21"/>
                    </w:rPr>
                  </w:pPr>
                  <w:r>
                    <w:rPr>
                      <w:rFonts w:ascii="宋体" w:hAnsi="宋体" w:eastAsia="宋体" w:cs="宋体"/>
                      <w:spacing w:val="12"/>
                      <w:sz w:val="21"/>
                      <w:szCs w:val="21"/>
                    </w:rPr>
                    <w:t>必须定期对所贮存的危险废物包装容器及贮存设施进行检查，发现破损，应及时采取措施清理更换。</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9"/>
                      <w:sz w:val="21"/>
                      <w:szCs w:val="21"/>
                    </w:rPr>
                    <w:t>项目营运期按照要求定期对所贮存的危险废物包装容器及贮</w:t>
                  </w:r>
                  <w:r>
                    <w:rPr>
                      <w:rFonts w:ascii="宋体" w:hAnsi="宋体" w:eastAsia="宋体" w:cs="宋体"/>
                      <w:spacing w:val="-13"/>
                      <w:sz w:val="21"/>
                      <w:szCs w:val="21"/>
                    </w:rPr>
                    <w:t>存设施进行检查；</w:t>
                  </w:r>
                  <w:r>
                    <w:rPr>
                      <w:rFonts w:ascii="宋体" w:hAnsi="宋体" w:eastAsia="宋体" w:cs="宋体"/>
                      <w:spacing w:val="-7"/>
                      <w:sz w:val="21"/>
                      <w:szCs w:val="21"/>
                    </w:rPr>
                    <w:t xml:space="preserve"> </w:t>
                  </w:r>
                  <w:r>
                    <w:rPr>
                      <w:rFonts w:ascii="宋体" w:hAnsi="宋体" w:eastAsia="宋体" w:cs="宋体"/>
                      <w:spacing w:val="-13"/>
                      <w:sz w:val="21"/>
                      <w:szCs w:val="21"/>
                    </w:rPr>
                    <w:t>一旦发现有破</w:t>
                  </w:r>
                  <w:r>
                    <w:rPr>
                      <w:rFonts w:ascii="宋体" w:hAnsi="宋体" w:eastAsia="宋体" w:cs="宋体"/>
                      <w:sz w:val="21"/>
                      <w:szCs w:val="21"/>
                    </w:rPr>
                    <w:t xml:space="preserve"> </w:t>
                  </w:r>
                  <w:r>
                    <w:rPr>
                      <w:rFonts w:ascii="宋体" w:hAnsi="宋体" w:eastAsia="宋体" w:cs="宋体"/>
                      <w:spacing w:val="-6"/>
                      <w:sz w:val="21"/>
                      <w:szCs w:val="21"/>
                    </w:rPr>
                    <w:t>损的情况，将立即采取措施清理</w:t>
                  </w:r>
                  <w:r>
                    <w:rPr>
                      <w:rFonts w:ascii="宋体" w:hAnsi="宋体" w:eastAsia="宋体" w:cs="宋体"/>
                      <w:spacing w:val="-5"/>
                      <w:sz w:val="21"/>
                      <w:szCs w:val="21"/>
                    </w:rPr>
                    <w:t>更换</w:t>
                  </w:r>
                  <w:r>
                    <w:rPr>
                      <w:rFonts w:hint="eastAsia" w:ascii="宋体" w:hAnsi="宋体" w:eastAsia="宋体" w:cs="宋体"/>
                      <w:spacing w:val="-5"/>
                      <w:sz w:val="21"/>
                      <w:szCs w:val="21"/>
                      <w:lang w:eastAsia="zh-CN"/>
                    </w:rPr>
                    <w:t>。</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危险废物贮存设施的安全防护与监测</w:t>
                  </w: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宋体" w:hAnsi="宋体" w:eastAsia="宋体" w:cs="宋体"/>
                      <w:spacing w:val="12"/>
                      <w:sz w:val="21"/>
                      <w:szCs w:val="21"/>
                    </w:rPr>
                  </w:pPr>
                  <w:r>
                    <w:rPr>
                      <w:rFonts w:ascii="宋体" w:hAnsi="宋体" w:eastAsia="宋体" w:cs="宋体"/>
                      <w:spacing w:val="12"/>
                      <w:sz w:val="21"/>
                      <w:szCs w:val="21"/>
                    </w:rPr>
                    <w:t>危险废物贮存设施都必须 按</w:t>
                  </w:r>
                  <w:r>
                    <w:rPr>
                      <w:rFonts w:hint="default" w:ascii="宋体" w:hAnsi="宋体" w:eastAsia="宋体" w:cs="宋体"/>
                      <w:spacing w:val="12"/>
                      <w:sz w:val="21"/>
                      <w:szCs w:val="21"/>
                    </w:rPr>
                    <w:t>GB15562</w:t>
                  </w:r>
                  <w:r>
                    <w:rPr>
                      <w:rFonts w:hint="eastAsia" w:ascii="宋体" w:hAnsi="宋体" w:eastAsia="宋体" w:cs="宋体"/>
                      <w:spacing w:val="12"/>
                      <w:sz w:val="21"/>
                      <w:szCs w:val="21"/>
                      <w:lang w:val="en-US" w:eastAsia="zh-CN"/>
                    </w:rPr>
                    <w:t>.</w:t>
                  </w:r>
                  <w:r>
                    <w:rPr>
                      <w:rFonts w:hint="default" w:ascii="宋体" w:hAnsi="宋体" w:eastAsia="宋体" w:cs="宋体"/>
                      <w:spacing w:val="12"/>
                      <w:sz w:val="21"/>
                      <w:szCs w:val="21"/>
                    </w:rPr>
                    <w:t>2</w:t>
                  </w:r>
                  <w:r>
                    <w:rPr>
                      <w:rFonts w:ascii="宋体" w:hAnsi="宋体" w:eastAsia="宋体" w:cs="宋体"/>
                      <w:spacing w:val="12"/>
                      <w:sz w:val="21"/>
                      <w:szCs w:val="21"/>
                    </w:rPr>
                    <w:t>的规定设置警示标志； 危险废物贮存设施周围应设置围墙或其他防护栅栏； 危险废物贮存设施应配备通讯设备、照 明设施、安全防护服装及工具，并设有应急防护设施。</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9"/>
                      <w:sz w:val="21"/>
                      <w:szCs w:val="21"/>
                    </w:rPr>
                    <w:t>项目废铅蓄电池贮存设施将按</w:t>
                  </w:r>
                  <w:r>
                    <w:rPr>
                      <w:rFonts w:ascii="宋体" w:hAnsi="宋体" w:eastAsia="宋体" w:cs="宋体"/>
                      <w:spacing w:val="7"/>
                      <w:sz w:val="21"/>
                      <w:szCs w:val="21"/>
                    </w:rPr>
                    <w:t xml:space="preserve"> </w:t>
                  </w:r>
                  <w:r>
                    <w:rPr>
                      <w:rFonts w:ascii="宋体" w:hAnsi="宋体" w:eastAsia="宋体" w:cs="宋体"/>
                      <w:spacing w:val="-6"/>
                      <w:sz w:val="21"/>
                      <w:szCs w:val="21"/>
                    </w:rPr>
                    <w:t>照规定设置警示标志，周围将根</w:t>
                  </w:r>
                  <w:r>
                    <w:rPr>
                      <w:rFonts w:ascii="宋体" w:hAnsi="宋体" w:eastAsia="宋体" w:cs="宋体"/>
                      <w:sz w:val="21"/>
                      <w:szCs w:val="21"/>
                    </w:rPr>
                    <w:t xml:space="preserve"> </w:t>
                  </w:r>
                  <w:r>
                    <w:rPr>
                      <w:rFonts w:ascii="宋体" w:hAnsi="宋体" w:eastAsia="宋体" w:cs="宋体"/>
                      <w:spacing w:val="-6"/>
                      <w:sz w:val="21"/>
                      <w:szCs w:val="21"/>
                    </w:rPr>
                    <w:t>据仓库周边实际情况，设置防护</w:t>
                  </w:r>
                  <w:r>
                    <w:rPr>
                      <w:rFonts w:ascii="宋体" w:hAnsi="宋体" w:eastAsia="宋体" w:cs="宋体"/>
                      <w:sz w:val="21"/>
                      <w:szCs w:val="21"/>
                    </w:rPr>
                    <w:t xml:space="preserve"> </w:t>
                  </w:r>
                  <w:r>
                    <w:rPr>
                      <w:rFonts w:ascii="宋体" w:hAnsi="宋体" w:eastAsia="宋体" w:cs="宋体"/>
                      <w:spacing w:val="-7"/>
                      <w:sz w:val="21"/>
                      <w:szCs w:val="21"/>
                    </w:rPr>
                    <w:t>栅栏，以防非专业人士进入仓库</w:t>
                  </w:r>
                  <w:r>
                    <w:rPr>
                      <w:rFonts w:ascii="宋体" w:hAnsi="宋体" w:eastAsia="宋体" w:cs="宋体"/>
                      <w:spacing w:val="13"/>
                      <w:sz w:val="21"/>
                      <w:szCs w:val="21"/>
                    </w:rPr>
                    <w:t xml:space="preserve"> </w:t>
                  </w:r>
                  <w:r>
                    <w:rPr>
                      <w:rFonts w:ascii="宋体" w:hAnsi="宋体" w:eastAsia="宋体" w:cs="宋体"/>
                      <w:spacing w:val="-15"/>
                      <w:sz w:val="21"/>
                      <w:szCs w:val="21"/>
                    </w:rPr>
                    <w:t>内；</w:t>
                  </w:r>
                  <w:r>
                    <w:rPr>
                      <w:rFonts w:ascii="宋体" w:hAnsi="宋体" w:eastAsia="宋体" w:cs="宋体"/>
                      <w:spacing w:val="21"/>
                      <w:sz w:val="21"/>
                      <w:szCs w:val="21"/>
                    </w:rPr>
                    <w:t xml:space="preserve"> </w:t>
                  </w:r>
                  <w:r>
                    <w:rPr>
                      <w:rFonts w:ascii="宋体" w:hAnsi="宋体" w:eastAsia="宋体" w:cs="宋体"/>
                      <w:spacing w:val="-15"/>
                      <w:sz w:val="21"/>
                      <w:szCs w:val="21"/>
                    </w:rPr>
                    <w:t>厂内将配备通讯设备、照明</w:t>
                  </w:r>
                  <w:r>
                    <w:rPr>
                      <w:rFonts w:ascii="宋体" w:hAnsi="宋体" w:eastAsia="宋体" w:cs="宋体"/>
                      <w:sz w:val="21"/>
                      <w:szCs w:val="21"/>
                    </w:rPr>
                    <w:t xml:space="preserve"> </w:t>
                  </w:r>
                  <w:r>
                    <w:rPr>
                      <w:rFonts w:ascii="宋体" w:hAnsi="宋体" w:eastAsia="宋体" w:cs="宋体"/>
                      <w:spacing w:val="-6"/>
                      <w:sz w:val="21"/>
                      <w:szCs w:val="21"/>
                    </w:rPr>
                    <w:t>设施、安全防护服装及工具，并</w:t>
                  </w:r>
                  <w:r>
                    <w:rPr>
                      <w:rFonts w:ascii="宋体" w:hAnsi="宋体" w:eastAsia="宋体" w:cs="宋体"/>
                      <w:sz w:val="21"/>
                      <w:szCs w:val="21"/>
                    </w:rPr>
                    <w:t xml:space="preserve"> </w:t>
                  </w:r>
                  <w:r>
                    <w:rPr>
                      <w:rFonts w:ascii="宋体" w:hAnsi="宋体" w:eastAsia="宋体" w:cs="宋体"/>
                      <w:spacing w:val="-2"/>
                      <w:sz w:val="21"/>
                      <w:szCs w:val="21"/>
                    </w:rPr>
                    <w:t>设有应急防护设施</w:t>
                  </w:r>
                  <w:r>
                    <w:rPr>
                      <w:rFonts w:hint="eastAsia" w:ascii="宋体" w:hAnsi="宋体" w:eastAsia="宋体" w:cs="宋体"/>
                      <w:spacing w:val="-2"/>
                      <w:sz w:val="21"/>
                      <w:szCs w:val="21"/>
                      <w:lang w:eastAsia="zh-CN"/>
                    </w:rPr>
                    <w:t>。</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p>
              </w:tc>
              <w:tc>
                <w:tcPr>
                  <w:tcW w:w="289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default" w:ascii="宋体" w:hAnsi="宋体" w:eastAsia="宋体" w:cs="宋体"/>
                      <w:spacing w:val="12"/>
                      <w:sz w:val="21"/>
                      <w:szCs w:val="21"/>
                    </w:rPr>
                  </w:pPr>
                  <w:r>
                    <w:rPr>
                      <w:rFonts w:ascii="宋体" w:hAnsi="宋体" w:eastAsia="宋体" w:cs="宋体"/>
                      <w:spacing w:val="12"/>
                      <w:sz w:val="21"/>
                      <w:szCs w:val="21"/>
                    </w:rPr>
                    <w:t>按国家污染源管理要求对危险废物贮存设施进行监测。</w:t>
                  </w:r>
                </w:p>
              </w:tc>
              <w:tc>
                <w:tcPr>
                  <w:tcW w:w="301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ascii="宋体" w:hAnsi="宋体" w:eastAsia="宋体" w:cs="宋体"/>
                      <w:spacing w:val="-7"/>
                      <w:sz w:val="21"/>
                      <w:szCs w:val="21"/>
                    </w:rPr>
                    <w:t>项目正常运行时，将严格按照国家污染源管理要求，对废铅蓄电</w:t>
                  </w:r>
                  <w:r>
                    <w:rPr>
                      <w:rFonts w:ascii="宋体" w:hAnsi="宋体" w:eastAsia="宋体" w:cs="宋体"/>
                      <w:spacing w:val="13"/>
                      <w:sz w:val="21"/>
                      <w:szCs w:val="21"/>
                    </w:rPr>
                    <w:t xml:space="preserve"> </w:t>
                  </w:r>
                  <w:r>
                    <w:rPr>
                      <w:rFonts w:ascii="宋体" w:hAnsi="宋体" w:eastAsia="宋体" w:cs="宋体"/>
                      <w:spacing w:val="-2"/>
                      <w:sz w:val="21"/>
                      <w:szCs w:val="21"/>
                    </w:rPr>
                    <w:t>池贮存设施进行监测</w:t>
                  </w:r>
                  <w:r>
                    <w:rPr>
                      <w:rFonts w:hint="eastAsia" w:ascii="宋体" w:hAnsi="宋体" w:eastAsia="宋体" w:cs="宋体"/>
                      <w:spacing w:val="-2"/>
                      <w:sz w:val="21"/>
                      <w:szCs w:val="21"/>
                      <w:lang w:eastAsia="zh-CN"/>
                    </w:rPr>
                    <w:t>。</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bl>
          <w:p>
            <w:pPr>
              <w:pStyle w:val="7"/>
              <w:keepNext w:val="0"/>
              <w:keepLines w:val="0"/>
              <w:pageBreakBefore w:val="0"/>
              <w:widowControl w:val="0"/>
              <w:numPr>
                <w:ilvl w:val="0"/>
                <w:numId w:val="0"/>
              </w:numPr>
              <w:kinsoku/>
              <w:wordWrap/>
              <w:overflowPunct/>
              <w:topLinePunct w:val="0"/>
              <w:autoSpaceDE/>
              <w:autoSpaceDN/>
              <w:bidi w:val="0"/>
              <w:adjustRightInd/>
              <w:snapToGrid/>
              <w:spacing w:after="0" w:line="420" w:lineRule="exact"/>
              <w:ind w:leftChars="0"/>
              <w:jc w:val="both"/>
              <w:textAlignment w:val="auto"/>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八、与《河南省</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2021年大气污染放治攻坚战实施方案</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相符性分析</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default" w:ascii="黑体" w:hAnsi="黑体" w:eastAsia="黑体" w:cs="黑体"/>
                <w:szCs w:val="24"/>
                <w:lang w:val="en-US" w:eastAsia="zh-CN"/>
              </w:rPr>
            </w:pPr>
            <w:r>
              <w:rPr>
                <w:rFonts w:hint="eastAsia" w:ascii="黑体" w:hAnsi="黑体" w:eastAsia="黑体" w:cs="黑体"/>
                <w:szCs w:val="24"/>
                <w:lang w:val="en-US" w:eastAsia="zh-CN"/>
              </w:rPr>
              <w:t>项目与《河南省2021年大气污染放治攻坚战实施方案》相符性分析</w:t>
            </w:r>
          </w:p>
          <w:tbl>
            <w:tblPr>
              <w:tblStyle w:val="16"/>
              <w:tblpPr w:leftFromText="180" w:rightFromText="180" w:vertAnchor="text" w:horzAnchor="page" w:tblpXSpec="center" w:tblpY="111"/>
              <w:tblOverlap w:val="never"/>
              <w:tblW w:w="7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3750"/>
              <w:gridCol w:w="2164"/>
              <w:gridCol w:w="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项目</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规范及要求</w:t>
                  </w:r>
                </w:p>
              </w:tc>
              <w:tc>
                <w:tcPr>
                  <w:tcW w:w="21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default" w:ascii="Times New Roman" w:hAnsi="Times New Roman" w:eastAsia="宋体" w:cs="Times New Roman"/>
                      <w:b w:val="0"/>
                      <w:bCs w:val="0"/>
                      <w:kern w:val="0"/>
                      <w:sz w:val="21"/>
                      <w:szCs w:val="21"/>
                      <w:vertAlign w:val="baseline"/>
                      <w:lang w:eastAsia="zh-CN"/>
                    </w:rPr>
                    <w:t>本项目情况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both"/>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严格环境准入</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宋体" w:hAnsi="宋体" w:eastAsia="宋体" w:cs="宋体"/>
                      <w:spacing w:val="3"/>
                      <w:sz w:val="21"/>
                      <w:szCs w:val="21"/>
                    </w:rPr>
                    <w:t>落实“三线一单”（生态保护红线、环境质</w:t>
                  </w:r>
                  <w:r>
                    <w:rPr>
                      <w:rFonts w:ascii="宋体" w:hAnsi="宋体" w:eastAsia="宋体" w:cs="宋体"/>
                      <w:spacing w:val="6"/>
                      <w:w w:val="101"/>
                      <w:sz w:val="21"/>
                      <w:szCs w:val="21"/>
                    </w:rPr>
                    <w:t xml:space="preserve">  </w:t>
                  </w:r>
                  <w:r>
                    <w:rPr>
                      <w:rFonts w:ascii="宋体" w:hAnsi="宋体" w:eastAsia="宋体" w:cs="宋体"/>
                      <w:spacing w:val="-3"/>
                      <w:sz w:val="21"/>
                      <w:szCs w:val="21"/>
                    </w:rPr>
                    <w:t>量底线、资源利用上线和生态环境准入清单）</w:t>
                  </w:r>
                  <w:r>
                    <w:rPr>
                      <w:rFonts w:ascii="宋体" w:hAnsi="宋体" w:eastAsia="宋体" w:cs="宋体"/>
                      <w:spacing w:val="3"/>
                      <w:sz w:val="21"/>
                      <w:szCs w:val="21"/>
                    </w:rPr>
                    <w:t>生态环境分区管控要求，从严从紧从实控制高耗能、高排放项目建设，全省原则上禁止</w:t>
                  </w:r>
                  <w:r>
                    <w:rPr>
                      <w:rFonts w:ascii="宋体" w:hAnsi="宋体" w:eastAsia="宋体" w:cs="宋体"/>
                      <w:spacing w:val="5"/>
                      <w:sz w:val="21"/>
                      <w:szCs w:val="21"/>
                    </w:rPr>
                    <w:t>新建、扩建单纯新增产能的钢铁、电解铝、</w:t>
                  </w:r>
                  <w:r>
                    <w:rPr>
                      <w:rFonts w:ascii="宋体" w:hAnsi="宋体" w:eastAsia="宋体" w:cs="宋体"/>
                      <w:spacing w:val="3"/>
                      <w:sz w:val="21"/>
                      <w:szCs w:val="21"/>
                    </w:rPr>
                    <w:t xml:space="preserve"> 水泥、平板玻璃、传统煤化工（甲醇、合成</w:t>
                  </w:r>
                  <w:r>
                    <w:rPr>
                      <w:rFonts w:ascii="宋体" w:hAnsi="宋体" w:eastAsia="宋体" w:cs="宋体"/>
                      <w:spacing w:val="-4"/>
                      <w:sz w:val="21"/>
                      <w:szCs w:val="21"/>
                    </w:rPr>
                    <w:t>氨）、焦化、铸造、铝用炭素、耐火材料制</w:t>
                  </w:r>
                  <w:r>
                    <w:rPr>
                      <w:rFonts w:ascii="宋体" w:hAnsi="宋体" w:eastAsia="宋体" w:cs="宋体"/>
                      <w:spacing w:val="-3"/>
                      <w:sz w:val="21"/>
                      <w:szCs w:val="21"/>
                    </w:rPr>
                    <w:t>品、砖瓦窑、铅锌冶炼（含再生铅）</w:t>
                  </w:r>
                  <w:r>
                    <w:rPr>
                      <w:rFonts w:ascii="宋体" w:hAnsi="宋体" w:eastAsia="宋体" w:cs="宋体"/>
                      <w:spacing w:val="9"/>
                      <w:sz w:val="21"/>
                      <w:szCs w:val="21"/>
                    </w:rPr>
                    <w:t xml:space="preserve"> </w:t>
                  </w:r>
                  <w:r>
                    <w:rPr>
                      <w:rFonts w:ascii="宋体" w:hAnsi="宋体" w:eastAsia="宋体" w:cs="宋体"/>
                      <w:spacing w:val="-3"/>
                      <w:sz w:val="21"/>
                      <w:szCs w:val="21"/>
                    </w:rPr>
                    <w:t>等高耗</w:t>
                  </w:r>
                  <w:r>
                    <w:rPr>
                      <w:rFonts w:ascii="宋体" w:hAnsi="宋体" w:eastAsia="宋体" w:cs="宋体"/>
                      <w:spacing w:val="-2"/>
                      <w:sz w:val="21"/>
                      <w:szCs w:val="21"/>
                    </w:rPr>
                    <w:t>能、高排放和产能过剩的产业项目。</w:t>
                  </w:r>
                </w:p>
              </w:tc>
              <w:tc>
                <w:tcPr>
                  <w:tcW w:w="21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Times New Roman" w:hAnsi="Times New Roman" w:eastAsia="宋体" w:cs="Times New Roman"/>
                      <w:b w:val="0"/>
                      <w:bCs w:val="0"/>
                      <w:kern w:val="0"/>
                      <w:sz w:val="21"/>
                      <w:szCs w:val="21"/>
                      <w:vertAlign w:val="baseline"/>
                      <w:lang w:val="en-US" w:eastAsia="zh-CN"/>
                    </w:rPr>
                  </w:pPr>
                  <w:r>
                    <w:rPr>
                      <w:rFonts w:hint="eastAsia" w:ascii="宋体" w:hAnsi="宋体" w:eastAsia="宋体" w:cs="宋体"/>
                      <w:spacing w:val="8"/>
                      <w:sz w:val="21"/>
                      <w:szCs w:val="21"/>
                      <w:lang w:eastAsia="zh-CN"/>
                    </w:rPr>
                    <w:t>本</w:t>
                  </w:r>
                  <w:r>
                    <w:rPr>
                      <w:rFonts w:ascii="宋体" w:hAnsi="宋体" w:eastAsia="宋体" w:cs="宋体"/>
                      <w:spacing w:val="8"/>
                      <w:sz w:val="21"/>
                      <w:szCs w:val="21"/>
                    </w:rPr>
                    <w:t>项目为废铅蓄电池回收仓储项目，位于玉川产业集聚区</w:t>
                  </w:r>
                  <w:r>
                    <w:rPr>
                      <w:rFonts w:hint="eastAsia" w:ascii="宋体" w:hAnsi="宋体" w:eastAsia="宋体" w:cs="宋体"/>
                      <w:spacing w:val="8"/>
                      <w:sz w:val="21"/>
                      <w:szCs w:val="21"/>
                      <w:lang w:eastAsia="zh-CN"/>
                    </w:rPr>
                    <w:t>贵金属产业园</w:t>
                  </w:r>
                  <w:r>
                    <w:rPr>
                      <w:rFonts w:ascii="宋体" w:hAnsi="宋体" w:eastAsia="宋体" w:cs="宋体"/>
                      <w:spacing w:val="8"/>
                      <w:sz w:val="21"/>
                      <w:szCs w:val="21"/>
                    </w:rPr>
                    <w:t>，不属</w:t>
                  </w:r>
                  <w:r>
                    <w:rPr>
                      <w:rFonts w:ascii="宋体" w:hAnsi="宋体" w:eastAsia="宋体" w:cs="宋体"/>
                      <w:spacing w:val="7"/>
                      <w:sz w:val="21"/>
                      <w:szCs w:val="21"/>
                    </w:rPr>
                    <w:t xml:space="preserve"> </w:t>
                  </w:r>
                  <w:r>
                    <w:rPr>
                      <w:rFonts w:ascii="宋体" w:hAnsi="宋体" w:eastAsia="宋体" w:cs="宋体"/>
                      <w:spacing w:val="8"/>
                      <w:sz w:val="21"/>
                      <w:szCs w:val="21"/>
                    </w:rPr>
                    <w:t>于文件中禁止建设的</w:t>
                  </w:r>
                  <w:r>
                    <w:rPr>
                      <w:rFonts w:ascii="宋体" w:hAnsi="宋体" w:eastAsia="宋体" w:cs="宋体"/>
                      <w:spacing w:val="-6"/>
                      <w:sz w:val="21"/>
                      <w:szCs w:val="21"/>
                    </w:rPr>
                    <w:t>项目，不属于高耗能、</w:t>
                  </w:r>
                  <w:r>
                    <w:rPr>
                      <w:rFonts w:ascii="宋体" w:hAnsi="宋体" w:eastAsia="宋体" w:cs="宋体"/>
                      <w:spacing w:val="8"/>
                      <w:sz w:val="21"/>
                      <w:szCs w:val="21"/>
                    </w:rPr>
                    <w:t>高排放和产能过剩的</w:t>
                  </w:r>
                  <w:r>
                    <w:rPr>
                      <w:rFonts w:ascii="宋体" w:hAnsi="宋体" w:eastAsia="宋体" w:cs="宋体"/>
                      <w:spacing w:val="-10"/>
                      <w:sz w:val="21"/>
                      <w:szCs w:val="21"/>
                    </w:rPr>
                    <w:t>产业</w:t>
                  </w:r>
                  <w:r>
                    <w:rPr>
                      <w:rFonts w:hint="eastAsia" w:ascii="宋体" w:hAnsi="宋体" w:eastAsia="宋体" w:cs="宋体"/>
                      <w:spacing w:val="-10"/>
                      <w:sz w:val="21"/>
                      <w:szCs w:val="21"/>
                      <w:lang w:eastAsia="zh-CN"/>
                    </w:rPr>
                    <w:t>。</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危险废物贮存容器</w:t>
                  </w:r>
                </w:p>
              </w:tc>
              <w:tc>
                <w:tcPr>
                  <w:tcW w:w="375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ascii="Times New Roman" w:hAnsi="Times New Roman" w:eastAsia="Times New Roman" w:cs="Times New Roman"/>
                      <w:spacing w:val="-6"/>
                      <w:sz w:val="21"/>
                      <w:szCs w:val="21"/>
                    </w:rPr>
                    <w:t>2021</w:t>
                  </w:r>
                  <w:r>
                    <w:rPr>
                      <w:rFonts w:ascii="宋体" w:hAnsi="宋体" w:eastAsia="宋体" w:cs="宋体"/>
                      <w:spacing w:val="-6"/>
                      <w:sz w:val="21"/>
                      <w:szCs w:val="21"/>
                    </w:rPr>
                    <w:t>年</w:t>
                  </w:r>
                  <w:r>
                    <w:rPr>
                      <w:rFonts w:ascii="宋体" w:hAnsi="宋体" w:eastAsia="宋体" w:cs="宋体"/>
                      <w:spacing w:val="-42"/>
                      <w:sz w:val="21"/>
                      <w:szCs w:val="21"/>
                    </w:rPr>
                    <w:t xml:space="preserve"> </w:t>
                  </w:r>
                  <w:r>
                    <w:rPr>
                      <w:rFonts w:ascii="Times New Roman" w:hAnsi="Times New Roman" w:eastAsia="Times New Roman" w:cs="Times New Roman"/>
                      <w:spacing w:val="-6"/>
                      <w:sz w:val="21"/>
                      <w:szCs w:val="21"/>
                    </w:rPr>
                    <w:t>9</w:t>
                  </w:r>
                  <w:r>
                    <w:rPr>
                      <w:rFonts w:ascii="宋体" w:hAnsi="宋体" w:eastAsia="宋体" w:cs="宋体"/>
                      <w:spacing w:val="-6"/>
                      <w:sz w:val="21"/>
                      <w:szCs w:val="21"/>
                    </w:rPr>
                    <w:t>月底前，全省排气口高度超过</w:t>
                  </w:r>
                  <w:r>
                    <w:rPr>
                      <w:rFonts w:ascii="宋体" w:hAnsi="宋体" w:eastAsia="宋体" w:cs="宋体"/>
                      <w:spacing w:val="-49"/>
                      <w:sz w:val="21"/>
                      <w:szCs w:val="21"/>
                    </w:rPr>
                    <w:t xml:space="preserve"> </w:t>
                  </w:r>
                  <w:r>
                    <w:rPr>
                      <w:rFonts w:ascii="Times New Roman" w:hAnsi="Times New Roman" w:eastAsia="Times New Roman" w:cs="Times New Roman"/>
                      <w:spacing w:val="-6"/>
                      <w:sz w:val="21"/>
                      <w:szCs w:val="21"/>
                    </w:rPr>
                    <w:t>45</w:t>
                  </w:r>
                  <w:r>
                    <w:rPr>
                      <w:rFonts w:ascii="Times New Roman" w:hAnsi="Times New Roman" w:eastAsia="Times New Roman" w:cs="Times New Roman"/>
                      <w:spacing w:val="7"/>
                      <w:w w:val="101"/>
                      <w:sz w:val="21"/>
                      <w:szCs w:val="21"/>
                    </w:rPr>
                    <w:t xml:space="preserve"> </w:t>
                  </w:r>
                  <w:r>
                    <w:rPr>
                      <w:rFonts w:ascii="宋体" w:hAnsi="宋体" w:eastAsia="宋体" w:cs="宋体"/>
                      <w:spacing w:val="-6"/>
                      <w:sz w:val="21"/>
                      <w:szCs w:val="21"/>
                    </w:rPr>
                    <w:t>米</w:t>
                  </w:r>
                  <w:r>
                    <w:rPr>
                      <w:rFonts w:ascii="宋体" w:hAnsi="宋体" w:eastAsia="宋体" w:cs="宋体"/>
                      <w:spacing w:val="3"/>
                      <w:sz w:val="21"/>
                      <w:szCs w:val="21"/>
                    </w:rPr>
                    <w:t>的高架源，石化、化工、包装印刷、工业涂</w:t>
                  </w:r>
                  <w:r>
                    <w:rPr>
                      <w:rFonts w:ascii="宋体" w:hAnsi="宋体" w:eastAsia="宋体" w:cs="宋体"/>
                      <w:spacing w:val="2"/>
                      <w:sz w:val="21"/>
                      <w:szCs w:val="21"/>
                    </w:rPr>
                    <w:t>装等</w:t>
                  </w:r>
                  <w:r>
                    <w:rPr>
                      <w:rFonts w:ascii="宋体" w:hAnsi="宋体" w:eastAsia="宋体" w:cs="宋体"/>
                      <w:spacing w:val="-31"/>
                      <w:sz w:val="21"/>
                      <w:szCs w:val="21"/>
                    </w:rPr>
                    <w:t xml:space="preserve"> </w:t>
                  </w:r>
                  <w:r>
                    <w:rPr>
                      <w:rFonts w:ascii="Times New Roman" w:hAnsi="Times New Roman" w:eastAsia="Times New Roman" w:cs="Times New Roman"/>
                      <w:spacing w:val="2"/>
                      <w:sz w:val="21"/>
                      <w:szCs w:val="21"/>
                    </w:rPr>
                    <w:t>VOCs</w:t>
                  </w:r>
                  <w:r>
                    <w:rPr>
                      <w:rFonts w:ascii="宋体" w:hAnsi="宋体" w:eastAsia="宋体" w:cs="宋体"/>
                      <w:spacing w:val="2"/>
                      <w:sz w:val="21"/>
                      <w:szCs w:val="21"/>
                    </w:rPr>
                    <w:t>排放重点源，大气环境重点排污</w:t>
                  </w:r>
                  <w:r>
                    <w:rPr>
                      <w:rFonts w:ascii="宋体" w:hAnsi="宋体" w:eastAsia="宋体" w:cs="宋体"/>
                      <w:spacing w:val="3"/>
                      <w:sz w:val="21"/>
                      <w:szCs w:val="21"/>
                    </w:rPr>
                    <w:t>单位，实行排污许可重点管理的涉气排污单位，排污许可要求自动监测的涉气排污单位及其他符合河南省污染源自动监控设施建设</w:t>
                  </w:r>
                  <w:r>
                    <w:rPr>
                      <w:rFonts w:ascii="宋体" w:hAnsi="宋体" w:eastAsia="宋体" w:cs="宋体"/>
                      <w:spacing w:val="-4"/>
                      <w:sz w:val="21"/>
                      <w:szCs w:val="21"/>
                    </w:rPr>
                    <w:t>条件的排污单位，符合上述任何一个条件的，</w:t>
                  </w:r>
                  <w:r>
                    <w:rPr>
                      <w:rFonts w:ascii="宋体" w:hAnsi="宋体" w:eastAsia="宋体" w:cs="宋体"/>
                      <w:spacing w:val="2"/>
                      <w:sz w:val="21"/>
                      <w:szCs w:val="21"/>
                    </w:rPr>
                    <w:t xml:space="preserve"> </w:t>
                  </w:r>
                  <w:r>
                    <w:rPr>
                      <w:rFonts w:ascii="宋体" w:hAnsi="宋体" w:eastAsia="宋体" w:cs="宋体"/>
                      <w:spacing w:val="3"/>
                      <w:sz w:val="21"/>
                      <w:szCs w:val="21"/>
                    </w:rPr>
                    <w:t>应完成污染源自动监控设施建设，并与生态环境部门联网。应急管控清单内不具备安装自动监控设施的排污单位，要完成用电监管</w:t>
                  </w:r>
                  <w:r>
                    <w:rPr>
                      <w:rFonts w:ascii="宋体" w:hAnsi="宋体" w:eastAsia="宋体" w:cs="宋体"/>
                      <w:spacing w:val="-2"/>
                      <w:sz w:val="21"/>
                      <w:szCs w:val="21"/>
                    </w:rPr>
                    <w:t>设备安装和联网。</w:t>
                  </w:r>
                </w:p>
              </w:tc>
              <w:tc>
                <w:tcPr>
                  <w:tcW w:w="21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spacing w:val="8"/>
                      <w:sz w:val="21"/>
                      <w:szCs w:val="21"/>
                      <w:lang w:eastAsia="zh-CN"/>
                    </w:rPr>
                  </w:pP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eastAsia="宋体"/>
                      <w:sz w:val="21"/>
                      <w:szCs w:val="21"/>
                      <w:lang w:eastAsia="zh-CN"/>
                    </w:rPr>
                  </w:pPr>
                  <w:r>
                    <w:rPr>
                      <w:rFonts w:hint="eastAsia" w:ascii="宋体" w:hAnsi="宋体" w:eastAsia="宋体" w:cs="宋体"/>
                      <w:spacing w:val="8"/>
                      <w:sz w:val="21"/>
                      <w:szCs w:val="21"/>
                      <w:lang w:eastAsia="zh-CN"/>
                    </w:rPr>
                    <w:t>本次</w:t>
                  </w:r>
                  <w:r>
                    <w:rPr>
                      <w:rFonts w:ascii="宋体" w:hAnsi="宋体" w:eastAsia="宋体" w:cs="宋体"/>
                      <w:spacing w:val="8"/>
                      <w:sz w:val="21"/>
                      <w:szCs w:val="21"/>
                    </w:rPr>
                    <w:t>评价要求</w:t>
                  </w:r>
                  <w:r>
                    <w:rPr>
                      <w:rFonts w:hint="eastAsia" w:ascii="宋体" w:hAnsi="宋体" w:eastAsia="宋体" w:cs="宋体"/>
                      <w:spacing w:val="8"/>
                      <w:sz w:val="21"/>
                      <w:szCs w:val="21"/>
                      <w:lang w:eastAsia="zh-CN"/>
                    </w:rPr>
                    <w:t>企业在</w:t>
                  </w:r>
                  <w:r>
                    <w:rPr>
                      <w:rFonts w:ascii="宋体" w:hAnsi="宋体" w:eastAsia="宋体" w:cs="宋体"/>
                      <w:spacing w:val="8"/>
                      <w:sz w:val="21"/>
                      <w:szCs w:val="21"/>
                    </w:rPr>
                    <w:t>环境治理设施安装用电监管并与济源示范区生</w:t>
                  </w:r>
                  <w:r>
                    <w:rPr>
                      <w:rFonts w:ascii="宋体" w:hAnsi="宋体" w:eastAsia="宋体" w:cs="宋体"/>
                      <w:spacing w:val="-2"/>
                      <w:sz w:val="21"/>
                      <w:szCs w:val="21"/>
                    </w:rPr>
                    <w:t>态环境局联网。</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p>
              </w:tc>
            </w:tr>
          </w:tbl>
          <w:p>
            <w:pPr>
              <w:pStyle w:val="7"/>
              <w:keepNext w:val="0"/>
              <w:keepLines w:val="0"/>
              <w:pageBreakBefore w:val="0"/>
              <w:widowControl w:val="0"/>
              <w:numPr>
                <w:ilvl w:val="0"/>
                <w:numId w:val="0"/>
              </w:numPr>
              <w:kinsoku/>
              <w:wordWrap/>
              <w:overflowPunct/>
              <w:topLinePunct w:val="0"/>
              <w:autoSpaceDE/>
              <w:autoSpaceDN/>
              <w:bidi w:val="0"/>
              <w:adjustRightInd/>
              <w:snapToGrid/>
              <w:spacing w:after="0" w:line="420" w:lineRule="exact"/>
              <w:ind w:leftChars="0"/>
              <w:jc w:val="both"/>
              <w:textAlignment w:val="auto"/>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九、与《济源产城融合示范区</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2021年大气污染放治攻坚战实施方案</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》（济环攻坚</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[2021]3号</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相符性分析</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项目与《济源产城融合示范区2021年大气污染放治攻坚战实施方案》</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（济环攻坚[2021]3号）相符性分析</w:t>
            </w:r>
          </w:p>
          <w:tbl>
            <w:tblPr>
              <w:tblStyle w:val="16"/>
              <w:tblW w:w="74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3"/>
              <w:gridCol w:w="1443"/>
              <w:gridCol w:w="9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cs="Times New Roman"/>
                      <w:b w:val="0"/>
                      <w:bCs w:val="0"/>
                      <w:kern w:val="0"/>
                      <w:sz w:val="21"/>
                      <w:szCs w:val="21"/>
                      <w:vertAlign w:val="baseline"/>
                      <w:lang w:val="en-US" w:eastAsia="zh-CN"/>
                    </w:rPr>
                    <w:t>文件要求</w:t>
                  </w:r>
                </w:p>
              </w:tc>
              <w:tc>
                <w:tcPr>
                  <w:tcW w:w="144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本项目</w:t>
                  </w:r>
                  <w:r>
                    <w:rPr>
                      <w:rFonts w:hint="default" w:ascii="Times New Roman" w:hAnsi="Times New Roman" w:eastAsia="宋体" w:cs="Times New Roman"/>
                      <w:b w:val="0"/>
                      <w:bCs w:val="0"/>
                      <w:kern w:val="0"/>
                      <w:sz w:val="21"/>
                      <w:szCs w:val="21"/>
                      <w:vertAlign w:val="baseline"/>
                      <w:lang w:eastAsia="zh-CN"/>
                    </w:rPr>
                    <w:t>情况</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val="0"/>
                      <w:kern w:val="0"/>
                      <w:sz w:val="21"/>
                      <w:szCs w:val="21"/>
                      <w:vertAlign w:val="baseline"/>
                      <w:lang w:eastAsia="zh-CN"/>
                    </w:rPr>
                  </w:pPr>
                  <w:r>
                    <w:rPr>
                      <w:rFonts w:hint="eastAsia" w:ascii="Times New Roman" w:hAnsi="Times New Roman" w:eastAsia="宋体" w:cs="Times New Roman"/>
                      <w:b w:val="0"/>
                      <w:bCs w:val="0"/>
                      <w:kern w:val="0"/>
                      <w:sz w:val="21"/>
                      <w:szCs w:val="21"/>
                      <w:vertAlign w:val="baseline"/>
                      <w:lang w:eastAsia="zh-CN"/>
                    </w:rPr>
                    <w:t>相符</w:t>
                  </w:r>
                  <w:r>
                    <w:rPr>
                      <w:rFonts w:hint="default" w:ascii="Times New Roman" w:hAnsi="Times New Roman" w:eastAsia="宋体" w:cs="Times New Roman"/>
                      <w:b w:val="0"/>
                      <w:bCs w:val="0"/>
                      <w:kern w:val="0"/>
                      <w:sz w:val="21"/>
                      <w:szCs w:val="21"/>
                      <w:vertAlign w:val="baseline"/>
                      <w:lang w:eastAsia="zh-CN"/>
                    </w:rPr>
                    <w:t>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50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textAlignment w:val="auto"/>
                    <w:rPr>
                      <w:rFonts w:hint="eastAsia" w:ascii="Times New Roman" w:hAnsi="Times New Roman" w:eastAsia="宋体" w:cs="Times New Roman"/>
                      <w:b w:val="0"/>
                      <w:bCs w:val="0"/>
                      <w:kern w:val="0"/>
                      <w:sz w:val="21"/>
                      <w:szCs w:val="21"/>
                      <w:vertAlign w:val="baseline"/>
                      <w:lang w:eastAsia="zh-CN"/>
                    </w:rPr>
                  </w:pPr>
                  <w:r>
                    <w:rPr>
                      <w:rFonts w:ascii="宋体" w:hAnsi="宋体" w:eastAsia="宋体" w:cs="宋体"/>
                      <w:spacing w:val="3"/>
                      <w:sz w:val="21"/>
                      <w:szCs w:val="21"/>
                    </w:rPr>
                    <w:t>严格环境准入。全面禁止建设列入国家、省产业政策或</w:t>
                  </w:r>
                  <w:r>
                    <w:rPr>
                      <w:rFonts w:ascii="宋体" w:hAnsi="宋体" w:eastAsia="宋体" w:cs="宋体"/>
                      <w:sz w:val="21"/>
                      <w:szCs w:val="21"/>
                    </w:rPr>
                    <w:t xml:space="preserve"> </w:t>
                  </w:r>
                  <w:r>
                    <w:rPr>
                      <w:rFonts w:ascii="宋体" w:hAnsi="宋体" w:eastAsia="宋体" w:cs="宋体"/>
                      <w:spacing w:val="-4"/>
                      <w:sz w:val="21"/>
                      <w:szCs w:val="21"/>
                    </w:rPr>
                    <w:t>产业规划中的限制、淘汰类项目；根据资源环境承载能</w:t>
                  </w:r>
                  <w:r>
                    <w:rPr>
                      <w:rFonts w:ascii="宋体" w:hAnsi="宋体" w:eastAsia="宋体" w:cs="宋体"/>
                      <w:spacing w:val="4"/>
                      <w:sz w:val="21"/>
                      <w:szCs w:val="21"/>
                    </w:rPr>
                    <w:t>力情况，原则上不再新建、扩建单纯新增产能的钢铁、</w:t>
                  </w:r>
                  <w:r>
                    <w:rPr>
                      <w:rFonts w:ascii="宋体" w:hAnsi="宋体" w:eastAsia="宋体" w:cs="宋体"/>
                      <w:spacing w:val="2"/>
                      <w:sz w:val="21"/>
                      <w:szCs w:val="21"/>
                    </w:rPr>
                    <w:t xml:space="preserve"> </w:t>
                  </w:r>
                  <w:r>
                    <w:rPr>
                      <w:rFonts w:ascii="宋体" w:hAnsi="宋体" w:eastAsia="宋体" w:cs="宋体"/>
                      <w:spacing w:val="3"/>
                      <w:sz w:val="21"/>
                      <w:szCs w:val="21"/>
                    </w:rPr>
                    <w:t>有色、水泥、玻璃、化工、火电、铸造等高能耗、高排放和产能过剩项目（钢铁、有色等传统领域的产业链延伸以及涉及绿色、智能、技术创新“三大改造”类项目</w:t>
                  </w:r>
                  <w:r>
                    <w:rPr>
                      <w:rFonts w:ascii="宋体" w:hAnsi="宋体" w:eastAsia="宋体" w:cs="宋体"/>
                      <w:sz w:val="21"/>
                      <w:szCs w:val="21"/>
                    </w:rPr>
                    <w:t xml:space="preserve"> </w:t>
                  </w:r>
                  <w:r>
                    <w:rPr>
                      <w:rFonts w:ascii="宋体" w:hAnsi="宋体" w:eastAsia="宋体" w:cs="宋体"/>
                      <w:spacing w:val="-3"/>
                      <w:sz w:val="21"/>
                      <w:szCs w:val="21"/>
                    </w:rPr>
                    <w:t>除外</w:t>
                  </w:r>
                  <w:r>
                    <w:rPr>
                      <w:rFonts w:ascii="宋体" w:hAnsi="宋体" w:eastAsia="宋体" w:cs="宋体"/>
                      <w:spacing w:val="-70"/>
                      <w:sz w:val="21"/>
                      <w:szCs w:val="21"/>
                    </w:rPr>
                    <w:t>）</w:t>
                  </w:r>
                  <w:r>
                    <w:rPr>
                      <w:rFonts w:hint="eastAsia" w:ascii="宋体" w:hAnsi="宋体" w:eastAsia="宋体" w:cs="宋体"/>
                      <w:spacing w:val="-70"/>
                      <w:sz w:val="21"/>
                      <w:szCs w:val="21"/>
                      <w:lang w:eastAsia="zh-CN"/>
                    </w:rPr>
                    <w:t>，</w:t>
                  </w:r>
                  <w:r>
                    <w:rPr>
                      <w:rFonts w:hint="eastAsia" w:ascii="宋体" w:hAnsi="宋体" w:eastAsia="宋体" w:cs="宋体"/>
                      <w:spacing w:val="-70"/>
                      <w:sz w:val="21"/>
                      <w:szCs w:val="21"/>
                      <w:lang w:val="en-US" w:eastAsia="zh-CN"/>
                    </w:rPr>
                    <w:t xml:space="preserve">  </w:t>
                  </w:r>
                  <w:r>
                    <w:rPr>
                      <w:rFonts w:ascii="宋体" w:hAnsi="宋体" w:eastAsia="宋体" w:cs="宋体"/>
                      <w:spacing w:val="-3"/>
                      <w:sz w:val="21"/>
                      <w:szCs w:val="21"/>
                    </w:rPr>
                    <w:t>耐火材料、陶瓷、石料加工、砖瓦制品等项目，</w:t>
                  </w:r>
                  <w:r>
                    <w:rPr>
                      <w:rFonts w:ascii="宋体" w:hAnsi="宋体" w:eastAsia="宋体" w:cs="宋体"/>
                      <w:sz w:val="21"/>
                      <w:szCs w:val="21"/>
                    </w:rPr>
                    <w:t xml:space="preserve"> </w:t>
                  </w:r>
                  <w:r>
                    <w:rPr>
                      <w:rFonts w:ascii="宋体" w:hAnsi="宋体" w:eastAsia="宋体" w:cs="宋体"/>
                      <w:spacing w:val="3"/>
                      <w:sz w:val="21"/>
                      <w:szCs w:val="21"/>
                    </w:rPr>
                    <w:t>安全和职业卫生危害风险大、污染严重的化工项目，涉</w:t>
                  </w:r>
                  <w:r>
                    <w:rPr>
                      <w:rFonts w:ascii="宋体" w:hAnsi="宋体" w:eastAsia="宋体" w:cs="宋体"/>
                      <w:spacing w:val="-5"/>
                      <w:sz w:val="21"/>
                      <w:szCs w:val="21"/>
                    </w:rPr>
                    <w:t>及煤炭消费较大的项目，新建、扩建综合能源消费量超</w:t>
                  </w:r>
                  <w:r>
                    <w:rPr>
                      <w:rFonts w:ascii="宋体" w:hAnsi="宋体" w:eastAsia="宋体" w:cs="宋体"/>
                      <w:spacing w:val="-12"/>
                      <w:sz w:val="21"/>
                      <w:szCs w:val="21"/>
                    </w:rPr>
                    <w:t xml:space="preserve"> </w:t>
                  </w:r>
                  <w:r>
                    <w:rPr>
                      <w:rFonts w:ascii="Times New Roman" w:hAnsi="Times New Roman" w:eastAsia="Times New Roman" w:cs="Times New Roman"/>
                      <w:spacing w:val="-5"/>
                      <w:sz w:val="21"/>
                      <w:szCs w:val="21"/>
                    </w:rPr>
                    <w:t>1</w:t>
                  </w:r>
                  <w:r>
                    <w:rPr>
                      <w:rFonts w:ascii="宋体" w:hAnsi="宋体" w:eastAsia="宋体" w:cs="宋体"/>
                      <w:spacing w:val="1"/>
                      <w:sz w:val="21"/>
                      <w:szCs w:val="21"/>
                    </w:rPr>
                    <w:t>万吨标准煤以上、水资源消费量超</w:t>
                  </w:r>
                  <w:r>
                    <w:rPr>
                      <w:rFonts w:ascii="宋体" w:hAnsi="宋体" w:eastAsia="宋体" w:cs="宋体"/>
                      <w:spacing w:val="-20"/>
                      <w:sz w:val="21"/>
                      <w:szCs w:val="21"/>
                    </w:rPr>
                    <w:t xml:space="preserve"> </w:t>
                  </w:r>
                  <w:r>
                    <w:rPr>
                      <w:rFonts w:ascii="Times New Roman" w:hAnsi="Times New Roman" w:eastAsia="Times New Roman" w:cs="Times New Roman"/>
                      <w:spacing w:val="1"/>
                      <w:sz w:val="21"/>
                      <w:szCs w:val="21"/>
                    </w:rPr>
                    <w:t>3</w:t>
                  </w:r>
                  <w:r>
                    <w:rPr>
                      <w:rFonts w:ascii="宋体" w:hAnsi="宋体" w:eastAsia="宋体" w:cs="宋体"/>
                      <w:spacing w:val="1"/>
                      <w:sz w:val="21"/>
                      <w:szCs w:val="21"/>
                    </w:rPr>
                    <w:t>万立方米以上和挥</w:t>
                  </w:r>
                  <w:r>
                    <w:rPr>
                      <w:rFonts w:ascii="宋体" w:hAnsi="宋体" w:eastAsia="宋体" w:cs="宋体"/>
                      <w:sz w:val="21"/>
                      <w:szCs w:val="21"/>
                    </w:rPr>
                    <w:t xml:space="preserve"> </w:t>
                  </w:r>
                  <w:r>
                    <w:rPr>
                      <w:rFonts w:ascii="宋体" w:hAnsi="宋体" w:eastAsia="宋体" w:cs="宋体"/>
                      <w:spacing w:val="3"/>
                      <w:sz w:val="21"/>
                      <w:szCs w:val="21"/>
                    </w:rPr>
                    <w:t>性有机污染物、氮氧化物等主要污染物排放量较大的项目需通过资源环境承载能力评价后，方可办理相关前</w:t>
                  </w:r>
                  <w:r>
                    <w:rPr>
                      <w:rFonts w:ascii="宋体" w:hAnsi="宋体" w:eastAsia="宋体" w:cs="宋体"/>
                      <w:sz w:val="21"/>
                      <w:szCs w:val="21"/>
                    </w:rPr>
                    <w:t>期手续。将国家和省重点行业绩效分级</w:t>
                  </w:r>
                  <w:r>
                    <w:rPr>
                      <w:rFonts w:ascii="宋体" w:hAnsi="宋体" w:eastAsia="宋体" w:cs="宋体"/>
                      <w:spacing w:val="-40"/>
                      <w:sz w:val="21"/>
                      <w:szCs w:val="21"/>
                    </w:rPr>
                    <w:t xml:space="preserve"> </w:t>
                  </w:r>
                  <w:r>
                    <w:rPr>
                      <w:rFonts w:ascii="Times New Roman" w:hAnsi="Times New Roman" w:eastAsia="Times New Roman" w:cs="Times New Roman"/>
                      <w:sz w:val="21"/>
                      <w:szCs w:val="21"/>
                    </w:rPr>
                    <w:t>A</w:t>
                  </w:r>
                  <w:r>
                    <w:rPr>
                      <w:rFonts w:ascii="宋体" w:hAnsi="宋体" w:eastAsia="宋体" w:cs="宋体"/>
                      <w:sz w:val="21"/>
                      <w:szCs w:val="21"/>
                    </w:rPr>
                    <w:t>级或绩效引领</w:t>
                  </w:r>
                  <w:r>
                    <w:rPr>
                      <w:rFonts w:ascii="宋体" w:hAnsi="宋体" w:eastAsia="宋体" w:cs="宋体"/>
                      <w:spacing w:val="3"/>
                      <w:sz w:val="21"/>
                      <w:szCs w:val="21"/>
                    </w:rPr>
                    <w:t>企业评定标准、河南省通用行业绩效评定标准纳入建设</w:t>
                  </w:r>
                  <w:r>
                    <w:rPr>
                      <w:rFonts w:ascii="宋体" w:hAnsi="宋体" w:eastAsia="宋体" w:cs="宋体"/>
                      <w:spacing w:val="2"/>
                      <w:sz w:val="21"/>
                      <w:szCs w:val="21"/>
                    </w:rPr>
                    <w:t xml:space="preserve"> </w:t>
                  </w:r>
                  <w:r>
                    <w:rPr>
                      <w:rFonts w:ascii="宋体" w:hAnsi="宋体" w:eastAsia="宋体" w:cs="宋体"/>
                      <w:spacing w:val="-4"/>
                      <w:sz w:val="21"/>
                      <w:szCs w:val="21"/>
                    </w:rPr>
                    <w:t>项目环境影响评价“三同时”管理，依法强化源头控制，</w:t>
                  </w:r>
                  <w:r>
                    <w:rPr>
                      <w:rFonts w:ascii="宋体" w:hAnsi="宋体" w:eastAsia="宋体" w:cs="宋体"/>
                      <w:spacing w:val="-1"/>
                      <w:sz w:val="21"/>
                      <w:szCs w:val="21"/>
                    </w:rPr>
                    <w:t>全面提升行业高质量发展。</w:t>
                  </w:r>
                </w:p>
              </w:tc>
              <w:tc>
                <w:tcPr>
                  <w:tcW w:w="144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left"/>
                    <w:textAlignment w:val="auto"/>
                    <w:rPr>
                      <w:rFonts w:hint="default" w:ascii="Times New Roman" w:hAnsi="Times New Roman" w:eastAsia="宋体" w:cs="Times New Roman"/>
                      <w:b w:val="0"/>
                      <w:bCs w:val="0"/>
                      <w:kern w:val="0"/>
                      <w:sz w:val="21"/>
                      <w:szCs w:val="21"/>
                      <w:vertAlign w:val="baseline"/>
                      <w:lang w:val="en-US" w:eastAsia="zh-CN"/>
                    </w:rPr>
                  </w:pPr>
                  <w:r>
                    <w:rPr>
                      <w:rFonts w:hint="eastAsia" w:ascii="宋体" w:hAnsi="宋体" w:eastAsia="宋体" w:cs="宋体"/>
                      <w:spacing w:val="8"/>
                      <w:sz w:val="21"/>
                      <w:szCs w:val="21"/>
                      <w:lang w:eastAsia="zh-CN"/>
                    </w:rPr>
                    <w:t>项目为废铅蓄电</w:t>
                  </w:r>
                  <w:r>
                    <w:rPr>
                      <w:rFonts w:hint="eastAsia" w:ascii="宋体" w:hAnsi="宋体" w:cs="宋体"/>
                      <w:spacing w:val="8"/>
                      <w:sz w:val="21"/>
                      <w:szCs w:val="21"/>
                      <w:lang w:eastAsia="zh-CN"/>
                    </w:rPr>
                    <w:t>池</w:t>
                  </w:r>
                  <w:r>
                    <w:rPr>
                      <w:rFonts w:hint="eastAsia" w:ascii="宋体" w:hAnsi="宋体" w:eastAsia="宋体" w:cs="宋体"/>
                      <w:spacing w:val="8"/>
                      <w:sz w:val="21"/>
                      <w:szCs w:val="21"/>
                      <w:lang w:eastAsia="zh-CN"/>
                    </w:rPr>
                    <w:t>回收仓储项目，位于玉川产业集聚区</w:t>
                  </w:r>
                  <w:r>
                    <w:rPr>
                      <w:rFonts w:hint="eastAsia" w:ascii="宋体" w:hAnsi="宋体" w:cs="宋体"/>
                      <w:spacing w:val="8"/>
                      <w:sz w:val="21"/>
                      <w:szCs w:val="21"/>
                      <w:lang w:eastAsia="zh-CN"/>
                    </w:rPr>
                    <w:t>贵金属产业园</w:t>
                  </w:r>
                  <w:r>
                    <w:rPr>
                      <w:rFonts w:hint="eastAsia" w:ascii="宋体" w:hAnsi="宋体" w:eastAsia="宋体" w:cs="宋体"/>
                      <w:spacing w:val="8"/>
                      <w:sz w:val="21"/>
                      <w:szCs w:val="21"/>
                      <w:lang w:eastAsia="zh-CN"/>
                    </w:rPr>
                    <w:t>，不属于文件中禁止建设的项目，不属于高耗能、 高排放和产能过剩的产业。</w:t>
                  </w:r>
                </w:p>
              </w:tc>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b w:val="0"/>
                      <w:bCs w:val="0"/>
                      <w:kern w:val="0"/>
                      <w:sz w:val="21"/>
                      <w:szCs w:val="21"/>
                      <w:vertAlign w:val="baseline"/>
                      <w:lang w:eastAsia="zh-CN"/>
                    </w:rPr>
                  </w:pPr>
                  <w:r>
                    <w:rPr>
                      <w:rFonts w:hint="eastAsia" w:cs="Times New Roman"/>
                      <w:b w:val="0"/>
                      <w:bCs w:val="0"/>
                      <w:kern w:val="0"/>
                      <w:sz w:val="21"/>
                      <w:szCs w:val="21"/>
                      <w:vertAlign w:val="baseline"/>
                      <w:lang w:eastAsia="zh-CN"/>
                    </w:rPr>
                    <w:t>相符</w:t>
                  </w:r>
                </w:p>
              </w:tc>
            </w:tr>
          </w:tbl>
          <w:p>
            <w:pPr>
              <w:pStyle w:val="7"/>
              <w:keepNext w:val="0"/>
              <w:keepLines w:val="0"/>
              <w:pageBreakBefore w:val="0"/>
              <w:widowControl w:val="0"/>
              <w:numPr>
                <w:ilvl w:val="0"/>
                <w:numId w:val="0"/>
              </w:numPr>
              <w:kinsoku/>
              <w:wordWrap/>
              <w:overflowPunct/>
              <w:topLinePunct w:val="0"/>
              <w:autoSpaceDE/>
              <w:autoSpaceDN/>
              <w:bidi w:val="0"/>
              <w:adjustRightInd/>
              <w:snapToGrid/>
              <w:spacing w:after="0" w:line="420" w:lineRule="exact"/>
              <w:ind w:leftChars="0"/>
              <w:jc w:val="both"/>
              <w:textAlignment w:val="auto"/>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pPr>
            <w:r>
              <w:rPr>
                <w:rFonts w:hint="eastAsia" w:ascii="宋体" w:hAnsi="宋体" w:cs="宋体"/>
                <w:spacing w:val="-4"/>
                <w:sz w:val="24"/>
                <w:szCs w:val="24"/>
                <w:lang w:eastAsia="zh-CN"/>
                <w14:textOutline w14:w="4358" w14:cap="sq" w14:cmpd="sng">
                  <w14:solidFill>
                    <w14:srgbClr w14:val="000000"/>
                  </w14:solidFill>
                  <w14:prstDash w14:val="solid"/>
                  <w14:bevel/>
                </w14:textOutline>
              </w:rPr>
              <w:t>十、与《河南省重污染天气通用行业应急减排措施制定技术指南》（</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2021年修订版</w:t>
            </w:r>
            <w:r>
              <w:rPr>
                <w:rFonts w:hint="eastAsia" w:ascii="宋体" w:hAnsi="宋体" w:cs="宋体"/>
                <w:spacing w:val="-4"/>
                <w:sz w:val="24"/>
                <w:szCs w:val="24"/>
                <w:lang w:eastAsia="zh-CN"/>
                <w14:textOutline w14:w="4358" w14:cap="sq" w14:cmpd="sng">
                  <w14:solidFill>
                    <w14:srgbClr w14:val="000000"/>
                  </w14:solidFill>
                  <w14:prstDash w14:val="solid"/>
                  <w14:bevel/>
                </w14:textOutline>
              </w:rPr>
              <w:t>）通用行业绩效分级</w:t>
            </w:r>
            <w:r>
              <w:rPr>
                <w:rFonts w:hint="eastAsia" w:ascii="宋体" w:hAnsi="宋体" w:cs="宋体"/>
                <w:spacing w:val="-4"/>
                <w:sz w:val="24"/>
                <w:szCs w:val="24"/>
                <w:lang w:val="en-US" w:eastAsia="zh-CN"/>
                <w14:textOutline w14:w="4358" w14:cap="sq" w14:cmpd="sng">
                  <w14:solidFill>
                    <w14:srgbClr w14:val="000000"/>
                  </w14:solidFill>
                  <w14:prstDash w14:val="solid"/>
                  <w14:bevel/>
                </w14:textOutline>
              </w:rPr>
              <w:t>相符性分析</w:t>
            </w:r>
          </w:p>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r>
              <w:rPr>
                <w:rFonts w:hint="eastAsia" w:ascii="黑体" w:hAnsi="黑体" w:eastAsia="黑体" w:cs="黑体"/>
                <w:szCs w:val="24"/>
                <w:lang w:val="en-US" w:eastAsia="zh-CN"/>
              </w:rPr>
              <w:t>项目与通用行业绩效分级指标要求相符性分析</w:t>
            </w:r>
          </w:p>
          <w:tbl>
            <w:tblPr>
              <w:tblStyle w:val="16"/>
              <w:tblpPr w:leftFromText="180" w:rightFromText="180" w:vertAnchor="text" w:horzAnchor="page" w:tblpXSpec="center" w:tblpY="111"/>
              <w:tblOverlap w:val="never"/>
              <w:tblW w:w="74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3145"/>
              <w:gridCol w:w="2769"/>
              <w:gridCol w:w="8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项目</w:t>
                  </w:r>
                </w:p>
              </w:tc>
              <w:tc>
                <w:tcPr>
                  <w:tcW w:w="31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val="en-US" w:eastAsia="zh-CN"/>
                    </w:rPr>
                  </w:pPr>
                  <w:r>
                    <w:rPr>
                      <w:rFonts w:hint="eastAsia" w:ascii="宋体" w:hAnsi="宋体" w:eastAsia="宋体" w:cs="宋体"/>
                      <w:b w:val="0"/>
                      <w:bCs w:val="0"/>
                      <w:kern w:val="0"/>
                      <w:sz w:val="21"/>
                      <w:szCs w:val="21"/>
                      <w:vertAlign w:val="baseline"/>
                      <w:lang w:val="en-US" w:eastAsia="zh-CN"/>
                    </w:rPr>
                    <w:t>规范及要求</w:t>
                  </w:r>
                </w:p>
              </w:tc>
              <w:tc>
                <w:tcPr>
                  <w:tcW w:w="276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本项目情况</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相符性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both"/>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危险废物</w:t>
                  </w:r>
                </w:p>
              </w:tc>
              <w:tc>
                <w:tcPr>
                  <w:tcW w:w="31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hint="eastAsia" w:ascii="宋体" w:hAnsi="宋体" w:eastAsia="宋体" w:cs="宋体"/>
                      <w:spacing w:val="-7"/>
                      <w:sz w:val="21"/>
                      <w:szCs w:val="21"/>
                    </w:rPr>
                    <w:t>应有符合规范要求的危险废物储存间，危</w:t>
                  </w:r>
                  <w:r>
                    <w:rPr>
                      <w:rFonts w:hint="eastAsia" w:ascii="宋体" w:hAnsi="宋体" w:eastAsia="宋体" w:cs="宋体"/>
                      <w:spacing w:val="17"/>
                      <w:sz w:val="21"/>
                      <w:szCs w:val="21"/>
                    </w:rPr>
                    <w:t xml:space="preserve"> </w:t>
                  </w:r>
                  <w:r>
                    <w:rPr>
                      <w:rFonts w:hint="eastAsia" w:ascii="宋体" w:hAnsi="宋体" w:eastAsia="宋体" w:cs="宋体"/>
                      <w:spacing w:val="5"/>
                      <w:sz w:val="21"/>
                      <w:szCs w:val="21"/>
                    </w:rPr>
                    <w:t>险废物储存间门口应张贴标准规范的危</w:t>
                  </w:r>
                  <w:r>
                    <w:rPr>
                      <w:rFonts w:hint="eastAsia" w:ascii="宋体" w:hAnsi="宋体" w:eastAsia="宋体" w:cs="宋体"/>
                      <w:spacing w:val="-7"/>
                      <w:sz w:val="21"/>
                      <w:szCs w:val="21"/>
                    </w:rPr>
                    <w:t>险废物标识和危废信息板，建立台账并挂于危废间内，危险废物的记录和货单保存</w:t>
                  </w:r>
                  <w:r>
                    <w:rPr>
                      <w:rFonts w:hint="eastAsia" w:ascii="宋体" w:hAnsi="宋体" w:eastAsia="宋体" w:cs="宋体"/>
                      <w:spacing w:val="-4"/>
                      <w:sz w:val="21"/>
                      <w:szCs w:val="21"/>
                    </w:rPr>
                    <w:t>3年以上。危废间内禁止存放除危险废物</w:t>
                  </w:r>
                  <w:r>
                    <w:rPr>
                      <w:rFonts w:hint="eastAsia" w:ascii="宋体" w:hAnsi="宋体" w:eastAsia="宋体" w:cs="宋体"/>
                      <w:spacing w:val="-1"/>
                      <w:sz w:val="21"/>
                      <w:szCs w:val="21"/>
                    </w:rPr>
                    <w:t>和应急工具外的其他物品。</w:t>
                  </w:r>
                </w:p>
              </w:tc>
              <w:tc>
                <w:tcPr>
                  <w:tcW w:w="276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ascii="宋体" w:hAnsi="宋体" w:eastAsia="宋体" w:cs="宋体"/>
                      <w:b w:val="0"/>
                      <w:bCs w:val="0"/>
                      <w:kern w:val="0"/>
                      <w:sz w:val="21"/>
                      <w:szCs w:val="21"/>
                      <w:vertAlign w:val="baseline"/>
                      <w:lang w:val="en-US" w:eastAsia="zh-CN"/>
                    </w:rPr>
                  </w:pPr>
                  <w:r>
                    <w:rPr>
                      <w:rFonts w:hint="eastAsia" w:ascii="宋体" w:hAnsi="宋体" w:eastAsia="宋体" w:cs="宋体"/>
                      <w:b w:val="0"/>
                      <w:bCs w:val="0"/>
                      <w:kern w:val="0"/>
                      <w:sz w:val="21"/>
                      <w:szCs w:val="21"/>
                      <w:vertAlign w:val="baseline"/>
                      <w:lang w:val="en-US" w:eastAsia="zh-CN"/>
                    </w:rPr>
                    <w:t>本次评价要求企业在废铅蓄电池贮存仓库门口张贴标准规范的危险废物标识和危废信息板，建立相关台账并关于危废贱内，危险废物的记录和货单保存3年以上。同时要求，废铅蓄电池贮存仓库内不得放置除危险废物和应急工具外的其他物品。</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运输方式及运输监管</w:t>
                  </w:r>
                </w:p>
              </w:tc>
              <w:tc>
                <w:tcPr>
                  <w:tcW w:w="31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hint="eastAsia" w:ascii="宋体" w:hAnsi="宋体" w:eastAsia="宋体" w:cs="宋体"/>
                      <w:spacing w:val="-7"/>
                      <w:sz w:val="21"/>
                      <w:szCs w:val="21"/>
                    </w:rPr>
                    <w:t>危险品及危废运输。国五及以上或新能源</w:t>
                  </w:r>
                  <w:r>
                    <w:rPr>
                      <w:rFonts w:hint="eastAsia" w:ascii="宋体" w:hAnsi="宋体" w:eastAsia="宋体" w:cs="宋体"/>
                      <w:spacing w:val="14"/>
                      <w:sz w:val="21"/>
                      <w:szCs w:val="21"/>
                    </w:rPr>
                    <w:t xml:space="preserve"> </w:t>
                  </w:r>
                  <w:r>
                    <w:rPr>
                      <w:rFonts w:hint="eastAsia" w:ascii="宋体" w:hAnsi="宋体" w:eastAsia="宋体" w:cs="宋体"/>
                      <w:spacing w:val="-5"/>
                      <w:sz w:val="21"/>
                      <w:szCs w:val="21"/>
                    </w:rPr>
                    <w:t>车辆</w:t>
                  </w:r>
                  <w:r>
                    <w:rPr>
                      <w:rFonts w:hint="default" w:ascii="Times New Roman" w:hAnsi="Times New Roman" w:eastAsia="宋体" w:cs="Times New Roman"/>
                      <w:spacing w:val="-5"/>
                      <w:sz w:val="21"/>
                      <w:szCs w:val="21"/>
                    </w:rPr>
                    <w:t>（A级/B级</w:t>
                  </w:r>
                  <w:r>
                    <w:rPr>
                      <w:rFonts w:hint="default" w:ascii="Times New Roman" w:hAnsi="Times New Roman" w:eastAsia="宋体" w:cs="Times New Roman"/>
                      <w:spacing w:val="-28"/>
                      <w:sz w:val="21"/>
                      <w:szCs w:val="21"/>
                    </w:rPr>
                    <w:t xml:space="preserve"> </w:t>
                  </w:r>
                  <w:r>
                    <w:rPr>
                      <w:rFonts w:hint="default" w:ascii="Times New Roman" w:hAnsi="Times New Roman" w:eastAsia="宋体" w:cs="Times New Roman"/>
                      <w:spacing w:val="-5"/>
                      <w:sz w:val="21"/>
                      <w:szCs w:val="21"/>
                    </w:rPr>
                    <w:t>100%）</w:t>
                  </w:r>
                </w:p>
              </w:tc>
              <w:tc>
                <w:tcPr>
                  <w:tcW w:w="276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本项目废铅蓄电池委托有资质单位进行运输，且均采用国五及以上车辆进行运输。</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运输监管</w:t>
                  </w:r>
                </w:p>
              </w:tc>
              <w:tc>
                <w:tcPr>
                  <w:tcW w:w="31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spacing w:val="-6"/>
                      <w:sz w:val="21"/>
                      <w:szCs w:val="21"/>
                    </w:rPr>
                  </w:pPr>
                  <w:r>
                    <w:rPr>
                      <w:rFonts w:hint="default" w:ascii="Times New Roman" w:hAnsi="Times New Roman" w:eastAsia="宋体" w:cs="Times New Roman"/>
                      <w:spacing w:val="-12"/>
                      <w:sz w:val="21"/>
                      <w:szCs w:val="21"/>
                    </w:rPr>
                    <w:t>厂区货运车辆进出大门口：日均进出货物</w:t>
                  </w:r>
                  <w:r>
                    <w:rPr>
                      <w:rFonts w:hint="default" w:ascii="Times New Roman" w:hAnsi="Times New Roman" w:eastAsia="宋体" w:cs="Times New Roman"/>
                      <w:sz w:val="21"/>
                      <w:szCs w:val="21"/>
                    </w:rPr>
                    <w:t xml:space="preserve"> </w:t>
                  </w:r>
                  <w:r>
                    <w:rPr>
                      <w:rFonts w:hint="default" w:ascii="Times New Roman" w:hAnsi="Times New Roman" w:eastAsia="宋体" w:cs="Times New Roman"/>
                      <w:spacing w:val="-7"/>
                      <w:sz w:val="21"/>
                      <w:szCs w:val="21"/>
                    </w:rPr>
                    <w:t>150吨（或载货车辆日进出</w:t>
                  </w:r>
                  <w:r>
                    <w:rPr>
                      <w:rFonts w:hint="default" w:ascii="Times New Roman" w:hAnsi="Times New Roman" w:eastAsia="宋体" w:cs="Times New Roman"/>
                      <w:spacing w:val="-24"/>
                      <w:sz w:val="21"/>
                      <w:szCs w:val="21"/>
                    </w:rPr>
                    <w:t xml:space="preserve"> </w:t>
                  </w:r>
                  <w:r>
                    <w:rPr>
                      <w:rFonts w:hint="default" w:ascii="Times New Roman" w:hAnsi="Times New Roman" w:eastAsia="宋体" w:cs="Times New Roman"/>
                      <w:spacing w:val="-7"/>
                      <w:sz w:val="21"/>
                      <w:szCs w:val="21"/>
                    </w:rPr>
                    <w:t>10辆次）及</w:t>
                  </w:r>
                  <w:r>
                    <w:rPr>
                      <w:rFonts w:hint="default" w:ascii="Times New Roman" w:hAnsi="Times New Roman" w:eastAsia="宋体" w:cs="Times New Roman"/>
                      <w:spacing w:val="-6"/>
                      <w:sz w:val="21"/>
                      <w:szCs w:val="21"/>
                    </w:rPr>
                    <w:t>以上（货物包括原料、辅料、燃料、产品</w:t>
                  </w:r>
                  <w:r>
                    <w:rPr>
                      <w:rFonts w:hint="default" w:ascii="Times New Roman" w:hAnsi="Times New Roman" w:eastAsia="宋体" w:cs="Times New Roman"/>
                      <w:spacing w:val="2"/>
                      <w:sz w:val="21"/>
                      <w:szCs w:val="21"/>
                    </w:rPr>
                    <w:t xml:space="preserve"> </w:t>
                  </w:r>
                  <w:r>
                    <w:rPr>
                      <w:rFonts w:hint="default" w:ascii="Times New Roman" w:hAnsi="Times New Roman" w:eastAsia="宋体" w:cs="Times New Roman"/>
                      <w:spacing w:val="-11"/>
                      <w:sz w:val="21"/>
                      <w:szCs w:val="21"/>
                    </w:rPr>
                    <w:t>和其他与生产相关物料）的企业，或纳入</w:t>
                  </w:r>
                  <w:r>
                    <w:rPr>
                      <w:rFonts w:hint="default" w:ascii="Times New Roman" w:hAnsi="Times New Roman" w:eastAsia="宋体" w:cs="Times New Roman"/>
                      <w:spacing w:val="-2"/>
                      <w:sz w:val="21"/>
                      <w:szCs w:val="21"/>
                    </w:rPr>
                    <w:t>我省重点行业年产值</w:t>
                  </w:r>
                  <w:r>
                    <w:rPr>
                      <w:rFonts w:hint="default" w:ascii="Times New Roman" w:hAnsi="Times New Roman" w:eastAsia="宋体" w:cs="Times New Roman"/>
                      <w:spacing w:val="-28"/>
                      <w:sz w:val="21"/>
                      <w:szCs w:val="21"/>
                    </w:rPr>
                    <w:t xml:space="preserve"> </w:t>
                  </w:r>
                  <w:r>
                    <w:rPr>
                      <w:rFonts w:hint="default" w:ascii="Times New Roman" w:hAnsi="Times New Roman" w:eastAsia="宋体" w:cs="Times New Roman"/>
                      <w:spacing w:val="-2"/>
                      <w:sz w:val="21"/>
                      <w:szCs w:val="21"/>
                    </w:rPr>
                    <w:t>1000万及以上的企</w:t>
                  </w:r>
                  <w:r>
                    <w:rPr>
                      <w:rFonts w:hint="default" w:ascii="Times New Roman" w:hAnsi="Times New Roman" w:eastAsia="宋体" w:cs="Times New Roman"/>
                      <w:sz w:val="21"/>
                      <w:szCs w:val="21"/>
                    </w:rPr>
                    <w:t xml:space="preserve"> </w:t>
                  </w:r>
                  <w:r>
                    <w:rPr>
                      <w:rFonts w:hint="default" w:ascii="Times New Roman" w:hAnsi="Times New Roman" w:eastAsia="宋体" w:cs="Times New Roman"/>
                      <w:spacing w:val="-6"/>
                      <w:sz w:val="21"/>
                      <w:szCs w:val="21"/>
                    </w:rPr>
                    <w:t>业，拟申报</w:t>
                  </w:r>
                  <w:r>
                    <w:rPr>
                      <w:rFonts w:hint="default" w:ascii="Times New Roman" w:hAnsi="Times New Roman" w:eastAsia="宋体" w:cs="Times New Roman"/>
                      <w:spacing w:val="-39"/>
                      <w:sz w:val="21"/>
                      <w:szCs w:val="21"/>
                    </w:rPr>
                    <w:t xml:space="preserve"> </w:t>
                  </w:r>
                  <w:r>
                    <w:rPr>
                      <w:rFonts w:hint="default" w:ascii="Times New Roman" w:hAnsi="Times New Roman" w:eastAsia="宋体" w:cs="Times New Roman"/>
                      <w:spacing w:val="-6"/>
                      <w:sz w:val="21"/>
                      <w:szCs w:val="21"/>
                    </w:rPr>
                    <w:t>A、B级企业时，应参照《重</w:t>
                  </w:r>
                  <w:r>
                    <w:rPr>
                      <w:rFonts w:hint="default" w:ascii="Times New Roman" w:hAnsi="Times New Roman" w:eastAsia="宋体" w:cs="Times New Roman"/>
                      <w:spacing w:val="6"/>
                      <w:sz w:val="21"/>
                      <w:szCs w:val="21"/>
                    </w:rPr>
                    <w:t>污染天气重点行业移动源应急管理技术</w:t>
                  </w:r>
                  <w:r>
                    <w:rPr>
                      <w:rFonts w:hint="default" w:ascii="Times New Roman" w:hAnsi="Times New Roman" w:eastAsia="宋体" w:cs="Times New Roman"/>
                      <w:spacing w:val="-2"/>
                      <w:sz w:val="21"/>
                      <w:szCs w:val="21"/>
                    </w:rPr>
                    <w:t>指南》建立门禁视频监控系统和电子台</w:t>
                  </w:r>
                  <w:r>
                    <w:rPr>
                      <w:rFonts w:hint="default" w:ascii="Times New Roman" w:hAnsi="Times New Roman" w:eastAsia="宋体" w:cs="Times New Roman"/>
                      <w:spacing w:val="-10"/>
                      <w:sz w:val="21"/>
                      <w:szCs w:val="21"/>
                    </w:rPr>
                    <w:t>账；</w:t>
                  </w:r>
                  <w:r>
                    <w:rPr>
                      <w:rFonts w:hint="default" w:ascii="Times New Roman" w:hAnsi="Times New Roman" w:eastAsia="宋体" w:cs="Times New Roman"/>
                      <w:spacing w:val="-34"/>
                      <w:sz w:val="21"/>
                      <w:szCs w:val="21"/>
                    </w:rPr>
                    <w:t xml:space="preserve"> </w:t>
                  </w:r>
                  <w:r>
                    <w:rPr>
                      <w:rFonts w:hint="default" w:ascii="Times New Roman" w:hAnsi="Times New Roman" w:eastAsia="宋体" w:cs="Times New Roman"/>
                      <w:spacing w:val="-10"/>
                      <w:sz w:val="21"/>
                      <w:szCs w:val="21"/>
                    </w:rPr>
                    <w:t>其他企业建立门禁视频监控系统和台</w:t>
                  </w:r>
                  <w:r>
                    <w:rPr>
                      <w:rFonts w:hint="default" w:ascii="Times New Roman" w:hAnsi="Times New Roman" w:eastAsia="宋体" w:cs="Times New Roman"/>
                      <w:spacing w:val="-6"/>
                      <w:sz w:val="21"/>
                      <w:szCs w:val="21"/>
                    </w:rPr>
                    <w:t>账。安装高清视频监控系统并能保留数据</w:t>
                  </w:r>
                  <w:r>
                    <w:rPr>
                      <w:rFonts w:hint="default" w:ascii="Times New Roman" w:hAnsi="Times New Roman" w:eastAsia="宋体" w:cs="Times New Roman"/>
                      <w:spacing w:val="-3"/>
                      <w:sz w:val="21"/>
                      <w:szCs w:val="21"/>
                    </w:rPr>
                    <w:t>6</w:t>
                  </w:r>
                  <w:r>
                    <w:rPr>
                      <w:rFonts w:hint="eastAsia" w:ascii="Times New Roman" w:hAnsi="Times New Roman" w:eastAsia="宋体" w:cs="Times New Roman"/>
                      <w:spacing w:val="-3"/>
                      <w:sz w:val="21"/>
                      <w:szCs w:val="21"/>
                      <w:lang w:eastAsia="zh-CN"/>
                    </w:rPr>
                    <w:t>个</w:t>
                  </w:r>
                  <w:r>
                    <w:rPr>
                      <w:rFonts w:hint="default" w:ascii="Times New Roman" w:hAnsi="Times New Roman" w:eastAsia="宋体" w:cs="Times New Roman"/>
                      <w:spacing w:val="-3"/>
                      <w:sz w:val="21"/>
                      <w:szCs w:val="21"/>
                    </w:rPr>
                    <w:t>月以上。</w:t>
                  </w:r>
                </w:p>
              </w:tc>
              <w:tc>
                <w:tcPr>
                  <w:tcW w:w="276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default" w:ascii="宋体" w:hAnsi="宋体" w:eastAsia="宋体" w:cs="宋体"/>
                      <w:spacing w:val="8"/>
                      <w:sz w:val="21"/>
                      <w:szCs w:val="21"/>
                      <w:lang w:val="en-US" w:eastAsia="zh-CN"/>
                    </w:rPr>
                  </w:pPr>
                  <w:r>
                    <w:rPr>
                      <w:rFonts w:hint="eastAsia" w:ascii="宋体" w:hAnsi="宋体" w:eastAsia="宋体" w:cs="宋体"/>
                      <w:spacing w:val="8"/>
                      <w:sz w:val="21"/>
                      <w:szCs w:val="21"/>
                      <w:lang w:eastAsia="zh-CN"/>
                    </w:rPr>
                    <w:t>本次评价要求企业设置门禁视频监控和台账，安装高清监控且监控记录保留</w:t>
                  </w:r>
                  <w:r>
                    <w:rPr>
                      <w:rFonts w:hint="eastAsia" w:ascii="宋体" w:hAnsi="宋体" w:eastAsia="宋体" w:cs="宋体"/>
                      <w:spacing w:val="8"/>
                      <w:sz w:val="21"/>
                      <w:szCs w:val="21"/>
                      <w:lang w:val="en-US" w:eastAsia="zh-CN"/>
                    </w:rPr>
                    <w:t>6个月以上。</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相符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68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环境管理要求</w:t>
                  </w:r>
                </w:p>
              </w:tc>
              <w:tc>
                <w:tcPr>
                  <w:tcW w:w="31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spacing w:val="-6"/>
                      <w:sz w:val="21"/>
                      <w:szCs w:val="21"/>
                    </w:rPr>
                  </w:pPr>
                  <w:r>
                    <w:rPr>
                      <w:rFonts w:hint="eastAsia" w:ascii="宋体" w:hAnsi="宋体" w:eastAsia="宋体" w:cs="宋体"/>
                      <w:spacing w:val="-7"/>
                      <w:sz w:val="21"/>
                      <w:szCs w:val="21"/>
                    </w:rPr>
                    <w:t>（1）环保档案资料齐全①环评批复文件 和竣工验收文件/现状评估文件；②废气 治理设施运行管理规程； ③一年内废气监 测报告；④国家版排污许可证，并按要求 开展自行监测和信息披露，有规范的排气 筒监测平台和排污口标识。（2）台账记录信息完整①生产设施运行管理信息（生产时间、运行负荷、产品产量等）；②废气污染治理设施运行管理信息（除尘滤料、活性炭等更换量和时间）；③监测记录信息（主要污染排放口废气排放记录 （手工监测和在线监测）等） ；④主要原辅材料、燃料消耗记录（A、B级企业必需） ；（3）人员配置合理配备专/兼职环保人员，并具备相应的环境管理能力（学历、培训、从业经验等） 。</w:t>
                  </w:r>
                </w:p>
              </w:tc>
              <w:tc>
                <w:tcPr>
                  <w:tcW w:w="276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both"/>
                    <w:textAlignment w:val="auto"/>
                    <w:rPr>
                      <w:rFonts w:hint="eastAsia" w:ascii="宋体" w:hAnsi="宋体" w:eastAsia="宋体" w:cs="宋体"/>
                      <w:spacing w:val="8"/>
                      <w:sz w:val="21"/>
                      <w:szCs w:val="21"/>
                      <w:lang w:eastAsia="zh-CN"/>
                    </w:rPr>
                  </w:pPr>
                  <w:r>
                    <w:rPr>
                      <w:rFonts w:hint="eastAsia" w:ascii="宋体" w:hAnsi="宋体" w:eastAsia="宋体" w:cs="宋体"/>
                      <w:spacing w:val="8"/>
                      <w:sz w:val="21"/>
                      <w:szCs w:val="21"/>
                      <w:lang w:eastAsia="zh-CN"/>
                    </w:rPr>
                    <w:t>本次评价要求企业项目建成投产后按照相关要求设置各类环保档案及台账。</w:t>
                  </w:r>
                </w:p>
              </w:tc>
              <w:tc>
                <w:tcPr>
                  <w:tcW w:w="85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eastAsia" w:ascii="宋体" w:hAnsi="宋体" w:eastAsia="宋体" w:cs="宋体"/>
                      <w:b w:val="0"/>
                      <w:bCs w:val="0"/>
                      <w:kern w:val="0"/>
                      <w:sz w:val="21"/>
                      <w:szCs w:val="21"/>
                      <w:vertAlign w:val="baseline"/>
                      <w:lang w:eastAsia="zh-CN"/>
                    </w:rPr>
                  </w:pPr>
                  <w:r>
                    <w:rPr>
                      <w:rFonts w:hint="eastAsia" w:ascii="宋体" w:hAnsi="宋体" w:eastAsia="宋体" w:cs="宋体"/>
                      <w:b w:val="0"/>
                      <w:bCs w:val="0"/>
                      <w:kern w:val="0"/>
                      <w:sz w:val="21"/>
                      <w:szCs w:val="21"/>
                      <w:vertAlign w:val="baseline"/>
                      <w:lang w:eastAsia="zh-CN"/>
                    </w:rPr>
                    <w:t>相符</w:t>
                  </w:r>
                </w:p>
              </w:tc>
            </w:tr>
          </w:tbl>
          <w:p>
            <w:pPr>
              <w:pStyle w:val="7"/>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黑体" w:hAnsi="黑体" w:eastAsia="黑体" w:cs="黑体"/>
                <w:szCs w:val="24"/>
                <w:lang w:val="en-US" w:eastAsia="zh-CN"/>
              </w:rPr>
            </w:pPr>
          </w:p>
          <w:p>
            <w:pPr>
              <w:pStyle w:val="7"/>
              <w:keepNext w:val="0"/>
              <w:keepLines w:val="0"/>
              <w:pageBreakBefore w:val="0"/>
              <w:widowControl w:val="0"/>
              <w:kinsoku/>
              <w:wordWrap/>
              <w:overflowPunct/>
              <w:topLinePunct w:val="0"/>
              <w:autoSpaceDE/>
              <w:autoSpaceDN/>
              <w:bidi w:val="0"/>
              <w:adjustRightInd/>
              <w:snapToGrid/>
              <w:spacing w:after="0" w:line="420" w:lineRule="exact"/>
              <w:ind w:left="0" w:leftChars="0" w:firstLine="0" w:firstLineChars="0"/>
              <w:jc w:val="center"/>
              <w:textAlignment w:val="auto"/>
              <w:rPr>
                <w:rFonts w:hint="eastAsia" w:ascii="黑体" w:hAnsi="黑体" w:eastAsia="黑体" w:cs="黑体"/>
                <w:szCs w:val="24"/>
                <w:lang w:val="en-US" w:eastAsia="zh-CN"/>
              </w:rPr>
            </w:pPr>
          </w:p>
        </w:tc>
      </w:tr>
    </w:tbl>
    <w:p>
      <w:pPr>
        <w:ind w:firstLine="600"/>
        <w:outlineLvl w:val="0"/>
        <w:rPr>
          <w:rFonts w:eastAsia="黑体"/>
          <w:sz w:val="30"/>
          <w:highlight w:val="yellow"/>
        </w:rPr>
        <w:sectPr>
          <w:footerReference r:id="rId11"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12"/>
        <w:keepNext w:val="0"/>
        <w:keepLines w:val="0"/>
        <w:pageBreakBefore w:val="0"/>
        <w:widowControl/>
        <w:kinsoku/>
        <w:wordWrap/>
        <w:overflowPunct/>
        <w:topLinePunct w:val="0"/>
        <w:autoSpaceDE/>
        <w:autoSpaceDN/>
        <w:bidi w:val="0"/>
        <w:adjustRightInd/>
        <w:snapToGrid/>
        <w:spacing w:before="0" w:beforeAutospacing="0" w:after="0" w:afterAutospacing="0"/>
        <w:ind w:firstLine="0" w:firstLineChars="0"/>
        <w:jc w:val="center"/>
        <w:textAlignment w:val="auto"/>
        <w:outlineLvl w:val="0"/>
        <w:rPr>
          <w:rFonts w:ascii="黑体" w:hAnsi="黑体" w:eastAsia="黑体"/>
          <w:snapToGrid w:val="0"/>
          <w:sz w:val="30"/>
          <w:szCs w:val="30"/>
        </w:rPr>
      </w:pPr>
      <w:r>
        <w:rPr>
          <w:rFonts w:hint="eastAsia" w:ascii="黑体" w:hAnsi="黑体" w:eastAsia="黑体"/>
          <w:snapToGrid w:val="0"/>
          <w:sz w:val="30"/>
          <w:szCs w:val="30"/>
        </w:rPr>
        <w:t>二、建设项目工程分析</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24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noWrap w:val="0"/>
            <w:vAlign w:val="center"/>
          </w:tcPr>
          <w:p>
            <w:pPr>
              <w:pStyle w:val="12"/>
              <w:adjustRightInd w:val="0"/>
              <w:snapToGrid w:val="0"/>
              <w:spacing w:before="0" w:beforeAutospacing="0" w:after="0" w:afterAutospacing="0"/>
              <w:ind w:left="-120" w:leftChars="-50" w:right="-120" w:rightChars="-50" w:firstLine="0" w:firstLineChars="0"/>
              <w:jc w:val="center"/>
              <w:rPr>
                <w:rFonts w:cs="宋体"/>
                <w:szCs w:val="24"/>
                <w:lang w:val="en-US" w:eastAsia="zh-CN"/>
              </w:rPr>
            </w:pPr>
            <w:r>
              <w:rPr>
                <w:rFonts w:hint="eastAsia" w:cs="宋体"/>
                <w:szCs w:val="24"/>
                <w:lang w:val="en-US" w:eastAsia="zh-CN"/>
              </w:rPr>
              <w:t>建设</w:t>
            </w:r>
          </w:p>
          <w:p>
            <w:pPr>
              <w:pStyle w:val="12"/>
              <w:adjustRightInd w:val="0"/>
              <w:snapToGrid w:val="0"/>
              <w:spacing w:before="0" w:beforeAutospacing="0" w:after="0" w:afterAutospacing="0"/>
              <w:ind w:left="-120" w:leftChars="-50" w:right="-120" w:rightChars="-50" w:firstLine="0" w:firstLineChars="0"/>
              <w:jc w:val="center"/>
              <w:rPr>
                <w:rFonts w:cs="宋体"/>
                <w:szCs w:val="24"/>
                <w:lang w:val="en-US" w:eastAsia="zh-CN"/>
              </w:rPr>
            </w:pPr>
            <w:r>
              <w:rPr>
                <w:rFonts w:hint="eastAsia" w:cs="宋体"/>
                <w:szCs w:val="24"/>
                <w:lang w:val="en-US" w:eastAsia="zh-CN"/>
              </w:rPr>
              <w:t>内容</w:t>
            </w:r>
          </w:p>
        </w:tc>
        <w:tc>
          <w:tcPr>
            <w:tcW w:w="8243" w:type="dxa"/>
            <w:noWrap w:val="0"/>
            <w:vAlign w:val="top"/>
          </w:tcPr>
          <w:p>
            <w:pPr>
              <w:keepNext w:val="0"/>
              <w:keepLines w:val="0"/>
              <w:pageBreakBefore w:val="0"/>
              <w:widowControl w:val="0"/>
              <w:kinsoku/>
              <w:wordWrap/>
              <w:overflowPunct/>
              <w:topLinePunct w:val="0"/>
              <w:autoSpaceDE/>
              <w:autoSpaceDN/>
              <w:bidi w:val="0"/>
              <w:adjustRightInd w:val="0"/>
              <w:snapToGrid w:val="0"/>
              <w:spacing w:line="420" w:lineRule="exact"/>
              <w:ind w:firstLine="482"/>
              <w:jc w:val="left"/>
              <w:textAlignment w:val="auto"/>
              <w:rPr>
                <w:rFonts w:hint="eastAsia" w:eastAsia="宋体"/>
                <w:b/>
                <w:highlight w:val="none"/>
                <w:lang w:eastAsia="zh-CN"/>
              </w:rPr>
            </w:pPr>
            <w:r>
              <w:rPr>
                <w:rFonts w:hint="eastAsia"/>
                <w:b/>
                <w:highlight w:val="none"/>
                <w:lang w:val="en-US" w:eastAsia="zh-CN"/>
              </w:rPr>
              <w:t>1</w:t>
            </w:r>
            <w:r>
              <w:rPr>
                <w:rFonts w:hint="eastAsia"/>
                <w:b/>
                <w:highlight w:val="none"/>
              </w:rPr>
              <w:t>、</w:t>
            </w:r>
            <w:r>
              <w:rPr>
                <w:rFonts w:hint="eastAsia"/>
                <w:b/>
                <w:highlight w:val="none"/>
                <w:lang w:eastAsia="zh-CN"/>
              </w:rPr>
              <w:t>扩建项目建设规模</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default" w:eastAsia="宋体" w:cs="Times New Roman"/>
                <w:sz w:val="24"/>
                <w:szCs w:val="24"/>
                <w:highlight w:val="none"/>
                <w:lang w:val="en-US" w:eastAsia="zh-CN"/>
              </w:rPr>
            </w:pPr>
            <w:bookmarkStart w:id="3" w:name="_GoBack"/>
            <w:r>
              <w:rPr>
                <w:rFonts w:hint="eastAsia" w:cs="Times New Roman"/>
                <w:sz w:val="24"/>
                <w:szCs w:val="24"/>
                <w:highlight w:val="none"/>
                <w:lang w:val="en-US" w:eastAsia="zh-CN"/>
              </w:rPr>
              <w:t>济源市源清环保科技有限公司拟投资1000万元，利用现有厂房2400m</w:t>
            </w:r>
            <w:r>
              <w:rPr>
                <w:rFonts w:hint="eastAsia" w:cs="Times New Roman"/>
                <w:sz w:val="24"/>
                <w:szCs w:val="24"/>
                <w:highlight w:val="none"/>
                <w:vertAlign w:val="superscript"/>
                <w:lang w:val="en-US" w:eastAsia="zh-CN"/>
              </w:rPr>
              <w:t>2</w:t>
            </w:r>
            <w:r>
              <w:rPr>
                <w:rFonts w:hint="eastAsia" w:cs="Times New Roman"/>
                <w:sz w:val="24"/>
                <w:szCs w:val="24"/>
                <w:highlight w:val="none"/>
                <w:lang w:val="en-US" w:eastAsia="zh-CN"/>
              </w:rPr>
              <w:t>闲置场地建设废铅蓄电池收集与贮存项目。</w:t>
            </w:r>
            <w:r>
              <w:rPr>
                <w:rFonts w:ascii="宋体" w:hAnsi="宋体" w:eastAsia="宋体" w:cs="宋体"/>
                <w:spacing w:val="-5"/>
                <w:sz w:val="24"/>
                <w:szCs w:val="24"/>
              </w:rPr>
              <w:t>废铅蓄电池属于危险废物，危废类别：</w:t>
            </w:r>
            <w:r>
              <w:rPr>
                <w:rFonts w:ascii="Times New Roman" w:hAnsi="Times New Roman" w:eastAsia="Times New Roman" w:cs="Times New Roman"/>
                <w:spacing w:val="-5"/>
                <w:sz w:val="24"/>
                <w:szCs w:val="24"/>
              </w:rPr>
              <w:t>HW31</w:t>
            </w:r>
            <w:r>
              <w:rPr>
                <w:rFonts w:ascii="Times New Roman" w:hAnsi="Times New Roman" w:eastAsia="Times New Roman" w:cs="Times New Roman"/>
                <w:spacing w:val="10"/>
                <w:sz w:val="24"/>
                <w:szCs w:val="24"/>
              </w:rPr>
              <w:t xml:space="preserve"> </w:t>
            </w:r>
            <w:r>
              <w:rPr>
                <w:rFonts w:ascii="宋体" w:hAnsi="宋体" w:eastAsia="宋体" w:cs="宋体"/>
                <w:spacing w:val="-5"/>
                <w:sz w:val="24"/>
                <w:szCs w:val="24"/>
              </w:rPr>
              <w:t>含铅废</w:t>
            </w:r>
            <w:r>
              <w:rPr>
                <w:rFonts w:ascii="宋体" w:hAnsi="宋体" w:eastAsia="宋体" w:cs="宋体"/>
                <w:spacing w:val="-4"/>
                <w:sz w:val="24"/>
                <w:szCs w:val="24"/>
              </w:rPr>
              <w:t>物，危废代码：</w:t>
            </w:r>
            <w:r>
              <w:rPr>
                <w:rFonts w:ascii="Times New Roman" w:hAnsi="Times New Roman" w:eastAsia="Times New Roman" w:cs="Times New Roman"/>
                <w:spacing w:val="-4"/>
                <w:sz w:val="24"/>
                <w:szCs w:val="24"/>
              </w:rPr>
              <w:t>900-052-31</w:t>
            </w:r>
            <w:r>
              <w:rPr>
                <w:rFonts w:ascii="Times New Roman" w:hAnsi="Times New Roman" w:eastAsia="Times New Roman" w:cs="Times New Roman"/>
                <w:spacing w:val="-27"/>
                <w:sz w:val="24"/>
                <w:szCs w:val="24"/>
              </w:rPr>
              <w:t xml:space="preserve"> </w:t>
            </w:r>
            <w:r>
              <w:rPr>
                <w:rFonts w:ascii="宋体" w:hAnsi="宋体" w:eastAsia="宋体" w:cs="宋体"/>
                <w:spacing w:val="-4"/>
                <w:sz w:val="24"/>
                <w:szCs w:val="24"/>
              </w:rPr>
              <w:t>，废铅蓄电池及废铅蓄电池拆解过程中产生的废</w:t>
            </w:r>
            <w:r>
              <w:rPr>
                <w:rFonts w:ascii="宋体" w:hAnsi="宋体" w:eastAsia="宋体" w:cs="宋体"/>
                <w:spacing w:val="-6"/>
                <w:sz w:val="24"/>
                <w:szCs w:val="24"/>
              </w:rPr>
              <w:t>铅板、废铅膏和酸液；</w:t>
            </w:r>
            <w:bookmarkEnd w:id="3"/>
            <w:r>
              <w:rPr>
                <w:rFonts w:ascii="宋体" w:hAnsi="宋体" w:eastAsia="宋体" w:cs="宋体"/>
                <w:spacing w:val="-6"/>
                <w:sz w:val="24"/>
                <w:szCs w:val="24"/>
              </w:rPr>
              <w:t>未破损的废铅蓄电池运输过程中属于豁免类，可不按危险废物进行运输，豁免条件：运输工具满足防雨、防渗漏、防遗撒要求。</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ascii="Times New Roman" w:hAnsi="Times New Roman" w:cs="Times New Roman"/>
                <w:sz w:val="24"/>
                <w:szCs w:val="24"/>
                <w:highlight w:val="none"/>
                <w:lang w:val="en-US" w:eastAsia="zh-CN"/>
              </w:rPr>
            </w:pPr>
            <w:r>
              <w:rPr>
                <w:rFonts w:ascii="宋体" w:hAnsi="宋体" w:eastAsia="宋体" w:cs="宋体"/>
                <w:sz w:val="24"/>
                <w:szCs w:val="24"/>
              </w:rPr>
              <w:t>项目收集的废铅酸蓄电池主要来源于铅蓄电池销售网点、机</w:t>
            </w:r>
            <w:r>
              <w:rPr>
                <w:rFonts w:ascii="宋体" w:hAnsi="宋体" w:eastAsia="宋体" w:cs="宋体"/>
                <w:spacing w:val="-4"/>
                <w:sz w:val="24"/>
                <w:szCs w:val="24"/>
              </w:rPr>
              <w:t>动车</w:t>
            </w:r>
            <w:r>
              <w:rPr>
                <w:rFonts w:ascii="宋体" w:hAnsi="宋体" w:eastAsia="宋体" w:cs="宋体"/>
                <w:spacing w:val="-56"/>
                <w:sz w:val="24"/>
                <w:szCs w:val="24"/>
              </w:rPr>
              <w:t xml:space="preserve"> </w:t>
            </w:r>
            <w:r>
              <w:rPr>
                <w:rFonts w:ascii="Times New Roman" w:hAnsi="Times New Roman" w:eastAsia="Times New Roman" w:cs="Times New Roman"/>
                <w:spacing w:val="-4"/>
                <w:sz w:val="24"/>
                <w:szCs w:val="24"/>
              </w:rPr>
              <w:t>4S</w:t>
            </w:r>
            <w:r>
              <w:rPr>
                <w:rFonts w:ascii="宋体" w:hAnsi="宋体" w:eastAsia="宋体" w:cs="宋体"/>
                <w:spacing w:val="-4"/>
                <w:sz w:val="24"/>
                <w:szCs w:val="24"/>
              </w:rPr>
              <w:t>店、汽车及电动自行车维修网点、其他使用铅蓄电池的社会企事业单</w:t>
            </w:r>
            <w:r>
              <w:rPr>
                <w:rFonts w:ascii="宋体" w:hAnsi="宋体" w:eastAsia="宋体" w:cs="宋体"/>
                <w:spacing w:val="-5"/>
                <w:sz w:val="24"/>
                <w:szCs w:val="24"/>
              </w:rPr>
              <w:t>位报废的铅蓄电池等。</w:t>
            </w:r>
            <w:r>
              <w:rPr>
                <w:rFonts w:hint="eastAsia" w:ascii="Times New Roman" w:hAnsi="Times New Roman" w:cs="Times New Roman"/>
                <w:sz w:val="24"/>
                <w:szCs w:val="24"/>
                <w:highlight w:val="none"/>
                <w:lang w:val="en-US" w:eastAsia="zh-CN"/>
              </w:rPr>
              <w:t>根据贮存库功能设计及面积计算，设计废铅蓄电池最大贮存量为2000吨，实际最大贮存量不超过</w:t>
            </w:r>
            <w:r>
              <w:rPr>
                <w:rFonts w:hint="eastAsia" w:cs="Times New Roman"/>
                <w:sz w:val="24"/>
                <w:szCs w:val="24"/>
                <w:highlight w:val="none"/>
                <w:lang w:val="en-US" w:eastAsia="zh-CN"/>
              </w:rPr>
              <w:t>350</w:t>
            </w:r>
            <w:r>
              <w:rPr>
                <w:rFonts w:hint="eastAsia" w:ascii="Times New Roman" w:hAnsi="Times New Roman" w:cs="Times New Roman"/>
                <w:sz w:val="24"/>
                <w:szCs w:val="24"/>
                <w:highlight w:val="none"/>
                <w:lang w:val="en-US" w:eastAsia="zh-CN"/>
              </w:rPr>
              <w:t>吨，全年废铅蓄电池最大中转量约100000吨。</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default" w:cs="Times New Roman"/>
                <w:sz w:val="24"/>
                <w:szCs w:val="24"/>
                <w:highlight w:val="none"/>
                <w:lang w:val="en-US" w:eastAsia="zh-CN"/>
              </w:rPr>
            </w:pPr>
            <w:r>
              <w:rPr>
                <w:rFonts w:hint="eastAsia" w:cs="Times New Roman"/>
                <w:sz w:val="24"/>
                <w:szCs w:val="24"/>
                <w:highlight w:val="none"/>
                <w:lang w:val="en-US" w:eastAsia="zh-CN"/>
              </w:rPr>
              <w:t>扩建项目规模、建设内容如下：</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黑体" w:cs="Times New Roman"/>
                <w:sz w:val="24"/>
                <w:highlight w:val="none"/>
                <w:lang w:eastAsia="zh-CN"/>
              </w:rPr>
            </w:pPr>
            <w:r>
              <w:rPr>
                <w:rFonts w:hint="eastAsia" w:eastAsia="黑体" w:cs="Times New Roman"/>
                <w:sz w:val="24"/>
                <w:highlight w:val="none"/>
                <w:lang w:eastAsia="zh-CN"/>
              </w:rPr>
              <w:t>扩建项目规模一览表</w:t>
            </w:r>
          </w:p>
          <w:tbl>
            <w:tblPr>
              <w:tblStyle w:val="15"/>
              <w:tblW w:w="8076"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560"/>
              <w:gridCol w:w="1154"/>
              <w:gridCol w:w="1313"/>
              <w:gridCol w:w="1295"/>
              <w:gridCol w:w="2754"/>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7" w:hRule="atLeast"/>
                <w:jc w:val="center"/>
              </w:trPr>
              <w:tc>
                <w:tcPr>
                  <w:tcW w:w="156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b w:val="0"/>
                      <w:bCs/>
                      <w:sz w:val="21"/>
                      <w:szCs w:val="21"/>
                      <w:highlight w:val="none"/>
                    </w:rPr>
                  </w:pPr>
                  <w:r>
                    <w:rPr>
                      <w:rFonts w:hint="eastAsia"/>
                      <w:b w:val="0"/>
                      <w:bCs/>
                      <w:sz w:val="21"/>
                      <w:szCs w:val="21"/>
                      <w:highlight w:val="none"/>
                      <w:lang w:eastAsia="zh-CN"/>
                    </w:rPr>
                    <w:t>危险废物</w:t>
                  </w:r>
                  <w:r>
                    <w:rPr>
                      <w:b w:val="0"/>
                      <w:bCs/>
                      <w:sz w:val="21"/>
                      <w:szCs w:val="21"/>
                      <w:highlight w:val="none"/>
                    </w:rPr>
                    <w:t>名称</w:t>
                  </w:r>
                </w:p>
              </w:tc>
              <w:tc>
                <w:tcPr>
                  <w:tcW w:w="115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eastAsia"/>
                      <w:b w:val="0"/>
                      <w:bCs/>
                      <w:kern w:val="2"/>
                      <w:sz w:val="21"/>
                      <w:szCs w:val="21"/>
                      <w:highlight w:val="none"/>
                      <w:lang w:val="en-US" w:eastAsia="zh-CN" w:bidi="ar-SA"/>
                    </w:rPr>
                  </w:pPr>
                  <w:r>
                    <w:rPr>
                      <w:rFonts w:hint="eastAsia"/>
                      <w:b w:val="0"/>
                      <w:bCs/>
                      <w:kern w:val="2"/>
                      <w:sz w:val="21"/>
                      <w:szCs w:val="21"/>
                      <w:highlight w:val="none"/>
                      <w:lang w:val="en-US" w:eastAsia="zh-CN" w:bidi="ar-SA"/>
                    </w:rPr>
                    <w:t>危险废物</w:t>
                  </w:r>
                </w:p>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eastAsia" w:eastAsia="宋体"/>
                      <w:b w:val="0"/>
                      <w:bCs/>
                      <w:kern w:val="2"/>
                      <w:sz w:val="21"/>
                      <w:szCs w:val="21"/>
                      <w:highlight w:val="none"/>
                      <w:lang w:val="en-US" w:eastAsia="zh-CN" w:bidi="ar-SA"/>
                    </w:rPr>
                  </w:pPr>
                  <w:r>
                    <w:rPr>
                      <w:rFonts w:hint="eastAsia"/>
                      <w:b w:val="0"/>
                      <w:bCs/>
                      <w:kern w:val="2"/>
                      <w:sz w:val="21"/>
                      <w:szCs w:val="21"/>
                      <w:highlight w:val="none"/>
                      <w:lang w:val="en-US" w:eastAsia="zh-CN" w:bidi="ar-SA"/>
                    </w:rPr>
                    <w:t>类别</w:t>
                  </w:r>
                </w:p>
              </w:tc>
              <w:tc>
                <w:tcPr>
                  <w:tcW w:w="1313"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eastAsia"/>
                      <w:b w:val="0"/>
                      <w:bCs/>
                      <w:sz w:val="21"/>
                      <w:szCs w:val="21"/>
                      <w:highlight w:val="none"/>
                      <w:lang w:val="en-US" w:eastAsia="zh-CN"/>
                    </w:rPr>
                  </w:pPr>
                  <w:r>
                    <w:rPr>
                      <w:rFonts w:hint="eastAsia"/>
                      <w:b w:val="0"/>
                      <w:bCs/>
                      <w:sz w:val="21"/>
                      <w:szCs w:val="21"/>
                      <w:highlight w:val="none"/>
                      <w:lang w:val="en-US" w:eastAsia="zh-CN"/>
                    </w:rPr>
                    <w:t>危险废物</w:t>
                  </w:r>
                </w:p>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default" w:eastAsia="宋体"/>
                      <w:b w:val="0"/>
                      <w:bCs/>
                      <w:sz w:val="21"/>
                      <w:szCs w:val="21"/>
                      <w:highlight w:val="none"/>
                      <w:lang w:val="en-US" w:eastAsia="zh-CN"/>
                    </w:rPr>
                  </w:pPr>
                  <w:r>
                    <w:rPr>
                      <w:rFonts w:hint="eastAsia"/>
                      <w:b w:val="0"/>
                      <w:bCs/>
                      <w:sz w:val="21"/>
                      <w:szCs w:val="21"/>
                      <w:highlight w:val="none"/>
                      <w:lang w:val="en-US" w:eastAsia="zh-CN"/>
                    </w:rPr>
                    <w:t>代码</w:t>
                  </w:r>
                </w:p>
              </w:tc>
              <w:tc>
                <w:tcPr>
                  <w:tcW w:w="129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b w:val="0"/>
                      <w:bCs/>
                      <w:sz w:val="21"/>
                      <w:szCs w:val="21"/>
                      <w:highlight w:val="none"/>
                    </w:rPr>
                  </w:pPr>
                  <w:r>
                    <w:rPr>
                      <w:rFonts w:hint="eastAsia"/>
                      <w:b w:val="0"/>
                      <w:bCs/>
                      <w:sz w:val="21"/>
                      <w:szCs w:val="21"/>
                      <w:highlight w:val="none"/>
                      <w:lang w:eastAsia="zh-CN"/>
                    </w:rPr>
                    <w:t>仓库单日最大暂存量</w:t>
                  </w:r>
                </w:p>
              </w:tc>
              <w:tc>
                <w:tcPr>
                  <w:tcW w:w="275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left="0" w:leftChars="0" w:firstLine="0" w:firstLineChars="0"/>
                    <w:jc w:val="center"/>
                    <w:textAlignment w:val="auto"/>
                    <w:rPr>
                      <w:rFonts w:hint="eastAsia"/>
                      <w:b w:val="0"/>
                      <w:bCs/>
                      <w:sz w:val="21"/>
                      <w:szCs w:val="21"/>
                      <w:highlight w:val="none"/>
                      <w:lang w:eastAsia="zh-CN"/>
                    </w:rPr>
                  </w:pPr>
                  <w:r>
                    <w:rPr>
                      <w:rFonts w:hint="eastAsia"/>
                      <w:b w:val="0"/>
                      <w:bCs/>
                      <w:sz w:val="21"/>
                      <w:szCs w:val="21"/>
                      <w:highlight w:val="none"/>
                      <w:lang w:eastAsia="zh-CN"/>
                    </w:rPr>
                    <w:t>危险废物来源</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5" w:hRule="atLeast"/>
                <w:jc w:val="center"/>
              </w:trPr>
              <w:tc>
                <w:tcPr>
                  <w:tcW w:w="1560" w:type="dxa"/>
                  <w:noWrap w:val="0"/>
                  <w:vAlign w:val="center"/>
                </w:tcPr>
                <w:p>
                  <w:pPr>
                    <w:keepNext w:val="0"/>
                    <w:keepLines w:val="0"/>
                    <w:pageBreakBefore w:val="0"/>
                    <w:widowControl w:val="0"/>
                    <w:kinsoku/>
                    <w:wordWrap/>
                    <w:overflowPunct/>
                    <w:topLinePunct w:val="0"/>
                    <w:autoSpaceDE/>
                    <w:autoSpaceDN/>
                    <w:bidi w:val="0"/>
                    <w:spacing w:line="300" w:lineRule="exact"/>
                    <w:ind w:left="0" w:leftChars="0" w:firstLine="0" w:firstLineChars="0"/>
                    <w:jc w:val="center"/>
                    <w:textAlignment w:val="auto"/>
                    <w:rPr>
                      <w:rFonts w:hint="eastAsia" w:ascii="宋体" w:hAnsi="宋体" w:eastAsia="宋体" w:cs="宋体"/>
                      <w:color w:val="000000"/>
                      <w:sz w:val="21"/>
                      <w:szCs w:val="21"/>
                      <w:highlight w:val="none"/>
                      <w:lang w:eastAsia="zh-CN"/>
                    </w:rPr>
                  </w:pPr>
                  <w:r>
                    <w:rPr>
                      <w:rFonts w:hint="eastAsia" w:ascii="宋体" w:hAnsi="宋体" w:cs="宋体"/>
                      <w:color w:val="000000"/>
                      <w:sz w:val="21"/>
                      <w:szCs w:val="21"/>
                      <w:highlight w:val="none"/>
                      <w:lang w:eastAsia="zh-CN"/>
                    </w:rPr>
                    <w:t>废铅蓄电池</w:t>
                  </w:r>
                </w:p>
              </w:tc>
              <w:tc>
                <w:tcPr>
                  <w:tcW w:w="1154" w:type="dxa"/>
                  <w:noWrap w:val="0"/>
                  <w:vAlign w:val="center"/>
                </w:tcPr>
                <w:p>
                  <w:pPr>
                    <w:keepNext w:val="0"/>
                    <w:keepLines w:val="0"/>
                    <w:pageBreakBefore w:val="0"/>
                    <w:widowControl w:val="0"/>
                    <w:kinsoku/>
                    <w:wordWrap/>
                    <w:overflowPunct/>
                    <w:topLinePunct w:val="0"/>
                    <w:autoSpaceDE/>
                    <w:autoSpaceDN/>
                    <w:bidi w:val="0"/>
                    <w:spacing w:line="300" w:lineRule="exact"/>
                    <w:ind w:firstLine="0" w:firstLineChars="0"/>
                    <w:jc w:val="center"/>
                    <w:textAlignment w:val="auto"/>
                    <w:rPr>
                      <w:rFonts w:hint="default" w:ascii="宋体" w:hAnsi="宋体" w:eastAsia="宋体" w:cs="宋体"/>
                      <w:color w:val="000000"/>
                      <w:kern w:val="2"/>
                      <w:sz w:val="21"/>
                      <w:szCs w:val="21"/>
                      <w:highlight w:val="none"/>
                      <w:lang w:val="en-US" w:eastAsia="zh-CN" w:bidi="ar-SA"/>
                    </w:rPr>
                  </w:pPr>
                  <w:r>
                    <w:rPr>
                      <w:rFonts w:hint="eastAsia"/>
                      <w:color w:val="000000"/>
                      <w:sz w:val="21"/>
                      <w:szCs w:val="21"/>
                      <w:highlight w:val="none"/>
                      <w:lang w:val="en-US" w:eastAsia="zh-CN"/>
                    </w:rPr>
                    <w:t>HW31</w:t>
                  </w:r>
                </w:p>
              </w:tc>
              <w:tc>
                <w:tcPr>
                  <w:tcW w:w="1313" w:type="dxa"/>
                  <w:noWrap w:val="0"/>
                  <w:vAlign w:val="center"/>
                </w:tcPr>
                <w:p>
                  <w:pPr>
                    <w:keepNext w:val="0"/>
                    <w:keepLines w:val="0"/>
                    <w:pageBreakBefore w:val="0"/>
                    <w:widowControl w:val="0"/>
                    <w:kinsoku/>
                    <w:wordWrap/>
                    <w:overflowPunct/>
                    <w:topLinePunct w:val="0"/>
                    <w:autoSpaceDE/>
                    <w:autoSpaceDN/>
                    <w:bidi w:val="0"/>
                    <w:spacing w:line="300" w:lineRule="exact"/>
                    <w:ind w:firstLine="0" w:firstLineChars="0"/>
                    <w:jc w:val="center"/>
                    <w:textAlignment w:val="auto"/>
                    <w:rPr>
                      <w:rFonts w:hint="default" w:ascii="Times New Roman" w:hAnsi="Times New Roman" w:eastAsia="宋体" w:cs="Times New Roman"/>
                      <w:color w:val="000000"/>
                      <w:sz w:val="21"/>
                      <w:szCs w:val="21"/>
                      <w:highlight w:val="none"/>
                      <w:lang w:val="en-US" w:eastAsia="zh-CN"/>
                    </w:rPr>
                  </w:pPr>
                  <w:r>
                    <w:rPr>
                      <w:rFonts w:hint="eastAsia" w:cs="Times New Roman"/>
                      <w:color w:val="000000"/>
                      <w:sz w:val="21"/>
                      <w:szCs w:val="21"/>
                      <w:highlight w:val="none"/>
                      <w:lang w:val="en-US" w:eastAsia="zh-CN"/>
                    </w:rPr>
                    <w:t>900-052-31</w:t>
                  </w:r>
                </w:p>
              </w:tc>
              <w:tc>
                <w:tcPr>
                  <w:tcW w:w="129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300" w:lineRule="exact"/>
                    <w:ind w:firstLine="0" w:firstLineChars="0"/>
                    <w:jc w:val="center"/>
                    <w:textAlignment w:val="auto"/>
                    <w:rPr>
                      <w:rFonts w:hint="default" w:ascii="宋体" w:hAnsi="宋体" w:eastAsia="宋体" w:cs="宋体"/>
                      <w:color w:val="000000"/>
                      <w:kern w:val="2"/>
                      <w:sz w:val="21"/>
                      <w:szCs w:val="21"/>
                      <w:highlight w:val="none"/>
                      <w:lang w:val="en-US" w:eastAsia="zh-CN" w:bidi="ar-SA"/>
                    </w:rPr>
                  </w:pPr>
                  <w:r>
                    <w:rPr>
                      <w:rFonts w:hint="eastAsia"/>
                      <w:sz w:val="21"/>
                      <w:szCs w:val="21"/>
                      <w:highlight w:val="none"/>
                      <w:lang w:val="en-US" w:eastAsia="zh-CN"/>
                    </w:rPr>
                    <w:t>350吨</w:t>
                  </w:r>
                </w:p>
              </w:tc>
              <w:tc>
                <w:tcPr>
                  <w:tcW w:w="2754" w:type="dxa"/>
                  <w:noWrap w:val="0"/>
                  <w:vAlign w:val="center"/>
                </w:tcPr>
                <w:p>
                  <w:pPr>
                    <w:keepNext w:val="0"/>
                    <w:keepLines w:val="0"/>
                    <w:pageBreakBefore w:val="0"/>
                    <w:widowControl w:val="0"/>
                    <w:kinsoku/>
                    <w:wordWrap/>
                    <w:overflowPunct/>
                    <w:topLinePunct w:val="0"/>
                    <w:autoSpaceDE/>
                    <w:autoSpaceDN/>
                    <w:bidi w:val="0"/>
                    <w:spacing w:line="300" w:lineRule="exact"/>
                    <w:ind w:firstLine="0" w:firstLineChars="0"/>
                    <w:jc w:val="left"/>
                    <w:textAlignment w:val="auto"/>
                    <w:rPr>
                      <w:rFonts w:hint="eastAsia"/>
                      <w:color w:val="000000"/>
                      <w:sz w:val="21"/>
                      <w:szCs w:val="21"/>
                      <w:highlight w:val="none"/>
                    </w:rPr>
                  </w:pPr>
                  <w:r>
                    <w:rPr>
                      <w:rFonts w:ascii="宋体" w:hAnsi="宋体" w:eastAsia="宋体" w:cs="宋体"/>
                      <w:spacing w:val="7"/>
                      <w:sz w:val="21"/>
                      <w:szCs w:val="21"/>
                    </w:rPr>
                    <w:t>项目收集的废铅酸蓄电池主要来</w:t>
                  </w:r>
                  <w:r>
                    <w:rPr>
                      <w:rFonts w:ascii="宋体" w:hAnsi="宋体" w:eastAsia="宋体" w:cs="宋体"/>
                      <w:spacing w:val="8"/>
                      <w:sz w:val="21"/>
                      <w:szCs w:val="21"/>
                    </w:rPr>
                    <w:t>源于铅蓄电池销售网</w:t>
                  </w:r>
                  <w:r>
                    <w:rPr>
                      <w:rFonts w:hint="eastAsia" w:ascii="宋体" w:hAnsi="宋体" w:eastAsia="宋体" w:cs="宋体"/>
                      <w:spacing w:val="8"/>
                      <w:sz w:val="21"/>
                      <w:szCs w:val="21"/>
                      <w:lang w:eastAsia="zh-CN"/>
                    </w:rPr>
                    <w:t>点</w:t>
                  </w:r>
                  <w:r>
                    <w:rPr>
                      <w:rFonts w:ascii="宋体" w:hAnsi="宋体" w:eastAsia="宋体" w:cs="宋体"/>
                      <w:spacing w:val="8"/>
                      <w:sz w:val="21"/>
                      <w:szCs w:val="21"/>
                    </w:rPr>
                    <w:t>、机动车</w:t>
                  </w:r>
                  <w:r>
                    <w:rPr>
                      <w:rFonts w:ascii="Times New Roman" w:hAnsi="Times New Roman" w:eastAsia="Times New Roman" w:cs="Times New Roman"/>
                      <w:spacing w:val="2"/>
                      <w:sz w:val="21"/>
                      <w:szCs w:val="21"/>
                    </w:rPr>
                    <w:t>4S</w:t>
                  </w:r>
                  <w:r>
                    <w:rPr>
                      <w:rFonts w:ascii="宋体" w:hAnsi="宋体" w:eastAsia="宋体" w:cs="宋体"/>
                      <w:spacing w:val="2"/>
                      <w:sz w:val="21"/>
                      <w:szCs w:val="21"/>
                    </w:rPr>
                    <w:t>店、汽车及电动自行车维修网</w:t>
                  </w:r>
                  <w:r>
                    <w:rPr>
                      <w:rFonts w:ascii="宋体" w:hAnsi="宋体" w:eastAsia="宋体" w:cs="宋体"/>
                      <w:spacing w:val="-7"/>
                      <w:sz w:val="21"/>
                      <w:szCs w:val="21"/>
                    </w:rPr>
                    <w:t>点、其他使用铅蓄电池的社会企事</w:t>
                  </w:r>
                  <w:r>
                    <w:rPr>
                      <w:rFonts w:ascii="宋体" w:hAnsi="宋体" w:eastAsia="宋体" w:cs="宋体"/>
                      <w:spacing w:val="-1"/>
                      <w:sz w:val="21"/>
                      <w:szCs w:val="21"/>
                    </w:rPr>
                    <w:t>业单位报废的铅蓄电池等。</w:t>
                  </w:r>
                </w:p>
              </w:tc>
            </w:tr>
          </w:tbl>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eastAsia="黑体" w:cs="Times New Roman"/>
                <w:sz w:val="24"/>
                <w:highlight w:val="none"/>
                <w:lang w:eastAsia="zh-CN"/>
              </w:rPr>
            </w:pPr>
            <w:r>
              <w:rPr>
                <w:rFonts w:hint="eastAsia" w:eastAsia="黑体" w:cs="Times New Roman"/>
                <w:sz w:val="24"/>
                <w:highlight w:val="none"/>
                <w:lang w:eastAsia="zh-CN"/>
              </w:rPr>
              <w:t>扩建项目建设内容一览表</w:t>
            </w:r>
          </w:p>
          <w:tbl>
            <w:tblPr>
              <w:tblStyle w:val="16"/>
              <w:tblW w:w="80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8"/>
              <w:gridCol w:w="1096"/>
              <w:gridCol w:w="1601"/>
              <w:gridCol w:w="2626"/>
              <w:gridCol w:w="16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2194"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工程内容</w:t>
                  </w:r>
                </w:p>
              </w:tc>
              <w:tc>
                <w:tcPr>
                  <w:tcW w:w="4227"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规格面积</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主体工程</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贮存仓库</w:t>
                  </w:r>
                </w:p>
              </w:tc>
              <w:tc>
                <w:tcPr>
                  <w:tcW w:w="4227"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val="en-US" w:eastAsia="zh-CN"/>
                    </w:rPr>
                    <w:t>2400m</w:t>
                  </w:r>
                  <w:r>
                    <w:rPr>
                      <w:rFonts w:hint="eastAsia"/>
                      <w:sz w:val="21"/>
                      <w:szCs w:val="21"/>
                      <w:vertAlign w:val="superscript"/>
                      <w:lang w:val="en-US" w:eastAsia="zh-CN"/>
                    </w:rPr>
                    <w:t>2</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利用现有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公用工程</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eastAsia="zh-CN"/>
                    </w:rPr>
                    <w:t>供电</w:t>
                  </w:r>
                </w:p>
              </w:tc>
              <w:tc>
                <w:tcPr>
                  <w:tcW w:w="4227"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依托园区电网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eastAsia="zh-CN"/>
                    </w:rPr>
                    <w:t>供水</w:t>
                  </w:r>
                </w:p>
              </w:tc>
              <w:tc>
                <w:tcPr>
                  <w:tcW w:w="4227"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w:t>
                  </w:r>
                </w:p>
              </w:tc>
              <w:tc>
                <w:tcPr>
                  <w:tcW w:w="167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依托园区供水系统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环保工程</w:t>
                  </w: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噪声</w:t>
                  </w:r>
                </w:p>
              </w:tc>
              <w:tc>
                <w:tcPr>
                  <w:tcW w:w="5899" w:type="dxa"/>
                  <w:gridSpan w:val="3"/>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基础减震、厂房隔声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p>
              </w:tc>
              <w:tc>
                <w:tcPr>
                  <w:tcW w:w="109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kern w:val="2"/>
                      <w:sz w:val="21"/>
                      <w:szCs w:val="21"/>
                      <w:vertAlign w:val="baseline"/>
                      <w:lang w:val="en-US" w:eastAsia="zh-CN" w:bidi="ar-SA"/>
                    </w:rPr>
                  </w:pPr>
                  <w:r>
                    <w:rPr>
                      <w:rFonts w:hint="eastAsia"/>
                      <w:sz w:val="21"/>
                      <w:szCs w:val="21"/>
                      <w:vertAlign w:val="baseline"/>
                      <w:lang w:val="en-US" w:eastAsia="zh-CN"/>
                    </w:rPr>
                    <w:t>废气</w:t>
                  </w:r>
                </w:p>
              </w:tc>
              <w:tc>
                <w:tcPr>
                  <w:tcW w:w="160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硫酸雾</w:t>
                  </w:r>
                </w:p>
              </w:tc>
              <w:tc>
                <w:tcPr>
                  <w:tcW w:w="4298"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负压收集</w:t>
                  </w:r>
                  <w:r>
                    <w:rPr>
                      <w:rFonts w:hint="eastAsia"/>
                      <w:sz w:val="21"/>
                      <w:szCs w:val="21"/>
                      <w:vertAlign w:val="baseline"/>
                      <w:lang w:val="en-US" w:eastAsia="zh-CN"/>
                    </w:rPr>
                    <w:t>+酸雾吸收塔+15m高排气筒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p>
              </w:tc>
              <w:tc>
                <w:tcPr>
                  <w:tcW w:w="1096"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r>
                    <w:rPr>
                      <w:rFonts w:hint="eastAsia"/>
                      <w:sz w:val="21"/>
                      <w:szCs w:val="21"/>
                      <w:vertAlign w:val="baseline"/>
                      <w:lang w:val="en-US" w:eastAsia="zh-CN"/>
                    </w:rPr>
                    <w:t>危险废物</w:t>
                  </w:r>
                </w:p>
              </w:tc>
              <w:tc>
                <w:tcPr>
                  <w:tcW w:w="160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废铅蓄电池电解液</w:t>
                  </w:r>
                </w:p>
              </w:tc>
              <w:tc>
                <w:tcPr>
                  <w:tcW w:w="4298"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30" w:firstLine="0" w:firstLineChars="0"/>
                    <w:jc w:val="left"/>
                    <w:textAlignment w:val="auto"/>
                    <w:rPr>
                      <w:rFonts w:hint="eastAsia"/>
                      <w:sz w:val="21"/>
                      <w:szCs w:val="21"/>
                      <w:vertAlign w:val="baseline"/>
                      <w:lang w:eastAsia="zh-CN"/>
                    </w:rPr>
                  </w:pPr>
                  <w:r>
                    <w:rPr>
                      <w:rFonts w:ascii="宋体" w:hAnsi="宋体" w:eastAsia="宋体" w:cs="宋体"/>
                      <w:sz w:val="21"/>
                      <w:szCs w:val="21"/>
                    </w:rPr>
                    <w:t>废铅蓄电池泄漏液（</w:t>
                  </w:r>
                  <w:r>
                    <w:rPr>
                      <w:rFonts w:ascii="Times New Roman" w:hAnsi="Times New Roman" w:eastAsia="Times New Roman" w:cs="Times New Roman"/>
                      <w:sz w:val="21"/>
                      <w:szCs w:val="21"/>
                    </w:rPr>
                    <w:t>HW31</w:t>
                  </w:r>
                  <w:r>
                    <w:rPr>
                      <w:rFonts w:ascii="Times New Roman" w:hAnsi="Times New Roman" w:eastAsia="Times New Roman" w:cs="Times New Roman"/>
                      <w:spacing w:val="16"/>
                      <w:sz w:val="21"/>
                      <w:szCs w:val="21"/>
                    </w:rPr>
                    <w:t xml:space="preserve"> </w:t>
                  </w:r>
                  <w:r>
                    <w:rPr>
                      <w:rFonts w:ascii="宋体" w:hAnsi="宋体" w:eastAsia="宋体" w:cs="宋体"/>
                      <w:sz w:val="21"/>
                      <w:szCs w:val="21"/>
                    </w:rPr>
                    <w:t>含铅废物，</w:t>
                  </w:r>
                  <w:r>
                    <w:rPr>
                      <w:rFonts w:ascii="Times New Roman" w:hAnsi="Times New Roman" w:eastAsia="Times New Roman" w:cs="Times New Roman"/>
                      <w:spacing w:val="-4"/>
                      <w:sz w:val="21"/>
                      <w:szCs w:val="21"/>
                    </w:rPr>
                    <w:t>900-052-31</w:t>
                  </w:r>
                  <w:r>
                    <w:rPr>
                      <w:rFonts w:ascii="宋体" w:hAnsi="宋体" w:eastAsia="宋体" w:cs="宋体"/>
                      <w:spacing w:val="-4"/>
                      <w:sz w:val="21"/>
                      <w:szCs w:val="21"/>
                    </w:rPr>
                    <w:t>）经废电解液导流槽流入集液池（应</w:t>
                  </w:r>
                  <w:r>
                    <w:rPr>
                      <w:rFonts w:ascii="宋体" w:hAnsi="宋体" w:eastAsia="宋体" w:cs="宋体"/>
                      <w:spacing w:val="23"/>
                      <w:sz w:val="21"/>
                      <w:szCs w:val="21"/>
                    </w:rPr>
                    <w:t xml:space="preserve"> </w:t>
                  </w:r>
                  <w:r>
                    <w:rPr>
                      <w:rFonts w:ascii="宋体" w:hAnsi="宋体" w:eastAsia="宋体" w:cs="宋体"/>
                      <w:spacing w:val="-4"/>
                      <w:sz w:val="21"/>
                      <w:szCs w:val="21"/>
                    </w:rPr>
                    <w:t>急池，容积</w:t>
                  </w:r>
                  <w:r>
                    <w:rPr>
                      <w:rFonts w:ascii="宋体" w:hAnsi="宋体" w:eastAsia="宋体" w:cs="宋体"/>
                      <w:spacing w:val="-41"/>
                      <w:sz w:val="21"/>
                      <w:szCs w:val="21"/>
                    </w:rPr>
                    <w:t xml:space="preserve"> </w:t>
                  </w:r>
                  <w:r>
                    <w:rPr>
                      <w:rFonts w:hint="eastAsia" w:ascii="Times New Roman" w:hAnsi="Times New Roman" w:eastAsia="宋体" w:cs="Times New Roman"/>
                      <w:spacing w:val="-4"/>
                      <w:sz w:val="21"/>
                      <w:szCs w:val="21"/>
                      <w:lang w:val="en-US" w:eastAsia="zh-CN"/>
                    </w:rPr>
                    <w:t>10</w:t>
                  </w:r>
                  <w:r>
                    <w:rPr>
                      <w:rFonts w:ascii="Times New Roman" w:hAnsi="Times New Roman" w:eastAsia="Times New Roman" w:cs="Times New Roman"/>
                      <w:spacing w:val="-4"/>
                      <w:sz w:val="21"/>
                      <w:szCs w:val="21"/>
                    </w:rPr>
                    <w:t>m</w:t>
                  </w:r>
                  <w:r>
                    <w:rPr>
                      <w:rFonts w:ascii="Times New Roman" w:hAnsi="Times New Roman" w:eastAsia="Times New Roman" w:cs="Times New Roman"/>
                      <w:spacing w:val="-4"/>
                      <w:position w:val="6"/>
                      <w:sz w:val="14"/>
                      <w:szCs w:val="14"/>
                    </w:rPr>
                    <w:t xml:space="preserve">3 </w:t>
                  </w:r>
                  <w:r>
                    <w:rPr>
                      <w:rFonts w:ascii="宋体" w:hAnsi="宋体" w:eastAsia="宋体" w:cs="宋体"/>
                      <w:spacing w:val="-14"/>
                      <w:sz w:val="21"/>
                      <w:szCs w:val="21"/>
                    </w:rPr>
                    <w:t>），</w:t>
                  </w:r>
                  <w:r>
                    <w:rPr>
                      <w:rFonts w:ascii="宋体" w:hAnsi="宋体" w:eastAsia="宋体" w:cs="宋体"/>
                      <w:spacing w:val="-4"/>
                      <w:sz w:val="21"/>
                      <w:szCs w:val="21"/>
                    </w:rPr>
                    <w:t>及时收集至专用耐酸桶中，危废间（面积约</w:t>
                  </w:r>
                  <w:r>
                    <w:rPr>
                      <w:rFonts w:ascii="宋体" w:hAnsi="宋体" w:eastAsia="宋体" w:cs="宋体"/>
                      <w:spacing w:val="-12"/>
                      <w:sz w:val="21"/>
                      <w:szCs w:val="21"/>
                    </w:rPr>
                    <w:t xml:space="preserve"> </w:t>
                  </w:r>
                  <w:r>
                    <w:rPr>
                      <w:rFonts w:ascii="Times New Roman" w:hAnsi="Times New Roman" w:eastAsia="Times New Roman" w:cs="Times New Roman"/>
                      <w:spacing w:val="-4"/>
                      <w:sz w:val="21"/>
                      <w:szCs w:val="21"/>
                    </w:rPr>
                    <w:t>10m</w:t>
                  </w:r>
                  <w:r>
                    <w:rPr>
                      <w:rFonts w:ascii="Times New Roman" w:hAnsi="Times New Roman" w:eastAsia="Times New Roman" w:cs="Times New Roman"/>
                      <w:spacing w:val="-4"/>
                      <w:position w:val="6"/>
                      <w:sz w:val="14"/>
                      <w:szCs w:val="14"/>
                    </w:rPr>
                    <w:t>2</w:t>
                  </w:r>
                  <w:r>
                    <w:rPr>
                      <w:rFonts w:ascii="Times New Roman" w:hAnsi="Times New Roman" w:eastAsia="Times New Roman" w:cs="Times New Roman"/>
                      <w:spacing w:val="-6"/>
                      <w:position w:val="6"/>
                      <w:sz w:val="14"/>
                      <w:szCs w:val="14"/>
                    </w:rPr>
                    <w:t xml:space="preserve"> </w:t>
                  </w:r>
                  <w:r>
                    <w:rPr>
                      <w:rFonts w:ascii="宋体" w:hAnsi="宋体" w:eastAsia="宋体" w:cs="宋体"/>
                      <w:spacing w:val="-4"/>
                      <w:sz w:val="21"/>
                      <w:szCs w:val="21"/>
                    </w:rPr>
                    <w:t>）暂存后交由有资质单</w:t>
                  </w:r>
                  <w:r>
                    <w:rPr>
                      <w:rFonts w:ascii="宋体" w:hAnsi="宋体" w:eastAsia="宋体" w:cs="宋体"/>
                      <w:spacing w:val="-5"/>
                      <w:sz w:val="21"/>
                      <w:szCs w:val="21"/>
                    </w:rPr>
                    <w:t>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p>
              </w:tc>
              <w:tc>
                <w:tcPr>
                  <w:tcW w:w="1096"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p>
              </w:tc>
              <w:tc>
                <w:tcPr>
                  <w:tcW w:w="160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废碱液</w:t>
                  </w:r>
                </w:p>
              </w:tc>
              <w:tc>
                <w:tcPr>
                  <w:tcW w:w="4298"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eastAsia"/>
                      <w:sz w:val="21"/>
                      <w:szCs w:val="21"/>
                      <w:vertAlign w:val="baseline"/>
                      <w:lang w:eastAsia="zh-CN"/>
                    </w:rPr>
                  </w:pPr>
                  <w:r>
                    <w:rPr>
                      <w:rFonts w:hint="eastAsia"/>
                      <w:sz w:val="21"/>
                      <w:szCs w:val="21"/>
                      <w:vertAlign w:val="baseline"/>
                      <w:lang w:eastAsia="zh-CN"/>
                    </w:rPr>
                    <w:t>酸雾吸收塔定期更换的废碱液（</w:t>
                  </w:r>
                  <w:r>
                    <w:rPr>
                      <w:rFonts w:hint="eastAsia"/>
                      <w:sz w:val="21"/>
                      <w:szCs w:val="21"/>
                      <w:vertAlign w:val="baseline"/>
                      <w:lang w:val="en-US" w:eastAsia="zh-CN"/>
                    </w:rPr>
                    <w:t>HW35废碱，900-399-35</w:t>
                  </w:r>
                  <w:r>
                    <w:rPr>
                      <w:rFonts w:hint="eastAsia"/>
                      <w:sz w:val="21"/>
                      <w:szCs w:val="21"/>
                      <w:vertAlign w:val="baseline"/>
                      <w:lang w:eastAsia="zh-CN"/>
                    </w:rPr>
                    <w:t>）用带盖密闭专用桶（防腐、防渗）收集，暂存于公司现有危险废物仓库，定期交有资质单位统一处置。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p>
              </w:tc>
              <w:tc>
                <w:tcPr>
                  <w:tcW w:w="1096"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p>
              </w:tc>
              <w:tc>
                <w:tcPr>
                  <w:tcW w:w="160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kern w:val="2"/>
                      <w:sz w:val="21"/>
                      <w:szCs w:val="21"/>
                      <w:vertAlign w:val="baseline"/>
                      <w:lang w:val="en-US" w:eastAsia="zh-CN" w:bidi="ar-SA"/>
                    </w:rPr>
                  </w:pPr>
                  <w:r>
                    <w:rPr>
                      <w:rFonts w:hint="eastAsia"/>
                      <w:sz w:val="21"/>
                      <w:szCs w:val="21"/>
                      <w:vertAlign w:val="baseline"/>
                      <w:lang w:eastAsia="zh-CN"/>
                    </w:rPr>
                    <w:t>废弃沾染物</w:t>
                  </w:r>
                </w:p>
              </w:tc>
              <w:tc>
                <w:tcPr>
                  <w:tcW w:w="4298"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eastAsia" w:ascii="Times New Roman" w:hAnsi="Times New Roman" w:eastAsia="宋体" w:cs="Times New Roman"/>
                      <w:kern w:val="2"/>
                      <w:sz w:val="21"/>
                      <w:szCs w:val="21"/>
                      <w:vertAlign w:val="baseline"/>
                      <w:lang w:val="en-US" w:eastAsia="zh-CN" w:bidi="ar-SA"/>
                    </w:rPr>
                  </w:pPr>
                  <w:r>
                    <w:rPr>
                      <w:rFonts w:hint="eastAsia"/>
                      <w:sz w:val="21"/>
                      <w:szCs w:val="21"/>
                      <w:vertAlign w:val="baseline"/>
                      <w:lang w:eastAsia="zh-CN"/>
                    </w:rPr>
                    <w:t>废防护用品、废拖把、废抹布、废托盘、废缠绕膜、废收集桶等由专用容器收集后暂存于公司现有危险废物仓库，定期交有资质统一处置。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09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p>
              </w:tc>
              <w:tc>
                <w:tcPr>
                  <w:tcW w:w="1096"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p>
              </w:tc>
              <w:tc>
                <w:tcPr>
                  <w:tcW w:w="160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地面防腐防渗</w:t>
                  </w:r>
                </w:p>
              </w:tc>
              <w:tc>
                <w:tcPr>
                  <w:tcW w:w="4298" w:type="dxa"/>
                  <w:gridSpan w:val="2"/>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eastAsia"/>
                      <w:sz w:val="21"/>
                      <w:szCs w:val="21"/>
                      <w:vertAlign w:val="baseline"/>
                      <w:lang w:eastAsia="zh-CN"/>
                    </w:rPr>
                  </w:pPr>
                  <w:r>
                    <w:rPr>
                      <w:rFonts w:hint="eastAsia"/>
                      <w:sz w:val="21"/>
                      <w:szCs w:val="21"/>
                      <w:vertAlign w:val="baseline"/>
                      <w:lang w:eastAsia="zh-CN"/>
                    </w:rPr>
                    <w:t>拟建废铅蓄电池贮存仓库已全部进行防腐防渗处理。</w:t>
                  </w:r>
                </w:p>
              </w:tc>
            </w:tr>
          </w:tbl>
          <w:p>
            <w:pPr>
              <w:keepNext w:val="0"/>
              <w:keepLines w:val="0"/>
              <w:pageBreakBefore w:val="0"/>
              <w:widowControl w:val="0"/>
              <w:numPr>
                <w:ilvl w:val="0"/>
                <w:numId w:val="2"/>
              </w:numPr>
              <w:kinsoku/>
              <w:wordWrap/>
              <w:overflowPunct/>
              <w:topLinePunct w:val="0"/>
              <w:autoSpaceDE/>
              <w:autoSpaceDN/>
              <w:bidi w:val="0"/>
              <w:adjustRightInd w:val="0"/>
              <w:snapToGrid w:val="0"/>
              <w:spacing w:line="420" w:lineRule="atLeast"/>
              <w:ind w:left="-2" w:leftChars="0" w:firstLine="482" w:firstLineChars="0"/>
              <w:jc w:val="left"/>
              <w:textAlignment w:val="auto"/>
              <w:rPr>
                <w:rFonts w:hint="eastAsia"/>
                <w:b/>
                <w:highlight w:val="none"/>
                <w:lang w:eastAsia="zh-CN"/>
              </w:rPr>
            </w:pPr>
            <w:r>
              <w:rPr>
                <w:rFonts w:hint="eastAsia"/>
                <w:b/>
                <w:highlight w:val="none"/>
                <w:lang w:eastAsia="zh-CN"/>
              </w:rPr>
              <w:t>主要原料及能源消耗</w:t>
            </w:r>
          </w:p>
          <w:p>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atLeast"/>
              <w:ind w:firstLine="480" w:firstLineChars="200"/>
              <w:jc w:val="left"/>
              <w:textAlignment w:val="auto"/>
              <w:rPr>
                <w:rFonts w:hint="eastAsia"/>
                <w:b w:val="0"/>
                <w:bCs/>
                <w:highlight w:val="none"/>
                <w:lang w:eastAsia="zh-CN"/>
              </w:rPr>
            </w:pPr>
            <w:r>
              <w:rPr>
                <w:rFonts w:hint="eastAsia"/>
                <w:b w:val="0"/>
                <w:bCs/>
                <w:highlight w:val="none"/>
                <w:lang w:eastAsia="zh-CN"/>
              </w:rPr>
              <w:t>该项目主要原辅材料及能源消耗见下表：</w:t>
            </w:r>
          </w:p>
          <w:p>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atLeast"/>
              <w:jc w:val="center"/>
              <w:textAlignment w:val="auto"/>
              <w:rPr>
                <w:rFonts w:hint="eastAsia" w:ascii="黑体" w:hAnsi="黑体" w:eastAsia="黑体" w:cs="黑体"/>
                <w:b w:val="0"/>
                <w:bCs/>
                <w:highlight w:val="none"/>
                <w:lang w:eastAsia="zh-CN"/>
              </w:rPr>
            </w:pPr>
            <w:r>
              <w:rPr>
                <w:rFonts w:hint="eastAsia" w:ascii="黑体" w:hAnsi="黑体" w:eastAsia="黑体" w:cs="黑体"/>
                <w:b w:val="0"/>
                <w:bCs/>
                <w:highlight w:val="none"/>
                <w:lang w:eastAsia="zh-CN"/>
              </w:rPr>
              <w:t>主要原辅材料及能源消耗一览表</w:t>
            </w:r>
          </w:p>
          <w:tbl>
            <w:tblPr>
              <w:tblStyle w:val="16"/>
              <w:tblW w:w="8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6"/>
              <w:gridCol w:w="2007"/>
              <w:gridCol w:w="2007"/>
              <w:gridCol w:w="20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006"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类别</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名称</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年消耗量</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006"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原料</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废铅蓄电池</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100000t/a</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eastAsia"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汽运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006"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辅料</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耐酸碱缠绕膜</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20t/a</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外购，汽运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006" w:type="dxa"/>
                  <w:vMerge w:val="restart"/>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能源</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水</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t/a</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依托园区供水系统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2006" w:type="dxa"/>
                  <w:vMerge w:val="continue"/>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电</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val="en-US" w:eastAsia="zh-CN"/>
                    </w:rPr>
                    <w:t>20000kw</w:t>
                  </w:r>
                  <w:r>
                    <w:rPr>
                      <w:rFonts w:ascii="Times New Roman" w:hAnsi="Times New Roman" w:eastAsia="Times New Roman" w:cs="Times New Roman"/>
                      <w:spacing w:val="-1"/>
                      <w:sz w:val="21"/>
                      <w:szCs w:val="21"/>
                    </w:rPr>
                    <w:t>·h/a</w:t>
                  </w:r>
                </w:p>
              </w:tc>
              <w:tc>
                <w:tcPr>
                  <w:tcW w:w="2007"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00" w:lineRule="atLeast"/>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依托园区电网</w:t>
                  </w:r>
                </w:p>
              </w:tc>
            </w:tr>
          </w:tbl>
          <w:p>
            <w:pPr>
              <w:keepNext w:val="0"/>
              <w:keepLines w:val="0"/>
              <w:pageBreakBefore w:val="0"/>
              <w:widowControl w:val="0"/>
              <w:kinsoku/>
              <w:wordWrap/>
              <w:overflowPunct/>
              <w:topLinePunct w:val="0"/>
              <w:autoSpaceDE/>
              <w:autoSpaceDN/>
              <w:bidi w:val="0"/>
              <w:adjustRightInd/>
              <w:snapToGrid/>
              <w:spacing w:line="420" w:lineRule="exact"/>
              <w:ind w:firstLine="482"/>
              <w:textAlignment w:val="auto"/>
              <w:rPr>
                <w:rFonts w:hint="eastAsia"/>
                <w:b w:val="0"/>
                <w:bCs/>
                <w:highlight w:val="none"/>
                <w:lang w:eastAsia="zh-CN"/>
              </w:rPr>
            </w:pPr>
            <w:r>
              <w:rPr>
                <w:rFonts w:hint="eastAsia"/>
                <w:b w:val="0"/>
                <w:bCs/>
                <w:highlight w:val="none"/>
                <w:lang w:eastAsia="zh-CN"/>
              </w:rPr>
              <w:t>废铅蓄电池主要由铅、塑料（橡胶）、电解液及铜组成，成分组成、主要结构及成分理化性质见下表：</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b w:val="0"/>
                <w:bCs/>
                <w:highlight w:val="none"/>
                <w:lang w:eastAsia="zh-CN"/>
              </w:rPr>
            </w:pPr>
            <w:r>
              <w:rPr>
                <w:rFonts w:hint="eastAsia" w:ascii="黑体" w:hAnsi="黑体" w:eastAsia="黑体" w:cs="黑体"/>
                <w:b w:val="0"/>
                <w:bCs/>
                <w:highlight w:val="none"/>
                <w:lang w:eastAsia="zh-CN"/>
              </w:rPr>
              <w:t>废铅蓄电池成分组成表</w:t>
            </w:r>
          </w:p>
          <w:tbl>
            <w:tblPr>
              <w:tblStyle w:val="16"/>
              <w:tblW w:w="8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4"/>
              <w:gridCol w:w="60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34"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成分</w:t>
                  </w:r>
                </w:p>
              </w:tc>
              <w:tc>
                <w:tcPr>
                  <w:tcW w:w="6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所占比例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34"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铅</w:t>
                  </w:r>
                </w:p>
              </w:tc>
              <w:tc>
                <w:tcPr>
                  <w:tcW w:w="6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34"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塑料（橡胶）</w:t>
                  </w:r>
                </w:p>
              </w:tc>
              <w:tc>
                <w:tcPr>
                  <w:tcW w:w="6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34"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电解液</w:t>
                  </w:r>
                </w:p>
              </w:tc>
              <w:tc>
                <w:tcPr>
                  <w:tcW w:w="6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34"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铜</w:t>
                  </w:r>
                </w:p>
              </w:tc>
              <w:tc>
                <w:tcPr>
                  <w:tcW w:w="6093"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2%</w:t>
                  </w:r>
                </w:p>
              </w:tc>
            </w:tr>
          </w:tbl>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b w:val="0"/>
                <w:bCs/>
                <w:highlight w:val="none"/>
                <w:lang w:eastAsia="zh-CN"/>
              </w:rPr>
            </w:pPr>
            <w:r>
              <w:rPr>
                <w:rFonts w:hint="eastAsia" w:ascii="黑体" w:hAnsi="黑体" w:eastAsia="黑体" w:cs="黑体"/>
                <w:b w:val="0"/>
                <w:bCs/>
                <w:highlight w:val="none"/>
                <w:lang w:eastAsia="zh-CN"/>
              </w:rPr>
              <w:t>废铅蓄电池结构组成表</w:t>
            </w:r>
          </w:p>
          <w:tbl>
            <w:tblPr>
              <w:tblStyle w:val="16"/>
              <w:tblW w:w="8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2"/>
              <w:gridCol w:w="60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主要构成</w:t>
                  </w:r>
                </w:p>
              </w:tc>
              <w:tc>
                <w:tcPr>
                  <w:tcW w:w="6055"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部件描述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正负极板</w:t>
                  </w:r>
                </w:p>
              </w:tc>
              <w:tc>
                <w:tcPr>
                  <w:tcW w:w="6055"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由板栅及活性物质构成，板栅材料一般采用铅锑合金，免维护电池采用铅钙合金。正负极活性物质主要成分为氧化铅，负极活性物质主要成分为绒状铅。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隔板</w:t>
                  </w:r>
                </w:p>
              </w:tc>
              <w:tc>
                <w:tcPr>
                  <w:tcW w:w="6055"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由微孔橡胶、颜料</w:t>
                  </w:r>
                  <w:r>
                    <w:rPr>
                      <w:rFonts w:ascii="Times New Roman" w:hAnsi="Times New Roman" w:eastAsia="Times New Roman" w:cs="Times New Roman"/>
                      <w:spacing w:val="-2"/>
                      <w:sz w:val="21"/>
                      <w:szCs w:val="21"/>
                    </w:rPr>
                    <w:t>λ</w:t>
                  </w:r>
                  <w:r>
                    <w:rPr>
                      <w:rFonts w:ascii="宋体" w:hAnsi="宋体" w:eastAsia="宋体" w:cs="宋体"/>
                      <w:spacing w:val="-2"/>
                      <w:sz w:val="21"/>
                      <w:szCs w:val="21"/>
                    </w:rPr>
                    <w:t>玻璃纤维等材料制成。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72"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电解液</w:t>
                  </w:r>
                </w:p>
              </w:tc>
              <w:tc>
                <w:tcPr>
                  <w:tcW w:w="6055"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由浓硫酸和去离子水配制而成，电解液密度</w:t>
                  </w:r>
                  <w:r>
                    <w:rPr>
                      <w:rFonts w:ascii="Times New Roman" w:hAnsi="Times New Roman" w:eastAsia="Times New Roman" w:cs="Times New Roman"/>
                      <w:spacing w:val="-1"/>
                      <w:sz w:val="21"/>
                      <w:szCs w:val="21"/>
                    </w:rPr>
                    <w:t>1.280±0.005g/cm</w:t>
                  </w:r>
                  <w:r>
                    <w:rPr>
                      <w:rFonts w:ascii="Times New Roman" w:hAnsi="Times New Roman" w:eastAsia="Times New Roman" w:cs="Times New Roman"/>
                      <w:spacing w:val="-1"/>
                      <w:position w:val="6"/>
                      <w:sz w:val="13"/>
                      <w:szCs w:val="13"/>
                    </w:rPr>
                    <w:t>3</w:t>
                  </w:r>
                  <w:r>
                    <w:rPr>
                      <w:rFonts w:ascii="Times New Roman" w:hAnsi="Times New Roman" w:eastAsia="Times New Roman" w:cs="Times New Roman"/>
                      <w:spacing w:val="-31"/>
                      <w:position w:val="6"/>
                      <w:sz w:val="13"/>
                      <w:szCs w:val="13"/>
                    </w:rPr>
                    <w:t xml:space="preserve"> </w:t>
                  </w:r>
                  <w:r>
                    <w:rPr>
                      <w:rFonts w:ascii="宋体" w:hAnsi="宋体" w:eastAsia="宋体" w:cs="宋体"/>
                      <w:spacing w:val="-1"/>
                      <w:sz w:val="21"/>
                      <w:szCs w:val="21"/>
                    </w:rPr>
                    <w:t>（相当于浓度是</w:t>
                  </w:r>
                  <w:r>
                    <w:rPr>
                      <w:rFonts w:ascii="宋体" w:hAnsi="宋体" w:eastAsia="宋体" w:cs="宋体"/>
                      <w:spacing w:val="-49"/>
                      <w:sz w:val="21"/>
                      <w:szCs w:val="21"/>
                    </w:rPr>
                    <w:t xml:space="preserve"> </w:t>
                  </w:r>
                  <w:r>
                    <w:rPr>
                      <w:rFonts w:ascii="Times New Roman" w:hAnsi="Times New Roman" w:eastAsia="Times New Roman" w:cs="Times New Roman"/>
                      <w:spacing w:val="-1"/>
                      <w:sz w:val="21"/>
                      <w:szCs w:val="21"/>
                    </w:rPr>
                    <w:t>40%</w:t>
                  </w:r>
                  <w:r>
                    <w:rPr>
                      <w:rFonts w:ascii="宋体" w:hAnsi="宋体" w:eastAsia="宋体" w:cs="宋体"/>
                      <w:spacing w:val="-1"/>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972"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电池壳、盖</w:t>
                  </w:r>
                </w:p>
              </w:tc>
              <w:tc>
                <w:tcPr>
                  <w:tcW w:w="6055"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装正、负极板和电解液的容器，由塑料和橡胶材料制成。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972"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链条、极柱、鞍子、液面显示器等部件</w:t>
                  </w:r>
                </w:p>
              </w:tc>
              <w:tc>
                <w:tcPr>
                  <w:tcW w:w="6055" w:type="dxa"/>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w:t>
                  </w:r>
                </w:p>
              </w:tc>
            </w:tr>
          </w:tbl>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b w:val="0"/>
                <w:bCs/>
                <w:highlight w:val="none"/>
                <w:lang w:eastAsia="zh-CN"/>
              </w:rPr>
            </w:pPr>
            <w:r>
              <w:rPr>
                <w:rFonts w:hint="eastAsia" w:ascii="黑体" w:hAnsi="黑体" w:eastAsia="黑体" w:cs="黑体"/>
                <w:b w:val="0"/>
                <w:bCs/>
                <w:highlight w:val="none"/>
                <w:lang w:eastAsia="zh-CN"/>
              </w:rPr>
              <w:t>废铅蓄电池结构组成表</w:t>
            </w:r>
          </w:p>
          <w:tbl>
            <w:tblPr>
              <w:tblStyle w:val="16"/>
              <w:tblW w:w="80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7"/>
              <w:gridCol w:w="2517"/>
              <w:gridCol w:w="2566"/>
              <w:gridCol w:w="20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名称</w:t>
                  </w:r>
                </w:p>
              </w:tc>
              <w:tc>
                <w:tcPr>
                  <w:tcW w:w="25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理化性质</w:t>
                  </w:r>
                </w:p>
              </w:tc>
              <w:tc>
                <w:tcPr>
                  <w:tcW w:w="256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毒理性质</w:t>
                  </w:r>
                </w:p>
              </w:tc>
              <w:tc>
                <w:tcPr>
                  <w:tcW w:w="200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中毒症状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电解铅</w:t>
                  </w:r>
                </w:p>
              </w:tc>
              <w:tc>
                <w:tcPr>
                  <w:tcW w:w="25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both"/>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eastAsia="zh-CN"/>
                    </w:rPr>
                    <w:t>银灰色金属，不溶于水，溶于硝酸、热的浓硫酸。熔点</w:t>
                  </w:r>
                  <w:r>
                    <w:rPr>
                      <w:rFonts w:hint="eastAsia" w:ascii="Times New Roman" w:hAnsi="Times New Roman" w:eastAsia="宋体" w:cs="Times New Roman"/>
                      <w:b w:val="0"/>
                      <w:bCs/>
                      <w:sz w:val="21"/>
                      <w:szCs w:val="21"/>
                      <w:highlight w:val="none"/>
                      <w:vertAlign w:val="baseline"/>
                      <w:lang w:val="en-US" w:eastAsia="zh-CN"/>
                    </w:rPr>
                    <w:t>327.5</w:t>
                  </w:r>
                  <w:r>
                    <w:rPr>
                      <w:rFonts w:ascii="Times New Roman" w:hAnsi="Times New Roman" w:eastAsia="Times New Roman" w:cs="Times New Roman"/>
                      <w:sz w:val="20"/>
                      <w:szCs w:val="20"/>
                    </w:rPr>
                    <w:t>℃</w:t>
                  </w:r>
                  <w:r>
                    <w:rPr>
                      <w:rFonts w:hint="eastAsia" w:ascii="Times New Roman" w:hAnsi="Times New Roman" w:eastAsia="宋体" w:cs="Times New Roman"/>
                      <w:b w:val="0"/>
                      <w:bCs/>
                      <w:sz w:val="21"/>
                      <w:szCs w:val="21"/>
                      <w:highlight w:val="none"/>
                      <w:vertAlign w:val="baseline"/>
                      <w:lang w:val="en-US" w:eastAsia="zh-CN"/>
                    </w:rPr>
                    <w:t>，沸点1749</w:t>
                  </w:r>
                  <w:r>
                    <w:rPr>
                      <w:rFonts w:ascii="Times New Roman" w:hAnsi="Times New Roman" w:eastAsia="Times New Roman" w:cs="Times New Roman"/>
                      <w:sz w:val="21"/>
                      <w:szCs w:val="21"/>
                    </w:rPr>
                    <w:t>℃</w:t>
                  </w:r>
                  <w:r>
                    <w:rPr>
                      <w:rFonts w:hint="eastAsia" w:ascii="Times New Roman" w:hAnsi="Times New Roman" w:eastAsia="宋体" w:cs="Times New Roman"/>
                      <w:b w:val="0"/>
                      <w:bCs/>
                      <w:sz w:val="21"/>
                      <w:szCs w:val="21"/>
                      <w:highlight w:val="none"/>
                      <w:vertAlign w:val="baseline"/>
                      <w:lang w:val="en-US" w:eastAsia="zh-CN"/>
                    </w:rPr>
                    <w:t>，相对密度1134</w:t>
                  </w:r>
                  <w:r>
                    <w:rPr>
                      <w:rFonts w:ascii="Times New Roman" w:hAnsi="Times New Roman" w:eastAsia="Times New Roman" w:cs="Times New Roman"/>
                      <w:sz w:val="20"/>
                      <w:szCs w:val="20"/>
                    </w:rPr>
                    <w:t>℃</w:t>
                  </w:r>
                </w:p>
              </w:tc>
              <w:tc>
                <w:tcPr>
                  <w:tcW w:w="2566"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textAlignment w:val="auto"/>
                    <w:rPr>
                      <w:rFonts w:hint="eastAsia" w:ascii="Times New Roman" w:hAnsi="Times New Roman" w:eastAsia="宋体" w:cs="Times New Roman"/>
                      <w:b w:val="0"/>
                      <w:bCs/>
                      <w:sz w:val="21"/>
                      <w:szCs w:val="21"/>
                      <w:highlight w:val="none"/>
                      <w:vertAlign w:val="baseline"/>
                      <w:lang w:eastAsia="zh-CN"/>
                    </w:rPr>
                  </w:pPr>
                  <w:r>
                    <w:rPr>
                      <w:rFonts w:ascii="宋体" w:hAnsi="宋体" w:eastAsia="宋体" w:cs="宋体"/>
                      <w:spacing w:val="-1"/>
                      <w:sz w:val="21"/>
                      <w:szCs w:val="21"/>
                    </w:rPr>
                    <w:t>铅及其化合物主要以粉尘、烟或蒸汽形式经呼吸道进</w:t>
                  </w:r>
                  <w:r>
                    <w:rPr>
                      <w:rFonts w:ascii="宋体" w:hAnsi="宋体" w:eastAsia="宋体" w:cs="宋体"/>
                      <w:spacing w:val="-5"/>
                      <w:sz w:val="21"/>
                      <w:szCs w:val="21"/>
                    </w:rPr>
                    <w:t>入人体，其次是经消化道进入血液循环，其中与红细胞</w:t>
                  </w:r>
                  <w:r>
                    <w:rPr>
                      <w:rFonts w:ascii="宋体" w:hAnsi="宋体" w:eastAsia="宋体" w:cs="宋体"/>
                      <w:spacing w:val="-6"/>
                      <w:sz w:val="21"/>
                      <w:szCs w:val="21"/>
                    </w:rPr>
                    <w:t>结合在血浆中的铅，呈血浆</w:t>
                  </w:r>
                  <w:r>
                    <w:rPr>
                      <w:rFonts w:ascii="宋体" w:hAnsi="宋体" w:eastAsia="宋体" w:cs="宋体"/>
                      <w:spacing w:val="-15"/>
                      <w:sz w:val="21"/>
                      <w:szCs w:val="21"/>
                    </w:rPr>
                    <w:t>蛋白结合铅；</w:t>
                  </w:r>
                  <w:r>
                    <w:rPr>
                      <w:rFonts w:ascii="宋体" w:hAnsi="宋体" w:eastAsia="宋体" w:cs="宋体"/>
                      <w:spacing w:val="11"/>
                      <w:sz w:val="21"/>
                      <w:szCs w:val="21"/>
                    </w:rPr>
                    <w:t xml:space="preserve"> </w:t>
                  </w:r>
                  <w:r>
                    <w:rPr>
                      <w:rFonts w:ascii="宋体" w:hAnsi="宋体" w:eastAsia="宋体" w:cs="宋体"/>
                      <w:spacing w:val="-15"/>
                      <w:sz w:val="21"/>
                      <w:szCs w:val="21"/>
                    </w:rPr>
                    <w:t>另一部分呈活</w:t>
                  </w:r>
                  <w:r>
                    <w:rPr>
                      <w:rFonts w:ascii="宋体" w:hAnsi="宋体" w:eastAsia="宋体" w:cs="宋体"/>
                      <w:spacing w:val="-2"/>
                      <w:sz w:val="21"/>
                      <w:szCs w:val="21"/>
                    </w:rPr>
                    <w:t>性大的可溶性铅</w:t>
                  </w:r>
                  <w:r>
                    <w:rPr>
                      <w:rFonts w:hint="eastAsia" w:ascii="宋体" w:hAnsi="宋体" w:eastAsia="宋体" w:cs="宋体"/>
                      <w:spacing w:val="-2"/>
                      <w:sz w:val="21"/>
                      <w:szCs w:val="21"/>
                      <w:lang w:eastAsia="zh-CN"/>
                    </w:rPr>
                    <w:t>。</w:t>
                  </w:r>
                </w:p>
              </w:tc>
              <w:tc>
                <w:tcPr>
                  <w:tcW w:w="2007"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textAlignment w:val="auto"/>
                    <w:rPr>
                      <w:rFonts w:hint="eastAsia" w:ascii="Times New Roman" w:hAnsi="Times New Roman" w:eastAsia="宋体" w:cs="Times New Roman"/>
                      <w:b w:val="0"/>
                      <w:bCs/>
                      <w:sz w:val="21"/>
                      <w:szCs w:val="21"/>
                      <w:highlight w:val="none"/>
                      <w:vertAlign w:val="baseline"/>
                      <w:lang w:eastAsia="zh-CN"/>
                    </w:rPr>
                  </w:pPr>
                  <w:r>
                    <w:rPr>
                      <w:rFonts w:ascii="宋体" w:hAnsi="宋体" w:eastAsia="宋体" w:cs="宋体"/>
                      <w:spacing w:val="-5"/>
                      <w:sz w:val="21"/>
                      <w:szCs w:val="21"/>
                    </w:rPr>
                    <w:t>轻度中毒：经常有轻度神经衰弱综合症，可伴有腹胀、便秘等 症状，尿铅或血铅量增高。中度中毒：腹绞痛，贫血；中度周围神经痛。重度中 毒：铅麻痹：铅脑病</w:t>
                  </w:r>
                  <w:r>
                    <w:rPr>
                      <w:rFonts w:hint="eastAsia" w:ascii="宋体" w:hAnsi="宋体" w:cs="宋体"/>
                      <w:spacing w:val="-5"/>
                      <w:sz w:val="21"/>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合金铅</w:t>
                  </w:r>
                </w:p>
              </w:tc>
              <w:tc>
                <w:tcPr>
                  <w:tcW w:w="25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hint="eastAsia"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铅钙和铅锡合金，以铅钙合金为主。铅钙合金含铅</w:t>
                  </w:r>
                  <w:r>
                    <w:rPr>
                      <w:rFonts w:ascii="Times New Roman" w:hAnsi="Times New Roman" w:eastAsia="Times New Roman" w:cs="Times New Roman"/>
                      <w:spacing w:val="5"/>
                      <w:sz w:val="20"/>
                      <w:szCs w:val="20"/>
                    </w:rPr>
                    <w:t>≥99%</w:t>
                  </w:r>
                  <w:r>
                    <w:rPr>
                      <w:rFonts w:hint="eastAsia" w:ascii="Times New Roman" w:hAnsi="Times New Roman" w:eastAsia="宋体" w:cs="Times New Roman"/>
                      <w:spacing w:val="5"/>
                      <w:sz w:val="20"/>
                      <w:szCs w:val="20"/>
                      <w:lang w:eastAsia="zh-CN"/>
                    </w:rPr>
                    <w:t>，铅锡合金含铅</w:t>
                  </w:r>
                  <w:r>
                    <w:rPr>
                      <w:rFonts w:ascii="Times New Roman" w:hAnsi="Times New Roman" w:eastAsia="Times New Roman" w:cs="Times New Roman"/>
                      <w:spacing w:val="4"/>
                      <w:w w:val="106"/>
                      <w:position w:val="1"/>
                      <w:sz w:val="19"/>
                      <w:szCs w:val="19"/>
                    </w:rPr>
                    <w:t>≥98.5%</w:t>
                  </w:r>
                </w:p>
              </w:tc>
              <w:tc>
                <w:tcPr>
                  <w:tcW w:w="2566"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p>
              </w:tc>
              <w:tc>
                <w:tcPr>
                  <w:tcW w:w="2007"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3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硫酸</w:t>
                  </w:r>
                </w:p>
              </w:tc>
              <w:tc>
                <w:tcPr>
                  <w:tcW w:w="25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both"/>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eastAsia="zh-CN"/>
                    </w:rPr>
                    <w:t>分子量</w:t>
                  </w:r>
                  <w:r>
                    <w:rPr>
                      <w:rFonts w:hint="eastAsia" w:ascii="Times New Roman" w:hAnsi="Times New Roman" w:eastAsia="宋体" w:cs="Times New Roman"/>
                      <w:b w:val="0"/>
                      <w:bCs/>
                      <w:sz w:val="21"/>
                      <w:szCs w:val="21"/>
                      <w:highlight w:val="none"/>
                      <w:vertAlign w:val="baseline"/>
                      <w:lang w:val="en-US" w:eastAsia="zh-CN"/>
                    </w:rPr>
                    <w:t>98，无色透明油状液体，能以任意比例溶于水。浓硫酸（98.3%）比重为1.84，熔点10.49</w:t>
                  </w:r>
                  <w:r>
                    <w:rPr>
                      <w:rFonts w:ascii="Times New Roman" w:hAnsi="Times New Roman" w:eastAsia="Times New Roman" w:cs="Times New Roman"/>
                      <w:sz w:val="21"/>
                      <w:szCs w:val="21"/>
                    </w:rPr>
                    <w:t>℃</w:t>
                  </w:r>
                  <w:r>
                    <w:rPr>
                      <w:rFonts w:hint="eastAsia" w:ascii="Times New Roman" w:hAnsi="Times New Roman" w:eastAsia="宋体" w:cs="Times New Roman"/>
                      <w:b w:val="0"/>
                      <w:bCs/>
                      <w:sz w:val="21"/>
                      <w:szCs w:val="21"/>
                      <w:highlight w:val="none"/>
                      <w:vertAlign w:val="baseline"/>
                      <w:lang w:val="en-US" w:eastAsia="zh-CN"/>
                    </w:rPr>
                    <w:t>，沸点338</w:t>
                  </w:r>
                  <w:r>
                    <w:rPr>
                      <w:rFonts w:ascii="Times New Roman" w:hAnsi="Times New Roman" w:eastAsia="Times New Roman" w:cs="Times New Roman"/>
                      <w:sz w:val="21"/>
                      <w:szCs w:val="21"/>
                    </w:rPr>
                    <w:t>℃</w:t>
                  </w:r>
                  <w:r>
                    <w:rPr>
                      <w:rFonts w:hint="eastAsia" w:ascii="Times New Roman" w:hAnsi="Times New Roman" w:eastAsia="宋体" w:cs="Times New Roman"/>
                      <w:b w:val="0"/>
                      <w:bCs/>
                      <w:sz w:val="21"/>
                      <w:szCs w:val="21"/>
                      <w:highlight w:val="none"/>
                      <w:vertAlign w:val="baseline"/>
                      <w:lang w:val="en-US" w:eastAsia="zh-CN"/>
                    </w:rPr>
                    <w:t>,340</w:t>
                  </w:r>
                  <w:r>
                    <w:rPr>
                      <w:rFonts w:ascii="Times New Roman" w:hAnsi="Times New Roman" w:eastAsia="Times New Roman" w:cs="Times New Roman"/>
                      <w:sz w:val="21"/>
                      <w:szCs w:val="21"/>
                    </w:rPr>
                    <w:t>℃</w:t>
                  </w:r>
                  <w:r>
                    <w:rPr>
                      <w:rFonts w:hint="eastAsia" w:ascii="Times New Roman" w:hAnsi="Times New Roman" w:eastAsia="宋体" w:cs="Times New Roman"/>
                      <w:b w:val="0"/>
                      <w:bCs/>
                      <w:sz w:val="21"/>
                      <w:szCs w:val="21"/>
                      <w:highlight w:val="none"/>
                      <w:vertAlign w:val="baseline"/>
                      <w:lang w:val="en-US" w:eastAsia="zh-CN"/>
                    </w:rPr>
                    <w:t>时分解</w:t>
                  </w:r>
                </w:p>
              </w:tc>
              <w:tc>
                <w:tcPr>
                  <w:tcW w:w="256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both"/>
                    <w:textAlignment w:val="auto"/>
                    <w:rPr>
                      <w:rFonts w:hint="default" w:ascii="Times New Roman" w:hAnsi="Times New Roman" w:eastAsia="宋体" w:cs="Times New Roman"/>
                      <w:b w:val="0"/>
                      <w:bCs/>
                      <w:sz w:val="21"/>
                      <w:szCs w:val="21"/>
                      <w:highlight w:val="none"/>
                      <w:vertAlign w:val="baseline"/>
                      <w:lang w:eastAsia="zh-CN"/>
                    </w:rPr>
                  </w:pPr>
                  <w:r>
                    <w:rPr>
                      <w:rFonts w:ascii="宋体" w:hAnsi="宋体" w:eastAsia="宋体" w:cs="宋体"/>
                      <w:spacing w:val="-10"/>
                      <w:sz w:val="21"/>
                      <w:szCs w:val="21"/>
                    </w:rPr>
                    <w:t>急性毒性，大鼠经口</w:t>
                  </w:r>
                  <w:r>
                    <w:rPr>
                      <w:rFonts w:ascii="宋体" w:hAnsi="宋体" w:eastAsia="宋体" w:cs="宋体"/>
                      <w:spacing w:val="-42"/>
                      <w:sz w:val="21"/>
                      <w:szCs w:val="21"/>
                    </w:rPr>
                    <w:t xml:space="preserve"> </w:t>
                  </w:r>
                  <w:r>
                    <w:rPr>
                      <w:rFonts w:ascii="Times New Roman" w:hAnsi="Times New Roman" w:eastAsia="Times New Roman" w:cs="Times New Roman"/>
                      <w:spacing w:val="-10"/>
                      <w:sz w:val="21"/>
                      <w:szCs w:val="21"/>
                    </w:rPr>
                    <w:t>LD50</w:t>
                  </w:r>
                  <w:r>
                    <w:rPr>
                      <w:rFonts w:ascii="宋体" w:hAnsi="宋体" w:eastAsia="宋体" w:cs="宋体"/>
                      <w:spacing w:val="-10"/>
                      <w:sz w:val="21"/>
                      <w:szCs w:val="21"/>
                    </w:rPr>
                    <w:t>：</w:t>
                  </w:r>
                  <w:r>
                    <w:rPr>
                      <w:rFonts w:ascii="宋体" w:hAnsi="宋体" w:eastAsia="宋体" w:cs="宋体"/>
                      <w:sz w:val="21"/>
                      <w:szCs w:val="21"/>
                    </w:rPr>
                    <w:t xml:space="preserve"> </w:t>
                  </w:r>
                  <w:r>
                    <w:rPr>
                      <w:rFonts w:ascii="Times New Roman" w:hAnsi="Times New Roman" w:eastAsia="Times New Roman" w:cs="Times New Roman"/>
                      <w:spacing w:val="-1"/>
                      <w:sz w:val="21"/>
                      <w:szCs w:val="21"/>
                    </w:rPr>
                    <w:t>2140mg/kg</w:t>
                  </w:r>
                </w:p>
              </w:tc>
              <w:tc>
                <w:tcPr>
                  <w:tcW w:w="2007"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both"/>
                    <w:textAlignment w:val="auto"/>
                    <w:rPr>
                      <w:rFonts w:hint="default" w:ascii="Times New Roman" w:hAnsi="Times New Roman" w:eastAsia="宋体" w:cs="Times New Roman"/>
                      <w:b w:val="0"/>
                      <w:bCs/>
                      <w:sz w:val="21"/>
                      <w:szCs w:val="21"/>
                      <w:highlight w:val="none"/>
                      <w:vertAlign w:val="baseline"/>
                      <w:lang w:eastAsia="zh-CN"/>
                    </w:rPr>
                  </w:pPr>
                </w:p>
              </w:tc>
            </w:tr>
          </w:tbl>
          <w:p>
            <w:pPr>
              <w:keepNext w:val="0"/>
              <w:keepLines w:val="0"/>
              <w:pageBreakBefore w:val="0"/>
              <w:widowControl w:val="0"/>
              <w:numPr>
                <w:ilvl w:val="0"/>
                <w:numId w:val="2"/>
              </w:numPr>
              <w:kinsoku/>
              <w:wordWrap/>
              <w:overflowPunct/>
              <w:topLinePunct w:val="0"/>
              <w:autoSpaceDE/>
              <w:autoSpaceDN/>
              <w:bidi w:val="0"/>
              <w:adjustRightInd w:val="0"/>
              <w:snapToGrid w:val="0"/>
              <w:spacing w:line="420" w:lineRule="exact"/>
              <w:ind w:left="-2" w:leftChars="0" w:firstLine="482" w:firstLineChars="0"/>
              <w:jc w:val="left"/>
              <w:textAlignment w:val="auto"/>
              <w:rPr>
                <w:rFonts w:hint="eastAsia"/>
                <w:b/>
                <w:highlight w:val="none"/>
                <w:lang w:eastAsia="zh-CN"/>
              </w:rPr>
            </w:pPr>
            <w:r>
              <w:rPr>
                <w:rFonts w:hint="eastAsia"/>
                <w:b/>
                <w:highlight w:val="none"/>
                <w:lang w:eastAsia="zh-CN"/>
              </w:rPr>
              <w:t>主要生产设备</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480" w:firstLineChars="200"/>
              <w:jc w:val="both"/>
              <w:textAlignment w:val="auto"/>
              <w:rPr>
                <w:rFonts w:hint="eastAsia" w:ascii="宋体" w:hAnsi="宋体" w:cs="宋体"/>
                <w:b w:val="0"/>
                <w:bCs/>
                <w:highlight w:val="none"/>
                <w:lang w:eastAsia="zh-CN"/>
              </w:rPr>
            </w:pPr>
            <w:r>
              <w:rPr>
                <w:rFonts w:hint="eastAsia" w:ascii="宋体" w:hAnsi="宋体" w:eastAsia="宋体" w:cs="宋体"/>
                <w:b w:val="0"/>
                <w:bCs/>
                <w:highlight w:val="none"/>
                <w:lang w:eastAsia="zh-CN"/>
              </w:rPr>
              <w:t>本项目废铅蓄电池委托有资质单位运输</w:t>
            </w:r>
            <w:r>
              <w:rPr>
                <w:rFonts w:hint="eastAsia" w:ascii="宋体" w:hAnsi="宋体" w:cs="宋体"/>
                <w:b w:val="0"/>
                <w:bCs/>
                <w:highlight w:val="none"/>
                <w:lang w:eastAsia="zh-CN"/>
              </w:rPr>
              <w:t>，项目不增设运输车辆，其余新增主要生产设备见下表</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b w:val="0"/>
                <w:bCs/>
                <w:highlight w:val="none"/>
                <w:lang w:eastAsia="zh-CN"/>
              </w:rPr>
            </w:pPr>
            <w:r>
              <w:rPr>
                <w:rFonts w:hint="eastAsia" w:ascii="黑体" w:hAnsi="黑体" w:eastAsia="黑体" w:cs="黑体"/>
                <w:b w:val="0"/>
                <w:bCs/>
                <w:highlight w:val="none"/>
                <w:lang w:eastAsia="zh-CN"/>
              </w:rPr>
              <w:t>项目主要新增生产设备一览表</w:t>
            </w:r>
          </w:p>
          <w:tbl>
            <w:tblPr>
              <w:tblStyle w:val="16"/>
              <w:tblW w:w="80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851"/>
              <w:gridCol w:w="1984"/>
              <w:gridCol w:w="1076"/>
              <w:gridCol w:w="23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序号</w:t>
                  </w:r>
                </w:p>
              </w:tc>
              <w:tc>
                <w:tcPr>
                  <w:tcW w:w="1851"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设备名称</w:t>
                  </w:r>
                </w:p>
              </w:tc>
              <w:tc>
                <w:tcPr>
                  <w:tcW w:w="1984"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型号</w:t>
                  </w:r>
                </w:p>
              </w:tc>
              <w:tc>
                <w:tcPr>
                  <w:tcW w:w="1076"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数量</w:t>
                  </w:r>
                </w:p>
              </w:tc>
              <w:tc>
                <w:tcPr>
                  <w:tcW w:w="2377"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设备用途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default" w:ascii="Times New Roman" w:hAnsi="Times New Roman" w:eastAsia="宋体" w:cs="Times New Roman"/>
                      <w:b w:val="0"/>
                      <w:bCs/>
                      <w:sz w:val="21"/>
                      <w:szCs w:val="21"/>
                      <w:highlight w:val="none"/>
                      <w:vertAlign w:val="baseline"/>
                      <w:lang w:val="en-US" w:eastAsia="zh-CN"/>
                    </w:rPr>
                    <w:t>1</w:t>
                  </w:r>
                </w:p>
              </w:tc>
              <w:tc>
                <w:tcPr>
                  <w:tcW w:w="1851"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自动缠绕机</w:t>
                  </w:r>
                </w:p>
              </w:tc>
              <w:tc>
                <w:tcPr>
                  <w:tcW w:w="1984"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default" w:ascii="Times New Roman" w:hAnsi="Times New Roman" w:eastAsia="宋体" w:cs="Times New Roman"/>
                      <w:b w:val="0"/>
                      <w:bCs/>
                      <w:sz w:val="21"/>
                      <w:szCs w:val="21"/>
                      <w:highlight w:val="none"/>
                      <w:vertAlign w:val="baseline"/>
                      <w:lang w:val="en-US" w:eastAsia="zh-CN"/>
                    </w:rPr>
                    <w:t>/</w:t>
                  </w:r>
                </w:p>
              </w:tc>
              <w:tc>
                <w:tcPr>
                  <w:tcW w:w="1076"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cs="Times New Roman"/>
                      <w:b w:val="0"/>
                      <w:bCs/>
                      <w:sz w:val="21"/>
                      <w:szCs w:val="21"/>
                      <w:highlight w:val="none"/>
                      <w:vertAlign w:val="baseline"/>
                      <w:lang w:val="en-US" w:eastAsia="zh-CN"/>
                    </w:rPr>
                    <w:t>2</w:t>
                  </w:r>
                  <w:r>
                    <w:rPr>
                      <w:rFonts w:hint="default" w:ascii="Times New Roman" w:hAnsi="Times New Roman" w:eastAsia="宋体" w:cs="Times New Roman"/>
                      <w:b w:val="0"/>
                      <w:bCs/>
                      <w:sz w:val="21"/>
                      <w:szCs w:val="21"/>
                      <w:highlight w:val="none"/>
                      <w:vertAlign w:val="baseline"/>
                      <w:lang w:val="en-US" w:eastAsia="zh-CN"/>
                    </w:rPr>
                    <w:t>台</w:t>
                  </w:r>
                </w:p>
              </w:tc>
              <w:tc>
                <w:tcPr>
                  <w:tcW w:w="2377"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default" w:ascii="Times New Roman" w:hAnsi="Times New Roman" w:eastAsia="宋体" w:cs="Times New Roman"/>
                      <w:b w:val="0"/>
                      <w:bCs/>
                      <w:sz w:val="21"/>
                      <w:szCs w:val="21"/>
                      <w:highlight w:val="none"/>
                      <w:vertAlign w:val="baseline"/>
                      <w:lang w:eastAsia="zh-CN"/>
                    </w:rPr>
                    <w:t>废铅蓄电池包装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739"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eastAsia="宋体" w:cs="Times New Roman"/>
                      <w:b w:val="0"/>
                      <w:bCs/>
                      <w:sz w:val="21"/>
                      <w:szCs w:val="21"/>
                      <w:highlight w:val="none"/>
                      <w:vertAlign w:val="baseline"/>
                      <w:lang w:val="en-US" w:eastAsia="zh-CN"/>
                    </w:rPr>
                    <w:t>3</w:t>
                  </w:r>
                </w:p>
              </w:tc>
              <w:tc>
                <w:tcPr>
                  <w:tcW w:w="1851"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电动叉车</w:t>
                  </w:r>
                </w:p>
              </w:tc>
              <w:tc>
                <w:tcPr>
                  <w:tcW w:w="1984"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w:t>
                  </w:r>
                </w:p>
              </w:tc>
              <w:tc>
                <w:tcPr>
                  <w:tcW w:w="1076"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cs="Times New Roman"/>
                      <w:b w:val="0"/>
                      <w:bCs/>
                      <w:sz w:val="21"/>
                      <w:szCs w:val="21"/>
                      <w:highlight w:val="none"/>
                      <w:vertAlign w:val="baseline"/>
                      <w:lang w:val="en-US" w:eastAsia="zh-CN"/>
                    </w:rPr>
                    <w:t>2</w:t>
                  </w:r>
                  <w:r>
                    <w:rPr>
                      <w:rFonts w:hint="eastAsia" w:ascii="Times New Roman" w:hAnsi="Times New Roman" w:eastAsia="宋体" w:cs="Times New Roman"/>
                      <w:b w:val="0"/>
                      <w:bCs/>
                      <w:sz w:val="21"/>
                      <w:szCs w:val="21"/>
                      <w:highlight w:val="none"/>
                      <w:vertAlign w:val="baseline"/>
                      <w:lang w:val="en-US" w:eastAsia="zh-CN"/>
                    </w:rPr>
                    <w:t>台</w:t>
                  </w:r>
                </w:p>
              </w:tc>
              <w:tc>
                <w:tcPr>
                  <w:tcW w:w="2377"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厂内转运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eastAsia="宋体" w:cs="Times New Roman"/>
                      <w:b w:val="0"/>
                      <w:bCs/>
                      <w:sz w:val="21"/>
                      <w:szCs w:val="21"/>
                      <w:highlight w:val="none"/>
                      <w:vertAlign w:val="baseline"/>
                      <w:lang w:val="en-US" w:eastAsia="zh-CN"/>
                    </w:rPr>
                    <w:t>4</w:t>
                  </w:r>
                </w:p>
              </w:tc>
              <w:tc>
                <w:tcPr>
                  <w:tcW w:w="1851"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eastAsia="宋体" w:cs="Times New Roman"/>
                      <w:b w:val="0"/>
                      <w:bCs/>
                      <w:sz w:val="21"/>
                      <w:szCs w:val="21"/>
                      <w:highlight w:val="none"/>
                      <w:vertAlign w:val="baseline"/>
                      <w:lang w:eastAsia="zh-CN"/>
                    </w:rPr>
                    <w:t>防渗漏托盘</w:t>
                  </w:r>
                </w:p>
              </w:tc>
              <w:tc>
                <w:tcPr>
                  <w:tcW w:w="1984"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eastAsia="Times New Roman" w:cs="Times New Roman"/>
                      <w:spacing w:val="-1"/>
                      <w:sz w:val="21"/>
                      <w:szCs w:val="21"/>
                    </w:rPr>
                    <w:t>1300×1300/150/300</w:t>
                  </w:r>
                </w:p>
              </w:tc>
              <w:tc>
                <w:tcPr>
                  <w:tcW w:w="1076"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eastAsia" w:cs="Times New Roman"/>
                      <w:b w:val="0"/>
                      <w:bCs/>
                      <w:sz w:val="21"/>
                      <w:szCs w:val="21"/>
                      <w:highlight w:val="none"/>
                      <w:vertAlign w:val="baseline"/>
                      <w:lang w:val="en-US" w:eastAsia="zh-CN"/>
                    </w:rPr>
                    <w:t>4</w:t>
                  </w:r>
                  <w:r>
                    <w:rPr>
                      <w:rFonts w:hint="eastAsia" w:ascii="Times New Roman" w:hAnsi="Times New Roman" w:eastAsia="宋体" w:cs="Times New Roman"/>
                      <w:b w:val="0"/>
                      <w:bCs/>
                      <w:sz w:val="21"/>
                      <w:szCs w:val="21"/>
                      <w:highlight w:val="none"/>
                      <w:vertAlign w:val="baseline"/>
                      <w:lang w:val="en-US" w:eastAsia="zh-CN"/>
                    </w:rPr>
                    <w:t>00个</w:t>
                  </w:r>
                </w:p>
              </w:tc>
              <w:tc>
                <w:tcPr>
                  <w:tcW w:w="2377"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eastAsia" w:ascii="Times New Roman" w:hAnsi="Times New Roman" w:eastAsia="宋体" w:cs="Times New Roman"/>
                      <w:b w:val="0"/>
                      <w:bCs/>
                      <w:sz w:val="21"/>
                      <w:szCs w:val="21"/>
                      <w:highlight w:val="none"/>
                      <w:vertAlign w:val="baseline"/>
                      <w:lang w:eastAsia="zh-CN"/>
                    </w:rPr>
                    <w:t>废铅蓄电池存放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vAlign w:val="top"/>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eastAsia="宋体" w:cs="Times New Roman"/>
                      <w:b w:val="0"/>
                      <w:bCs/>
                      <w:sz w:val="21"/>
                      <w:szCs w:val="21"/>
                      <w:highlight w:val="none"/>
                      <w:vertAlign w:val="baseline"/>
                      <w:lang w:val="en-US" w:eastAsia="zh-CN"/>
                    </w:rPr>
                    <w:t>6</w:t>
                  </w:r>
                </w:p>
              </w:tc>
              <w:tc>
                <w:tcPr>
                  <w:tcW w:w="1851"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耐酸容器</w:t>
                  </w:r>
                </w:p>
              </w:tc>
              <w:tc>
                <w:tcPr>
                  <w:tcW w:w="1984"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w:t>
                  </w:r>
                </w:p>
              </w:tc>
              <w:tc>
                <w:tcPr>
                  <w:tcW w:w="1076"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10个</w:t>
                  </w:r>
                </w:p>
              </w:tc>
              <w:tc>
                <w:tcPr>
                  <w:tcW w:w="2377"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贮存破损的铅蓄电池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9"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7</w:t>
                  </w:r>
                </w:p>
              </w:tc>
              <w:tc>
                <w:tcPr>
                  <w:tcW w:w="1851"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应急事故池</w:t>
                  </w:r>
                </w:p>
              </w:tc>
              <w:tc>
                <w:tcPr>
                  <w:tcW w:w="1984"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10m</w:t>
                  </w:r>
                  <w:r>
                    <w:rPr>
                      <w:rFonts w:hint="eastAsia" w:ascii="Times New Roman" w:hAnsi="Times New Roman" w:eastAsia="宋体" w:cs="Times New Roman"/>
                      <w:b w:val="0"/>
                      <w:bCs/>
                      <w:sz w:val="21"/>
                      <w:szCs w:val="21"/>
                      <w:highlight w:val="none"/>
                      <w:vertAlign w:val="superscript"/>
                      <w:lang w:val="en-US" w:eastAsia="zh-CN"/>
                    </w:rPr>
                    <w:t>3</w:t>
                  </w:r>
                </w:p>
              </w:tc>
              <w:tc>
                <w:tcPr>
                  <w:tcW w:w="1076"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eastAsia" w:ascii="Times New Roman" w:hAnsi="Times New Roman" w:eastAsia="宋体" w:cs="Times New Roman"/>
                      <w:b w:val="0"/>
                      <w:bCs/>
                      <w:sz w:val="21"/>
                      <w:szCs w:val="21"/>
                      <w:highlight w:val="none"/>
                      <w:vertAlign w:val="baseline"/>
                      <w:lang w:val="en-US" w:eastAsia="zh-CN"/>
                    </w:rPr>
                    <w:t>1个</w:t>
                  </w:r>
                </w:p>
              </w:tc>
              <w:tc>
                <w:tcPr>
                  <w:tcW w:w="2377" w:type="dxa"/>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ascii="Times New Roman" w:hAnsi="Times New Roman" w:eastAsia="宋体" w:cs="Times New Roman"/>
                      <w:b w:val="0"/>
                      <w:bCs/>
                      <w:sz w:val="21"/>
                      <w:szCs w:val="21"/>
                      <w:highlight w:val="none"/>
                      <w:vertAlign w:val="baseline"/>
                      <w:lang w:eastAsia="zh-CN"/>
                    </w:rPr>
                  </w:pPr>
                  <w:r>
                    <w:rPr>
                      <w:rFonts w:hint="eastAsia" w:ascii="Times New Roman" w:hAnsi="Times New Roman" w:eastAsia="宋体" w:cs="Times New Roman"/>
                      <w:b w:val="0"/>
                      <w:bCs/>
                      <w:sz w:val="21"/>
                      <w:szCs w:val="21"/>
                      <w:highlight w:val="none"/>
                      <w:vertAlign w:val="baseline"/>
                      <w:lang w:eastAsia="zh-CN"/>
                    </w:rPr>
                    <w:t>泄露电解液收集</w:t>
                  </w:r>
                </w:p>
              </w:tc>
            </w:tr>
          </w:tbl>
          <w:p>
            <w:pPr>
              <w:keepNext w:val="0"/>
              <w:keepLines w:val="0"/>
              <w:pageBreakBefore w:val="0"/>
              <w:widowControl w:val="0"/>
              <w:numPr>
                <w:ilvl w:val="0"/>
                <w:numId w:val="2"/>
              </w:numPr>
              <w:kinsoku/>
              <w:wordWrap/>
              <w:overflowPunct/>
              <w:topLinePunct w:val="0"/>
              <w:autoSpaceDE/>
              <w:autoSpaceDN/>
              <w:bidi w:val="0"/>
              <w:adjustRightInd w:val="0"/>
              <w:snapToGrid w:val="0"/>
              <w:spacing w:line="420" w:lineRule="exact"/>
              <w:ind w:left="-2" w:leftChars="0" w:firstLine="482" w:firstLineChars="0"/>
              <w:jc w:val="left"/>
              <w:textAlignment w:val="auto"/>
              <w:rPr>
                <w:rFonts w:hint="eastAsia"/>
                <w:b/>
                <w:highlight w:val="none"/>
                <w:lang w:eastAsia="zh-CN"/>
              </w:rPr>
            </w:pPr>
            <w:r>
              <w:rPr>
                <w:rFonts w:hint="eastAsia"/>
                <w:b/>
                <w:highlight w:val="none"/>
                <w:lang w:eastAsia="zh-CN"/>
              </w:rPr>
              <w:t>工作制度和劳动定员</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480" w:firstLineChars="200"/>
              <w:jc w:val="both"/>
              <w:textAlignment w:val="auto"/>
              <w:rPr>
                <w:rFonts w:hint="eastAsia" w:ascii="宋体" w:hAnsi="宋体" w:eastAsia="宋体" w:cs="宋体"/>
                <w:lang w:eastAsia="zh-CN"/>
              </w:rPr>
            </w:pPr>
            <w:r>
              <w:rPr>
                <w:rFonts w:hint="eastAsia" w:ascii="宋体" w:hAnsi="宋体" w:eastAsia="宋体" w:cs="宋体"/>
                <w:b w:val="0"/>
                <w:bCs/>
                <w:highlight w:val="none"/>
                <w:lang w:eastAsia="zh-CN"/>
              </w:rPr>
              <w:t>本项目员工由内部调剂，不新增人员，项目全年工作</w:t>
            </w:r>
            <w:r>
              <w:rPr>
                <w:rFonts w:hint="eastAsia" w:ascii="宋体" w:hAnsi="宋体" w:eastAsia="宋体" w:cs="宋体"/>
                <w:b w:val="0"/>
                <w:bCs/>
                <w:highlight w:val="none"/>
                <w:lang w:val="en-US" w:eastAsia="zh-CN"/>
              </w:rPr>
              <w:t>300天，每天1班制（</w:t>
            </w:r>
            <w:r>
              <w:rPr>
                <w:rFonts w:hint="default" w:ascii="Times New Roman" w:hAnsi="Times New Roman" w:eastAsia="宋体" w:cs="Times New Roman"/>
                <w:b w:val="0"/>
                <w:bCs/>
                <w:highlight w:val="none"/>
                <w:lang w:val="en-US" w:eastAsia="zh-CN"/>
              </w:rPr>
              <w:t>8:00-16:00</w:t>
            </w:r>
            <w:r>
              <w:rPr>
                <w:rFonts w:hint="eastAsia" w:ascii="宋体" w:hAnsi="宋体" w:eastAsia="宋体" w:cs="宋体"/>
                <w:b w:val="0"/>
                <w:bCs/>
                <w:highlight w:val="none"/>
                <w:lang w:val="en-US" w:eastAsia="zh-CN"/>
              </w:rPr>
              <w:t>）生产</w:t>
            </w:r>
            <w:r>
              <w:rPr>
                <w:rFonts w:hint="eastAsia" w:ascii="宋体" w:hAnsi="宋体" w:eastAsia="宋体" w:cs="宋体"/>
                <w:b w:val="0"/>
                <w:bCs/>
                <w:highlight w:val="none"/>
                <w:lang w:eastAsia="zh-CN"/>
              </w:rPr>
              <w:t>。</w:t>
            </w:r>
          </w:p>
          <w:p>
            <w:pPr>
              <w:keepNext w:val="0"/>
              <w:keepLines w:val="0"/>
              <w:pageBreakBefore w:val="0"/>
              <w:widowControl w:val="0"/>
              <w:kinsoku/>
              <w:wordWrap/>
              <w:overflowPunct/>
              <w:topLinePunct w:val="0"/>
              <w:autoSpaceDE/>
              <w:autoSpaceDN/>
              <w:bidi w:val="0"/>
              <w:adjustRightInd/>
              <w:snapToGrid/>
              <w:spacing w:line="420" w:lineRule="exact"/>
              <w:ind w:firstLine="482"/>
              <w:textAlignment w:val="auto"/>
              <w:rPr>
                <w:rFonts w:hint="eastAsia" w:eastAsia="宋体"/>
                <w:b/>
                <w:highlight w:val="none"/>
                <w:lang w:val="en-US" w:eastAsia="zh-CN"/>
              </w:rPr>
            </w:pPr>
            <w:r>
              <w:rPr>
                <w:rFonts w:hint="eastAsia"/>
                <w:b/>
                <w:highlight w:val="none"/>
                <w:lang w:val="en-US" w:eastAsia="zh-CN"/>
              </w:rPr>
              <w:t>5、公用工程</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bCs/>
                <w:highlight w:val="none"/>
                <w:lang w:val="en-US" w:eastAsia="zh-CN"/>
              </w:rPr>
            </w:pPr>
            <w:r>
              <w:rPr>
                <w:rFonts w:hint="eastAsia"/>
                <w:bCs/>
                <w:highlight w:val="none"/>
                <w:lang w:val="en-US" w:eastAsia="zh-CN"/>
              </w:rPr>
              <w:t>5.1 给水</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bCs/>
                <w:highlight w:val="none"/>
                <w:vertAlign w:val="baseline"/>
                <w:lang w:val="en-US" w:eastAsia="zh-CN"/>
              </w:rPr>
            </w:pPr>
            <w:r>
              <w:rPr>
                <w:rFonts w:hint="eastAsia"/>
                <w:bCs/>
                <w:highlight w:val="none"/>
                <w:lang w:val="en-US" w:eastAsia="zh-CN"/>
              </w:rPr>
              <w:t>本项目用水依托园区供水管网，用水主要为酸雾吸收塔用水。项目酸雾吸收塔使用浓度为2%~6%的氢氧化钠溶液为吸收液，酸雾吸收塔采用自循环系统，吸收液循环水箱容积为1m</w:t>
            </w:r>
            <w:r>
              <w:rPr>
                <w:rFonts w:hint="eastAsia"/>
                <w:bCs/>
                <w:highlight w:val="none"/>
                <w:vertAlign w:val="superscript"/>
                <w:lang w:val="en-US" w:eastAsia="zh-CN"/>
              </w:rPr>
              <w:t>3</w:t>
            </w:r>
            <w:r>
              <w:rPr>
                <w:rFonts w:hint="eastAsia"/>
                <w:bCs/>
                <w:highlight w:val="none"/>
                <w:lang w:val="en-US" w:eastAsia="zh-CN"/>
              </w:rPr>
              <w:t>，每月补水0.2m</w:t>
            </w:r>
            <w:r>
              <w:rPr>
                <w:rFonts w:hint="eastAsia"/>
                <w:bCs/>
                <w:highlight w:val="none"/>
                <w:vertAlign w:val="superscript"/>
                <w:lang w:val="en-US" w:eastAsia="zh-CN"/>
              </w:rPr>
              <w:t>3</w:t>
            </w:r>
            <w:r>
              <w:rPr>
                <w:rFonts w:hint="eastAsia"/>
                <w:bCs/>
                <w:highlight w:val="none"/>
                <w:lang w:val="en-US" w:eastAsia="zh-CN"/>
              </w:rPr>
              <w:t>，半年更换一次，则项目用水量为2.4m</w:t>
            </w:r>
            <w:r>
              <w:rPr>
                <w:rFonts w:hint="eastAsia"/>
                <w:bCs/>
                <w:highlight w:val="none"/>
                <w:vertAlign w:val="superscript"/>
                <w:lang w:val="en-US" w:eastAsia="zh-CN"/>
              </w:rPr>
              <w:t>3</w:t>
            </w:r>
            <w:r>
              <w:rPr>
                <w:rFonts w:hint="eastAsia"/>
                <w:bCs/>
                <w:highlight w:val="none"/>
                <w:vertAlign w:val="baseline"/>
                <w:lang w:val="en-US" w:eastAsia="zh-CN"/>
              </w:rPr>
              <w:t>/a。</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bCs/>
                <w:highlight w:val="none"/>
                <w:vertAlign w:val="baseline"/>
                <w:lang w:val="en-US" w:eastAsia="zh-CN"/>
              </w:rPr>
            </w:pPr>
            <w:r>
              <w:rPr>
                <w:rFonts w:hint="eastAsia"/>
                <w:bCs/>
                <w:highlight w:val="none"/>
                <w:vertAlign w:val="baseline"/>
                <w:lang w:val="en-US" w:eastAsia="zh-CN"/>
              </w:rPr>
              <w:t>5.2排水</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bCs/>
                <w:highlight w:val="none"/>
                <w:vertAlign w:val="baseline"/>
                <w:lang w:val="en-US" w:eastAsia="zh-CN"/>
              </w:rPr>
            </w:pPr>
            <w:r>
              <w:rPr>
                <w:rFonts w:hint="eastAsia"/>
                <w:bCs/>
                <w:highlight w:val="none"/>
                <w:vertAlign w:val="baseline"/>
                <w:lang w:val="en-US" w:eastAsia="zh-CN"/>
              </w:rPr>
              <w:t>项目酸雾吸收液半年更换一次，全年吸收废液（废碱液）产生量为2t，由带盖的专用收集桶收集并暂存于厂区现有危险废物仓库，定期交有资质单位统一处置。</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bCs/>
                <w:highlight w:val="none"/>
                <w:vertAlign w:val="baseline"/>
                <w:lang w:val="en-US" w:eastAsia="zh-CN"/>
              </w:rPr>
            </w:pPr>
            <w:r>
              <w:rPr>
                <w:rFonts w:hint="eastAsia"/>
                <w:bCs/>
                <w:highlight w:val="none"/>
                <w:vertAlign w:val="baseline"/>
                <w:lang w:val="en-US" w:eastAsia="zh-CN"/>
              </w:rPr>
              <w:t>项目水平衡图如下：</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bCs/>
                <w:highlight w:val="none"/>
                <w:vertAlign w:val="baseline"/>
                <w:lang w:val="en-US" w:eastAsia="zh-CN"/>
              </w:rPr>
            </w:pPr>
            <w:r>
              <w:rPr>
                <w:rFonts w:hint="eastAsia"/>
                <w:bCs/>
                <w:highlight w:val="none"/>
                <w:vertAlign w:val="baseline"/>
                <w:lang w:val="en-US" w:eastAsia="zh-CN"/>
              </w:rPr>
              <w:t>5.3供电</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bCs/>
                <w:highlight w:val="none"/>
              </w:rPr>
            </w:pPr>
            <w:r>
              <w:rPr>
                <w:rFonts w:hint="eastAsia"/>
                <w:bCs/>
                <w:highlight w:val="none"/>
                <w:vertAlign w:val="baseline"/>
                <w:lang w:val="en-US" w:eastAsia="zh-CN"/>
              </w:rPr>
              <w:t>项目用电由园区电网提供，全年用电量约20000kw</w:t>
            </w:r>
            <w:r>
              <w:rPr>
                <w:rFonts w:ascii="Times New Roman" w:hAnsi="Times New Roman" w:eastAsia="Times New Roman" w:cs="Times New Roman"/>
                <w:spacing w:val="-3"/>
                <w:sz w:val="24"/>
                <w:szCs w:val="24"/>
              </w:rPr>
              <w:t>·h</w:t>
            </w:r>
            <w:r>
              <w:rPr>
                <w:bCs/>
                <w:highlight w:val="none"/>
              </w:rPr>
              <w:t>。</w:t>
            </w:r>
          </w:p>
          <w:p>
            <w:pPr>
              <w:keepNext w:val="0"/>
              <w:keepLines w:val="0"/>
              <w:pageBreakBefore w:val="0"/>
              <w:widowControl w:val="0"/>
              <w:kinsoku/>
              <w:wordWrap/>
              <w:overflowPunct/>
              <w:topLinePunct w:val="0"/>
              <w:autoSpaceDE/>
              <w:autoSpaceDN/>
              <w:bidi w:val="0"/>
              <w:adjustRightInd/>
              <w:snapToGrid/>
              <w:spacing w:line="420" w:lineRule="exact"/>
              <w:ind w:firstLine="482"/>
              <w:textAlignment w:val="auto"/>
              <w:rPr>
                <w:rFonts w:hint="eastAsia" w:eastAsia="宋体"/>
                <w:b/>
                <w:highlight w:val="none"/>
                <w:lang w:val="en-US" w:eastAsia="zh-CN"/>
              </w:rPr>
            </w:pPr>
            <w:r>
              <w:rPr>
                <w:rFonts w:hint="eastAsia"/>
                <w:b/>
                <w:highlight w:val="none"/>
                <w:lang w:val="en-US" w:eastAsia="zh-CN"/>
              </w:rPr>
              <w:t>6、移动源使用情况</w:t>
            </w:r>
          </w:p>
          <w:p>
            <w:pPr>
              <w:keepNext w:val="0"/>
              <w:keepLines w:val="0"/>
              <w:pageBreakBefore w:val="0"/>
              <w:widowControl w:val="0"/>
              <w:kinsoku/>
              <w:wordWrap/>
              <w:overflowPunct/>
              <w:topLinePunct w:val="0"/>
              <w:autoSpaceDE/>
              <w:autoSpaceDN/>
              <w:bidi w:val="0"/>
              <w:adjustRightInd/>
              <w:snapToGrid/>
              <w:spacing w:line="420" w:lineRule="exact"/>
              <w:ind w:left="0" w:right="0" w:firstLine="491"/>
              <w:textAlignment w:val="auto"/>
              <w:rPr>
                <w:rFonts w:hint="eastAsia"/>
                <w:highlight w:val="yellow"/>
              </w:rPr>
            </w:pPr>
            <w:r>
              <w:rPr>
                <w:rFonts w:hint="eastAsia" w:cs="Times New Roman"/>
                <w:sz w:val="24"/>
                <w:szCs w:val="24"/>
                <w:highlight w:val="none"/>
                <w:lang w:val="en-US" w:eastAsia="zh-CN"/>
              </w:rPr>
              <w:t>项目废铅蓄电池收集贮存规模为100000t/a，贮存仓库面积2400m</w:t>
            </w:r>
            <w:r>
              <w:rPr>
                <w:rFonts w:hint="eastAsia" w:cs="Times New Roman"/>
                <w:sz w:val="24"/>
                <w:szCs w:val="24"/>
                <w:highlight w:val="none"/>
                <w:vertAlign w:val="superscript"/>
                <w:lang w:val="en-US" w:eastAsia="zh-CN"/>
              </w:rPr>
              <w:t>3</w:t>
            </w:r>
            <w:r>
              <w:rPr>
                <w:rFonts w:hint="eastAsia" w:cs="Times New Roman"/>
                <w:sz w:val="24"/>
                <w:szCs w:val="24"/>
                <w:highlight w:val="none"/>
                <w:lang w:val="en-US" w:eastAsia="zh-CN"/>
              </w:rPr>
              <w:t>，</w:t>
            </w:r>
            <w:r>
              <w:rPr>
                <w:rFonts w:hint="eastAsia" w:ascii="Times New Roman" w:hAnsi="Times New Roman" w:cs="Times New Roman"/>
                <w:sz w:val="24"/>
                <w:szCs w:val="24"/>
                <w:highlight w:val="none"/>
                <w:lang w:val="en-US" w:eastAsia="zh-CN"/>
              </w:rPr>
              <w:t>根据贮存库功能设计及面积计算，设计废铅蓄电池最大贮存量为2000吨，</w:t>
            </w:r>
            <w:r>
              <w:rPr>
                <w:rFonts w:hint="eastAsia" w:cs="Times New Roman"/>
                <w:sz w:val="24"/>
                <w:szCs w:val="24"/>
                <w:highlight w:val="none"/>
                <w:lang w:val="en-US" w:eastAsia="zh-CN"/>
              </w:rPr>
              <w:t>单日</w:t>
            </w:r>
            <w:r>
              <w:rPr>
                <w:rFonts w:hint="eastAsia" w:ascii="Times New Roman" w:hAnsi="Times New Roman" w:cs="Times New Roman"/>
                <w:sz w:val="24"/>
                <w:szCs w:val="24"/>
                <w:highlight w:val="none"/>
                <w:lang w:val="en-US" w:eastAsia="zh-CN"/>
              </w:rPr>
              <w:t>实际最大贮存量</w:t>
            </w:r>
            <w:r>
              <w:rPr>
                <w:rFonts w:hint="eastAsia" w:cs="Times New Roman"/>
                <w:sz w:val="24"/>
                <w:szCs w:val="24"/>
                <w:highlight w:val="none"/>
                <w:lang w:val="en-US" w:eastAsia="zh-CN"/>
              </w:rPr>
              <w:t>为350</w:t>
            </w:r>
            <w:r>
              <w:rPr>
                <w:rFonts w:hint="eastAsia" w:ascii="Times New Roman" w:hAnsi="Times New Roman" w:cs="Times New Roman"/>
                <w:sz w:val="24"/>
                <w:szCs w:val="24"/>
                <w:highlight w:val="none"/>
                <w:lang w:val="en-US" w:eastAsia="zh-CN"/>
              </w:rPr>
              <w:t>吨</w:t>
            </w:r>
            <w:r>
              <w:rPr>
                <w:rFonts w:hint="eastAsia" w:cs="Times New Roman"/>
                <w:sz w:val="24"/>
                <w:szCs w:val="24"/>
                <w:highlight w:val="none"/>
                <w:lang w:val="en-US" w:eastAsia="zh-CN"/>
              </w:rPr>
              <w:t>。项目铅蓄电池委托有资质单位使用30t危废专用运输车辆（均达到国五及以上标准）运输，经核算，单日进出厂区车次为34次。</w:t>
            </w:r>
            <w:r>
              <w:rPr>
                <w:rFonts w:ascii="宋体" w:hAnsi="宋体" w:eastAsia="宋体" w:cs="宋体"/>
                <w:sz w:val="24"/>
                <w:szCs w:val="24"/>
              </w:rPr>
              <w:t>厂区贮存车间内铅蓄电池转运采用电动叉车，叉车投运后进行编码登记。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65" w:hRule="atLeast"/>
          <w:jc w:val="center"/>
        </w:trPr>
        <w:tc>
          <w:tcPr>
            <w:tcW w:w="817" w:type="dxa"/>
            <w:noWrap w:val="0"/>
            <w:vAlign w:val="center"/>
          </w:tcPr>
          <w:p>
            <w:pPr>
              <w:pStyle w:val="12"/>
              <w:adjustRightInd w:val="0"/>
              <w:snapToGrid w:val="0"/>
              <w:spacing w:before="0" w:beforeAutospacing="0" w:after="0" w:afterAutospacing="0"/>
              <w:ind w:left="-72" w:leftChars="-30" w:right="-72" w:rightChars="-30" w:firstLine="0" w:firstLineChars="0"/>
              <w:jc w:val="center"/>
              <w:rPr>
                <w:rFonts w:cs="宋体"/>
                <w:szCs w:val="24"/>
                <w:highlight w:val="yellow"/>
                <w:lang w:val="en-US" w:eastAsia="zh-CN"/>
              </w:rPr>
            </w:pPr>
            <w:r>
              <w:rPr>
                <w:rFonts w:hint="eastAsia" w:cs="宋体"/>
                <w:szCs w:val="24"/>
                <w:lang w:val="en-US" w:eastAsia="zh-CN"/>
              </w:rPr>
              <w:t>工艺流程和产排污环节</w:t>
            </w:r>
          </w:p>
        </w:tc>
        <w:tc>
          <w:tcPr>
            <w:tcW w:w="8243" w:type="dxa"/>
            <w:noWrap w:val="0"/>
            <w:vAlign w:val="top"/>
          </w:tcPr>
          <w:p>
            <w:pPr>
              <w:keepNext w:val="0"/>
              <w:keepLines w:val="0"/>
              <w:pageBreakBefore w:val="0"/>
              <w:widowControl w:val="0"/>
              <w:kinsoku/>
              <w:wordWrap/>
              <w:overflowPunct/>
              <w:topLinePunct w:val="0"/>
              <w:autoSpaceDE/>
              <w:autoSpaceDN/>
              <w:bidi w:val="0"/>
              <w:adjustRightInd/>
              <w:snapToGrid/>
              <w:spacing w:line="480" w:lineRule="exact"/>
              <w:ind w:left="0" w:leftChars="0" w:firstLine="482" w:firstLineChars="200"/>
              <w:jc w:val="left"/>
              <w:textAlignment w:val="auto"/>
              <w:rPr>
                <w:b/>
              </w:rPr>
            </w:pPr>
            <w:r>
              <w:rPr>
                <w:rFonts w:hint="eastAsia"/>
                <w:b/>
                <w:lang w:eastAsia="zh-CN"/>
              </w:rPr>
              <w:t>一、生</w:t>
            </w:r>
            <w:r>
              <w:rPr>
                <w:rFonts w:hint="eastAsia"/>
                <w:b/>
              </w:rPr>
              <w:t>产工艺</w:t>
            </w:r>
            <w:r>
              <w:rPr>
                <w:b/>
              </w:rPr>
              <w:t>流程简述：</w:t>
            </w:r>
          </w:p>
          <w:p>
            <w:pPr>
              <w:keepNext w:val="0"/>
              <w:keepLines w:val="0"/>
              <w:pageBreakBefore w:val="0"/>
              <w:widowControl w:val="0"/>
              <w:kinsoku/>
              <w:wordWrap/>
              <w:overflowPunct/>
              <w:topLinePunct w:val="0"/>
              <w:autoSpaceDE/>
              <w:autoSpaceDN/>
              <w:bidi w:val="0"/>
              <w:adjustRightInd/>
              <w:snapToGrid/>
              <w:spacing w:line="420" w:lineRule="exact"/>
              <w:ind w:left="0" w:right="0" w:firstLine="483"/>
              <w:textAlignment w:val="auto"/>
              <w:rPr>
                <w:rFonts w:hint="eastAsia"/>
                <w:bCs/>
                <w:spacing w:val="4"/>
                <w:szCs w:val="20"/>
              </w:rPr>
            </w:pPr>
            <w:r>
              <w:rPr>
                <w:rFonts w:ascii="宋体" w:hAnsi="宋体" w:eastAsia="宋体" w:cs="宋体"/>
                <w:spacing w:val="-2"/>
                <w:sz w:val="24"/>
                <w:szCs w:val="24"/>
              </w:rPr>
              <w:t>项目收集的废铅酸蓄电池主要来源于铅蓄电池销售网点、机动车</w:t>
            </w:r>
            <w:r>
              <w:rPr>
                <w:rFonts w:ascii="宋体" w:hAnsi="宋体" w:eastAsia="宋体" w:cs="宋体"/>
                <w:spacing w:val="-54"/>
                <w:sz w:val="24"/>
                <w:szCs w:val="24"/>
              </w:rPr>
              <w:t xml:space="preserve"> </w:t>
            </w:r>
            <w:r>
              <w:rPr>
                <w:rFonts w:ascii="Times New Roman" w:hAnsi="Times New Roman" w:eastAsia="Times New Roman" w:cs="Times New Roman"/>
                <w:spacing w:val="-2"/>
                <w:sz w:val="24"/>
                <w:szCs w:val="24"/>
              </w:rPr>
              <w:t>4S</w:t>
            </w:r>
            <w:r>
              <w:rPr>
                <w:rFonts w:ascii="宋体" w:hAnsi="宋体" w:eastAsia="宋体" w:cs="宋体"/>
                <w:spacing w:val="-2"/>
                <w:sz w:val="24"/>
                <w:szCs w:val="24"/>
              </w:rPr>
              <w:t>店、</w:t>
            </w:r>
            <w:r>
              <w:rPr>
                <w:rFonts w:ascii="宋体" w:hAnsi="宋体" w:eastAsia="宋体" w:cs="宋体"/>
                <w:sz w:val="24"/>
                <w:szCs w:val="24"/>
              </w:rPr>
              <w:t>汽车及电动自行车维修网点、其他使用铅蓄电池的社会企事业单位报废的铅</w:t>
            </w:r>
            <w:r>
              <w:rPr>
                <w:rFonts w:ascii="宋体" w:hAnsi="宋体" w:eastAsia="宋体" w:cs="宋体"/>
                <w:spacing w:val="-6"/>
                <w:sz w:val="24"/>
                <w:szCs w:val="24"/>
              </w:rPr>
              <w:t>蓄电池等；项目只进行废旧铅酸电池的集中收集，贮存，不进行废旧铅蓄电</w:t>
            </w:r>
            <w:r>
              <w:rPr>
                <w:rFonts w:ascii="宋体" w:hAnsi="宋体" w:eastAsia="宋体" w:cs="宋体"/>
                <w:spacing w:val="-2"/>
                <w:sz w:val="24"/>
                <w:szCs w:val="24"/>
              </w:rPr>
              <w:t>池的拆解、处置等加工环节，年回收仓储废旧铅酸蓄电池</w:t>
            </w:r>
            <w:r>
              <w:rPr>
                <w:rFonts w:ascii="宋体" w:hAnsi="宋体" w:eastAsia="宋体" w:cs="宋体"/>
                <w:spacing w:val="-32"/>
                <w:sz w:val="24"/>
                <w:szCs w:val="24"/>
              </w:rPr>
              <w:t xml:space="preserve"> </w:t>
            </w:r>
            <w:r>
              <w:rPr>
                <w:rFonts w:ascii="Times New Roman" w:hAnsi="Times New Roman" w:eastAsia="Times New Roman" w:cs="Times New Roman"/>
                <w:spacing w:val="-2"/>
                <w:sz w:val="24"/>
                <w:szCs w:val="24"/>
              </w:rPr>
              <w:t>100000t/a</w:t>
            </w:r>
            <w:r>
              <w:rPr>
                <w:rFonts w:ascii="宋体" w:hAnsi="宋体" w:eastAsia="宋体" w:cs="宋体"/>
                <w:spacing w:val="-2"/>
                <w:sz w:val="24"/>
                <w:szCs w:val="24"/>
              </w:rPr>
              <w:t>（项目区</w:t>
            </w:r>
            <w:r>
              <w:rPr>
                <w:rFonts w:ascii="宋体" w:hAnsi="宋体" w:eastAsia="宋体" w:cs="宋体"/>
                <w:spacing w:val="-1"/>
                <w:sz w:val="24"/>
                <w:szCs w:val="24"/>
              </w:rPr>
              <w:t>最大暂存</w:t>
            </w:r>
            <w:r>
              <w:rPr>
                <w:rFonts w:ascii="宋体" w:hAnsi="宋体" w:eastAsia="宋体" w:cs="宋体"/>
                <w:spacing w:val="-22"/>
                <w:sz w:val="24"/>
                <w:szCs w:val="24"/>
              </w:rPr>
              <w:t xml:space="preserve"> </w:t>
            </w:r>
            <w:r>
              <w:rPr>
                <w:rFonts w:hint="eastAsia" w:ascii="宋体" w:hAnsi="宋体" w:eastAsia="宋体" w:cs="宋体"/>
                <w:spacing w:val="-22"/>
                <w:sz w:val="24"/>
                <w:szCs w:val="24"/>
                <w:lang w:val="en-US" w:eastAsia="zh-CN"/>
              </w:rPr>
              <w:t>500t</w:t>
            </w:r>
            <w:r>
              <w:rPr>
                <w:rFonts w:ascii="宋体" w:hAnsi="宋体" w:eastAsia="宋体" w:cs="宋体"/>
                <w:spacing w:val="-1"/>
                <w:sz w:val="24"/>
                <w:szCs w:val="24"/>
              </w:rPr>
              <w:t>）。项目从网点、企事业单位和行政单位回收废旧铅酸蓄电池</w:t>
            </w:r>
            <w:r>
              <w:rPr>
                <w:rFonts w:ascii="宋体" w:hAnsi="宋体" w:eastAsia="宋体" w:cs="宋体"/>
                <w:sz w:val="24"/>
                <w:szCs w:val="24"/>
              </w:rPr>
              <w:t>至仓库的运输工作委托</w:t>
            </w:r>
            <w:r>
              <w:rPr>
                <w:rFonts w:hint="eastAsia" w:ascii="宋体" w:hAnsi="宋体" w:eastAsia="宋体" w:cs="宋体"/>
                <w:sz w:val="24"/>
                <w:szCs w:val="24"/>
                <w:lang w:eastAsia="zh-CN"/>
              </w:rPr>
              <w:t>有资质单位</w:t>
            </w:r>
            <w:r>
              <w:rPr>
                <w:rFonts w:ascii="宋体" w:hAnsi="宋体" w:eastAsia="宋体" w:cs="宋体"/>
                <w:sz w:val="24"/>
                <w:szCs w:val="24"/>
              </w:rPr>
              <w:t>进行，收集到的废旧铅酸蓄电</w:t>
            </w:r>
            <w:r>
              <w:rPr>
                <w:rFonts w:ascii="宋体" w:hAnsi="宋体" w:eastAsia="宋体" w:cs="宋体"/>
                <w:spacing w:val="-10"/>
                <w:sz w:val="24"/>
                <w:szCs w:val="24"/>
              </w:rPr>
              <w:t>池转运至下游再生铅企业（</w:t>
            </w:r>
            <w:r>
              <w:rPr>
                <w:rFonts w:hint="eastAsia" w:ascii="宋体" w:hAnsi="宋体" w:eastAsia="宋体" w:cs="宋体"/>
                <w:sz w:val="24"/>
                <w:szCs w:val="24"/>
                <w:lang w:val="en-US" w:eastAsia="zh-CN"/>
              </w:rPr>
              <w:t>济源市聚鑫资源综合利用有限公司、济源市鸿达资源综合利用有限公司、河南豫光金铅股份有限公司等</w:t>
            </w:r>
            <w:r>
              <w:rPr>
                <w:rFonts w:ascii="宋体" w:hAnsi="宋体" w:eastAsia="宋体" w:cs="宋体"/>
                <w:spacing w:val="-10"/>
                <w:sz w:val="24"/>
                <w:szCs w:val="24"/>
              </w:rPr>
              <w:t>）处置；废旧铅酸蓄电池泄</w:t>
            </w:r>
            <w:r>
              <w:rPr>
                <w:rFonts w:ascii="宋体" w:hAnsi="宋体" w:eastAsia="宋体" w:cs="宋体"/>
                <w:sz w:val="24"/>
                <w:szCs w:val="24"/>
              </w:rPr>
              <w:t>露产生的废电解液、沾染废物（废托盘、废劳保用品、废抹布、拖布、废收</w:t>
            </w:r>
            <w:r>
              <w:rPr>
                <w:rFonts w:ascii="宋体" w:hAnsi="宋体" w:eastAsia="宋体" w:cs="宋体"/>
                <w:spacing w:val="-5"/>
                <w:sz w:val="24"/>
                <w:szCs w:val="24"/>
              </w:rPr>
              <w:t>集桶）均委托有资质的单位进行处置。项目营运流程具体如下：</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482" w:firstLineChars="200"/>
              <w:jc w:val="left"/>
              <w:textAlignment w:val="auto"/>
              <w:rPr>
                <w:rFonts w:hint="eastAsia" w:eastAsia="宋体"/>
                <w:b/>
                <w:sz w:val="24"/>
                <w:szCs w:val="24"/>
                <w:lang w:val="en-US" w:eastAsia="zh-CN"/>
              </w:rPr>
            </w:pPr>
            <w:r>
              <w:rPr>
                <w:rFonts w:hint="eastAsia" w:eastAsia="宋体"/>
                <w:b/>
                <w:sz w:val="24"/>
                <w:szCs w:val="24"/>
                <w:lang w:val="en-US" w:eastAsia="zh-CN"/>
              </w:rPr>
              <w:t>1、废铅蓄电池的回收：</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项目收集的废铅蓄电池主要来源于铅蓄电池销售网点、机动车4S店、汽车及电动自行车维修网点、其他使用铅蓄电池的社会企事业单位报废的铅蓄电池；采用专用运输车辆进行运输，废铅蓄电池放置于耐酸耐腐蚀容器中，码放整齐，并加盖密封。</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在回收废铅蓄电池过程中，具体实施的工作人员和运输人员在回收过程中须配备必要的个人防护装备，即耐酸碱工作服、防护眼镜、耐酸手套等。在废铅蓄电池回收过程中，不得擅自破碎、丢弃废铅蓄电池。</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工作人员在回收过程中，应先检查废铅蓄电池的相关情况，并在电池上贴码，做到以信息化数据溯源的方式对废铅蓄电池产出、数量、运输、收集、分类、贮存、转运等信息进行跟踪溯源。收集过程中，不回收破损电池，回收的废铅蓄电池按要求放置于相应的耐酸、防渗密闭容器内，防止废电池电解液泄露。</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681" w:firstLineChars="300"/>
              <w:jc w:val="both"/>
              <w:textAlignment w:val="baseline"/>
              <w:rPr>
                <w:rFonts w:hint="eastAsia" w:ascii="Times New Roman" w:hAnsi="Times New Roman" w:eastAsia="宋体" w:cs="Times New Roman"/>
                <w:b/>
                <w:bCs/>
                <w:spacing w:val="-7"/>
                <w:sz w:val="24"/>
                <w:szCs w:val="24"/>
                <w:u w:val="none"/>
                <w:lang w:val="en-US" w:eastAsia="zh-CN"/>
              </w:rPr>
            </w:pPr>
            <w:r>
              <w:rPr>
                <w:rFonts w:hint="eastAsia" w:eastAsia="宋体" w:cs="Times New Roman"/>
                <w:b/>
                <w:bCs/>
                <w:spacing w:val="-7"/>
                <w:sz w:val="24"/>
                <w:szCs w:val="24"/>
                <w:u w:val="none"/>
                <w:lang w:val="en-US" w:eastAsia="zh-CN"/>
              </w:rPr>
              <w:t>2、</w:t>
            </w:r>
            <w:r>
              <w:rPr>
                <w:rFonts w:hint="eastAsia" w:ascii="Times New Roman" w:hAnsi="Times New Roman" w:eastAsia="宋体" w:cs="Times New Roman"/>
                <w:b/>
                <w:bCs/>
                <w:spacing w:val="-7"/>
                <w:sz w:val="24"/>
                <w:szCs w:val="24"/>
                <w:u w:val="none"/>
                <w:lang w:val="en-US" w:eastAsia="zh-CN"/>
              </w:rPr>
              <w:t>废铅蓄电池的回收运输：</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w:t>
            </w:r>
            <w:r>
              <w:rPr>
                <w:rFonts w:hint="default" w:ascii="Times New Roman" w:hAnsi="Times New Roman" w:eastAsia="宋体" w:cs="Times New Roman"/>
                <w:b w:val="0"/>
                <w:bCs w:val="0"/>
                <w:spacing w:val="-7"/>
                <w:sz w:val="24"/>
                <w:szCs w:val="24"/>
                <w:u w:val="none"/>
                <w:lang w:val="en-US" w:eastAsia="zh-CN"/>
              </w:rPr>
              <w:t>1</w:t>
            </w:r>
            <w:r>
              <w:rPr>
                <w:rFonts w:hint="eastAsia" w:ascii="Times New Roman" w:hAnsi="Times New Roman" w:eastAsia="宋体" w:cs="Times New Roman"/>
                <w:b w:val="0"/>
                <w:bCs w:val="0"/>
                <w:spacing w:val="-7"/>
                <w:sz w:val="24"/>
                <w:szCs w:val="24"/>
                <w:u w:val="none"/>
                <w:lang w:val="en-US" w:eastAsia="zh-CN"/>
              </w:rPr>
              <w:t xml:space="preserve">）本项目废铅酸蓄电池运输车辆设置防淋挡布，司机及运输人员具有应对废铅蓄电池包装发生破裂、泄露或其他事故发生时进行处理的能力。由于收集点多且分散，因此由各产废点运输至项目暂存仓库不具备设置固定路线的条件，运输过程产生的污染物主要为运输车辆噪声。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运输均采用专用全封闭箱式危废运输车辆。项目回收废铅蓄电池暂存放置的容器须满足《危险废物贮存污染控制标准》（</w:t>
            </w:r>
            <w:r>
              <w:rPr>
                <w:rFonts w:hint="default" w:ascii="Times New Roman" w:hAnsi="Times New Roman" w:eastAsia="宋体" w:cs="Times New Roman"/>
                <w:b w:val="0"/>
                <w:bCs w:val="0"/>
                <w:spacing w:val="-7"/>
                <w:sz w:val="24"/>
                <w:szCs w:val="24"/>
                <w:u w:val="none"/>
                <w:lang w:val="en-US" w:eastAsia="zh-CN"/>
              </w:rPr>
              <w:t>GB18597-2001</w:t>
            </w:r>
            <w:r>
              <w:rPr>
                <w:rFonts w:hint="eastAsia" w:ascii="Times New Roman" w:hAnsi="Times New Roman" w:eastAsia="宋体" w:cs="Times New Roman"/>
                <w:b w:val="0"/>
                <w:bCs w:val="0"/>
                <w:spacing w:val="-7"/>
                <w:sz w:val="24"/>
                <w:szCs w:val="24"/>
                <w:u w:val="none"/>
                <w:lang w:val="en-US" w:eastAsia="zh-CN"/>
              </w:rPr>
              <w:t>）等环保规范要求。运输作业必须符合以下要求：</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①批量废旧铅蓄电池的转移遵从《危险废物转移联单管理办法》（国家环境保护总局令第 </w:t>
            </w:r>
            <w:r>
              <w:rPr>
                <w:rFonts w:hint="default" w:ascii="Times New Roman" w:hAnsi="Times New Roman" w:eastAsia="宋体" w:cs="Times New Roman"/>
                <w:b w:val="0"/>
                <w:bCs w:val="0"/>
                <w:spacing w:val="-7"/>
                <w:sz w:val="24"/>
                <w:szCs w:val="24"/>
                <w:u w:val="none"/>
                <w:lang w:val="en-US" w:eastAsia="zh-CN"/>
              </w:rPr>
              <w:t xml:space="preserve">5 </w:t>
            </w:r>
            <w:r>
              <w:rPr>
                <w:rFonts w:hint="eastAsia" w:ascii="Times New Roman" w:hAnsi="Times New Roman" w:eastAsia="宋体" w:cs="Times New Roman"/>
                <w:b w:val="0"/>
                <w:bCs w:val="0"/>
                <w:spacing w:val="-7"/>
                <w:sz w:val="24"/>
                <w:szCs w:val="24"/>
                <w:u w:val="none"/>
                <w:lang w:val="en-US" w:eastAsia="zh-CN"/>
              </w:rPr>
              <w:t xml:space="preserve">号）等环保规定。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②公路运输车辆应按《道路运输危险货物车辆标志》（</w:t>
            </w:r>
            <w:r>
              <w:rPr>
                <w:rFonts w:hint="default" w:ascii="Times New Roman" w:hAnsi="Times New Roman" w:eastAsia="宋体" w:cs="Times New Roman"/>
                <w:b w:val="0"/>
                <w:bCs w:val="0"/>
                <w:spacing w:val="-7"/>
                <w:sz w:val="24"/>
                <w:szCs w:val="24"/>
                <w:u w:val="none"/>
                <w:lang w:val="en-US" w:eastAsia="zh-CN"/>
              </w:rPr>
              <w:t>GB13392</w:t>
            </w:r>
            <w:r>
              <w:rPr>
                <w:rFonts w:hint="eastAsia" w:ascii="Times New Roman" w:hAnsi="Times New Roman" w:eastAsia="宋体" w:cs="Times New Roman"/>
                <w:b w:val="0"/>
                <w:bCs w:val="0"/>
                <w:spacing w:val="-7"/>
                <w:sz w:val="24"/>
                <w:szCs w:val="24"/>
                <w:u w:val="none"/>
                <w:lang w:val="en-US" w:eastAsia="zh-CN"/>
              </w:rPr>
              <w:t xml:space="preserve">）的规定悬挂标志。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③运输单位应具有危险货物运输资质和对危险废物包装发生破裂、泄露或其他事故进行应急处理能力。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④运输车辆在公路上行驶须持有通行证。其上应证明所运物品的来源、性质、数量、运往地点，并须有运输单位人员负责押运工作。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⑤项目危险废物运输单位须在实施运输之前，制定详细的运输方案及路线，路线需满足以下条件：转运车辆运输途中应避开经过医院、学校、居民区等人口密集区，避开饮用水源保护区、风景名胜区等敏感区域。运输公司应制定事故应急预案，配备事故应急及个人防护设备，以保证在运输过程中如发生事故时，能及时响应以有效减轻事故可能对环境的污染。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⑥运输车辆驾驶员和押运人员须经过危险废物运输及应急救援方面培训，包括防火、防泄漏等，以及通过何种方式联络应急响应人员。</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226" w:firstLineChars="1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w:t>
            </w:r>
            <w:r>
              <w:rPr>
                <w:rFonts w:hint="default" w:ascii="Times New Roman" w:hAnsi="Times New Roman" w:eastAsia="宋体" w:cs="Times New Roman"/>
                <w:b w:val="0"/>
                <w:bCs w:val="0"/>
                <w:spacing w:val="-7"/>
                <w:sz w:val="24"/>
                <w:szCs w:val="24"/>
                <w:u w:val="none"/>
                <w:lang w:val="en-US" w:eastAsia="zh-CN"/>
              </w:rPr>
              <w:t>2</w:t>
            </w:r>
            <w:r>
              <w:rPr>
                <w:rFonts w:hint="eastAsia" w:ascii="Times New Roman" w:hAnsi="Times New Roman" w:eastAsia="宋体" w:cs="Times New Roman"/>
                <w:b w:val="0"/>
                <w:bCs w:val="0"/>
                <w:spacing w:val="-7"/>
                <w:sz w:val="24"/>
                <w:szCs w:val="24"/>
                <w:u w:val="none"/>
                <w:lang w:val="en-US" w:eastAsia="zh-CN"/>
              </w:rPr>
              <w:t xml:space="preserve">）项目区位于济源市玉川产业集聚区贵金属产业园1号标准化厂房，项目位置交通便利。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综上所示，废铅蓄电池的运输能够满足要求。 </w:t>
            </w:r>
          </w:p>
          <w:p>
            <w:pPr>
              <w:keepNext w:val="0"/>
              <w:keepLines w:val="0"/>
              <w:pageBreakBefore w:val="0"/>
              <w:widowControl/>
              <w:kinsoku w:val="0"/>
              <w:wordWrap/>
              <w:overflowPunct/>
              <w:topLinePunct w:val="0"/>
              <w:autoSpaceDE w:val="0"/>
              <w:autoSpaceDN w:val="0"/>
              <w:bidi w:val="0"/>
              <w:adjustRightInd w:val="0"/>
              <w:snapToGrid w:val="0"/>
              <w:spacing w:line="420" w:lineRule="exact"/>
              <w:jc w:val="both"/>
              <w:textAlignment w:val="baseline"/>
              <w:rPr>
                <w:rFonts w:hint="eastAsia" w:ascii="Times New Roman" w:hAnsi="Times New Roman" w:eastAsia="宋体" w:cs="Times New Roman"/>
                <w:b/>
                <w:bCs/>
                <w:spacing w:val="-7"/>
                <w:sz w:val="24"/>
                <w:szCs w:val="24"/>
                <w:u w:val="none"/>
                <w:lang w:val="en-US" w:eastAsia="zh-CN"/>
              </w:rPr>
            </w:pPr>
            <w:r>
              <w:rPr>
                <w:rFonts w:hint="eastAsia" w:eastAsia="宋体" w:cs="Times New Roman"/>
                <w:b/>
                <w:bCs/>
                <w:spacing w:val="-7"/>
                <w:sz w:val="24"/>
                <w:szCs w:val="24"/>
                <w:u w:val="none"/>
                <w:lang w:val="en-US" w:eastAsia="zh-CN"/>
              </w:rPr>
              <w:t>3、</w:t>
            </w:r>
            <w:r>
              <w:rPr>
                <w:rFonts w:hint="eastAsia" w:ascii="Times New Roman" w:hAnsi="Times New Roman" w:eastAsia="宋体" w:cs="Times New Roman"/>
                <w:b/>
                <w:bCs/>
                <w:spacing w:val="-7"/>
                <w:sz w:val="24"/>
                <w:szCs w:val="24"/>
                <w:u w:val="none"/>
                <w:lang w:val="en-US" w:eastAsia="zh-CN"/>
              </w:rPr>
              <w:t>卸货、称重：</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车辆运输收集的废铅蓄电池进入厂前核对货物信息，核实无误方可入库贮存。废铅蓄电池装卸均在库房内进行，车辆进入装卸区停车位后，采用人工</w:t>
            </w:r>
            <w:r>
              <w:rPr>
                <w:rFonts w:hint="default" w:ascii="Times New Roman" w:hAnsi="Times New Roman" w:eastAsia="宋体" w:cs="Times New Roman"/>
                <w:b w:val="0"/>
                <w:bCs w:val="0"/>
                <w:spacing w:val="-7"/>
                <w:sz w:val="24"/>
                <w:szCs w:val="24"/>
                <w:u w:val="none"/>
                <w:lang w:val="en-US" w:eastAsia="zh-CN"/>
              </w:rPr>
              <w:t>+</w:t>
            </w:r>
            <w:r>
              <w:rPr>
                <w:rFonts w:hint="eastAsia" w:ascii="Times New Roman" w:hAnsi="Times New Roman" w:eastAsia="宋体" w:cs="Times New Roman"/>
                <w:b w:val="0"/>
                <w:bCs w:val="0"/>
                <w:spacing w:val="-7"/>
                <w:sz w:val="24"/>
                <w:szCs w:val="24"/>
                <w:u w:val="none"/>
                <w:lang w:val="en-US" w:eastAsia="zh-CN"/>
              </w:rPr>
              <w:t>叉车进行装卸、称重工作。接收完好废铅蓄电池时，如实记录废铅酸电池的数量、来源、重量等信息；接收破损废铅酸蓄电池时，按照《危险废物转移联单管理办法》相关规定进行管理。该过程会产生沾染废物（防护服、废手套等劳保用品）。</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4" w:firstLineChars="200"/>
              <w:jc w:val="both"/>
              <w:textAlignment w:val="baseline"/>
              <w:rPr>
                <w:rFonts w:hint="eastAsia" w:ascii="Times New Roman" w:hAnsi="Times New Roman" w:eastAsia="宋体" w:cs="Times New Roman"/>
                <w:b/>
                <w:bCs/>
                <w:spacing w:val="-7"/>
                <w:sz w:val="24"/>
                <w:szCs w:val="24"/>
                <w:u w:val="none"/>
                <w:lang w:val="en-US" w:eastAsia="zh-CN"/>
              </w:rPr>
            </w:pPr>
            <w:r>
              <w:rPr>
                <w:rFonts w:hint="eastAsia" w:eastAsia="宋体" w:cs="Times New Roman"/>
                <w:b/>
                <w:bCs/>
                <w:spacing w:val="-7"/>
                <w:sz w:val="24"/>
                <w:szCs w:val="24"/>
                <w:u w:val="none"/>
                <w:lang w:val="en-US" w:eastAsia="zh-CN"/>
              </w:rPr>
              <w:t>4、</w:t>
            </w:r>
            <w:r>
              <w:rPr>
                <w:rFonts w:hint="eastAsia" w:ascii="Times New Roman" w:hAnsi="Times New Roman" w:eastAsia="宋体" w:cs="Times New Roman"/>
                <w:b/>
                <w:bCs/>
                <w:spacing w:val="-7"/>
                <w:sz w:val="24"/>
                <w:szCs w:val="24"/>
                <w:u w:val="none"/>
                <w:lang w:val="en-US" w:eastAsia="zh-CN"/>
              </w:rPr>
              <w:t>检测：</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入库的废铅蓄电池进行进一步检测，完好的废铅蓄电池入库贮存，若在装卸、称重时出现破损的铅蓄电池，将其存放入耐酸的容器中，运至破损铅蓄电池贮存区暂存，破损废铅蓄电池当天就送至有资质单位处置，不在厂区贮存。</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4" w:firstLineChars="200"/>
              <w:jc w:val="both"/>
              <w:textAlignment w:val="baseline"/>
              <w:rPr>
                <w:rFonts w:hint="default" w:ascii="Times New Roman" w:hAnsi="Times New Roman" w:eastAsia="宋体" w:cs="Times New Roman"/>
                <w:b w:val="0"/>
                <w:bCs w:val="0"/>
                <w:spacing w:val="-7"/>
                <w:sz w:val="24"/>
                <w:szCs w:val="24"/>
                <w:u w:val="none"/>
                <w:lang w:val="en-US" w:eastAsia="zh-CN"/>
              </w:rPr>
            </w:pPr>
            <w:r>
              <w:rPr>
                <w:rFonts w:hint="eastAsia" w:eastAsia="宋体" w:cs="Times New Roman"/>
                <w:b/>
                <w:bCs/>
                <w:spacing w:val="-7"/>
                <w:sz w:val="24"/>
                <w:szCs w:val="24"/>
                <w:u w:val="none"/>
                <w:lang w:val="en-US" w:eastAsia="zh-CN"/>
              </w:rPr>
              <w:t>5、</w:t>
            </w:r>
            <w:r>
              <w:rPr>
                <w:rFonts w:hint="eastAsia" w:ascii="Times New Roman" w:hAnsi="Times New Roman" w:eastAsia="宋体" w:cs="Times New Roman"/>
                <w:b/>
                <w:bCs/>
                <w:spacing w:val="-7"/>
                <w:sz w:val="24"/>
                <w:szCs w:val="24"/>
                <w:u w:val="none"/>
                <w:lang w:val="en-US" w:eastAsia="zh-CN"/>
              </w:rPr>
              <w:t>贮存：</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项目车间内部拟划分为三个分区，即转运、分类区、完整电池储存区及破损贮存区。针对完整废铅酸蓄电池（</w:t>
            </w:r>
            <w:r>
              <w:rPr>
                <w:rFonts w:hint="default" w:ascii="Times New Roman" w:hAnsi="Times New Roman" w:eastAsia="宋体" w:cs="Times New Roman"/>
                <w:b w:val="0"/>
                <w:bCs w:val="0"/>
                <w:spacing w:val="-7"/>
                <w:sz w:val="24"/>
                <w:szCs w:val="24"/>
                <w:u w:val="none"/>
                <w:lang w:val="en-US" w:eastAsia="zh-CN"/>
              </w:rPr>
              <w:t xml:space="preserve">I </w:t>
            </w:r>
            <w:r>
              <w:rPr>
                <w:rFonts w:hint="eastAsia" w:ascii="Times New Roman" w:hAnsi="Times New Roman" w:eastAsia="宋体" w:cs="Times New Roman"/>
                <w:b w:val="0"/>
                <w:bCs w:val="0"/>
                <w:spacing w:val="-7"/>
                <w:sz w:val="24"/>
                <w:szCs w:val="24"/>
                <w:u w:val="none"/>
                <w:lang w:val="en-US" w:eastAsia="zh-CN"/>
              </w:rPr>
              <w:t>类电池），项目用耐酸碱缠绕膜包装，放入防渗漏托盘堆放储存到常规贮存区。部分铅蓄电池在装车时已分类、贴码完毕，进厂后仅进行简单的分装后即转运出厂，不在厂区贮存。针对破损废铅酸蓄电池（</w:t>
            </w:r>
            <w:r>
              <w:rPr>
                <w:rFonts w:hint="default" w:ascii="Times New Roman" w:hAnsi="Times New Roman" w:eastAsia="宋体" w:cs="Times New Roman"/>
                <w:b w:val="0"/>
                <w:bCs w:val="0"/>
                <w:spacing w:val="-7"/>
                <w:sz w:val="24"/>
                <w:szCs w:val="24"/>
                <w:u w:val="none"/>
                <w:lang w:val="en-US" w:eastAsia="zh-CN"/>
              </w:rPr>
              <w:t xml:space="preserve">II </w:t>
            </w:r>
            <w:r>
              <w:rPr>
                <w:rFonts w:hint="eastAsia" w:ascii="Times New Roman" w:hAnsi="Times New Roman" w:eastAsia="宋体" w:cs="Times New Roman"/>
                <w:b w:val="0"/>
                <w:bCs w:val="0"/>
                <w:spacing w:val="-7"/>
                <w:sz w:val="24"/>
                <w:szCs w:val="24"/>
                <w:u w:val="none"/>
                <w:lang w:val="en-US" w:eastAsia="zh-CN"/>
              </w:rPr>
              <w:t xml:space="preserve">类电池），则是放入耐酸耐腐蚀的容器中，存放至破损贮存区（破损的铅蓄电池当天转运至有资质单位）。破损电池暂存过程中不开盖（避免硫酸雾产生），不更换容器。放置废旧铅蓄电池的容器随电池一同交由回收企业处置，并由回收企业提供清洁的容器。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特殊情况下废旧铅酸蓄电池发生电解液泄漏，如果漏到托盘上，则直接转移到带盖密闭专用桶（防酸、防渗）中，托盘须用拖把或抹布擦干，用过的废拖把或废抹布与托盘一起暂存于带盖的密闭专用桶（防酸、防渗）中；如果电解液泄露至地面上，量少时用拖把或抹布擦干，量大时用拖把将废电解液扫至地面导流沟中，汇聚到电解液收集池内，用耐酸专用泵和耐酸导流管抽出排至密封、防渗防漏的专用储罐内，泄露的废旧电池电解液经收集后委托有资质的单位处置，建立危险废物转移联单制度，科学管理，不外排。项目储存区的温度、湿度须严格控制，废旧铅酸蓄电池贮存区域要求配套设置</w:t>
            </w:r>
            <w:r>
              <w:rPr>
                <w:rFonts w:hint="default" w:ascii="Times New Roman" w:hAnsi="Times New Roman" w:eastAsia="宋体" w:cs="Times New Roman"/>
                <w:b w:val="0"/>
                <w:bCs w:val="0"/>
                <w:spacing w:val="-7"/>
                <w:sz w:val="24"/>
                <w:szCs w:val="24"/>
                <w:u w:val="none"/>
                <w:lang w:val="en-US" w:eastAsia="zh-CN"/>
              </w:rPr>
              <w:t>1</w:t>
            </w:r>
            <w:r>
              <w:rPr>
                <w:rFonts w:hint="eastAsia" w:ascii="Times New Roman" w:hAnsi="Times New Roman" w:eastAsia="宋体" w:cs="Times New Roman"/>
                <w:b w:val="0"/>
                <w:bCs w:val="0"/>
                <w:spacing w:val="-7"/>
                <w:sz w:val="24"/>
                <w:szCs w:val="24"/>
                <w:u w:val="none"/>
                <w:lang w:val="en-US" w:eastAsia="zh-CN"/>
              </w:rPr>
              <w:t>套负压集气系统和</w:t>
            </w:r>
            <w:r>
              <w:rPr>
                <w:rFonts w:hint="default" w:ascii="Times New Roman" w:hAnsi="Times New Roman" w:eastAsia="宋体" w:cs="Times New Roman"/>
                <w:b w:val="0"/>
                <w:bCs w:val="0"/>
                <w:spacing w:val="-7"/>
                <w:sz w:val="24"/>
                <w:szCs w:val="24"/>
                <w:u w:val="none"/>
                <w:lang w:val="en-US" w:eastAsia="zh-CN"/>
              </w:rPr>
              <w:t>1</w:t>
            </w:r>
            <w:r>
              <w:rPr>
                <w:rFonts w:hint="eastAsia" w:ascii="Times New Roman" w:hAnsi="Times New Roman" w:eastAsia="宋体" w:cs="Times New Roman"/>
                <w:b w:val="0"/>
                <w:bCs w:val="0"/>
                <w:spacing w:val="-7"/>
                <w:sz w:val="24"/>
                <w:szCs w:val="24"/>
                <w:u w:val="none"/>
                <w:lang w:val="en-US" w:eastAsia="zh-CN"/>
              </w:rPr>
              <w:t>台酸雾吸收</w:t>
            </w:r>
            <w:r>
              <w:rPr>
                <w:rFonts w:hint="eastAsia" w:eastAsia="宋体" w:cs="Times New Roman"/>
                <w:b w:val="0"/>
                <w:bCs w:val="0"/>
                <w:spacing w:val="-7"/>
                <w:sz w:val="24"/>
                <w:szCs w:val="24"/>
                <w:u w:val="none"/>
                <w:lang w:val="en-US" w:eastAsia="zh-CN"/>
              </w:rPr>
              <w:t>塔</w:t>
            </w:r>
            <w:r>
              <w:rPr>
                <w:rFonts w:hint="eastAsia" w:ascii="Times New Roman" w:hAnsi="Times New Roman" w:eastAsia="宋体" w:cs="Times New Roman"/>
                <w:b w:val="0"/>
                <w:bCs w:val="0"/>
                <w:spacing w:val="-7"/>
                <w:sz w:val="24"/>
                <w:szCs w:val="24"/>
                <w:u w:val="none"/>
                <w:lang w:val="en-US" w:eastAsia="zh-CN"/>
              </w:rPr>
              <w:t xml:space="preserve">（吸收液为碱液）处理后经 </w:t>
            </w:r>
            <w:r>
              <w:rPr>
                <w:rFonts w:hint="default" w:ascii="Times New Roman" w:hAnsi="Times New Roman" w:eastAsia="宋体" w:cs="Times New Roman"/>
                <w:b w:val="0"/>
                <w:bCs w:val="0"/>
                <w:spacing w:val="-7"/>
                <w:sz w:val="24"/>
                <w:szCs w:val="24"/>
                <w:u w:val="none"/>
                <w:lang w:val="en-US" w:eastAsia="zh-CN"/>
              </w:rPr>
              <w:t xml:space="preserve">15m </w:t>
            </w:r>
            <w:r>
              <w:rPr>
                <w:rFonts w:hint="eastAsia" w:ascii="Times New Roman" w:hAnsi="Times New Roman" w:eastAsia="宋体" w:cs="Times New Roman"/>
                <w:b w:val="0"/>
                <w:bCs w:val="0"/>
                <w:spacing w:val="-7"/>
                <w:sz w:val="24"/>
                <w:szCs w:val="24"/>
                <w:u w:val="none"/>
                <w:lang w:val="en-US" w:eastAsia="zh-CN"/>
              </w:rPr>
              <w:t>排气筒排放，日常做好库内的通风换气工作，若发生电解液泄漏事故时，能及时把产生的废气吸收处理达到《大气污染物综合排放标准》（</w:t>
            </w:r>
            <w:r>
              <w:rPr>
                <w:rFonts w:hint="default" w:ascii="Times New Roman" w:hAnsi="Times New Roman" w:eastAsia="宋体" w:cs="Times New Roman"/>
                <w:b w:val="0"/>
                <w:bCs w:val="0"/>
                <w:spacing w:val="-7"/>
                <w:sz w:val="24"/>
                <w:szCs w:val="24"/>
                <w:u w:val="none"/>
                <w:lang w:val="en-US" w:eastAsia="zh-CN"/>
              </w:rPr>
              <w:t>GB16297-1996</w:t>
            </w:r>
            <w:r>
              <w:rPr>
                <w:rFonts w:hint="eastAsia" w:ascii="Times New Roman" w:hAnsi="Times New Roman" w:eastAsia="宋体" w:cs="Times New Roman"/>
                <w:b w:val="0"/>
                <w:bCs w:val="0"/>
                <w:spacing w:val="-7"/>
                <w:sz w:val="24"/>
                <w:szCs w:val="24"/>
                <w:u w:val="none"/>
                <w:lang w:val="en-US" w:eastAsia="zh-CN"/>
              </w:rPr>
              <w:t xml:space="preserve">）中表 </w:t>
            </w:r>
            <w:r>
              <w:rPr>
                <w:rFonts w:hint="default" w:ascii="Times New Roman" w:hAnsi="Times New Roman" w:eastAsia="宋体" w:cs="Times New Roman"/>
                <w:b w:val="0"/>
                <w:bCs w:val="0"/>
                <w:spacing w:val="-7"/>
                <w:sz w:val="24"/>
                <w:szCs w:val="24"/>
                <w:u w:val="none"/>
                <w:lang w:val="en-US" w:eastAsia="zh-CN"/>
              </w:rPr>
              <w:t>2“</w:t>
            </w:r>
            <w:r>
              <w:rPr>
                <w:rFonts w:hint="eastAsia" w:ascii="Times New Roman" w:hAnsi="Times New Roman" w:eastAsia="宋体" w:cs="Times New Roman"/>
                <w:b w:val="0"/>
                <w:bCs w:val="0"/>
                <w:spacing w:val="-7"/>
                <w:sz w:val="24"/>
                <w:szCs w:val="24"/>
                <w:u w:val="none"/>
                <w:lang w:val="en-US" w:eastAsia="zh-CN"/>
              </w:rPr>
              <w:t>新污染源大气污染物排放限值</w:t>
            </w:r>
            <w:r>
              <w:rPr>
                <w:rFonts w:hint="default" w:ascii="Times New Roman" w:hAnsi="Times New Roman" w:eastAsia="宋体" w:cs="Times New Roman"/>
                <w:b w:val="0"/>
                <w:bCs w:val="0"/>
                <w:spacing w:val="-7"/>
                <w:sz w:val="24"/>
                <w:szCs w:val="24"/>
                <w:u w:val="none"/>
                <w:lang w:val="en-US" w:eastAsia="zh-CN"/>
              </w:rPr>
              <w:t>”</w:t>
            </w:r>
            <w:r>
              <w:rPr>
                <w:rFonts w:hint="eastAsia" w:ascii="Times New Roman" w:hAnsi="Times New Roman" w:eastAsia="宋体" w:cs="Times New Roman"/>
                <w:b w:val="0"/>
                <w:bCs w:val="0"/>
                <w:spacing w:val="-7"/>
                <w:sz w:val="24"/>
                <w:szCs w:val="24"/>
                <w:u w:val="none"/>
                <w:lang w:val="en-US" w:eastAsia="zh-CN"/>
              </w:rPr>
              <w:t>中的二级标准后排出室外。</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4" w:firstLineChars="200"/>
              <w:jc w:val="both"/>
              <w:textAlignment w:val="baseline"/>
              <w:rPr>
                <w:rFonts w:hint="default" w:ascii="Times New Roman" w:hAnsi="Times New Roman" w:eastAsia="宋体" w:cs="Times New Roman"/>
                <w:b w:val="0"/>
                <w:bCs w:val="0"/>
                <w:spacing w:val="-7"/>
                <w:sz w:val="24"/>
                <w:szCs w:val="24"/>
                <w:u w:val="none"/>
                <w:lang w:val="en-US" w:eastAsia="zh-CN"/>
              </w:rPr>
            </w:pPr>
            <w:r>
              <w:rPr>
                <w:rFonts w:hint="eastAsia" w:eastAsia="宋体" w:cs="Times New Roman"/>
                <w:b/>
                <w:bCs/>
                <w:spacing w:val="-7"/>
                <w:sz w:val="24"/>
                <w:szCs w:val="24"/>
                <w:u w:val="none"/>
                <w:lang w:val="en-US" w:eastAsia="zh-CN"/>
              </w:rPr>
              <w:t>6、</w:t>
            </w:r>
            <w:r>
              <w:rPr>
                <w:rFonts w:hint="eastAsia" w:ascii="Times New Roman" w:hAnsi="Times New Roman" w:eastAsia="宋体" w:cs="Times New Roman"/>
                <w:b/>
                <w:bCs/>
                <w:spacing w:val="-7"/>
                <w:sz w:val="24"/>
                <w:szCs w:val="24"/>
                <w:u w:val="none"/>
                <w:lang w:val="en-US" w:eastAsia="zh-CN"/>
              </w:rPr>
              <w:t>转运：</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我公司与持有有效《危险废物经营许可证》的危险废物处置企业签订《危险废物处置合同》，建立长期稳定的业务合作关系。废铅蓄电池由建设单位委托具有危险货物道路运输相应资质的运输单位运输。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项目利用电动叉车进行装车，装车过程中主要污染为叉车噪声。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本项目不涉及储存容器、运输车辆等清洗，统一委托具有处理资质的单位进行清洗。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eastAsia" w:ascii="Times New Roman" w:hAnsi="Times New Roman" w:eastAsia="宋体" w:cs="Times New Roman"/>
                <w:b w:val="0"/>
                <w:bCs w:val="0"/>
                <w:spacing w:val="-7"/>
                <w:sz w:val="24"/>
                <w:szCs w:val="24"/>
                <w:u w:val="none"/>
                <w:lang w:val="en-US" w:eastAsia="zh-CN"/>
              </w:rPr>
              <w:t xml:space="preserve">本项目对运输过程的环境管理要求如下：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default" w:ascii="Times New Roman" w:hAnsi="Times New Roman" w:eastAsia="宋体" w:cs="Times New Roman"/>
                <w:b w:val="0"/>
                <w:bCs w:val="0"/>
                <w:spacing w:val="-7"/>
                <w:sz w:val="24"/>
                <w:szCs w:val="24"/>
                <w:u w:val="none"/>
                <w:lang w:val="en-US" w:eastAsia="zh-CN"/>
              </w:rPr>
              <w:t>a</w:t>
            </w:r>
            <w:r>
              <w:rPr>
                <w:rFonts w:hint="eastAsia" w:ascii="Times New Roman" w:hAnsi="Times New Roman" w:eastAsia="宋体" w:cs="Times New Roman"/>
                <w:b w:val="0"/>
                <w:bCs w:val="0"/>
                <w:spacing w:val="-7"/>
                <w:sz w:val="24"/>
                <w:szCs w:val="24"/>
                <w:u w:val="none"/>
                <w:lang w:val="en-US" w:eastAsia="zh-CN"/>
              </w:rPr>
              <w:t xml:space="preserve">）转运车辆运输途中尽量避开医院、学校和居民区等人口密集区，以及饮用水源保护区、自然保护区等敏感区域。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52"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rPr>
                <w:rFonts w:hint="default" w:ascii="Times New Roman" w:hAnsi="Times New Roman" w:eastAsia="宋体" w:cs="Times New Roman"/>
                <w:b w:val="0"/>
                <w:bCs w:val="0"/>
                <w:spacing w:val="-7"/>
                <w:sz w:val="24"/>
                <w:szCs w:val="24"/>
                <w:u w:val="none"/>
                <w:lang w:val="en-US" w:eastAsia="zh-CN"/>
              </w:rPr>
              <w:t>b</w:t>
            </w:r>
            <w:r>
              <w:rPr>
                <w:rFonts w:hint="eastAsia" w:ascii="Times New Roman" w:hAnsi="Times New Roman" w:eastAsia="宋体" w:cs="Times New Roman"/>
                <w:b w:val="0"/>
                <w:bCs w:val="0"/>
                <w:spacing w:val="-7"/>
                <w:sz w:val="24"/>
                <w:szCs w:val="24"/>
                <w:u w:val="none"/>
                <w:lang w:val="en-US" w:eastAsia="zh-CN"/>
              </w:rPr>
              <w:t>）废铅蓄电池运输应当遵守《道路危险货物运输管理规定》和《危险货物道路运输规则》</w:t>
            </w:r>
            <w:r>
              <w:rPr>
                <w:rFonts w:hint="default" w:ascii="Times New Roman" w:hAnsi="Times New Roman" w:eastAsia="宋体" w:cs="Times New Roman"/>
                <w:b w:val="0"/>
                <w:bCs w:val="0"/>
                <w:spacing w:val="-7"/>
                <w:sz w:val="24"/>
                <w:szCs w:val="24"/>
                <w:u w:val="none"/>
                <w:lang w:val="en-US" w:eastAsia="zh-CN"/>
              </w:rPr>
              <w:t>(JT/T 617</w:t>
            </w:r>
            <w:r>
              <w:rPr>
                <w:rFonts w:hint="eastAsia" w:ascii="Times New Roman" w:hAnsi="Times New Roman" w:eastAsia="宋体" w:cs="Times New Roman"/>
                <w:b w:val="0"/>
                <w:bCs w:val="0"/>
                <w:spacing w:val="-7"/>
                <w:sz w:val="24"/>
                <w:szCs w:val="24"/>
                <w:u w:val="none"/>
                <w:lang w:val="en-US" w:eastAsia="zh-CN"/>
              </w:rPr>
              <w:t xml:space="preserve">〉的规定，并按要求委托具有危险货物道路运输相应资质的企业或单位运输。破损的废铅蓄电池应放置于耐腐蚀的容器内，并采取必要的防风、防雨、防渗漏、防遗撒措施。操作人员应接受危险货物道路运输专业知识培训、安全应急培训，装卸废铅蓄电池时应采取措施防止容器、车辆损坏或者其中的含铅酸液泄漏。 </w:t>
            </w:r>
          </w:p>
          <w:p>
            <w:pPr>
              <w:keepNext w:val="0"/>
              <w:keepLines w:val="0"/>
              <w:pageBreakBefore w:val="0"/>
              <w:widowControl/>
              <w:kinsoku w:val="0"/>
              <w:wordWrap/>
              <w:overflowPunct/>
              <w:topLinePunct w:val="0"/>
              <w:autoSpaceDE w:val="0"/>
              <w:autoSpaceDN w:val="0"/>
              <w:bidi w:val="0"/>
              <w:adjustRightInd w:val="0"/>
              <w:snapToGrid w:val="0"/>
              <w:spacing w:line="420" w:lineRule="exact"/>
              <w:ind w:firstLine="480" w:firstLineChars="200"/>
              <w:jc w:val="both"/>
              <w:textAlignment w:val="baseline"/>
              <w:rPr>
                <w:rFonts w:hint="eastAsia" w:ascii="Times New Roman" w:hAnsi="Times New Roman" w:eastAsia="宋体" w:cs="Times New Roman"/>
                <w:b w:val="0"/>
                <w:bCs w:val="0"/>
                <w:spacing w:val="-7"/>
                <w:sz w:val="24"/>
                <w:szCs w:val="24"/>
                <w:u w:val="none"/>
                <w:lang w:val="en-US" w:eastAsia="zh-CN"/>
              </w:rPr>
            </w:pPr>
            <w:r>
              <w:drawing>
                <wp:anchor distT="0" distB="0" distL="114935" distR="114935" simplePos="0" relativeHeight="251660288" behindDoc="0" locked="0" layoutInCell="1" allowOverlap="1">
                  <wp:simplePos x="0" y="0"/>
                  <wp:positionH relativeFrom="column">
                    <wp:posOffset>61595</wp:posOffset>
                  </wp:positionH>
                  <wp:positionV relativeFrom="paragraph">
                    <wp:posOffset>381000</wp:posOffset>
                  </wp:positionV>
                  <wp:extent cx="4951730" cy="6116955"/>
                  <wp:effectExtent l="0" t="0" r="1270" b="17145"/>
                  <wp:wrapTopAndBottom/>
                  <wp:docPr id="44"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2"/>
                          <pic:cNvPicPr>
                            <a:picLocks noChangeAspect="1"/>
                          </pic:cNvPicPr>
                        </pic:nvPicPr>
                        <pic:blipFill>
                          <a:blip r:embed="rId14"/>
                          <a:stretch>
                            <a:fillRect/>
                          </a:stretch>
                        </pic:blipFill>
                        <pic:spPr>
                          <a:xfrm>
                            <a:off x="0" y="0"/>
                            <a:ext cx="4951730" cy="6116955"/>
                          </a:xfrm>
                          <a:prstGeom prst="rect">
                            <a:avLst/>
                          </a:prstGeom>
                          <a:noFill/>
                          <a:ln>
                            <a:noFill/>
                          </a:ln>
                        </pic:spPr>
                      </pic:pic>
                    </a:graphicData>
                  </a:graphic>
                </wp:anchor>
              </w:drawing>
            </w:r>
            <w:r>
              <w:rPr>
                <w:rFonts w:hint="eastAsia" w:ascii="Times New Roman" w:hAnsi="Times New Roman" w:eastAsia="宋体" w:cs="Times New Roman"/>
                <w:b w:val="0"/>
                <w:bCs w:val="0"/>
                <w:spacing w:val="-7"/>
                <w:sz w:val="24"/>
                <w:szCs w:val="24"/>
                <w:u w:val="none"/>
                <w:lang w:val="en-US" w:eastAsia="zh-CN"/>
              </w:rPr>
              <w:t>项目生产工艺流程图如下：</w:t>
            </w:r>
          </w:p>
          <w:p>
            <w:pPr>
              <w:ind w:firstLine="482"/>
              <w:rPr>
                <w:rFonts w:hint="eastAsia"/>
                <w:b/>
              </w:rPr>
            </w:pPr>
          </w:p>
          <w:p>
            <w:pPr>
              <w:keepNext w:val="0"/>
              <w:keepLines w:val="0"/>
              <w:pageBreakBefore w:val="0"/>
              <w:widowControl w:val="0"/>
              <w:kinsoku/>
              <w:wordWrap/>
              <w:overflowPunct/>
              <w:topLinePunct w:val="0"/>
              <w:autoSpaceDE/>
              <w:autoSpaceDN/>
              <w:bidi w:val="0"/>
              <w:adjustRightInd/>
              <w:snapToGrid/>
              <w:spacing w:line="420" w:lineRule="exact"/>
              <w:ind w:firstLine="482"/>
              <w:textAlignment w:val="auto"/>
              <w:rPr>
                <w:rFonts w:hint="eastAsia"/>
                <w:b/>
              </w:rPr>
            </w:pPr>
            <w:r>
              <w:rPr>
                <w:rFonts w:hint="eastAsia"/>
                <w:b/>
                <w:lang w:eastAsia="zh-CN"/>
              </w:rPr>
              <w:t>二、营运期</w:t>
            </w:r>
            <w:r>
              <w:rPr>
                <w:rFonts w:hint="eastAsia"/>
                <w:b/>
              </w:rPr>
              <w:t>主要</w:t>
            </w:r>
            <w:r>
              <w:rPr>
                <w:b/>
              </w:rPr>
              <w:t>产污分析</w:t>
            </w:r>
          </w:p>
          <w:p>
            <w:pPr>
              <w:pStyle w:val="3"/>
              <w:keepNext/>
              <w:keepLines w:val="0"/>
              <w:pageBreakBefore w:val="0"/>
              <w:widowControl w:val="0"/>
              <w:kinsoku/>
              <w:wordWrap/>
              <w:overflowPunct w:val="0"/>
              <w:topLinePunct w:val="0"/>
              <w:autoSpaceDE/>
              <w:autoSpaceDN/>
              <w:bidi w:val="0"/>
              <w:adjustRightInd/>
              <w:snapToGrid w:val="0"/>
              <w:spacing w:before="0" w:after="0" w:line="420" w:lineRule="exact"/>
              <w:ind w:left="0" w:leftChars="0" w:firstLine="480" w:firstLineChars="200"/>
              <w:textAlignment w:val="auto"/>
              <w:rPr>
                <w:rFonts w:hint="eastAsia" w:ascii="Times New Roman" w:hAnsi="Times New Roman" w:eastAsia="宋体" w:cs="Times New Roman"/>
                <w:b w:val="0"/>
                <w:bCs w:val="0"/>
                <w:sz w:val="24"/>
                <w:szCs w:val="24"/>
                <w:highlight w:val="none"/>
                <w:lang w:eastAsia="zh-CN"/>
              </w:rPr>
            </w:pPr>
            <w:r>
              <w:rPr>
                <w:rFonts w:hint="default" w:ascii="Times New Roman" w:hAnsi="Times New Roman" w:eastAsia="宋体" w:cs="Times New Roman"/>
                <w:b w:val="0"/>
                <w:bCs w:val="0"/>
                <w:sz w:val="24"/>
                <w:szCs w:val="24"/>
                <w:highlight w:val="none"/>
                <w:lang w:eastAsia="zh-CN"/>
              </w:rPr>
              <w:t>（</w:t>
            </w:r>
            <w:r>
              <w:rPr>
                <w:rFonts w:hint="default" w:ascii="Times New Roman" w:hAnsi="Times New Roman" w:eastAsia="宋体" w:cs="Times New Roman"/>
                <w:b w:val="0"/>
                <w:bCs w:val="0"/>
                <w:sz w:val="24"/>
                <w:szCs w:val="24"/>
                <w:highlight w:val="none"/>
                <w:lang w:val="en-US" w:eastAsia="zh-CN"/>
              </w:rPr>
              <w:t>1</w:t>
            </w:r>
            <w:r>
              <w:rPr>
                <w:rFonts w:hint="default" w:ascii="Times New Roman" w:hAnsi="Times New Roman" w:eastAsia="宋体" w:cs="Times New Roman"/>
                <w:b w:val="0"/>
                <w:bCs w:val="0"/>
                <w:sz w:val="24"/>
                <w:szCs w:val="24"/>
                <w:highlight w:val="none"/>
                <w:lang w:eastAsia="zh-CN"/>
              </w:rPr>
              <w:t>）</w:t>
            </w:r>
            <w:r>
              <w:rPr>
                <w:rFonts w:hint="eastAsia" w:ascii="Times New Roman" w:hAnsi="Times New Roman" w:eastAsia="宋体" w:cs="Times New Roman"/>
                <w:b w:val="0"/>
                <w:bCs w:val="0"/>
                <w:sz w:val="24"/>
                <w:szCs w:val="24"/>
                <w:highlight w:val="none"/>
                <w:lang w:eastAsia="zh-CN"/>
              </w:rPr>
              <w:t>废气</w:t>
            </w:r>
          </w:p>
          <w:p>
            <w:pPr>
              <w:pStyle w:val="3"/>
              <w:keepNext/>
              <w:keepLines w:val="0"/>
              <w:pageBreakBefore w:val="0"/>
              <w:widowControl w:val="0"/>
              <w:kinsoku/>
              <w:wordWrap/>
              <w:overflowPunct w:val="0"/>
              <w:topLinePunct w:val="0"/>
              <w:autoSpaceDE/>
              <w:autoSpaceDN/>
              <w:bidi w:val="0"/>
              <w:adjustRightInd/>
              <w:snapToGrid w:val="0"/>
              <w:spacing w:before="0" w:after="0" w:line="420" w:lineRule="exact"/>
              <w:ind w:left="0" w:leftChars="0" w:firstLine="480" w:firstLineChars="200"/>
              <w:textAlignment w:val="auto"/>
              <w:rPr>
                <w:rFonts w:hint="eastAsia" w:ascii="Times New Roman" w:hAnsi="Times New Roman" w:eastAsia="宋体" w:cs="Times New Roman"/>
                <w:b w:val="0"/>
                <w:bCs w:val="0"/>
                <w:sz w:val="24"/>
                <w:szCs w:val="24"/>
                <w:highlight w:val="none"/>
                <w:lang w:eastAsia="zh-CN"/>
              </w:rPr>
            </w:pPr>
            <w:r>
              <w:rPr>
                <w:rFonts w:hint="eastAsia" w:ascii="Times New Roman" w:hAnsi="Times New Roman" w:eastAsia="宋体" w:cs="Times New Roman"/>
                <w:b w:val="0"/>
                <w:bCs w:val="0"/>
                <w:sz w:val="24"/>
                <w:szCs w:val="24"/>
                <w:highlight w:val="none"/>
                <w:lang w:eastAsia="zh-CN"/>
              </w:rPr>
              <w:t>项目废气主要为事故状态下破损废铅蓄电池泄露液挥发产生的硫酸雾。</w:t>
            </w:r>
          </w:p>
          <w:p>
            <w:pPr>
              <w:pStyle w:val="3"/>
              <w:keepNext/>
              <w:keepLines w:val="0"/>
              <w:pageBreakBefore w:val="0"/>
              <w:widowControl w:val="0"/>
              <w:numPr>
                <w:ilvl w:val="0"/>
                <w:numId w:val="0"/>
              </w:numPr>
              <w:kinsoku/>
              <w:wordWrap/>
              <w:overflowPunct w:val="0"/>
              <w:topLinePunct w:val="0"/>
              <w:autoSpaceDE/>
              <w:autoSpaceDN/>
              <w:bidi w:val="0"/>
              <w:adjustRightInd/>
              <w:snapToGrid w:val="0"/>
              <w:spacing w:before="0" w:after="0" w:line="420" w:lineRule="exact"/>
              <w:ind w:leftChars="0" w:firstLine="480" w:firstLineChars="200"/>
              <w:textAlignment w:val="auto"/>
              <w:rPr>
                <w:rFonts w:hint="eastAsia" w:ascii="Times New Roman" w:hAnsi="Times New Roman" w:eastAsia="宋体" w:cs="Times New Roman"/>
                <w:b w:val="0"/>
                <w:bCs w:val="0"/>
                <w:sz w:val="24"/>
                <w:szCs w:val="24"/>
                <w:highlight w:val="none"/>
                <w:lang w:eastAsia="zh-CN"/>
              </w:rPr>
            </w:pPr>
            <w:r>
              <w:rPr>
                <w:rFonts w:hint="eastAsia" w:ascii="Times New Roman" w:hAnsi="Times New Roman" w:eastAsia="宋体" w:cs="Times New Roman"/>
                <w:b w:val="0"/>
                <w:bCs w:val="0"/>
                <w:sz w:val="24"/>
                <w:szCs w:val="24"/>
                <w:highlight w:val="none"/>
                <w:lang w:eastAsia="zh-CN"/>
              </w:rPr>
              <w:t>（</w:t>
            </w:r>
            <w:r>
              <w:rPr>
                <w:rFonts w:hint="eastAsia" w:ascii="Times New Roman" w:hAnsi="Times New Roman" w:eastAsia="宋体" w:cs="Times New Roman"/>
                <w:b w:val="0"/>
                <w:bCs w:val="0"/>
                <w:sz w:val="24"/>
                <w:szCs w:val="24"/>
                <w:highlight w:val="none"/>
                <w:lang w:val="en-US" w:eastAsia="zh-CN"/>
              </w:rPr>
              <w:t>2</w:t>
            </w:r>
            <w:r>
              <w:rPr>
                <w:rFonts w:hint="eastAsia" w:ascii="Times New Roman" w:hAnsi="Times New Roman" w:eastAsia="宋体" w:cs="Times New Roman"/>
                <w:b w:val="0"/>
                <w:bCs w:val="0"/>
                <w:sz w:val="24"/>
                <w:szCs w:val="24"/>
                <w:highlight w:val="none"/>
                <w:lang w:eastAsia="zh-CN"/>
              </w:rPr>
              <w:t>）噪声项目</w:t>
            </w:r>
          </w:p>
          <w:p>
            <w:pPr>
              <w:pStyle w:val="3"/>
              <w:keepNext/>
              <w:keepLines w:val="0"/>
              <w:pageBreakBefore w:val="0"/>
              <w:widowControl w:val="0"/>
              <w:numPr>
                <w:ilvl w:val="0"/>
                <w:numId w:val="0"/>
              </w:numPr>
              <w:kinsoku/>
              <w:wordWrap/>
              <w:overflowPunct w:val="0"/>
              <w:topLinePunct w:val="0"/>
              <w:autoSpaceDE/>
              <w:autoSpaceDN/>
              <w:bidi w:val="0"/>
              <w:adjustRightInd/>
              <w:snapToGrid w:val="0"/>
              <w:spacing w:before="0" w:after="0" w:line="420" w:lineRule="exact"/>
              <w:ind w:leftChars="0" w:firstLine="480" w:firstLineChars="200"/>
              <w:textAlignment w:val="auto"/>
              <w:rPr>
                <w:rFonts w:hint="eastAsia" w:ascii="Times New Roman" w:hAnsi="Times New Roman" w:eastAsia="宋体" w:cs="Times New Roman"/>
                <w:b w:val="0"/>
                <w:bCs w:val="0"/>
                <w:sz w:val="24"/>
                <w:szCs w:val="24"/>
                <w:highlight w:val="none"/>
                <w:lang w:eastAsia="zh-CN"/>
              </w:rPr>
            </w:pPr>
            <w:r>
              <w:rPr>
                <w:rFonts w:hint="eastAsia" w:ascii="Times New Roman" w:hAnsi="Times New Roman" w:eastAsia="宋体" w:cs="Times New Roman"/>
                <w:b w:val="0"/>
                <w:bCs w:val="0"/>
                <w:sz w:val="24"/>
                <w:szCs w:val="24"/>
                <w:highlight w:val="none"/>
                <w:lang w:eastAsia="zh-CN"/>
              </w:rPr>
              <w:t>项目噪声主要为电动叉车、缠绕机等设备运行时产生的噪声</w:t>
            </w:r>
          </w:p>
          <w:p>
            <w:pPr>
              <w:pStyle w:val="3"/>
              <w:keepNext/>
              <w:keepLines w:val="0"/>
              <w:pageBreakBefore w:val="0"/>
              <w:widowControl w:val="0"/>
              <w:numPr>
                <w:ilvl w:val="0"/>
                <w:numId w:val="0"/>
              </w:numPr>
              <w:kinsoku/>
              <w:wordWrap/>
              <w:overflowPunct w:val="0"/>
              <w:topLinePunct w:val="0"/>
              <w:autoSpaceDE/>
              <w:autoSpaceDN/>
              <w:bidi w:val="0"/>
              <w:adjustRightInd/>
              <w:snapToGrid w:val="0"/>
              <w:spacing w:before="0" w:after="0" w:line="420" w:lineRule="exact"/>
              <w:ind w:leftChars="0" w:firstLine="480" w:firstLineChars="200"/>
              <w:textAlignment w:val="auto"/>
              <w:rPr>
                <w:rFonts w:hint="eastAsia" w:ascii="Times New Roman" w:hAnsi="Times New Roman" w:eastAsia="宋体" w:cs="Times New Roman"/>
                <w:b w:val="0"/>
                <w:bCs w:val="0"/>
                <w:sz w:val="24"/>
                <w:szCs w:val="24"/>
                <w:highlight w:val="none"/>
                <w:lang w:eastAsia="zh-CN"/>
              </w:rPr>
            </w:pPr>
            <w:r>
              <w:rPr>
                <w:rFonts w:hint="eastAsia" w:ascii="Times New Roman" w:hAnsi="Times New Roman" w:eastAsia="宋体" w:cs="Times New Roman"/>
                <w:b w:val="0"/>
                <w:bCs w:val="0"/>
                <w:sz w:val="24"/>
                <w:szCs w:val="24"/>
                <w:highlight w:val="none"/>
                <w:lang w:eastAsia="zh-CN"/>
              </w:rPr>
              <w:t>（</w:t>
            </w:r>
            <w:r>
              <w:rPr>
                <w:rFonts w:hint="eastAsia" w:ascii="Times New Roman" w:hAnsi="Times New Roman" w:eastAsia="宋体" w:cs="Times New Roman"/>
                <w:b w:val="0"/>
                <w:bCs w:val="0"/>
                <w:sz w:val="24"/>
                <w:szCs w:val="24"/>
                <w:highlight w:val="none"/>
                <w:lang w:val="en-US" w:eastAsia="zh-CN"/>
              </w:rPr>
              <w:t>3</w:t>
            </w:r>
            <w:r>
              <w:rPr>
                <w:rFonts w:hint="eastAsia" w:ascii="Times New Roman" w:hAnsi="Times New Roman" w:eastAsia="宋体" w:cs="Times New Roman"/>
                <w:b w:val="0"/>
                <w:bCs w:val="0"/>
                <w:sz w:val="24"/>
                <w:szCs w:val="24"/>
                <w:highlight w:val="none"/>
                <w:lang w:eastAsia="zh-CN"/>
              </w:rPr>
              <w:t>）固体废物</w:t>
            </w:r>
          </w:p>
          <w:p>
            <w:pPr>
              <w:pStyle w:val="3"/>
              <w:keepNext/>
              <w:keepLines w:val="0"/>
              <w:pageBreakBefore w:val="0"/>
              <w:widowControl w:val="0"/>
              <w:numPr>
                <w:ilvl w:val="0"/>
                <w:numId w:val="0"/>
              </w:numPr>
              <w:kinsoku/>
              <w:wordWrap/>
              <w:overflowPunct w:val="0"/>
              <w:topLinePunct w:val="0"/>
              <w:autoSpaceDE/>
              <w:autoSpaceDN/>
              <w:bidi w:val="0"/>
              <w:adjustRightInd/>
              <w:snapToGrid w:val="0"/>
              <w:spacing w:before="0" w:after="0" w:line="420" w:lineRule="exact"/>
              <w:ind w:leftChars="0" w:firstLine="480" w:firstLineChars="200"/>
              <w:textAlignment w:val="auto"/>
              <w:rPr>
                <w:rFonts w:hint="eastAsia" w:eastAsia="黑体"/>
                <w:highlight w:val="yellow"/>
                <w:lang w:eastAsia="zh-CN"/>
              </w:rPr>
            </w:pPr>
            <w:r>
              <w:rPr>
                <w:rFonts w:hint="eastAsia" w:ascii="Times New Roman" w:hAnsi="Times New Roman" w:eastAsia="宋体" w:cs="Times New Roman"/>
                <w:b w:val="0"/>
                <w:bCs w:val="0"/>
                <w:sz w:val="24"/>
                <w:szCs w:val="24"/>
                <w:highlight w:val="none"/>
                <w:lang w:eastAsia="zh-CN"/>
              </w:rPr>
              <w:t>项目固废主要为废弃沾染物、酸雾吸收塔产生的废吸收液（废碱液）及事故状态下产生的电解液。</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19" w:hRule="atLeast"/>
          <w:jc w:val="center"/>
        </w:trPr>
        <w:tc>
          <w:tcPr>
            <w:tcW w:w="817" w:type="dxa"/>
            <w:noWrap w:val="0"/>
            <w:vAlign w:val="center"/>
          </w:tcPr>
          <w:p>
            <w:pPr>
              <w:pStyle w:val="12"/>
              <w:adjustRightInd w:val="0"/>
              <w:snapToGrid w:val="0"/>
              <w:spacing w:before="0" w:beforeAutospacing="0" w:after="0" w:afterAutospacing="0"/>
              <w:ind w:left="-72" w:leftChars="-30" w:right="-72" w:rightChars="-30" w:firstLine="0" w:firstLineChars="0"/>
              <w:jc w:val="center"/>
              <w:rPr>
                <w:rFonts w:cs="宋体"/>
                <w:szCs w:val="24"/>
                <w:highlight w:val="yellow"/>
                <w:lang w:val="en-US" w:eastAsia="zh-CN"/>
              </w:rPr>
            </w:pPr>
            <w:r>
              <w:rPr>
                <w:rFonts w:hint="eastAsia" w:cs="宋体"/>
                <w:bCs/>
                <w:kern w:val="2"/>
                <w:szCs w:val="24"/>
                <w:lang w:val="en-US" w:eastAsia="zh-CN"/>
              </w:rPr>
              <w:t>与项目有关的原有环境污染问题</w:t>
            </w:r>
          </w:p>
        </w:tc>
        <w:tc>
          <w:tcPr>
            <w:tcW w:w="8243" w:type="dxa"/>
            <w:noWrap w:val="0"/>
            <w:vAlign w:val="center"/>
          </w:tcPr>
          <w:p>
            <w:pPr>
              <w:pStyle w:val="9"/>
              <w:keepNext w:val="0"/>
              <w:keepLines w:val="0"/>
              <w:pageBreakBefore w:val="0"/>
              <w:widowControl w:val="0"/>
              <w:tabs>
                <w:tab w:val="left" w:pos="1019"/>
              </w:tabs>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val="0"/>
                <w:lang w:val="en-US" w:eastAsia="zh-CN"/>
              </w:rPr>
            </w:pPr>
            <w:r>
              <w:rPr>
                <w:rFonts w:hint="eastAsia" w:ascii="宋体" w:hAnsi="宋体" w:eastAsia="宋体" w:cs="宋体"/>
                <w:b/>
                <w:bCs w:val="0"/>
              </w:rPr>
              <w:t xml:space="preserve">1 </w:t>
            </w:r>
            <w:r>
              <w:rPr>
                <w:rFonts w:hint="eastAsia" w:ascii="宋体" w:hAnsi="宋体" w:eastAsia="宋体" w:cs="宋体"/>
                <w:b/>
                <w:bCs w:val="0"/>
                <w:lang w:eastAsia="zh-CN"/>
              </w:rPr>
              <w:t>、企业现有工程环保手续情况</w:t>
            </w:r>
          </w:p>
          <w:p>
            <w:pPr>
              <w:pStyle w:val="9"/>
              <w:keepNext w:val="0"/>
              <w:keepLines w:val="0"/>
              <w:pageBreakBefore w:val="0"/>
              <w:widowControl w:val="0"/>
              <w:tabs>
                <w:tab w:val="left" w:pos="1019"/>
              </w:tabs>
              <w:kinsoku/>
              <w:wordWrap/>
              <w:overflowPunct/>
              <w:topLinePunct w:val="0"/>
              <w:autoSpaceDE/>
              <w:autoSpaceDN/>
              <w:bidi w:val="0"/>
              <w:adjustRightInd/>
              <w:snapToGrid/>
              <w:spacing w:line="420" w:lineRule="exact"/>
              <w:ind w:firstLine="480"/>
              <w:textAlignment w:val="auto"/>
              <w:rPr>
                <w:rFonts w:hint="default" w:ascii="Times New Roman" w:hAnsi="Times New Roman" w:eastAsia="黑体" w:cs="Times New Roman"/>
                <w:lang w:val="en-US" w:eastAsia="zh-CN"/>
              </w:rPr>
            </w:pPr>
            <w:r>
              <w:rPr>
                <w:rFonts w:hint="eastAsia" w:ascii="Times New Roman" w:hAnsi="Times New Roman" w:eastAsia="宋体" w:cs="Times New Roman"/>
                <w:bCs w:val="0"/>
                <w:kern w:val="2"/>
                <w:sz w:val="24"/>
                <w:szCs w:val="24"/>
                <w:lang w:val="en-US" w:eastAsia="zh-CN" w:bidi="ar-SA"/>
              </w:rPr>
              <w:t>公司</w:t>
            </w:r>
            <w:r>
              <w:rPr>
                <w:rFonts w:hint="eastAsia" w:cs="Times New Roman"/>
                <w:bCs w:val="0"/>
                <w:kern w:val="2"/>
                <w:sz w:val="24"/>
                <w:szCs w:val="24"/>
                <w:lang w:val="en-US" w:eastAsia="zh-CN" w:bidi="ar-SA"/>
              </w:rPr>
              <w:t>现有</w:t>
            </w:r>
            <w:r>
              <w:rPr>
                <w:rFonts w:hint="eastAsia" w:ascii="Times New Roman" w:hAnsi="Times New Roman" w:eastAsia="宋体" w:cs="Times New Roman"/>
                <w:bCs w:val="0"/>
                <w:kern w:val="2"/>
                <w:sz w:val="24"/>
                <w:szCs w:val="24"/>
                <w:lang w:val="en-US" w:eastAsia="zh-CN" w:bidi="ar-SA"/>
              </w:rPr>
              <w:t>《</w:t>
            </w:r>
            <w:r>
              <w:rPr>
                <w:rFonts w:hint="eastAsia" w:cs="Times New Roman"/>
                <w:bCs w:val="0"/>
                <w:kern w:val="2"/>
                <w:sz w:val="24"/>
                <w:szCs w:val="24"/>
                <w:lang w:val="en-US" w:eastAsia="zh-CN" w:bidi="ar-SA"/>
              </w:rPr>
              <w:t>济源市源清环保科技有限公司年收集贮存2万吨危险废物项目</w:t>
            </w:r>
            <w:r>
              <w:rPr>
                <w:rFonts w:hint="eastAsia" w:ascii="Times New Roman" w:hAnsi="Times New Roman" w:eastAsia="宋体" w:cs="Times New Roman"/>
                <w:bCs w:val="0"/>
                <w:kern w:val="2"/>
                <w:sz w:val="24"/>
                <w:szCs w:val="24"/>
                <w:lang w:val="en-US" w:eastAsia="zh-CN" w:bidi="ar-SA"/>
              </w:rPr>
              <w:t>环境影响报告表》于20</w:t>
            </w:r>
            <w:r>
              <w:rPr>
                <w:rFonts w:hint="eastAsia" w:cs="Times New Roman"/>
                <w:bCs w:val="0"/>
                <w:kern w:val="2"/>
                <w:sz w:val="24"/>
                <w:szCs w:val="24"/>
                <w:lang w:val="en-US" w:eastAsia="zh-CN" w:bidi="ar-SA"/>
              </w:rPr>
              <w:t>20</w:t>
            </w:r>
            <w:r>
              <w:rPr>
                <w:rFonts w:hint="eastAsia" w:ascii="Times New Roman" w:hAnsi="Times New Roman" w:eastAsia="宋体" w:cs="Times New Roman"/>
                <w:bCs w:val="0"/>
                <w:kern w:val="2"/>
                <w:sz w:val="24"/>
                <w:szCs w:val="24"/>
                <w:lang w:val="en-US" w:eastAsia="zh-CN" w:bidi="ar-SA"/>
              </w:rPr>
              <w:t>年</w:t>
            </w:r>
            <w:r>
              <w:rPr>
                <w:rFonts w:hint="eastAsia" w:cs="Times New Roman"/>
                <w:bCs w:val="0"/>
                <w:kern w:val="2"/>
                <w:sz w:val="24"/>
                <w:szCs w:val="24"/>
                <w:lang w:val="en-US" w:eastAsia="zh-CN" w:bidi="ar-SA"/>
              </w:rPr>
              <w:t>12</w:t>
            </w:r>
            <w:r>
              <w:rPr>
                <w:rFonts w:hint="eastAsia" w:ascii="Times New Roman" w:hAnsi="Times New Roman" w:eastAsia="宋体" w:cs="Times New Roman"/>
                <w:bCs w:val="0"/>
                <w:kern w:val="2"/>
                <w:sz w:val="24"/>
                <w:szCs w:val="24"/>
                <w:lang w:val="en-US" w:eastAsia="zh-CN" w:bidi="ar-SA"/>
              </w:rPr>
              <w:t>月</w:t>
            </w:r>
            <w:r>
              <w:rPr>
                <w:rFonts w:hint="eastAsia" w:cs="Times New Roman"/>
                <w:bCs w:val="0"/>
                <w:kern w:val="2"/>
                <w:sz w:val="24"/>
                <w:szCs w:val="24"/>
                <w:lang w:val="en-US" w:eastAsia="zh-CN" w:bidi="ar-SA"/>
              </w:rPr>
              <w:t>31</w:t>
            </w:r>
            <w:r>
              <w:rPr>
                <w:rFonts w:hint="eastAsia" w:ascii="Times New Roman" w:hAnsi="Times New Roman" w:eastAsia="宋体" w:cs="Times New Roman"/>
                <w:bCs w:val="0"/>
                <w:kern w:val="2"/>
                <w:sz w:val="24"/>
                <w:szCs w:val="24"/>
                <w:lang w:val="en-US" w:eastAsia="zh-CN" w:bidi="ar-SA"/>
              </w:rPr>
              <w:t>号通过</w:t>
            </w:r>
            <w:r>
              <w:rPr>
                <w:rFonts w:hint="eastAsia" w:cs="Times New Roman"/>
                <w:bCs w:val="0"/>
                <w:kern w:val="2"/>
                <w:sz w:val="24"/>
                <w:szCs w:val="24"/>
                <w:lang w:val="en-US" w:eastAsia="zh-CN" w:bidi="ar-SA"/>
              </w:rPr>
              <w:t>济源市生态环境局</w:t>
            </w:r>
            <w:r>
              <w:rPr>
                <w:rFonts w:hint="eastAsia" w:ascii="Times New Roman" w:hAnsi="Times New Roman" w:eastAsia="宋体" w:cs="Times New Roman"/>
                <w:bCs w:val="0"/>
                <w:kern w:val="2"/>
                <w:sz w:val="24"/>
                <w:szCs w:val="24"/>
                <w:lang w:val="en-US" w:eastAsia="zh-CN" w:bidi="ar-SA"/>
              </w:rPr>
              <w:t>审批，审批文号为</w:t>
            </w:r>
            <w:r>
              <w:rPr>
                <w:rFonts w:hint="eastAsia" w:cs="Times New Roman"/>
                <w:bCs w:val="0"/>
                <w:kern w:val="2"/>
                <w:sz w:val="24"/>
                <w:szCs w:val="24"/>
                <w:lang w:val="en-US" w:eastAsia="zh-CN" w:bidi="ar-SA"/>
              </w:rPr>
              <w:t>济环评审</w:t>
            </w:r>
            <w:r>
              <w:rPr>
                <w:rFonts w:hint="eastAsia" w:ascii="Times New Roman" w:hAnsi="Times New Roman" w:eastAsia="宋体" w:cs="Times New Roman"/>
                <w:bCs w:val="0"/>
                <w:kern w:val="2"/>
                <w:sz w:val="24"/>
                <w:szCs w:val="24"/>
                <w:lang w:val="en-US" w:eastAsia="zh-CN" w:bidi="ar-SA"/>
              </w:rPr>
              <w:t>[20</w:t>
            </w:r>
            <w:r>
              <w:rPr>
                <w:rFonts w:hint="eastAsia" w:cs="Times New Roman"/>
                <w:bCs w:val="0"/>
                <w:kern w:val="2"/>
                <w:sz w:val="24"/>
                <w:szCs w:val="24"/>
                <w:lang w:val="en-US" w:eastAsia="zh-CN" w:bidi="ar-SA"/>
              </w:rPr>
              <w:t>20</w:t>
            </w:r>
            <w:r>
              <w:rPr>
                <w:rFonts w:hint="eastAsia" w:ascii="Times New Roman" w:hAnsi="Times New Roman" w:eastAsia="宋体" w:cs="Times New Roman"/>
                <w:bCs w:val="0"/>
                <w:kern w:val="2"/>
                <w:sz w:val="24"/>
                <w:szCs w:val="24"/>
                <w:lang w:val="en-US" w:eastAsia="zh-CN" w:bidi="ar-SA"/>
              </w:rPr>
              <w:t>]</w:t>
            </w:r>
            <w:r>
              <w:rPr>
                <w:rFonts w:hint="eastAsia" w:cs="Times New Roman"/>
                <w:bCs w:val="0"/>
                <w:kern w:val="2"/>
                <w:sz w:val="24"/>
                <w:szCs w:val="24"/>
                <w:lang w:val="en-US" w:eastAsia="zh-CN" w:bidi="ar-SA"/>
              </w:rPr>
              <w:t>238</w:t>
            </w:r>
            <w:r>
              <w:rPr>
                <w:rFonts w:hint="eastAsia" w:ascii="Times New Roman" w:hAnsi="Times New Roman" w:eastAsia="宋体" w:cs="Times New Roman"/>
                <w:bCs w:val="0"/>
                <w:kern w:val="2"/>
                <w:sz w:val="24"/>
                <w:szCs w:val="24"/>
                <w:lang w:val="en-US" w:eastAsia="zh-CN" w:bidi="ar-SA"/>
              </w:rPr>
              <w:t>号；该项目于20</w:t>
            </w:r>
            <w:r>
              <w:rPr>
                <w:rFonts w:hint="eastAsia" w:cs="Times New Roman"/>
                <w:bCs w:val="0"/>
                <w:kern w:val="2"/>
                <w:sz w:val="24"/>
                <w:szCs w:val="24"/>
                <w:lang w:val="en-US" w:eastAsia="zh-CN" w:bidi="ar-SA"/>
              </w:rPr>
              <w:t>21</w:t>
            </w:r>
            <w:r>
              <w:rPr>
                <w:rFonts w:hint="eastAsia" w:ascii="Times New Roman" w:hAnsi="Times New Roman" w:eastAsia="宋体" w:cs="Times New Roman"/>
                <w:bCs w:val="0"/>
                <w:kern w:val="2"/>
                <w:sz w:val="24"/>
                <w:szCs w:val="24"/>
                <w:lang w:val="en-US" w:eastAsia="zh-CN" w:bidi="ar-SA"/>
              </w:rPr>
              <w:t>年</w:t>
            </w:r>
            <w:r>
              <w:rPr>
                <w:rFonts w:hint="eastAsia" w:cs="Times New Roman"/>
                <w:bCs w:val="0"/>
                <w:kern w:val="2"/>
                <w:sz w:val="24"/>
                <w:szCs w:val="24"/>
                <w:lang w:val="en-US" w:eastAsia="zh-CN" w:bidi="ar-SA"/>
              </w:rPr>
              <w:t>8</w:t>
            </w:r>
            <w:r>
              <w:rPr>
                <w:rFonts w:hint="eastAsia" w:ascii="Times New Roman" w:hAnsi="Times New Roman" w:eastAsia="宋体" w:cs="Times New Roman"/>
                <w:bCs w:val="0"/>
                <w:kern w:val="2"/>
                <w:sz w:val="24"/>
                <w:szCs w:val="24"/>
                <w:lang w:val="en-US" w:eastAsia="zh-CN" w:bidi="ar-SA"/>
              </w:rPr>
              <w:t>月</w:t>
            </w:r>
            <w:r>
              <w:rPr>
                <w:rFonts w:hint="eastAsia" w:cs="Times New Roman"/>
                <w:bCs w:val="0"/>
                <w:kern w:val="2"/>
                <w:sz w:val="24"/>
                <w:szCs w:val="24"/>
                <w:lang w:val="en-US" w:eastAsia="zh-CN" w:bidi="ar-SA"/>
              </w:rPr>
              <w:t>7</w:t>
            </w:r>
            <w:r>
              <w:rPr>
                <w:rFonts w:hint="eastAsia" w:ascii="Times New Roman" w:hAnsi="Times New Roman" w:eastAsia="宋体" w:cs="Times New Roman"/>
                <w:bCs w:val="0"/>
                <w:kern w:val="2"/>
                <w:sz w:val="24"/>
                <w:szCs w:val="24"/>
                <w:lang w:val="en-US" w:eastAsia="zh-CN" w:bidi="ar-SA"/>
              </w:rPr>
              <w:t>日通过</w:t>
            </w:r>
            <w:r>
              <w:rPr>
                <w:rFonts w:hint="eastAsia" w:cs="Times New Roman"/>
                <w:bCs w:val="0"/>
                <w:kern w:val="2"/>
                <w:sz w:val="24"/>
                <w:szCs w:val="24"/>
                <w:lang w:val="en-US" w:eastAsia="zh-CN" w:bidi="ar-SA"/>
              </w:rPr>
              <w:t>项目自主验收，</w:t>
            </w:r>
            <w:r>
              <w:rPr>
                <w:rFonts w:hint="eastAsia" w:ascii="Times New Roman" w:hAnsi="Times New Roman" w:eastAsia="宋体" w:cs="Times New Roman"/>
                <w:bCs w:val="0"/>
                <w:kern w:val="2"/>
                <w:sz w:val="24"/>
                <w:szCs w:val="24"/>
                <w:lang w:val="en-US" w:eastAsia="zh-CN" w:bidi="ar-SA"/>
              </w:rPr>
              <w:t>2021年</w:t>
            </w:r>
            <w:r>
              <w:rPr>
                <w:rFonts w:hint="eastAsia" w:cs="Times New Roman"/>
                <w:bCs w:val="0"/>
                <w:kern w:val="2"/>
                <w:sz w:val="24"/>
                <w:szCs w:val="24"/>
                <w:lang w:val="en-US" w:eastAsia="zh-CN" w:bidi="ar-SA"/>
              </w:rPr>
              <w:t>8</w:t>
            </w:r>
            <w:r>
              <w:rPr>
                <w:rFonts w:hint="eastAsia" w:ascii="Times New Roman" w:hAnsi="Times New Roman" w:eastAsia="宋体" w:cs="Times New Roman"/>
                <w:bCs w:val="0"/>
                <w:kern w:val="2"/>
                <w:sz w:val="24"/>
                <w:szCs w:val="24"/>
                <w:lang w:val="en-US" w:eastAsia="zh-CN" w:bidi="ar-SA"/>
              </w:rPr>
              <w:t>月5日取得排污登记表，登记编号为</w:t>
            </w:r>
            <w:r>
              <w:rPr>
                <w:rFonts w:hint="default" w:ascii="Times New Roman" w:hAnsi="Times New Roman" w:eastAsia="宋体" w:cs="Times New Roman"/>
                <w:i w:val="0"/>
                <w:iCs w:val="0"/>
                <w:caps w:val="0"/>
                <w:color w:val="auto"/>
                <w:spacing w:val="0"/>
                <w:sz w:val="24"/>
                <w:szCs w:val="24"/>
                <w:shd w:val="clear" w:fill="FFFFFF"/>
              </w:rPr>
              <w:t>91419001MA9F8HLM02001W</w:t>
            </w:r>
            <w:r>
              <w:rPr>
                <w:rFonts w:hint="eastAsia" w:ascii="Times New Roman" w:hAnsi="Times New Roman" w:eastAsia="宋体" w:cs="Times New Roman"/>
                <w:bCs w:val="0"/>
                <w:kern w:val="2"/>
                <w:sz w:val="24"/>
                <w:szCs w:val="24"/>
                <w:lang w:val="en-US" w:eastAsia="zh-CN" w:bidi="ar-SA"/>
              </w:rPr>
              <w:t>。</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rPr>
            </w:pPr>
            <w:r>
              <w:rPr>
                <w:rFonts w:hint="eastAsia" w:ascii="宋体" w:hAnsi="宋体" w:eastAsia="宋体" w:cs="宋体"/>
                <w:b/>
                <w:bCs/>
                <w:lang w:val="en-US" w:eastAsia="zh-CN"/>
              </w:rPr>
              <w:t>2</w:t>
            </w:r>
            <w:r>
              <w:rPr>
                <w:rFonts w:hint="eastAsia" w:ascii="宋体" w:hAnsi="宋体" w:eastAsia="宋体" w:cs="宋体"/>
                <w:b/>
                <w:bCs/>
              </w:rPr>
              <w:t xml:space="preserve"> </w:t>
            </w:r>
            <w:r>
              <w:rPr>
                <w:rFonts w:hint="eastAsia" w:ascii="宋体" w:hAnsi="宋体" w:eastAsia="宋体" w:cs="宋体"/>
                <w:b/>
                <w:bCs/>
                <w:lang w:eastAsia="zh-CN"/>
              </w:rPr>
              <w:t>、</w:t>
            </w:r>
            <w:r>
              <w:rPr>
                <w:rFonts w:hint="eastAsia" w:ascii="宋体" w:hAnsi="宋体" w:eastAsia="宋体" w:cs="宋体"/>
                <w:b/>
                <w:bCs/>
              </w:rPr>
              <w:t>主要生产设备</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Times New Roman" w:hAnsi="Times New Roman" w:eastAsia="黑体" w:cs="Times New Roman"/>
                <w:sz w:val="24"/>
                <w:lang w:eastAsia="zh-CN"/>
              </w:rPr>
            </w:pPr>
            <w:r>
              <w:rPr>
                <w:rFonts w:hint="eastAsia" w:ascii="Times New Roman" w:hAnsi="Times New Roman" w:eastAsia="黑体" w:cs="Times New Roman"/>
                <w:sz w:val="24"/>
                <w:lang w:eastAsia="zh-CN"/>
              </w:rPr>
              <w:t>现有工程主要生产设备表</w:t>
            </w:r>
          </w:p>
          <w:tbl>
            <w:tblPr>
              <w:tblStyle w:val="16"/>
              <w:tblW w:w="7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2177"/>
              <w:gridCol w:w="2202"/>
              <w:gridCol w:w="713"/>
              <w:gridCol w:w="21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序号</w:t>
                  </w:r>
                </w:p>
              </w:tc>
              <w:tc>
                <w:tcPr>
                  <w:tcW w:w="2177"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设备名称</w:t>
                  </w:r>
                </w:p>
              </w:tc>
              <w:tc>
                <w:tcPr>
                  <w:tcW w:w="2202"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规格型号</w:t>
                  </w:r>
                </w:p>
              </w:tc>
              <w:tc>
                <w:tcPr>
                  <w:tcW w:w="713"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数量</w:t>
                  </w:r>
                </w:p>
              </w:tc>
              <w:tc>
                <w:tcPr>
                  <w:tcW w:w="2190"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1</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电动叉车</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5t</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hint="eastAsia" w:cs="Times New Roman"/>
                      <w:color w:val="auto"/>
                      <w:sz w:val="21"/>
                      <w:szCs w:val="21"/>
                      <w:vertAlign w:val="baseline"/>
                      <w:lang w:val="en-US" w:eastAsia="zh-CN"/>
                    </w:rPr>
                    <w:t>2台</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物料装卸，转运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2</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电子磅秤</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50t</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1台</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物料称重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3</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储油铁罐</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18m</w:t>
                  </w:r>
                  <w:r>
                    <w:rPr>
                      <w:rFonts w:hint="eastAsia" w:cs="Times New Roman"/>
                      <w:color w:val="auto"/>
                      <w:sz w:val="21"/>
                      <w:szCs w:val="21"/>
                      <w:vertAlign w:val="superscript"/>
                      <w:lang w:val="en-US" w:eastAsia="zh-CN"/>
                    </w:rPr>
                    <w:t>3</w:t>
                  </w:r>
                  <w:r>
                    <w:rPr>
                      <w:rFonts w:hint="eastAsia" w:cs="Times New Roman"/>
                      <w:color w:val="auto"/>
                      <w:sz w:val="21"/>
                      <w:szCs w:val="21"/>
                      <w:vertAlign w:val="baseline"/>
                      <w:lang w:val="en-US" w:eastAsia="zh-CN"/>
                    </w:rPr>
                    <w:t>,φ2m*6m</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9个</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液态油性物质贮存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4</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防爆抽油泵</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val="en-US" w:eastAsia="zh-CN"/>
                    </w:rPr>
                    <w:t>6个</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color w:val="auto"/>
                      <w:sz w:val="21"/>
                      <w:szCs w:val="21"/>
                      <w:vertAlign w:val="baseline"/>
                      <w:lang w:eastAsia="zh-CN"/>
                    </w:rPr>
                    <w:t>液态油性物质的输送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5</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活性炭吸附箱</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1.5m*1.5m*1.5m</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1个</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废气治理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6</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低温等离子处理装置</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1套</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废气治理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7</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事故应急池</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18m</w:t>
                  </w:r>
                  <w:r>
                    <w:rPr>
                      <w:rFonts w:hint="eastAsia" w:cs="Times New Roman"/>
                      <w:sz w:val="21"/>
                      <w:szCs w:val="21"/>
                      <w:vertAlign w:val="superscript"/>
                      <w:lang w:val="en-US" w:eastAsia="zh-CN"/>
                    </w:rPr>
                    <w:t>3</w:t>
                  </w:r>
                  <w:r>
                    <w:rPr>
                      <w:rFonts w:hint="eastAsia" w:cs="Times New Roman"/>
                      <w:sz w:val="21"/>
                      <w:szCs w:val="21"/>
                      <w:vertAlign w:val="baseline"/>
                      <w:lang w:val="en-US" w:eastAsia="zh-CN"/>
                    </w:rPr>
                    <w:t>,1.0m*12m*1.5m</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1个</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废液事故应急收集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695" w:type="dxa"/>
                </w:tcPr>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8</w:t>
                  </w:r>
                </w:p>
              </w:tc>
              <w:tc>
                <w:tcPr>
                  <w:tcW w:w="2177"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事故应急储罐</w:t>
                  </w:r>
                </w:p>
              </w:tc>
              <w:tc>
                <w:tcPr>
                  <w:tcW w:w="2202"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18m</w:t>
                  </w:r>
                  <w:r>
                    <w:rPr>
                      <w:rFonts w:hint="eastAsia" w:cs="Times New Roman"/>
                      <w:sz w:val="21"/>
                      <w:szCs w:val="21"/>
                      <w:vertAlign w:val="superscript"/>
                      <w:lang w:val="en-US" w:eastAsia="zh-CN"/>
                    </w:rPr>
                    <w:t>3</w:t>
                  </w:r>
                  <w:r>
                    <w:rPr>
                      <w:rFonts w:hint="eastAsia" w:cs="Times New Roman"/>
                      <w:sz w:val="21"/>
                      <w:szCs w:val="21"/>
                      <w:vertAlign w:val="baseline"/>
                      <w:lang w:val="en-US" w:eastAsia="zh-CN"/>
                    </w:rPr>
                    <w:t>，φ2m*6m</w:t>
                  </w:r>
                </w:p>
              </w:tc>
              <w:tc>
                <w:tcPr>
                  <w:tcW w:w="713"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val="en-US" w:eastAsia="zh-CN"/>
                    </w:rPr>
                    <w:t>2个</w:t>
                  </w:r>
                </w:p>
              </w:tc>
              <w:tc>
                <w:tcPr>
                  <w:tcW w:w="2190" w:type="dxa"/>
                  <w:vAlign w:val="center"/>
                </w:tcPr>
                <w:p>
                  <w:pPr>
                    <w:keepNext w:val="0"/>
                    <w:keepLines w:val="0"/>
                    <w:pageBreakBefore w:val="0"/>
                    <w:widowControl w:val="0"/>
                    <w:kinsoku/>
                    <w:wordWrap/>
                    <w:overflowPunct/>
                    <w:topLinePunct w:val="0"/>
                    <w:autoSpaceDE/>
                    <w:autoSpaceDN/>
                    <w:bidi w:val="0"/>
                    <w:adjustRightInd/>
                    <w:snapToGrid/>
                    <w:spacing w:line="240" w:lineRule="atLeas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eastAsia" w:cs="Times New Roman"/>
                      <w:sz w:val="21"/>
                      <w:szCs w:val="21"/>
                      <w:vertAlign w:val="baseline"/>
                      <w:lang w:eastAsia="zh-CN"/>
                    </w:rPr>
                    <w:t>泄露物料的转存</w:t>
                  </w:r>
                </w:p>
              </w:tc>
            </w:tr>
          </w:tbl>
          <w:p>
            <w:pPr>
              <w:pStyle w:val="9"/>
              <w:keepNext w:val="0"/>
              <w:keepLines w:val="0"/>
              <w:pageBreakBefore w:val="0"/>
              <w:widowControl w:val="0"/>
              <w:tabs>
                <w:tab w:val="left" w:pos="1019"/>
              </w:tabs>
              <w:kinsoku/>
              <w:wordWrap/>
              <w:overflowPunct/>
              <w:topLinePunct w:val="0"/>
              <w:autoSpaceDE/>
              <w:autoSpaceDN/>
              <w:bidi w:val="0"/>
              <w:adjustRightInd/>
              <w:snapToGrid/>
              <w:spacing w:line="420" w:lineRule="exact"/>
              <w:ind w:left="545" w:firstLine="0" w:firstLineChars="0"/>
              <w:textAlignment w:val="auto"/>
              <w:rPr>
                <w:rFonts w:hint="eastAsia" w:ascii="宋体" w:hAnsi="宋体" w:eastAsia="宋体" w:cs="宋体"/>
                <w:b/>
                <w:bCs w:val="0"/>
              </w:rPr>
            </w:pPr>
            <w:r>
              <w:rPr>
                <w:rFonts w:hint="eastAsia" w:ascii="宋体" w:hAnsi="宋体" w:eastAsia="宋体" w:cs="宋体"/>
                <w:b/>
                <w:bCs w:val="0"/>
                <w:lang w:val="en-US" w:eastAsia="zh-CN"/>
              </w:rPr>
              <w:t>3、现有工程</w:t>
            </w:r>
            <w:r>
              <w:rPr>
                <w:rFonts w:hint="eastAsia" w:ascii="宋体" w:hAnsi="宋体" w:eastAsia="宋体" w:cs="宋体"/>
                <w:b/>
                <w:bCs w:val="0"/>
              </w:rPr>
              <w:t>生产工艺流程</w:t>
            </w:r>
          </w:p>
          <w:p>
            <w:pPr>
              <w:keepNext w:val="0"/>
              <w:keepLines w:val="0"/>
              <w:pageBreakBefore w:val="0"/>
              <w:widowControl/>
              <w:numPr>
                <w:ilvl w:val="0"/>
                <w:numId w:val="3"/>
              </w:numPr>
              <w:kinsoku/>
              <w:wordWrap/>
              <w:overflowPunct/>
              <w:topLinePunct w:val="0"/>
              <w:autoSpaceDE/>
              <w:autoSpaceDN/>
              <w:bidi w:val="0"/>
              <w:adjustRightInd w:val="0"/>
              <w:snapToGrid/>
              <w:spacing w:after="0" w:line="420" w:lineRule="exact"/>
              <w:ind w:left="0" w:leftChars="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危险废物收集装车</w:t>
            </w:r>
          </w:p>
          <w:p>
            <w:pPr>
              <w:keepNext w:val="0"/>
              <w:keepLines w:val="0"/>
              <w:pageBreakBefore w:val="0"/>
              <w:widowControl/>
              <w:numPr>
                <w:ilvl w:val="0"/>
                <w:numId w:val="0"/>
              </w:numPr>
              <w:kinsoku/>
              <w:wordWrap/>
              <w:overflowPunct/>
              <w:topLinePunct w:val="0"/>
              <w:autoSpaceDE/>
              <w:autoSpaceDN/>
              <w:bidi w:val="0"/>
              <w:adjustRightInd w:val="0"/>
              <w:snapToGrid/>
              <w:spacing w:after="0" w:line="420" w:lineRule="exact"/>
              <w:ind w:left="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本项目委托具备危险废物运输资质的公司承担危险废物收运任务，集中暂存后交危废处置单位统一收运处置，本项目不进行其他处理。</w:t>
            </w:r>
          </w:p>
          <w:p>
            <w:pPr>
              <w:keepNext w:val="0"/>
              <w:keepLines w:val="0"/>
              <w:pageBreakBefore w:val="0"/>
              <w:widowControl/>
              <w:numPr>
                <w:ilvl w:val="0"/>
                <w:numId w:val="3"/>
              </w:numPr>
              <w:kinsoku/>
              <w:wordWrap/>
              <w:overflowPunct/>
              <w:topLinePunct w:val="0"/>
              <w:autoSpaceDE/>
              <w:autoSpaceDN/>
              <w:bidi w:val="0"/>
              <w:adjustRightInd w:val="0"/>
              <w:snapToGrid/>
              <w:spacing w:after="0" w:line="420" w:lineRule="exact"/>
              <w:ind w:left="0" w:leftChars="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危险废物卸车</w:t>
            </w:r>
          </w:p>
          <w:p>
            <w:pPr>
              <w:keepNext w:val="0"/>
              <w:keepLines w:val="0"/>
              <w:pageBreakBefore w:val="0"/>
              <w:widowControl/>
              <w:numPr>
                <w:ilvl w:val="0"/>
                <w:numId w:val="0"/>
              </w:numPr>
              <w:kinsoku/>
              <w:wordWrap/>
              <w:overflowPunct/>
              <w:topLinePunct w:val="0"/>
              <w:autoSpaceDE/>
              <w:autoSpaceDN/>
              <w:bidi w:val="0"/>
              <w:adjustRightInd w:val="0"/>
              <w:snapToGrid/>
              <w:spacing w:after="0" w:line="420" w:lineRule="exact"/>
              <w:ind w:left="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危险废物经专用车辆运输至暂存区，HW08在中转时桶、储罐均不下车，在装卸区直接将输送管道插入桶或储罐中，用装卸区内的输送泵将危险废物输送至HW08储罐内。其他危险废物均不倒罐，直接用叉车进行卸车，卸车前进行危险废物登记。其中，液体危险废物进行密封包装后即可存放，固体及半固体危废按照类别放入暂存区吨包袋以方便后期转运处置，转运容器及车辆清洗均由危废运输公司负责，本项目不涉及转运容器及运输车辆的清洗。</w:t>
            </w:r>
          </w:p>
          <w:p>
            <w:pPr>
              <w:keepNext w:val="0"/>
              <w:keepLines w:val="0"/>
              <w:pageBreakBefore w:val="0"/>
              <w:widowControl/>
              <w:numPr>
                <w:ilvl w:val="0"/>
                <w:numId w:val="3"/>
              </w:numPr>
              <w:kinsoku/>
              <w:wordWrap/>
              <w:overflowPunct/>
              <w:topLinePunct w:val="0"/>
              <w:autoSpaceDE/>
              <w:autoSpaceDN/>
              <w:bidi w:val="0"/>
              <w:adjustRightInd w:val="0"/>
              <w:snapToGrid/>
              <w:spacing w:after="0" w:line="420" w:lineRule="exact"/>
              <w:ind w:left="0" w:leftChars="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分区暂存</w:t>
            </w:r>
          </w:p>
          <w:p>
            <w:pPr>
              <w:keepNext w:val="0"/>
              <w:keepLines w:val="0"/>
              <w:pageBreakBefore w:val="0"/>
              <w:widowControl/>
              <w:numPr>
                <w:ilvl w:val="0"/>
                <w:numId w:val="0"/>
              </w:numPr>
              <w:kinsoku/>
              <w:wordWrap/>
              <w:overflowPunct/>
              <w:topLinePunct w:val="0"/>
              <w:autoSpaceDE/>
              <w:autoSpaceDN/>
              <w:bidi w:val="0"/>
              <w:adjustRightInd w:val="0"/>
              <w:snapToGrid/>
              <w:spacing w:after="0" w:line="420" w:lineRule="exact"/>
              <w:ind w:left="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根据收集的危险废物种类、形态，将危险废物分类暂存于厂区对应的危险废物暂存区。各类危险废物暂存区地面与裙脚采取防渗、防腐措施，并分区设置围堰；危废暂存间修建导流渠，并设置一座收集池，导流渠与收集池相连接。危废暂存间液态和半固态类危废如果发生泄漏，泄漏的废液可经导流渠进入收集池中，收集池中放置一个塑料桶，将泄漏废液桶装后送至相应暂存区暂存，并与其他危险废物一同转运至有资质的单位处置。</w:t>
            </w:r>
          </w:p>
          <w:p>
            <w:pPr>
              <w:keepNext w:val="0"/>
              <w:keepLines w:val="0"/>
              <w:pageBreakBefore w:val="0"/>
              <w:widowControl/>
              <w:numPr>
                <w:ilvl w:val="0"/>
                <w:numId w:val="3"/>
              </w:numPr>
              <w:kinsoku/>
              <w:wordWrap/>
              <w:overflowPunct/>
              <w:topLinePunct w:val="0"/>
              <w:autoSpaceDE/>
              <w:autoSpaceDN/>
              <w:bidi w:val="0"/>
              <w:adjustRightInd w:val="0"/>
              <w:snapToGrid/>
              <w:spacing w:after="0" w:line="420" w:lineRule="exact"/>
              <w:ind w:left="0" w:leftChars="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危险废物最终处置</w:t>
            </w:r>
          </w:p>
          <w:p>
            <w:pPr>
              <w:keepNext w:val="0"/>
              <w:keepLines w:val="0"/>
              <w:pageBreakBefore w:val="0"/>
              <w:widowControl/>
              <w:numPr>
                <w:ilvl w:val="0"/>
                <w:numId w:val="0"/>
              </w:numPr>
              <w:kinsoku/>
              <w:wordWrap/>
              <w:overflowPunct/>
              <w:topLinePunct w:val="0"/>
              <w:autoSpaceDE/>
              <w:autoSpaceDN/>
              <w:bidi w:val="0"/>
              <w:adjustRightInd w:val="0"/>
              <w:snapToGrid/>
              <w:spacing w:after="0" w:line="420" w:lineRule="exact"/>
              <w:ind w:left="0" w:firstLine="480" w:firstLineChars="200"/>
              <w:textAlignment w:val="auto"/>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项目暂存的危险废物定期转运至有相应危废处理资质的单位进行最终处置，本项目在此过程中无污染物产生。</w:t>
            </w:r>
          </w:p>
          <w:p>
            <w:pPr>
              <w:keepNext w:val="0"/>
              <w:keepLines w:val="0"/>
              <w:pageBreakBefore w:val="0"/>
              <w:widowControl/>
              <w:kinsoku/>
              <w:wordWrap/>
              <w:overflowPunct/>
              <w:topLinePunct w:val="0"/>
              <w:autoSpaceDE/>
              <w:autoSpaceDN/>
              <w:bidi w:val="0"/>
              <w:adjustRightInd w:val="0"/>
              <w:snapToGrid/>
              <w:spacing w:after="0" w:line="420" w:lineRule="exact"/>
              <w:ind w:left="0" w:firstLine="480" w:firstLineChars="200"/>
              <w:textAlignment w:val="auto"/>
              <w:rPr>
                <w:rFonts w:hint="default" w:ascii="Times New Roman" w:hAnsi="Times New Roman" w:eastAsia="宋体" w:cs="Times New Roman"/>
                <w:sz w:val="24"/>
                <w:szCs w:val="24"/>
              </w:rPr>
            </w:pPr>
            <w:r>
              <w:rPr>
                <w:rFonts w:hint="eastAsia" w:ascii="Times New Roman" w:hAnsi="Times New Roman" w:eastAsia="宋体" w:cs="Times New Roman"/>
                <w:sz w:val="24"/>
                <w:szCs w:val="24"/>
                <w:lang w:val="en-US" w:eastAsia="zh-CN"/>
              </w:rPr>
              <w:t>现有工程</w:t>
            </w:r>
            <w:r>
              <w:rPr>
                <w:rFonts w:hint="default" w:ascii="Times New Roman" w:hAnsi="Times New Roman" w:eastAsia="宋体" w:cs="Times New Roman"/>
                <w:sz w:val="24"/>
                <w:szCs w:val="24"/>
                <w:lang w:val="en-US" w:eastAsia="zh-CN"/>
              </w:rPr>
              <w:t>危险废物回收流程示意图如下</w:t>
            </w:r>
            <w:r>
              <w:rPr>
                <w:rFonts w:hint="default" w:ascii="Times New Roman" w:hAnsi="Times New Roman" w:eastAsia="宋体" w:cs="Times New Roman"/>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jc w:val="center"/>
              <w:textAlignment w:val="auto"/>
              <w:rPr>
                <w:rFonts w:hint="default"/>
                <w:bCs/>
                <w:spacing w:val="4"/>
                <w:szCs w:val="20"/>
                <w:lang w:val="en-US"/>
              </w:rPr>
            </w:pPr>
            <w:r>
              <w:rPr>
                <w:rFonts w:hint="eastAsia" w:ascii="Times New Roman" w:hAnsi="Times New Roman" w:eastAsia="宋体" w:cs="Times New Roman"/>
                <w:sz w:val="21"/>
                <w:szCs w:val="21"/>
                <w:lang w:val="en-US" w:eastAsia="zh-CN"/>
              </w:rPr>
              <w:drawing>
                <wp:anchor distT="0" distB="0" distL="114935" distR="114935" simplePos="0" relativeHeight="251661312" behindDoc="0" locked="0" layoutInCell="1" allowOverlap="1">
                  <wp:simplePos x="0" y="0"/>
                  <wp:positionH relativeFrom="column">
                    <wp:posOffset>-68580</wp:posOffset>
                  </wp:positionH>
                  <wp:positionV relativeFrom="paragraph">
                    <wp:posOffset>47625</wp:posOffset>
                  </wp:positionV>
                  <wp:extent cx="5126990" cy="1292860"/>
                  <wp:effectExtent l="0" t="0" r="16510" b="2540"/>
                  <wp:wrapTopAndBottom/>
                  <wp:docPr id="6" name="图片 6" descr="16282156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1628215676(1)"/>
                          <pic:cNvPicPr>
                            <a:picLocks noChangeAspect="1"/>
                          </pic:cNvPicPr>
                        </pic:nvPicPr>
                        <pic:blipFill>
                          <a:blip r:embed="rId15"/>
                          <a:stretch>
                            <a:fillRect/>
                          </a:stretch>
                        </pic:blipFill>
                        <pic:spPr>
                          <a:xfrm>
                            <a:off x="0" y="0"/>
                            <a:ext cx="5126990" cy="1292860"/>
                          </a:xfrm>
                          <a:prstGeom prst="rect">
                            <a:avLst/>
                          </a:prstGeom>
                        </pic:spPr>
                      </pic:pic>
                    </a:graphicData>
                  </a:graphic>
                </wp:anchor>
              </w:drawing>
            </w:r>
            <w:r>
              <w:rPr>
                <w:rFonts w:hint="eastAsia"/>
                <w:bCs/>
                <w:spacing w:val="4"/>
                <w:szCs w:val="20"/>
                <w:lang w:eastAsia="zh-CN"/>
              </w:rPr>
              <w:t>图</w:t>
            </w:r>
            <w:r>
              <w:rPr>
                <w:rFonts w:hint="eastAsia"/>
                <w:bCs/>
                <w:spacing w:val="4"/>
                <w:szCs w:val="20"/>
                <w:lang w:val="en-US" w:eastAsia="zh-CN"/>
              </w:rPr>
              <w:t>2 现有工程工艺流程图</w:t>
            </w:r>
          </w:p>
          <w:p>
            <w:pPr>
              <w:pStyle w:val="9"/>
              <w:tabs>
                <w:tab w:val="left" w:pos="1019"/>
              </w:tabs>
              <w:spacing w:line="520" w:lineRule="exact"/>
              <w:ind w:left="545" w:firstLine="0" w:firstLineChars="0"/>
              <w:rPr>
                <w:rFonts w:hint="eastAsia" w:ascii="宋体" w:hAnsi="宋体" w:eastAsia="宋体" w:cs="宋体"/>
                <w:b/>
                <w:bCs w:val="0"/>
                <w:lang w:val="en-US" w:eastAsia="zh-CN"/>
              </w:rPr>
            </w:pPr>
            <w:r>
              <w:rPr>
                <w:rFonts w:hint="eastAsia" w:ascii="宋体" w:hAnsi="宋体" w:eastAsia="宋体" w:cs="宋体"/>
                <w:b/>
                <w:bCs w:val="0"/>
                <w:lang w:val="en-US" w:eastAsia="zh-CN"/>
              </w:rPr>
              <w:t>4、现有工程产物环节及治理措施</w:t>
            </w:r>
          </w:p>
          <w:p>
            <w:pPr>
              <w:pStyle w:val="5"/>
              <w:keepNext w:val="0"/>
              <w:keepLines w:val="0"/>
              <w:pageBreakBefore w:val="0"/>
              <w:widowControl w:val="0"/>
              <w:kinsoku/>
              <w:wordWrap/>
              <w:overflowPunct/>
              <w:topLinePunct w:val="0"/>
              <w:autoSpaceDE/>
              <w:autoSpaceDN/>
              <w:bidi w:val="0"/>
              <w:adjustRightInd/>
              <w:snapToGrid/>
              <w:spacing w:line="440" w:lineRule="exact"/>
              <w:ind w:firstLine="480"/>
              <w:textAlignment w:val="auto"/>
              <w:rPr>
                <w:sz w:val="24"/>
              </w:rPr>
            </w:pPr>
            <w:r>
              <w:rPr>
                <w:sz w:val="24"/>
              </w:rPr>
              <w:t>现有工程产污环节及采取的污染防治措施见下表。</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宋体" w:eastAsia="黑体"/>
                <w:sz w:val="24"/>
                <w:szCs w:val="24"/>
              </w:rPr>
            </w:pPr>
            <w:r>
              <w:rPr>
                <w:rFonts w:hint="eastAsia" w:ascii="黑体" w:hAnsi="宋体" w:eastAsia="黑体"/>
                <w:sz w:val="24"/>
                <w:szCs w:val="24"/>
              </w:rPr>
              <w:t>产污环节及防治措施</w:t>
            </w:r>
          </w:p>
          <w:tbl>
            <w:tblPr>
              <w:tblStyle w:val="15"/>
              <w:tblW w:w="80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543"/>
              <w:gridCol w:w="2967"/>
              <w:gridCol w:w="28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类别</w:t>
                  </w:r>
                </w:p>
              </w:tc>
              <w:tc>
                <w:tcPr>
                  <w:tcW w:w="154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污染源名称</w:t>
                  </w:r>
                </w:p>
              </w:tc>
              <w:tc>
                <w:tcPr>
                  <w:tcW w:w="29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rPr>
                    <w:t>主要污染物</w:t>
                  </w:r>
                </w:p>
              </w:tc>
              <w:tc>
                <w:tcPr>
                  <w:tcW w:w="283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rPr>
                  </w:pPr>
                  <w:r>
                    <w:rPr>
                      <w:rFonts w:hint="eastAsia" w:ascii="Times New Roman" w:hAnsi="Times New Roman" w:eastAsia="宋体" w:cs="Times New Roman"/>
                      <w:sz w:val="21"/>
                      <w:szCs w:val="21"/>
                      <w:lang w:eastAsia="zh-CN"/>
                    </w:rPr>
                    <w:t>现有</w:t>
                  </w:r>
                  <w:r>
                    <w:rPr>
                      <w:rFonts w:hint="eastAsia" w:ascii="Times New Roman" w:hAnsi="Times New Roman" w:eastAsia="宋体" w:cs="Times New Roman"/>
                      <w:sz w:val="21"/>
                      <w:szCs w:val="21"/>
                    </w:rPr>
                    <w:t>环保措施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废气</w:t>
                  </w:r>
                </w:p>
              </w:tc>
              <w:tc>
                <w:tcPr>
                  <w:tcW w:w="154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eastAsia="zh-CN"/>
                    </w:rPr>
                  </w:pPr>
                  <w:r>
                    <w:rPr>
                      <w:rFonts w:hint="eastAsia" w:cs="Times New Roman"/>
                      <w:sz w:val="21"/>
                      <w:szCs w:val="21"/>
                      <w:lang w:eastAsia="zh-CN"/>
                    </w:rPr>
                    <w:t>危废贮存废气</w:t>
                  </w:r>
                </w:p>
              </w:tc>
              <w:tc>
                <w:tcPr>
                  <w:tcW w:w="29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非甲烷总烃</w:t>
                  </w:r>
                </w:p>
              </w:tc>
              <w:tc>
                <w:tcPr>
                  <w:tcW w:w="283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val="en-US" w:eastAsia="zh-CN"/>
                    </w:rPr>
                  </w:pPr>
                  <w:r>
                    <w:rPr>
                      <w:rFonts w:hint="eastAsia" w:cs="Times New Roman"/>
                      <w:sz w:val="21"/>
                      <w:szCs w:val="21"/>
                      <w:lang w:val="en-US" w:eastAsia="zh-CN"/>
                    </w:rPr>
                    <w:t>集气罩+低温等离子+活性炭吸附</w:t>
                  </w:r>
                  <w:r>
                    <w:rPr>
                      <w:rFonts w:hint="eastAsia" w:ascii="Times New Roman" w:hAnsi="Times New Roman" w:eastAsia="宋体" w:cs="Times New Roman"/>
                      <w:sz w:val="21"/>
                      <w:szCs w:val="21"/>
                      <w:lang w:val="en-US" w:eastAsia="zh-CN"/>
                    </w:rPr>
                    <w:t>+15m高排气筒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eastAsia="zh-CN"/>
                    </w:rPr>
                  </w:pPr>
                  <w:r>
                    <w:rPr>
                      <w:rFonts w:hint="eastAsia" w:cs="Times New Roman"/>
                      <w:sz w:val="21"/>
                      <w:szCs w:val="21"/>
                      <w:lang w:eastAsia="zh-CN"/>
                    </w:rPr>
                    <w:t>废水</w:t>
                  </w:r>
                </w:p>
              </w:tc>
              <w:tc>
                <w:tcPr>
                  <w:tcW w:w="154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val="en-US" w:eastAsia="zh-CN"/>
                    </w:rPr>
                  </w:pPr>
                  <w:r>
                    <w:rPr>
                      <w:rFonts w:hint="eastAsia" w:cs="Times New Roman"/>
                      <w:sz w:val="21"/>
                      <w:szCs w:val="21"/>
                      <w:lang w:val="en-US" w:eastAsia="zh-CN"/>
                    </w:rPr>
                    <w:t>生活污水</w:t>
                  </w:r>
                </w:p>
              </w:tc>
              <w:tc>
                <w:tcPr>
                  <w:tcW w:w="29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val="en-US" w:eastAsia="zh-CN"/>
                    </w:rPr>
                  </w:pPr>
                  <w:r>
                    <w:rPr>
                      <w:rFonts w:hint="eastAsia" w:ascii="Times New Roman" w:hAnsi="Times New Roman" w:eastAsia="宋体" w:cs="Times New Roman"/>
                      <w:sz w:val="21"/>
                      <w:szCs w:val="21"/>
                      <w:lang w:val="en-US" w:eastAsia="zh-CN"/>
                    </w:rPr>
                    <w:t>pH、COD、氨氮、SS、总磷、总氮、氟化物</w:t>
                  </w:r>
                </w:p>
              </w:tc>
              <w:tc>
                <w:tcPr>
                  <w:tcW w:w="283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val="en-US" w:eastAsia="zh-CN"/>
                    </w:rPr>
                  </w:pPr>
                  <w:r>
                    <w:rPr>
                      <w:rFonts w:hint="eastAsia" w:cs="Times New Roman"/>
                      <w:sz w:val="21"/>
                      <w:szCs w:val="21"/>
                      <w:lang w:val="en-US" w:eastAsia="zh-CN"/>
                    </w:rPr>
                    <w:t>化粪池预处理</w:t>
                  </w:r>
                  <w:r>
                    <w:rPr>
                      <w:rFonts w:hint="eastAsia" w:ascii="Times New Roman" w:hAnsi="Times New Roman" w:eastAsia="宋体" w:cs="Times New Roman"/>
                      <w:sz w:val="21"/>
                      <w:szCs w:val="21"/>
                      <w:lang w:val="en-US" w:eastAsia="zh-CN"/>
                    </w:rPr>
                    <w:t>后进入</w:t>
                  </w:r>
                  <w:r>
                    <w:rPr>
                      <w:rFonts w:hint="eastAsia" w:cs="Times New Roman"/>
                      <w:sz w:val="21"/>
                      <w:szCs w:val="21"/>
                      <w:lang w:val="en-US" w:eastAsia="zh-CN"/>
                    </w:rPr>
                    <w:t>玉川产业集聚区A区污水处理厂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85"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固体废物</w:t>
                  </w:r>
                </w:p>
              </w:tc>
              <w:tc>
                <w:tcPr>
                  <w:tcW w:w="4510" w:type="dxa"/>
                  <w:gridSpan w:val="2"/>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eastAsia="zh-CN"/>
                    </w:rPr>
                  </w:pPr>
                  <w:r>
                    <w:rPr>
                      <w:rFonts w:hint="eastAsia" w:cs="Times New Roman"/>
                      <w:sz w:val="21"/>
                      <w:szCs w:val="21"/>
                      <w:lang w:eastAsia="zh-CN"/>
                    </w:rPr>
                    <w:t>生活垃圾</w:t>
                  </w:r>
                </w:p>
              </w:tc>
              <w:tc>
                <w:tcPr>
                  <w:tcW w:w="283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eastAsia="zh-CN"/>
                    </w:rPr>
                  </w:pPr>
                  <w:r>
                    <w:rPr>
                      <w:rFonts w:hint="eastAsia" w:cs="Times New Roman"/>
                      <w:sz w:val="21"/>
                      <w:szCs w:val="21"/>
                      <w:lang w:eastAsia="zh-CN"/>
                    </w:rPr>
                    <w:t>由厂区垃圾桶收集后定期交换位部门统一清运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8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rPr>
                  </w:pPr>
                </w:p>
              </w:tc>
              <w:tc>
                <w:tcPr>
                  <w:tcW w:w="4510" w:type="dxa"/>
                  <w:gridSpan w:val="2"/>
                  <w:tcBorders>
                    <w:bottom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val="en-US" w:eastAsia="zh-CN"/>
                    </w:rPr>
                  </w:pPr>
                  <w:r>
                    <w:rPr>
                      <w:rFonts w:hint="eastAsia" w:cs="Times New Roman"/>
                      <w:sz w:val="21"/>
                      <w:szCs w:val="21"/>
                      <w:lang w:val="en-US" w:eastAsia="zh-CN"/>
                    </w:rPr>
                    <w:t>废活性炭</w:t>
                  </w:r>
                </w:p>
              </w:tc>
              <w:tc>
                <w:tcPr>
                  <w:tcW w:w="283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ascii="Times New Roman" w:hAnsi="Times New Roman" w:eastAsia="宋体" w:cs="Times New Roman"/>
                      <w:sz w:val="21"/>
                      <w:szCs w:val="21"/>
                      <w:lang w:val="en-US" w:eastAsia="zh-CN"/>
                    </w:rPr>
                  </w:pPr>
                  <w:r>
                    <w:rPr>
                      <w:rFonts w:hint="eastAsia" w:cs="Times New Roman"/>
                      <w:sz w:val="21"/>
                      <w:szCs w:val="21"/>
                      <w:lang w:val="en-US" w:eastAsia="zh-CN"/>
                    </w:rPr>
                    <w:t>由专用容器收集后暂存于公司危险废物仓库，定期交有资质单位统一处置。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噪声</w:t>
                  </w:r>
                </w:p>
              </w:tc>
              <w:tc>
                <w:tcPr>
                  <w:tcW w:w="154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lang w:eastAsia="zh-CN"/>
                    </w:rPr>
                  </w:pPr>
                  <w:r>
                    <w:rPr>
                      <w:rFonts w:hint="eastAsia" w:ascii="Times New Roman" w:hAnsi="Times New Roman" w:eastAsia="宋体" w:cs="Times New Roman"/>
                      <w:sz w:val="21"/>
                      <w:szCs w:val="21"/>
                      <w:lang w:eastAsia="zh-CN"/>
                    </w:rPr>
                    <w:t>各类生产设备</w:t>
                  </w:r>
                </w:p>
              </w:tc>
              <w:tc>
                <w:tcPr>
                  <w:tcW w:w="2967"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噪声</w:t>
                  </w:r>
                </w:p>
              </w:tc>
              <w:tc>
                <w:tcPr>
                  <w:tcW w:w="2836"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default" w:ascii="Times New Roman" w:hAnsi="Times New Roman" w:eastAsia="宋体" w:cs="Times New Roman"/>
                      <w:sz w:val="21"/>
                      <w:szCs w:val="21"/>
                    </w:rPr>
                  </w:pPr>
                  <w:r>
                    <w:rPr>
                      <w:rFonts w:hint="eastAsia" w:ascii="Times New Roman" w:hAnsi="Times New Roman" w:eastAsia="宋体" w:cs="Times New Roman"/>
                      <w:sz w:val="21"/>
                      <w:szCs w:val="21"/>
                      <w:lang w:eastAsia="zh-CN"/>
                    </w:rPr>
                    <w:t>设备</w:t>
                  </w:r>
                  <w:r>
                    <w:rPr>
                      <w:rFonts w:hint="default" w:ascii="Times New Roman" w:hAnsi="Times New Roman" w:eastAsia="宋体" w:cs="Times New Roman"/>
                      <w:sz w:val="21"/>
                      <w:szCs w:val="21"/>
                      <w:lang w:eastAsia="zh-CN"/>
                    </w:rPr>
                    <w:t>室内布置、</w:t>
                  </w:r>
                  <w:r>
                    <w:rPr>
                      <w:rFonts w:hint="default" w:ascii="Times New Roman" w:hAnsi="Times New Roman" w:eastAsia="宋体" w:cs="Times New Roman"/>
                      <w:sz w:val="21"/>
                      <w:szCs w:val="21"/>
                    </w:rPr>
                    <w:t>基础减振、传动润滑、</w:t>
                  </w:r>
                  <w:r>
                    <w:rPr>
                      <w:rFonts w:hint="eastAsia" w:ascii="Times New Roman" w:hAnsi="Times New Roman" w:eastAsia="宋体" w:cs="Times New Roman"/>
                      <w:sz w:val="21"/>
                      <w:szCs w:val="21"/>
                      <w:lang w:eastAsia="zh-CN"/>
                    </w:rPr>
                    <w:t>厂房</w:t>
                  </w:r>
                  <w:r>
                    <w:rPr>
                      <w:rFonts w:hint="default" w:ascii="Times New Roman" w:hAnsi="Times New Roman" w:eastAsia="宋体" w:cs="Times New Roman"/>
                      <w:sz w:val="21"/>
                      <w:szCs w:val="21"/>
                    </w:rPr>
                    <w:t>隔声</w:t>
                  </w:r>
                </w:p>
              </w:tc>
            </w:tr>
          </w:tbl>
          <w:p>
            <w:pPr>
              <w:pStyle w:val="9"/>
              <w:tabs>
                <w:tab w:val="left" w:pos="1019"/>
              </w:tabs>
              <w:spacing w:line="520" w:lineRule="exact"/>
              <w:ind w:left="545" w:firstLine="0" w:firstLineChars="0"/>
              <w:rPr>
                <w:rFonts w:hint="eastAsia" w:ascii="宋体" w:hAnsi="宋体" w:eastAsia="宋体" w:cs="宋体"/>
                <w:b/>
                <w:bCs w:val="0"/>
                <w:lang w:val="en-US" w:eastAsia="zh-CN"/>
              </w:rPr>
            </w:pPr>
          </w:p>
          <w:p>
            <w:pPr>
              <w:pStyle w:val="9"/>
              <w:keepNext w:val="0"/>
              <w:keepLines w:val="0"/>
              <w:pageBreakBefore w:val="0"/>
              <w:widowControl w:val="0"/>
              <w:tabs>
                <w:tab w:val="left" w:pos="1019"/>
              </w:tabs>
              <w:kinsoku/>
              <w:wordWrap/>
              <w:overflowPunct/>
              <w:topLinePunct w:val="0"/>
              <w:autoSpaceDE/>
              <w:autoSpaceDN/>
              <w:bidi w:val="0"/>
              <w:adjustRightInd/>
              <w:snapToGrid/>
              <w:spacing w:line="420" w:lineRule="exact"/>
              <w:ind w:left="545" w:firstLine="0" w:firstLineChars="0"/>
              <w:textAlignment w:val="auto"/>
              <w:rPr>
                <w:rFonts w:hint="eastAsia" w:ascii="宋体" w:hAnsi="宋体" w:eastAsia="宋体" w:cs="宋体"/>
                <w:b/>
                <w:bCs w:val="0"/>
                <w:lang w:val="en-US" w:eastAsia="zh-CN"/>
              </w:rPr>
            </w:pPr>
            <w:r>
              <w:rPr>
                <w:rFonts w:hint="eastAsia" w:ascii="宋体" w:hAnsi="宋体" w:eastAsia="宋体" w:cs="宋体"/>
                <w:b/>
                <w:bCs w:val="0"/>
                <w:lang w:val="en-US" w:eastAsia="zh-CN"/>
              </w:rPr>
              <w:t>5、现有工程污染物排放情况</w:t>
            </w:r>
          </w:p>
          <w:p>
            <w:pPr>
              <w:pStyle w:val="8"/>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kern w:val="0"/>
                <w:szCs w:val="21"/>
              </w:rPr>
            </w:pPr>
            <w:r>
              <w:rPr>
                <w:rFonts w:hint="eastAsia" w:ascii="Times New Roman" w:hAnsi="Times New Roman" w:cs="Times New Roman"/>
                <w:kern w:val="0"/>
                <w:sz w:val="24"/>
                <w:szCs w:val="24"/>
                <w:lang w:val="en-US" w:eastAsia="zh-CN"/>
              </w:rPr>
              <w:t>2021年7月31日-8月1日</w:t>
            </w:r>
            <w:r>
              <w:rPr>
                <w:rFonts w:hint="eastAsia"/>
                <w:kern w:val="0"/>
                <w:sz w:val="24"/>
                <w:szCs w:val="24"/>
                <w:lang w:val="en-US" w:eastAsia="zh-CN"/>
              </w:rPr>
              <w:t>，公司委托河南永飞检测科技有限公司对现有工程进行了验收监测，根据验收监测结果，</w:t>
            </w:r>
            <w:r>
              <w:rPr>
                <w:rFonts w:hint="eastAsia"/>
                <w:kern w:val="0"/>
                <w:sz w:val="24"/>
                <w:szCs w:val="24"/>
              </w:rPr>
              <w:t>现有工程各产污环节污染物排放情况具体如下表：</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ascii="黑体" w:hAnsi="黑体" w:eastAsia="黑体" w:cs="黑体"/>
                <w:sz w:val="24"/>
              </w:rPr>
            </w:pPr>
            <w:r>
              <w:rPr>
                <w:rFonts w:hint="eastAsia" w:ascii="黑体" w:hAnsi="黑体" w:eastAsia="黑体" w:cs="黑体"/>
                <w:sz w:val="24"/>
              </w:rPr>
              <w:t>企业现有污染</w:t>
            </w:r>
            <w:r>
              <w:rPr>
                <w:rFonts w:hint="eastAsia" w:ascii="黑体" w:hAnsi="黑体" w:eastAsia="黑体" w:cs="黑体"/>
                <w:sz w:val="24"/>
                <w:lang w:eastAsia="zh-CN"/>
              </w:rPr>
              <w:t>治理措施及</w:t>
            </w:r>
            <w:r>
              <w:rPr>
                <w:rFonts w:hint="eastAsia" w:ascii="黑体" w:hAnsi="黑体" w:eastAsia="黑体" w:cs="黑体"/>
                <w:sz w:val="24"/>
              </w:rPr>
              <w:t>排放情况一览表</w:t>
            </w:r>
          </w:p>
          <w:tbl>
            <w:tblPr>
              <w:tblStyle w:val="16"/>
              <w:tblW w:w="80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0"/>
              <w:gridCol w:w="1667"/>
              <w:gridCol w:w="1148"/>
              <w:gridCol w:w="1390"/>
              <w:gridCol w:w="1017"/>
              <w:gridCol w:w="1650"/>
              <w:gridCol w:w="7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t>类别</w:t>
                  </w:r>
                </w:p>
              </w:tc>
              <w:tc>
                <w:tcPr>
                  <w:tcW w:w="1667"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rPr>
                      <w:rFonts w:hint="eastAsia"/>
                    </w:rPr>
                    <w:t>排放源</w:t>
                  </w: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t>污染物</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t>排放浓度</w:t>
                  </w:r>
                </w:p>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t>及排放量</w:t>
                  </w:r>
                </w:p>
              </w:tc>
              <w:tc>
                <w:tcPr>
                  <w:tcW w:w="2667" w:type="dxa"/>
                  <w:gridSpan w:val="2"/>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rPr>
                      <w:rFonts w:hint="eastAsia"/>
                      <w:highlight w:val="none"/>
                    </w:rPr>
                    <w:t>执行标准</w:t>
                  </w:r>
                </w:p>
              </w:tc>
              <w:tc>
                <w:tcPr>
                  <w:tcW w:w="711"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rPr>
                      <w:rFonts w:hint="eastAsia"/>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restart"/>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废气</w:t>
                  </w:r>
                </w:p>
              </w:tc>
              <w:tc>
                <w:tcPr>
                  <w:tcW w:w="1667"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r>
                    <w:rPr>
                      <w:rFonts w:hint="eastAsia"/>
                      <w:lang w:val="en-US" w:eastAsia="zh-CN"/>
                    </w:rPr>
                    <w:t>危废贮存有组织有机废气</w:t>
                  </w: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szCs w:val="21"/>
                      <w:lang w:val="en-US" w:eastAsia="zh-CN"/>
                    </w:rPr>
                  </w:pPr>
                  <w:r>
                    <w:rPr>
                      <w:rFonts w:hint="eastAsia"/>
                      <w:szCs w:val="21"/>
                      <w:lang w:val="en-US" w:eastAsia="zh-CN"/>
                    </w:rPr>
                    <w:t>非甲烷总烃</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vertAlign w:val="baseline"/>
                      <w:lang w:val="en-US" w:eastAsia="zh-CN"/>
                    </w:rPr>
                  </w:pPr>
                  <w:r>
                    <w:rPr>
                      <w:rFonts w:hint="eastAsia"/>
                      <w:lang w:val="en-US" w:eastAsia="zh-CN"/>
                    </w:rPr>
                    <w:t>4.01m/m</w:t>
                  </w:r>
                  <w:r>
                    <w:rPr>
                      <w:rFonts w:hint="eastAsia"/>
                      <w:vertAlign w:val="superscript"/>
                      <w:lang w:val="en-US" w:eastAsia="zh-CN"/>
                    </w:rPr>
                    <w:t>3</w:t>
                  </w:r>
                </w:p>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vertAlign w:val="baseline"/>
                      <w:lang w:val="en-US" w:eastAsia="zh-CN"/>
                    </w:rPr>
                  </w:pPr>
                  <w:r>
                    <w:rPr>
                      <w:rFonts w:hint="eastAsia"/>
                      <w:vertAlign w:val="baseline"/>
                      <w:lang w:val="en-US" w:eastAsia="zh-CN"/>
                    </w:rPr>
                    <w:t>0.181t/a</w:t>
                  </w:r>
                </w:p>
              </w:tc>
              <w:tc>
                <w:tcPr>
                  <w:tcW w:w="1017" w:type="dxa"/>
                  <w:tcBorders>
                    <w:top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ascii="Times New Roman" w:hAnsi="Times New Roman" w:cs="Times New Roman"/>
                      <w:bCs/>
                      <w:sz w:val="21"/>
                      <w:szCs w:val="21"/>
                      <w:lang w:val="en-US" w:eastAsia="zh-CN"/>
                    </w:rPr>
                  </w:pPr>
                  <w:r>
                    <w:rPr>
                      <w:rFonts w:hint="eastAsia" w:ascii="Times New Roman" w:hAnsi="Times New Roman" w:cs="Times New Roman"/>
                      <w:bCs/>
                      <w:sz w:val="21"/>
                      <w:szCs w:val="21"/>
                      <w:lang w:val="en-US" w:eastAsia="zh-CN"/>
                    </w:rPr>
                    <w:t>80</w:t>
                  </w:r>
                </w:p>
              </w:tc>
              <w:tc>
                <w:tcPr>
                  <w:tcW w:w="1650" w:type="dxa"/>
                  <w:vMerge w:val="restart"/>
                  <w:tcBorders>
                    <w:top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r>
                    <w:rPr>
                      <w:kern w:val="0"/>
                      <w:sz w:val="22"/>
                      <w:szCs w:val="20"/>
                    </w:rPr>
                    <w:t>《关于全省开展工业企业挥发性有机物专项治理工作中排放建议值的通知》</w:t>
                  </w:r>
                </w:p>
              </w:tc>
              <w:tc>
                <w:tcPr>
                  <w:tcW w:w="711"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p>
              </w:tc>
              <w:tc>
                <w:tcPr>
                  <w:tcW w:w="1667"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eastAsia"/>
                      <w:lang w:val="en-US" w:eastAsia="zh-CN"/>
                    </w:rPr>
                  </w:pPr>
                  <w:r>
                    <w:rPr>
                      <w:rFonts w:hint="eastAsia"/>
                      <w:lang w:val="en-US" w:eastAsia="zh-CN"/>
                    </w:rPr>
                    <w:t>无组织有机废气</w:t>
                  </w: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eastAsia"/>
                      <w:szCs w:val="21"/>
                      <w:lang w:val="en-US" w:eastAsia="zh-CN"/>
                    </w:rPr>
                  </w:pPr>
                  <w:r>
                    <w:rPr>
                      <w:rFonts w:hint="eastAsia"/>
                      <w:szCs w:val="21"/>
                      <w:lang w:val="en-US" w:eastAsia="zh-CN"/>
                    </w:rPr>
                    <w:t>非甲烷总烃</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eastAsia"/>
                      <w:vertAlign w:val="superscript"/>
                      <w:lang w:val="en-US" w:eastAsia="zh-CN"/>
                    </w:rPr>
                  </w:pPr>
                  <w:r>
                    <w:rPr>
                      <w:rFonts w:hint="eastAsia"/>
                      <w:lang w:val="en-US" w:eastAsia="zh-CN"/>
                    </w:rPr>
                    <w:t>0.78m/m</w:t>
                  </w:r>
                  <w:r>
                    <w:rPr>
                      <w:rFonts w:hint="eastAsia"/>
                      <w:vertAlign w:val="superscript"/>
                      <w:lang w:val="en-US" w:eastAsia="zh-CN"/>
                    </w:rPr>
                    <w:t>3</w:t>
                  </w:r>
                </w:p>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default"/>
                      <w:vertAlign w:val="superscript"/>
                      <w:lang w:val="en-US" w:eastAsia="zh-CN"/>
                    </w:rPr>
                  </w:pPr>
                </w:p>
              </w:tc>
              <w:tc>
                <w:tcPr>
                  <w:tcW w:w="1017" w:type="dxa"/>
                  <w:tcBorders>
                    <w:top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eastAsia" w:ascii="Times New Roman" w:hAnsi="Times New Roman" w:cs="Times New Roman"/>
                      <w:bCs/>
                      <w:sz w:val="21"/>
                      <w:szCs w:val="21"/>
                      <w:lang w:val="en-US" w:eastAsia="zh-CN"/>
                    </w:rPr>
                  </w:pPr>
                  <w:r>
                    <w:rPr>
                      <w:rFonts w:hint="eastAsia" w:cs="Times New Roman"/>
                      <w:bCs/>
                      <w:sz w:val="21"/>
                      <w:szCs w:val="21"/>
                      <w:lang w:val="en-US" w:eastAsia="zh-CN"/>
                    </w:rPr>
                    <w:t>2.0</w:t>
                  </w:r>
                  <w:r>
                    <w:rPr>
                      <w:rFonts w:hint="eastAsia"/>
                      <w:lang w:val="en-US" w:eastAsia="zh-CN"/>
                    </w:rPr>
                    <w:t>m/m</w:t>
                  </w:r>
                  <w:r>
                    <w:rPr>
                      <w:rFonts w:hint="eastAsia"/>
                      <w:vertAlign w:val="superscript"/>
                      <w:lang w:val="en-US" w:eastAsia="zh-CN"/>
                    </w:rPr>
                    <w:t>3</w:t>
                  </w:r>
                </w:p>
              </w:tc>
              <w:tc>
                <w:tcPr>
                  <w:tcW w:w="165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p>
              </w:tc>
              <w:tc>
                <w:tcPr>
                  <w:tcW w:w="711"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default"/>
                      <w:lang w:val="en-US" w:eastAsia="zh-CN"/>
                    </w:rPr>
                  </w:pPr>
                  <w:r>
                    <w:rPr>
                      <w:rFonts w:hint="eastAsia"/>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restart"/>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废水</w:t>
                  </w:r>
                </w:p>
              </w:tc>
              <w:tc>
                <w:tcPr>
                  <w:tcW w:w="1667" w:type="dxa"/>
                  <w:vMerge w:val="restart"/>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厂区总排口</w:t>
                  </w: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水量</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80t/a</w:t>
                  </w:r>
                </w:p>
              </w:tc>
              <w:tc>
                <w:tcPr>
                  <w:tcW w:w="1017" w:type="dxa"/>
                  <w:tcBorders>
                    <w:top w:val="single" w:color="000000" w:sz="4" w:space="0"/>
                    <w:bottom w:val="single" w:color="000000" w:sz="2"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w:t>
                  </w:r>
                </w:p>
              </w:tc>
              <w:tc>
                <w:tcPr>
                  <w:tcW w:w="1650" w:type="dxa"/>
                  <w:tcBorders>
                    <w:top w:val="single" w:color="000000" w:sz="4" w:space="0"/>
                    <w:bottom w:val="single" w:color="000000" w:sz="2"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eastAsia="宋体"/>
                      <w:lang w:val="en-US" w:eastAsia="zh-CN"/>
                    </w:rPr>
                  </w:pPr>
                  <w:r>
                    <w:rPr>
                      <w:rFonts w:hint="eastAsia" w:eastAsia="宋体"/>
                      <w:lang w:val="en-US" w:eastAsia="zh-CN"/>
                    </w:rPr>
                    <w:t>/</w:t>
                  </w:r>
                </w:p>
              </w:tc>
              <w:tc>
                <w:tcPr>
                  <w:tcW w:w="711" w:type="dxa"/>
                  <w:tcBorders>
                    <w:bottom w:val="single" w:color="000000" w:sz="2"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p>
              </w:tc>
              <w:tc>
                <w:tcPr>
                  <w:tcW w:w="1667"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eastAsia"/>
                      <w:kern w:val="2"/>
                      <w:sz w:val="21"/>
                      <w:szCs w:val="24"/>
                      <w:lang w:val="en-US" w:eastAsia="zh-CN" w:bidi="ar-SA"/>
                    </w:rPr>
                  </w:pPr>
                  <w:r>
                    <w:rPr>
                      <w:rFonts w:hint="eastAsia"/>
                      <w:lang w:val="en-US" w:eastAsia="zh-CN"/>
                    </w:rPr>
                    <w:t>pH</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default"/>
                      <w:kern w:val="2"/>
                      <w:sz w:val="21"/>
                      <w:szCs w:val="24"/>
                      <w:lang w:val="en-US" w:eastAsia="zh-CN" w:bidi="ar-SA"/>
                    </w:rPr>
                  </w:pPr>
                  <w:r>
                    <w:rPr>
                      <w:rFonts w:hint="eastAsia"/>
                      <w:lang w:val="en-US" w:eastAsia="zh-CN"/>
                    </w:rPr>
                    <w:t>7.4</w:t>
                  </w:r>
                </w:p>
              </w:tc>
              <w:tc>
                <w:tcPr>
                  <w:tcW w:w="1017" w:type="dxa"/>
                  <w:tcBorders>
                    <w:top w:val="single" w:color="000000" w:sz="2"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ind w:firstLine="0" w:firstLineChars="0"/>
                    <w:textAlignment w:val="auto"/>
                    <w:rPr>
                      <w:rFonts w:hint="eastAsia"/>
                      <w:kern w:val="2"/>
                      <w:sz w:val="21"/>
                      <w:szCs w:val="24"/>
                      <w:lang w:val="en-US" w:eastAsia="zh-CN" w:bidi="ar-SA"/>
                    </w:rPr>
                  </w:pPr>
                  <w:r>
                    <w:rPr>
                      <w:rFonts w:hint="eastAsia"/>
                      <w:lang w:val="en-US" w:eastAsia="zh-CN"/>
                    </w:rPr>
                    <w:t>6~9</w:t>
                  </w:r>
                </w:p>
              </w:tc>
              <w:tc>
                <w:tcPr>
                  <w:tcW w:w="1650" w:type="dxa"/>
                  <w:vMerge w:val="restart"/>
                  <w:tcBorders>
                    <w:top w:val="single" w:color="000000" w:sz="2"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污水综合排放标准（GB8978-1996）表4三级、玉川产业集聚区A区污水处理厂进水水质要求</w:t>
                  </w:r>
                </w:p>
              </w:tc>
              <w:tc>
                <w:tcPr>
                  <w:tcW w:w="711" w:type="dxa"/>
                  <w:tcBorders>
                    <w:top w:val="single" w:color="000000" w:sz="2"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p>
              </w:tc>
              <w:tc>
                <w:tcPr>
                  <w:tcW w:w="1667"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COD</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r>
                    <w:rPr>
                      <w:rFonts w:hint="eastAsia"/>
                      <w:lang w:val="en-US" w:eastAsia="zh-CN"/>
                    </w:rPr>
                    <w:t>50mg/L</w:t>
                  </w:r>
                </w:p>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0.002t/a</w:t>
                  </w:r>
                </w:p>
              </w:tc>
              <w:tc>
                <w:tcPr>
                  <w:tcW w:w="1017" w:type="dxa"/>
                  <w:tcBorders>
                    <w:top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380mg/L</w:t>
                  </w:r>
                </w:p>
              </w:tc>
              <w:tc>
                <w:tcPr>
                  <w:tcW w:w="165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p>
              </w:tc>
              <w:tc>
                <w:tcPr>
                  <w:tcW w:w="711"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p>
              </w:tc>
              <w:tc>
                <w:tcPr>
                  <w:tcW w:w="1667"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r>
                    <w:rPr>
                      <w:rFonts w:hint="eastAsia"/>
                      <w:lang w:val="en-US" w:eastAsia="zh-CN"/>
                    </w:rPr>
                    <w:t>氨氮</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r>
                    <w:rPr>
                      <w:rFonts w:hint="eastAsia"/>
                      <w:lang w:val="en-US" w:eastAsia="zh-CN"/>
                    </w:rPr>
                    <w:t>3.85mg/L</w:t>
                  </w:r>
                </w:p>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0.00016t/a</w:t>
                  </w:r>
                </w:p>
              </w:tc>
              <w:tc>
                <w:tcPr>
                  <w:tcW w:w="1017" w:type="dxa"/>
                  <w:tcBorders>
                    <w:top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35mg/L</w:t>
                  </w:r>
                </w:p>
              </w:tc>
              <w:tc>
                <w:tcPr>
                  <w:tcW w:w="165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p>
              </w:tc>
              <w:tc>
                <w:tcPr>
                  <w:tcW w:w="711"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p>
              </w:tc>
              <w:tc>
                <w:tcPr>
                  <w:tcW w:w="1667"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p>
              </w:tc>
              <w:tc>
                <w:tcPr>
                  <w:tcW w:w="1148"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r>
                    <w:rPr>
                      <w:rFonts w:hint="eastAsia"/>
                      <w:szCs w:val="21"/>
                      <w:lang w:val="en-US" w:eastAsia="zh-CN"/>
                    </w:rPr>
                    <w:t>SS</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39mg/L</w:t>
                  </w:r>
                </w:p>
              </w:tc>
              <w:tc>
                <w:tcPr>
                  <w:tcW w:w="1017" w:type="dxa"/>
                  <w:tcBorders>
                    <w:top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lang w:val="en-US" w:eastAsia="zh-CN"/>
                    </w:rPr>
                  </w:pPr>
                  <w:r>
                    <w:rPr>
                      <w:rFonts w:hint="eastAsia"/>
                      <w:lang w:val="en-US" w:eastAsia="zh-CN"/>
                    </w:rPr>
                    <w:t>160mg/L</w:t>
                  </w:r>
                </w:p>
              </w:tc>
              <w:tc>
                <w:tcPr>
                  <w:tcW w:w="165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val="en-US" w:eastAsia="zh-CN"/>
                    </w:rPr>
                  </w:pPr>
                </w:p>
              </w:tc>
              <w:tc>
                <w:tcPr>
                  <w:tcW w:w="711"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440" w:type="dxa"/>
                  <w:vMerge w:val="restart"/>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r>
                    <w:rPr>
                      <w:rFonts w:hint="eastAsia"/>
                    </w:rPr>
                    <w:t>固废</w:t>
                  </w:r>
                </w:p>
              </w:tc>
              <w:tc>
                <w:tcPr>
                  <w:tcW w:w="1667" w:type="dxa"/>
                  <w:vMerge w:val="restart"/>
                  <w:tcBorders>
                    <w:righ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lang w:eastAsia="zh-CN"/>
                    </w:rPr>
                  </w:pPr>
                  <w:r>
                    <w:rPr>
                      <w:rFonts w:hint="eastAsia"/>
                      <w:lang w:eastAsia="zh-CN"/>
                    </w:rPr>
                    <w:t>一般</w:t>
                  </w:r>
                </w:p>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eastAsia="宋体"/>
                      <w:lang w:eastAsia="zh-CN"/>
                    </w:rPr>
                  </w:pPr>
                  <w:r>
                    <w:rPr>
                      <w:rFonts w:hint="eastAsia"/>
                      <w:lang w:eastAsia="zh-CN"/>
                    </w:rPr>
                    <w:t>固废</w:t>
                  </w:r>
                </w:p>
              </w:tc>
              <w:tc>
                <w:tcPr>
                  <w:tcW w:w="1148"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eastAsia="宋体"/>
                      <w:lang w:val="en-US" w:eastAsia="zh-CN"/>
                    </w:rPr>
                  </w:pPr>
                  <w:r>
                    <w:rPr>
                      <w:rFonts w:hint="eastAsia" w:ascii="Times New Roman" w:hAnsi="Times New Roman" w:eastAsia="宋体" w:cs="Times New Roman"/>
                      <w:sz w:val="21"/>
                      <w:szCs w:val="21"/>
                      <w:lang w:eastAsia="zh-CN"/>
                    </w:rPr>
                    <w:t>废活性炭</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0</w:t>
                  </w:r>
                </w:p>
              </w:tc>
              <w:tc>
                <w:tcPr>
                  <w:tcW w:w="2667" w:type="dxa"/>
                  <w:gridSpan w:val="2"/>
                  <w:vMerge w:val="restart"/>
                  <w:noWrap w:val="0"/>
                  <w:vAlign w:val="center"/>
                </w:tcPr>
                <w:p>
                  <w:pPr>
                    <w:keepNext w:val="0"/>
                    <w:keepLines w:val="0"/>
                    <w:pageBreakBefore w:val="0"/>
                    <w:kinsoku/>
                    <w:wordWrap/>
                    <w:overflowPunct/>
                    <w:topLinePunct w:val="0"/>
                    <w:autoSpaceDE/>
                    <w:autoSpaceDN/>
                    <w:bidi w:val="0"/>
                    <w:spacing w:line="240" w:lineRule="exact"/>
                    <w:ind w:left="0" w:leftChars="0" w:firstLine="0" w:firstLineChars="0"/>
                    <w:jc w:val="both"/>
                    <w:textAlignment w:val="auto"/>
                    <w:rPr>
                      <w:szCs w:val="21"/>
                    </w:rPr>
                  </w:pPr>
                  <w:r>
                    <w:rPr>
                      <w:rFonts w:hint="default" w:ascii="Times New Roman" w:hAnsi="Times New Roman" w:cs="Times New Roman"/>
                      <w:sz w:val="21"/>
                      <w:szCs w:val="21"/>
                      <w:highlight w:val="none"/>
                      <w:lang w:val="en-US" w:eastAsia="zh-CN"/>
                    </w:rPr>
                    <w:t>《</w:t>
                  </w:r>
                  <w:r>
                    <w:rPr>
                      <w:rFonts w:hint="default" w:ascii="Times New Roman" w:hAnsi="Times New Roman" w:eastAsia="宋体" w:cs="Times New Roman"/>
                      <w:sz w:val="21"/>
                      <w:szCs w:val="21"/>
                      <w:highlight w:val="none"/>
                    </w:rPr>
                    <w:t>一般工业固体废物贮存和填埋污染控制标准》（GB18599-20</w:t>
                  </w:r>
                  <w:r>
                    <w:rPr>
                      <w:rFonts w:hint="default" w:ascii="Times New Roman" w:hAnsi="Times New Roman" w:eastAsia="宋体" w:cs="Times New Roman"/>
                      <w:sz w:val="21"/>
                      <w:szCs w:val="21"/>
                      <w:highlight w:val="none"/>
                      <w:lang w:val="en-US" w:eastAsia="zh-CN"/>
                    </w:rPr>
                    <w:t>20</w:t>
                  </w:r>
                  <w:r>
                    <w:rPr>
                      <w:rFonts w:hint="default" w:ascii="Times New Roman" w:hAnsi="Times New Roman" w:eastAsia="宋体" w:cs="Times New Roman"/>
                      <w:sz w:val="21"/>
                      <w:szCs w:val="21"/>
                      <w:highlight w:val="none"/>
                    </w:rPr>
                    <w:t>）</w:t>
                  </w:r>
                </w:p>
              </w:tc>
              <w:tc>
                <w:tcPr>
                  <w:tcW w:w="711" w:type="dxa"/>
                  <w:vMerge w:val="restart"/>
                  <w:noWrap w:val="0"/>
                  <w:vAlign w:val="center"/>
                </w:tcPr>
                <w:p>
                  <w:pPr>
                    <w:keepNext w:val="0"/>
                    <w:keepLines w:val="0"/>
                    <w:pageBreakBefore w:val="0"/>
                    <w:kinsoku/>
                    <w:wordWrap/>
                    <w:overflowPunct/>
                    <w:topLinePunct w:val="0"/>
                    <w:autoSpaceDE/>
                    <w:autoSpaceDN/>
                    <w:bidi w:val="0"/>
                    <w:spacing w:line="240" w:lineRule="exact"/>
                    <w:ind w:left="0" w:leftChars="0" w:firstLine="0" w:firstLineChars="0"/>
                    <w:jc w:val="center"/>
                    <w:textAlignment w:val="auto"/>
                    <w:rPr>
                      <w:szCs w:val="21"/>
                    </w:rPr>
                  </w:pP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pPr>
                </w:p>
              </w:tc>
              <w:tc>
                <w:tcPr>
                  <w:tcW w:w="1667" w:type="dxa"/>
                  <w:vMerge w:val="continue"/>
                  <w:tcBorders>
                    <w:righ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eastAsia="宋体"/>
                      <w:lang w:val="en-US" w:eastAsia="zh-CN"/>
                    </w:rPr>
                  </w:pPr>
                </w:p>
              </w:tc>
              <w:tc>
                <w:tcPr>
                  <w:tcW w:w="1148" w:type="dxa"/>
                  <w:tcBorders>
                    <w:lef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firstLine="0" w:firstLineChars="0"/>
                    <w:jc w:val="center"/>
                    <w:textAlignment w:val="auto"/>
                    <w:rPr>
                      <w:rFonts w:hint="eastAsia"/>
                      <w:lang w:val="en-US" w:eastAsia="zh-CN"/>
                    </w:rPr>
                  </w:pPr>
                  <w:r>
                    <w:rPr>
                      <w:rFonts w:hint="eastAsia" w:cs="Times New Roman"/>
                      <w:sz w:val="21"/>
                      <w:szCs w:val="21"/>
                      <w:lang w:eastAsia="zh-CN"/>
                    </w:rPr>
                    <w:t>生活垃圾</w:t>
                  </w:r>
                </w:p>
              </w:tc>
              <w:tc>
                <w:tcPr>
                  <w:tcW w:w="1390" w:type="dxa"/>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0</w:t>
                  </w:r>
                </w:p>
              </w:tc>
              <w:tc>
                <w:tcPr>
                  <w:tcW w:w="2667" w:type="dxa"/>
                  <w:gridSpan w:val="2"/>
                  <w:vMerge w:val="continue"/>
                  <w:noWrap w:val="0"/>
                  <w:vAlign w:val="center"/>
                </w:tcPr>
                <w:p>
                  <w:pPr>
                    <w:keepNext w:val="0"/>
                    <w:keepLines w:val="0"/>
                    <w:pageBreakBefore w:val="0"/>
                    <w:kinsoku/>
                    <w:wordWrap/>
                    <w:overflowPunct/>
                    <w:topLinePunct w:val="0"/>
                    <w:autoSpaceDE/>
                    <w:autoSpaceDN/>
                    <w:bidi w:val="0"/>
                    <w:spacing w:line="240" w:lineRule="exact"/>
                    <w:textAlignment w:val="auto"/>
                    <w:rPr>
                      <w:szCs w:val="21"/>
                    </w:rPr>
                  </w:pPr>
                </w:p>
              </w:tc>
              <w:tc>
                <w:tcPr>
                  <w:tcW w:w="711" w:type="dxa"/>
                  <w:vMerge w:val="continue"/>
                  <w:noWrap w:val="0"/>
                  <w:vAlign w:val="center"/>
                </w:tcPr>
                <w:p>
                  <w:pPr>
                    <w:keepNext w:val="0"/>
                    <w:keepLines w:val="0"/>
                    <w:pageBreakBefore w:val="0"/>
                    <w:kinsoku/>
                    <w:wordWrap/>
                    <w:overflowPunct/>
                    <w:topLinePunct w:val="0"/>
                    <w:autoSpaceDE/>
                    <w:autoSpaceDN/>
                    <w:bidi w:val="0"/>
                    <w:spacing w:line="240" w:lineRule="exact"/>
                    <w:jc w:val="center"/>
                    <w:textAlignment w:val="auto"/>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restart"/>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eastAsia="zh-CN"/>
                    </w:rPr>
                  </w:pPr>
                  <w:r>
                    <w:rPr>
                      <w:rFonts w:hint="eastAsia" w:ascii="Times New Roman" w:hAnsi="Times New Roman" w:eastAsia="宋体" w:cs="Times New Roman"/>
                      <w:lang w:eastAsia="zh-CN"/>
                    </w:rPr>
                    <w:t>噪声</w:t>
                  </w:r>
                </w:p>
              </w:tc>
              <w:tc>
                <w:tcPr>
                  <w:tcW w:w="1667" w:type="dxa"/>
                  <w:vMerge w:val="restart"/>
                  <w:tcBorders>
                    <w:righ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eastAsia="zh-CN"/>
                    </w:rPr>
                  </w:pPr>
                  <w:r>
                    <w:rPr>
                      <w:rFonts w:hint="eastAsia" w:ascii="Times New Roman" w:hAnsi="Times New Roman" w:eastAsia="宋体" w:cs="Times New Roman"/>
                      <w:lang w:eastAsia="zh-CN"/>
                    </w:rPr>
                    <w:t>各类生产设备等</w:t>
                  </w:r>
                </w:p>
              </w:tc>
              <w:tc>
                <w:tcPr>
                  <w:tcW w:w="1148" w:type="dxa"/>
                  <w:tcBorders>
                    <w:right w:val="single" w:color="auto"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昼间55dB(A)</w:t>
                  </w:r>
                </w:p>
              </w:tc>
              <w:tc>
                <w:tcPr>
                  <w:tcW w:w="1390" w:type="dxa"/>
                  <w:tcBorders>
                    <w:righ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65dB(A)</w:t>
                  </w:r>
                </w:p>
              </w:tc>
              <w:tc>
                <w:tcPr>
                  <w:tcW w:w="2667" w:type="dxa"/>
                  <w:gridSpan w:val="2"/>
                  <w:vMerge w:val="restart"/>
                  <w:tcBorders>
                    <w:lef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eastAsia="zh-CN"/>
                    </w:rPr>
                  </w:pPr>
                  <w:r>
                    <w:rPr>
                      <w:rFonts w:hint="eastAsia" w:ascii="Times New Roman" w:hAnsi="Times New Roman" w:eastAsia="宋体" w:cs="Times New Roman"/>
                      <w:lang w:eastAsia="zh-CN"/>
                    </w:rPr>
                    <w:t>《工业企业厂界环境噪声排放标准》（GB12348-2008）</w:t>
                  </w:r>
                  <w:r>
                    <w:rPr>
                      <w:rFonts w:hint="eastAsia" w:ascii="Times New Roman" w:hAnsi="Times New Roman" w:eastAsia="宋体" w:cs="Times New Roman"/>
                      <w:lang w:val="en-US" w:eastAsia="zh-CN"/>
                    </w:rPr>
                    <w:t>3</w:t>
                  </w:r>
                  <w:r>
                    <w:rPr>
                      <w:rFonts w:hint="eastAsia" w:ascii="Times New Roman" w:hAnsi="Times New Roman" w:eastAsia="宋体" w:cs="Times New Roman"/>
                      <w:lang w:eastAsia="zh-CN"/>
                    </w:rPr>
                    <w:t>类</w:t>
                  </w:r>
                </w:p>
              </w:tc>
              <w:tc>
                <w:tcPr>
                  <w:tcW w:w="711" w:type="dxa"/>
                  <w:vMerge w:val="restart"/>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eastAsia="zh-CN"/>
                    </w:rPr>
                  </w:pPr>
                  <w:r>
                    <w:rPr>
                      <w:rFonts w:hint="eastAsia" w:ascii="Times New Roman" w:hAnsi="Times New Roman" w:eastAsia="宋体" w:cs="Times New Roman"/>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0" w:type="dxa"/>
                  <w:vMerge w:val="continue"/>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rPr>
                  </w:pPr>
                </w:p>
              </w:tc>
              <w:tc>
                <w:tcPr>
                  <w:tcW w:w="1667" w:type="dxa"/>
                  <w:vMerge w:val="continue"/>
                  <w:tcBorders>
                    <w:righ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eastAsia="zh-CN"/>
                    </w:rPr>
                  </w:pPr>
                </w:p>
              </w:tc>
              <w:tc>
                <w:tcPr>
                  <w:tcW w:w="1148" w:type="dxa"/>
                  <w:tcBorders>
                    <w:right w:val="single" w:color="auto"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default" w:ascii="Times New Roman" w:hAnsi="Times New Roman" w:eastAsia="宋体" w:cs="Times New Roman"/>
                      <w:lang w:val="en-US" w:eastAsia="zh-CN"/>
                    </w:rPr>
                  </w:pPr>
                  <w:r>
                    <w:rPr>
                      <w:rFonts w:hint="eastAsia" w:ascii="Times New Roman" w:hAnsi="Times New Roman" w:eastAsia="宋体" w:cs="Times New Roman"/>
                      <w:lang w:val="en-US" w:eastAsia="zh-CN"/>
                    </w:rPr>
                    <w:t>夜间44dB(A)</w:t>
                  </w:r>
                </w:p>
              </w:tc>
              <w:tc>
                <w:tcPr>
                  <w:tcW w:w="1390" w:type="dxa"/>
                  <w:tcBorders>
                    <w:right w:val="single" w:color="000000" w:sz="4" w:space="0"/>
                  </w:tcBorders>
                  <w:noWrap w:val="0"/>
                  <w:vAlign w:val="center"/>
                </w:tcPr>
                <w:p>
                  <w:pPr>
                    <w:pStyle w:val="21"/>
                    <w:keepNext w:val="0"/>
                    <w:keepLines w:val="0"/>
                    <w:pageBreakBefore w:val="0"/>
                    <w:widowControl/>
                    <w:kinsoku/>
                    <w:wordWrap/>
                    <w:overflowPunct/>
                    <w:topLinePunct w:val="0"/>
                    <w:autoSpaceDE/>
                    <w:autoSpaceDN/>
                    <w:bidi w:val="0"/>
                    <w:adjustRightInd w:val="0"/>
                    <w:snapToGrid w:val="0"/>
                    <w:spacing w:line="240" w:lineRule="exact"/>
                    <w:textAlignment w:val="auto"/>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55dB(A)</w:t>
                  </w:r>
                </w:p>
              </w:tc>
              <w:tc>
                <w:tcPr>
                  <w:tcW w:w="2667" w:type="dxa"/>
                  <w:gridSpan w:val="2"/>
                  <w:vMerge w:val="continue"/>
                  <w:tcBorders>
                    <w:left w:val="single" w:color="000000" w:sz="4" w:space="0"/>
                  </w:tcBorders>
                  <w:noWrap w:val="0"/>
                  <w:vAlign w:val="center"/>
                </w:tcPr>
                <w:p>
                  <w:pPr>
                    <w:keepNext w:val="0"/>
                    <w:keepLines w:val="0"/>
                    <w:pageBreakBefore w:val="0"/>
                    <w:kinsoku/>
                    <w:wordWrap/>
                    <w:overflowPunct/>
                    <w:topLinePunct w:val="0"/>
                    <w:autoSpaceDE/>
                    <w:autoSpaceDN/>
                    <w:bidi w:val="0"/>
                    <w:spacing w:line="240" w:lineRule="exact"/>
                    <w:jc w:val="center"/>
                    <w:textAlignment w:val="auto"/>
                    <w:rPr>
                      <w:rFonts w:hAnsi="宋体"/>
                      <w:spacing w:val="-12"/>
                      <w:szCs w:val="21"/>
                    </w:rPr>
                  </w:pPr>
                </w:p>
              </w:tc>
              <w:tc>
                <w:tcPr>
                  <w:tcW w:w="711" w:type="dxa"/>
                  <w:vMerge w:val="continue"/>
                  <w:noWrap w:val="0"/>
                  <w:vAlign w:val="center"/>
                </w:tcPr>
                <w:p>
                  <w:pPr>
                    <w:keepNext w:val="0"/>
                    <w:keepLines w:val="0"/>
                    <w:pageBreakBefore w:val="0"/>
                    <w:kinsoku/>
                    <w:wordWrap/>
                    <w:overflowPunct/>
                    <w:topLinePunct w:val="0"/>
                    <w:autoSpaceDE/>
                    <w:autoSpaceDN/>
                    <w:bidi w:val="0"/>
                    <w:spacing w:line="240" w:lineRule="exact"/>
                    <w:jc w:val="center"/>
                    <w:textAlignment w:val="auto"/>
                    <w:rPr>
                      <w:rFonts w:hint="eastAsia"/>
                      <w:szCs w:val="21"/>
                    </w:rPr>
                  </w:pPr>
                </w:p>
              </w:tc>
            </w:tr>
          </w:tbl>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sz w:val="24"/>
                <w:szCs w:val="24"/>
                <w:lang w:eastAsia="zh-CN"/>
              </w:rPr>
            </w:pPr>
            <w:r>
              <w:rPr>
                <w:rFonts w:hint="eastAsia"/>
                <w:b w:val="0"/>
                <w:bCs w:val="0"/>
                <w:color w:val="auto"/>
                <w:sz w:val="24"/>
                <w:szCs w:val="24"/>
                <w:lang w:eastAsia="zh-CN"/>
              </w:rPr>
              <w:t>根据验收监测数据，项目废气、废水中各污染因子均能做到达标排放；废水中</w:t>
            </w:r>
            <w:r>
              <w:rPr>
                <w:rFonts w:hint="eastAsia"/>
                <w:b w:val="0"/>
                <w:bCs w:val="0"/>
                <w:color w:val="auto"/>
                <w:sz w:val="24"/>
                <w:szCs w:val="24"/>
                <w:lang w:val="en-US" w:eastAsia="zh-CN"/>
              </w:rPr>
              <w:t>COD、氨氮排放量分别为0.002t/a、0.00016t/a，能够满足</w:t>
            </w:r>
            <w:r>
              <w:rPr>
                <w:rFonts w:hint="eastAsia" w:ascii="Times New Roman" w:hAnsi="Times New Roman" w:eastAsia="宋体" w:cs="Times New Roman"/>
                <w:b w:val="0"/>
                <w:bCs w:val="0"/>
                <w:color w:val="auto"/>
                <w:sz w:val="24"/>
                <w:szCs w:val="24"/>
                <w:lang w:val="en-US" w:eastAsia="zh-CN"/>
              </w:rPr>
              <w:t>《关于济源市源清环保科技有限公司年收集贮存2万吨危险废物项目总量替代指标的函》的要求。</w:t>
            </w:r>
            <w:r>
              <w:rPr>
                <w:rFonts w:hint="eastAsia" w:cs="Times New Roman"/>
                <w:b w:val="0"/>
                <w:bCs w:val="0"/>
                <w:color w:val="auto"/>
                <w:sz w:val="24"/>
                <w:szCs w:val="24"/>
                <w:lang w:val="en-US" w:eastAsia="zh-CN"/>
              </w:rPr>
              <w:t>验收</w:t>
            </w:r>
            <w:r>
              <w:rPr>
                <w:sz w:val="24"/>
                <w:szCs w:val="24"/>
              </w:rPr>
              <w:t>监测期间，</w:t>
            </w:r>
            <w:r>
              <w:rPr>
                <w:rFonts w:hint="eastAsia"/>
                <w:sz w:val="24"/>
                <w:szCs w:val="24"/>
                <w:lang w:eastAsia="zh-CN"/>
              </w:rPr>
              <w:t>济源市源清环保科技有限公司四周</w:t>
            </w:r>
            <w:r>
              <w:rPr>
                <w:sz w:val="24"/>
                <w:szCs w:val="24"/>
              </w:rPr>
              <w:t>厂界昼间、夜间噪声均符合《工业企业厂界环境噪声排放标准》（GB12348-2008）</w:t>
            </w:r>
            <w:r>
              <w:rPr>
                <w:rFonts w:hint="eastAsia"/>
                <w:sz w:val="24"/>
                <w:szCs w:val="24"/>
                <w:lang w:val="en-US" w:eastAsia="zh-CN"/>
              </w:rPr>
              <w:t>3</w:t>
            </w:r>
            <w:r>
              <w:rPr>
                <w:sz w:val="24"/>
                <w:szCs w:val="24"/>
              </w:rPr>
              <w:t>类标准</w:t>
            </w:r>
            <w:r>
              <w:rPr>
                <w:rFonts w:hint="eastAsia"/>
                <w:sz w:val="24"/>
                <w:szCs w:val="24"/>
                <w:lang w:eastAsia="zh-CN"/>
              </w:rPr>
              <w:t>要求。</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sz w:val="24"/>
                <w:szCs w:val="24"/>
                <w:lang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sz w:val="24"/>
                <w:szCs w:val="24"/>
                <w:lang w:eastAsia="zh-CN"/>
              </w:rPr>
            </w:pP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rPr>
            </w:pPr>
          </w:p>
          <w:p>
            <w:pPr>
              <w:adjustRightInd w:val="0"/>
              <w:snapToGrid w:val="0"/>
              <w:ind w:firstLine="0" w:firstLineChars="0"/>
              <w:rPr>
                <w:rFonts w:hint="eastAsia" w:ascii="宋体" w:hAnsi="宋体"/>
                <w:bCs/>
                <w:szCs w:val="21"/>
                <w:highlight w:val="yellow"/>
              </w:rPr>
            </w:pPr>
          </w:p>
        </w:tc>
      </w:tr>
    </w:tbl>
    <w:p>
      <w:pPr>
        <w:tabs>
          <w:tab w:val="left" w:pos="1425"/>
        </w:tabs>
        <w:ind w:firstLine="0" w:firstLineChars="0"/>
        <w:rPr>
          <w:highlight w:val="yellow"/>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2"/>
        <w:spacing w:line="240" w:lineRule="auto"/>
        <w:ind w:firstLine="0" w:firstLineChars="0"/>
        <w:jc w:val="center"/>
        <w:outlineLvl w:val="0"/>
        <w:rPr>
          <w:rFonts w:ascii="黑体" w:hAnsi="黑体" w:eastAsia="黑体"/>
          <w:snapToGrid w:val="0"/>
          <w:sz w:val="30"/>
          <w:szCs w:val="30"/>
        </w:rPr>
      </w:pPr>
      <w:r>
        <w:rPr>
          <w:rFonts w:hint="eastAsia" w:ascii="黑体" w:hAnsi="黑体" w:eastAsia="黑体"/>
          <w:snapToGrid w:val="0"/>
          <w:sz w:val="30"/>
          <w:szCs w:val="30"/>
        </w:rPr>
        <w:t>三、区域环境质量现状、环境保护目标及评价标准</w:t>
      </w:r>
    </w:p>
    <w:tbl>
      <w:tblPr>
        <w:tblStyle w:val="15"/>
        <w:tblW w:w="0" w:type="auto"/>
        <w:tblInd w:w="8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24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93" w:hRule="atLeast"/>
        </w:trPr>
        <w:tc>
          <w:tcPr>
            <w:tcW w:w="817" w:type="dxa"/>
            <w:noWrap w:val="0"/>
            <w:vAlign w:val="center"/>
          </w:tcPr>
          <w:p>
            <w:pPr>
              <w:adjustRightInd w:val="0"/>
              <w:snapToGrid w:val="0"/>
              <w:ind w:left="-72" w:leftChars="-30" w:right="-72" w:rightChars="-30" w:firstLine="0" w:firstLineChars="0"/>
              <w:jc w:val="center"/>
              <w:rPr>
                <w:rFonts w:hint="eastAsia" w:ascii="宋体" w:hAnsi="宋体" w:cs="宋体"/>
                <w:kern w:val="0"/>
              </w:rPr>
            </w:pPr>
            <w:r>
              <w:rPr>
                <w:rFonts w:hint="eastAsia" w:ascii="宋体" w:hAnsi="宋体" w:cs="宋体"/>
                <w:kern w:val="0"/>
              </w:rPr>
              <w:t>区域</w:t>
            </w:r>
          </w:p>
          <w:p>
            <w:pPr>
              <w:adjustRightInd w:val="0"/>
              <w:snapToGrid w:val="0"/>
              <w:ind w:left="-72" w:leftChars="-30" w:right="-72" w:rightChars="-30" w:firstLine="0" w:firstLineChars="0"/>
              <w:jc w:val="center"/>
              <w:rPr>
                <w:rFonts w:hint="eastAsia" w:ascii="宋体" w:hAnsi="宋体" w:cs="宋体"/>
                <w:kern w:val="0"/>
              </w:rPr>
            </w:pPr>
            <w:r>
              <w:rPr>
                <w:rFonts w:hint="eastAsia" w:ascii="宋体" w:hAnsi="宋体" w:cs="宋体"/>
                <w:kern w:val="0"/>
              </w:rPr>
              <w:t>环境</w:t>
            </w:r>
          </w:p>
          <w:p>
            <w:pPr>
              <w:adjustRightInd w:val="0"/>
              <w:snapToGrid w:val="0"/>
              <w:ind w:left="-72" w:leftChars="-30" w:right="-72" w:rightChars="-30" w:firstLine="0" w:firstLineChars="0"/>
              <w:jc w:val="center"/>
              <w:rPr>
                <w:rFonts w:hint="eastAsia" w:ascii="宋体" w:hAnsi="宋体" w:cs="宋体"/>
                <w:kern w:val="0"/>
              </w:rPr>
            </w:pPr>
            <w:r>
              <w:rPr>
                <w:rFonts w:hint="eastAsia" w:ascii="宋体" w:hAnsi="宋体" w:cs="宋体"/>
                <w:kern w:val="0"/>
              </w:rPr>
              <w:t>质量</w:t>
            </w:r>
          </w:p>
          <w:p>
            <w:pPr>
              <w:adjustRightInd w:val="0"/>
              <w:snapToGrid w:val="0"/>
              <w:ind w:left="-72" w:leftChars="-30" w:right="-72" w:rightChars="-30" w:firstLine="0" w:firstLineChars="0"/>
              <w:jc w:val="center"/>
              <w:rPr>
                <w:rFonts w:ascii="宋体" w:hAnsi="宋体" w:cs="宋体"/>
                <w:kern w:val="0"/>
                <w:sz w:val="21"/>
                <w:szCs w:val="21"/>
              </w:rPr>
            </w:pPr>
            <w:r>
              <w:rPr>
                <w:rFonts w:hint="eastAsia" w:ascii="宋体" w:hAnsi="宋体" w:cs="宋体"/>
                <w:kern w:val="0"/>
              </w:rPr>
              <w:t>现状</w:t>
            </w:r>
          </w:p>
        </w:tc>
        <w:tc>
          <w:tcPr>
            <w:tcW w:w="8244" w:type="dxa"/>
            <w:noWrap w:val="0"/>
            <w:vAlign w:val="center"/>
          </w:tcPr>
          <w:p>
            <w:pPr>
              <w:keepNext w:val="0"/>
              <w:keepLines w:val="0"/>
              <w:pageBreakBefore w:val="0"/>
              <w:kinsoku/>
              <w:wordWrap/>
              <w:overflowPunct/>
              <w:topLinePunct w:val="0"/>
              <w:autoSpaceDE/>
              <w:autoSpaceDN/>
              <w:bidi w:val="0"/>
              <w:adjustRightInd/>
              <w:snapToGrid/>
              <w:spacing w:line="420" w:lineRule="exact"/>
              <w:ind w:firstLine="482"/>
              <w:jc w:val="left"/>
              <w:textAlignment w:val="auto"/>
              <w:rPr>
                <w:rFonts w:hint="default" w:ascii="Times New Roman" w:hAnsi="Times New Roman" w:cs="Times New Roman"/>
                <w:b/>
              </w:rPr>
            </w:pPr>
            <w:r>
              <w:rPr>
                <w:rFonts w:hint="default" w:ascii="Times New Roman" w:hAnsi="Times New Roman" w:cs="Times New Roman"/>
                <w:b/>
              </w:rPr>
              <w:t>1、环境空气质量现状调查</w:t>
            </w:r>
          </w:p>
          <w:p>
            <w:pPr>
              <w:keepNext w:val="0"/>
              <w:keepLines w:val="0"/>
              <w:pageBreakBefore w:val="0"/>
              <w:widowControl/>
              <w:kinsoku/>
              <w:wordWrap/>
              <w:overflowPunct/>
              <w:topLinePunct w:val="0"/>
              <w:autoSpaceDE/>
              <w:autoSpaceDN/>
              <w:bidi w:val="0"/>
              <w:adjustRightInd/>
              <w:snapToGrid/>
              <w:spacing w:line="420" w:lineRule="exact"/>
              <w:ind w:firstLine="439" w:firstLineChars="182"/>
              <w:jc w:val="left"/>
              <w:textAlignment w:val="auto"/>
              <w:rPr>
                <w:rFonts w:hint="default" w:ascii="Times New Roman" w:hAnsi="Times New Roman" w:cs="Times New Roman"/>
                <w:b/>
              </w:rPr>
            </w:pPr>
            <w:r>
              <w:rPr>
                <w:rFonts w:hint="default" w:ascii="Times New Roman" w:hAnsi="Times New Roman" w:cs="Times New Roman"/>
                <w:b/>
                <w:kern w:val="0"/>
              </w:rPr>
              <w:t>1.1</w:t>
            </w:r>
            <w:r>
              <w:rPr>
                <w:rFonts w:hint="default" w:ascii="Times New Roman" w:hAnsi="Times New Roman" w:cs="Times New Roman"/>
                <w:b/>
              </w:rPr>
              <w:t>济源市环境空气质量达标区判定</w:t>
            </w:r>
          </w:p>
          <w:p>
            <w:pPr>
              <w:keepNext w:val="0"/>
              <w:keepLines w:val="0"/>
              <w:pageBreakBefore w:val="0"/>
              <w:kinsoku/>
              <w:wordWrap/>
              <w:overflowPunct/>
              <w:topLinePunct w:val="0"/>
              <w:autoSpaceDE/>
              <w:autoSpaceDN/>
              <w:bidi w:val="0"/>
              <w:adjustRightInd/>
              <w:snapToGrid/>
              <w:spacing w:line="420" w:lineRule="exact"/>
              <w:ind w:firstLine="480"/>
              <w:textAlignment w:val="auto"/>
              <w:rPr>
                <w:rFonts w:hint="default" w:ascii="Times New Roman" w:hAnsi="Times New Roman" w:cs="Times New Roman"/>
              </w:rPr>
            </w:pPr>
            <w:r>
              <w:rPr>
                <w:rFonts w:hint="default" w:ascii="Times New Roman" w:hAnsi="Times New Roman" w:cs="Times New Roman"/>
              </w:rPr>
              <w:t>根据济源市环境空气质量功能区划分，项目所在区域属二类功能区，环境空气质量应执行《环境空气质量标准》（GB3095-2012）二级标准。根据</w:t>
            </w:r>
            <w:r>
              <w:rPr>
                <w:rFonts w:hint="default" w:ascii="Times New Roman" w:hAnsi="Times New Roman" w:cs="Times New Roman"/>
                <w:lang w:eastAsia="zh-CN"/>
              </w:rPr>
              <w:t>河南省济源生态环境监测中心</w:t>
            </w:r>
            <w:r>
              <w:rPr>
                <w:rFonts w:hint="default" w:ascii="Times New Roman" w:hAnsi="Times New Roman" w:cs="Times New Roman"/>
              </w:rPr>
              <w:t>提供的济源市2020年环境空气质量数据，2020年济源市区域空气质量现状见下表。</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Times New Roman" w:hAnsi="Times New Roman" w:eastAsia="黑体" w:cs="Times New Roman"/>
                <w:sz w:val="24"/>
                <w:szCs w:val="24"/>
              </w:rPr>
            </w:pPr>
            <w:r>
              <w:rPr>
                <w:rFonts w:hint="default" w:ascii="Times New Roman" w:hAnsi="Times New Roman" w:eastAsia="黑体" w:cs="Times New Roman"/>
                <w:sz w:val="24"/>
                <w:szCs w:val="24"/>
              </w:rPr>
              <w:t>2020年济源市区域空气质量现状评价表</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927"/>
              <w:gridCol w:w="2358"/>
              <w:gridCol w:w="1136"/>
              <w:gridCol w:w="1037"/>
              <w:gridCol w:w="1203"/>
              <w:gridCol w:w="12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68" w:hRule="atLeast"/>
                <w:jc w:val="center"/>
              </w:trPr>
              <w:tc>
                <w:tcPr>
                  <w:tcW w:w="92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污染物</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评价指标</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现状浓度</w:t>
                  </w:r>
                  <w:r>
                    <w:rPr>
                      <w:rFonts w:hint="default" w:ascii="Times New Roman" w:hAnsi="Times New Roman" w:cs="Times New Roman"/>
                      <w:snapToGrid w:val="0"/>
                      <w:sz w:val="21"/>
                      <w:szCs w:val="21"/>
                    </w:rPr>
                    <w:t>μg/m</w:t>
                  </w:r>
                  <w:r>
                    <w:rPr>
                      <w:rFonts w:hint="default" w:ascii="Times New Roman" w:hAnsi="Times New Roman" w:cs="Times New Roman"/>
                      <w:snapToGrid w:val="0"/>
                      <w:sz w:val="21"/>
                      <w:szCs w:val="21"/>
                      <w:vertAlign w:val="superscript"/>
                    </w:rPr>
                    <w:t>3</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标准值</w:t>
                  </w:r>
                  <w:r>
                    <w:rPr>
                      <w:rFonts w:hint="default" w:ascii="Times New Roman" w:hAnsi="Times New Roman" w:cs="Times New Roman"/>
                      <w:snapToGrid w:val="0"/>
                      <w:sz w:val="21"/>
                      <w:szCs w:val="21"/>
                    </w:rPr>
                    <w:t>μg/m</w:t>
                  </w:r>
                  <w:r>
                    <w:rPr>
                      <w:rFonts w:hint="default" w:ascii="Times New Roman" w:hAnsi="Times New Roman" w:cs="Times New Roman"/>
                      <w:snapToGrid w:val="0"/>
                      <w:sz w:val="21"/>
                      <w:szCs w:val="21"/>
                      <w:vertAlign w:val="superscript"/>
                    </w:rPr>
                    <w:t>3</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占标率</w:t>
                  </w:r>
                </w:p>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w:t>
                  </w:r>
                </w:p>
              </w:tc>
              <w:tc>
                <w:tcPr>
                  <w:tcW w:w="122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11" w:hRule="atLeast"/>
                <w:jc w:val="center"/>
              </w:trPr>
              <w:tc>
                <w:tcPr>
                  <w:tcW w:w="9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SO</w:t>
                  </w:r>
                  <w:r>
                    <w:rPr>
                      <w:rFonts w:hint="default" w:ascii="Times New Roman" w:hAnsi="Times New Roman" w:cs="Times New Roman"/>
                      <w:bCs/>
                      <w:sz w:val="21"/>
                      <w:szCs w:val="21"/>
                      <w:vertAlign w:val="subscript"/>
                    </w:rPr>
                    <w:t>2</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年平均质量浓度值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13</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60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22</w:t>
                  </w:r>
                </w:p>
              </w:tc>
              <w:tc>
                <w:tcPr>
                  <w:tcW w:w="12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0" w:hRule="atLeast"/>
                <w:jc w:val="center"/>
              </w:trPr>
              <w:tc>
                <w:tcPr>
                  <w:tcW w:w="9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24小时平均第98百分位数浓度值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27</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150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18</w:t>
                  </w:r>
                </w:p>
              </w:tc>
              <w:tc>
                <w:tcPr>
                  <w:tcW w:w="12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42" w:hRule="atLeast"/>
                <w:jc w:val="center"/>
              </w:trPr>
              <w:tc>
                <w:tcPr>
                  <w:tcW w:w="9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NO</w:t>
                  </w:r>
                  <w:r>
                    <w:rPr>
                      <w:rFonts w:hint="default" w:ascii="Times New Roman" w:hAnsi="Times New Roman" w:cs="Times New Roman"/>
                      <w:bCs/>
                      <w:sz w:val="21"/>
                      <w:szCs w:val="21"/>
                      <w:vertAlign w:val="subscript"/>
                    </w:rPr>
                    <w:t>2</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年平均质量浓度值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34</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40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85</w:t>
                  </w:r>
                </w:p>
              </w:tc>
              <w:tc>
                <w:tcPr>
                  <w:tcW w:w="12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58" w:hRule="atLeast"/>
                <w:jc w:val="center"/>
              </w:trPr>
              <w:tc>
                <w:tcPr>
                  <w:tcW w:w="9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24小时平均第98百分位数浓度值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63</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80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79</w:t>
                  </w:r>
                </w:p>
              </w:tc>
              <w:tc>
                <w:tcPr>
                  <w:tcW w:w="12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44" w:hRule="atLeast"/>
                <w:jc w:val="center"/>
              </w:trPr>
              <w:tc>
                <w:tcPr>
                  <w:tcW w:w="9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PM</w:t>
                  </w:r>
                  <w:r>
                    <w:rPr>
                      <w:rFonts w:hint="default" w:ascii="Times New Roman" w:hAnsi="Times New Roman" w:cs="Times New Roman"/>
                      <w:bCs/>
                      <w:sz w:val="21"/>
                      <w:szCs w:val="21"/>
                      <w:vertAlign w:val="subscript"/>
                    </w:rPr>
                    <w:t>10</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年平均质量浓度值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90</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70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129</w:t>
                  </w:r>
                </w:p>
              </w:tc>
              <w:tc>
                <w:tcPr>
                  <w:tcW w:w="12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72" w:hRule="atLeast"/>
                <w:jc w:val="center"/>
              </w:trPr>
              <w:tc>
                <w:tcPr>
                  <w:tcW w:w="9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24小时平均第95百分位数浓度值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161</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150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107</w:t>
                  </w:r>
                </w:p>
              </w:tc>
              <w:tc>
                <w:tcPr>
                  <w:tcW w:w="12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9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PM</w:t>
                  </w:r>
                  <w:r>
                    <w:rPr>
                      <w:rFonts w:hint="default" w:ascii="Times New Roman" w:hAnsi="Times New Roman" w:cs="Times New Roman"/>
                      <w:bCs/>
                      <w:sz w:val="21"/>
                      <w:szCs w:val="21"/>
                      <w:vertAlign w:val="subscript"/>
                    </w:rPr>
                    <w:t>2.5</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年平均质量浓度值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54</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35</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154</w:t>
                  </w:r>
                </w:p>
              </w:tc>
              <w:tc>
                <w:tcPr>
                  <w:tcW w:w="1227" w:type="dxa"/>
                  <w:vMerge w:val="restart"/>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9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24小时平均第95百分位数浓度值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131</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75</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175</w:t>
                  </w:r>
                </w:p>
              </w:tc>
              <w:tc>
                <w:tcPr>
                  <w:tcW w:w="1227" w:type="dxa"/>
                  <w:vMerge w:val="continue"/>
                  <w:noWrap w:val="0"/>
                  <w:vAlign w:val="center"/>
                </w:tcPr>
                <w:p>
                  <w:pPr>
                    <w:spacing w:line="240" w:lineRule="exact"/>
                    <w:ind w:firstLine="0" w:firstLineChars="0"/>
                    <w:jc w:val="center"/>
                    <w:rPr>
                      <w:rFonts w:hint="default" w:ascii="Times New Roman" w:hAnsi="Times New Roman" w:cs="Times New Roman"/>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35" w:hRule="atLeast"/>
                <w:jc w:val="center"/>
              </w:trPr>
              <w:tc>
                <w:tcPr>
                  <w:tcW w:w="92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CO</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24小时平均第95百分位数浓度值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1.1</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4</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28</w:t>
                  </w:r>
                </w:p>
              </w:tc>
              <w:tc>
                <w:tcPr>
                  <w:tcW w:w="122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8" w:hRule="atLeast"/>
                <w:jc w:val="center"/>
              </w:trPr>
              <w:tc>
                <w:tcPr>
                  <w:tcW w:w="92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臭氧</w:t>
                  </w:r>
                </w:p>
              </w:tc>
              <w:tc>
                <w:tcPr>
                  <w:tcW w:w="2358"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最大8小时平均浓度值第90百分位数浓度值</w:t>
                  </w:r>
                </w:p>
              </w:tc>
              <w:tc>
                <w:tcPr>
                  <w:tcW w:w="1136"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172</w:t>
                  </w:r>
                </w:p>
              </w:tc>
              <w:tc>
                <w:tcPr>
                  <w:tcW w:w="103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160</w:t>
                  </w:r>
                </w:p>
              </w:tc>
              <w:tc>
                <w:tcPr>
                  <w:tcW w:w="1203"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108</w:t>
                  </w:r>
                </w:p>
              </w:tc>
              <w:tc>
                <w:tcPr>
                  <w:tcW w:w="1227" w:type="dxa"/>
                  <w:noWrap w:val="0"/>
                  <w:vAlign w:val="center"/>
                </w:tcPr>
                <w:p>
                  <w:pPr>
                    <w:spacing w:line="240" w:lineRule="exact"/>
                    <w:ind w:firstLine="0" w:firstLineChars="0"/>
                    <w:jc w:val="center"/>
                    <w:rPr>
                      <w:rFonts w:hint="default" w:ascii="Times New Roman" w:hAnsi="Times New Roman" w:cs="Times New Roman"/>
                      <w:bCs/>
                      <w:sz w:val="21"/>
                      <w:szCs w:val="21"/>
                    </w:rPr>
                  </w:pPr>
                  <w:r>
                    <w:rPr>
                      <w:rFonts w:hint="default" w:ascii="Times New Roman" w:hAnsi="Times New Roman" w:cs="Times New Roman"/>
                      <w:bCs/>
                      <w:sz w:val="21"/>
                      <w:szCs w:val="21"/>
                    </w:rPr>
                    <w:t>超标</w:t>
                  </w:r>
                </w:p>
              </w:tc>
            </w:tr>
          </w:tbl>
          <w:p>
            <w:pPr>
              <w:pStyle w:val="24"/>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default" w:ascii="Times New Roman" w:hAnsi="Times New Roman" w:cs="Times New Roman"/>
              </w:rPr>
            </w:pPr>
            <w:r>
              <w:rPr>
                <w:rFonts w:hint="default" w:ascii="Times New Roman" w:hAnsi="Times New Roman" w:cs="Times New Roman"/>
              </w:rPr>
              <w:t>由</w:t>
            </w:r>
            <w:r>
              <w:rPr>
                <w:rFonts w:hint="default" w:ascii="Times New Roman" w:hAnsi="Times New Roman" w:cs="Times New Roman"/>
                <w:lang w:eastAsia="zh-CN"/>
              </w:rPr>
              <w:t>上表</w:t>
            </w:r>
            <w:r>
              <w:rPr>
                <w:rFonts w:hint="default" w:ascii="Times New Roman" w:hAnsi="Times New Roman" w:cs="Times New Roman"/>
              </w:rPr>
              <w:t>可知，济源市区域NO</w:t>
            </w:r>
            <w:r>
              <w:rPr>
                <w:rFonts w:hint="default" w:ascii="Times New Roman" w:hAnsi="Times New Roman" w:cs="Times New Roman"/>
                <w:vertAlign w:val="subscript"/>
              </w:rPr>
              <w:t>2</w:t>
            </w:r>
            <w:r>
              <w:rPr>
                <w:rFonts w:hint="default" w:ascii="Times New Roman" w:hAnsi="Times New Roman" w:cs="Times New Roman"/>
              </w:rPr>
              <w:t>、PM</w:t>
            </w:r>
            <w:r>
              <w:rPr>
                <w:rFonts w:hint="default" w:ascii="Times New Roman" w:hAnsi="Times New Roman" w:cs="Times New Roman"/>
                <w:vertAlign w:val="subscript"/>
              </w:rPr>
              <w:t>10</w:t>
            </w:r>
            <w:r>
              <w:rPr>
                <w:rFonts w:hint="default" w:ascii="Times New Roman" w:hAnsi="Times New Roman" w:cs="Times New Roman"/>
              </w:rPr>
              <w:t>、PM</w:t>
            </w:r>
            <w:r>
              <w:rPr>
                <w:rFonts w:hint="default" w:ascii="Times New Roman" w:hAnsi="Times New Roman" w:cs="Times New Roman"/>
                <w:vertAlign w:val="subscript"/>
              </w:rPr>
              <w:t>2.5</w:t>
            </w:r>
            <w:r>
              <w:rPr>
                <w:rFonts w:hint="default" w:ascii="Times New Roman" w:hAnsi="Times New Roman" w:cs="Times New Roman"/>
              </w:rPr>
              <w:t>、臭氧日均值均超标，济源市属于不达标区。</w:t>
            </w:r>
          </w:p>
          <w:p>
            <w:pPr>
              <w:keepNext w:val="0"/>
              <w:keepLines w:val="0"/>
              <w:pageBreakBefore w:val="0"/>
              <w:widowControl/>
              <w:kinsoku/>
              <w:wordWrap/>
              <w:overflowPunct/>
              <w:topLinePunct w:val="0"/>
              <w:autoSpaceDE/>
              <w:autoSpaceDN/>
              <w:bidi w:val="0"/>
              <w:adjustRightInd/>
              <w:snapToGrid/>
              <w:spacing w:line="420" w:lineRule="exact"/>
              <w:ind w:firstLine="439" w:firstLineChars="182"/>
              <w:jc w:val="left"/>
              <w:textAlignment w:val="auto"/>
              <w:rPr>
                <w:rFonts w:hint="default" w:ascii="Times New Roman" w:hAnsi="Times New Roman" w:eastAsia="宋体" w:cs="Times New Roman"/>
                <w:b/>
                <w:kern w:val="0"/>
              </w:rPr>
            </w:pPr>
            <w:r>
              <w:rPr>
                <w:rFonts w:hint="default" w:ascii="Times New Roman" w:hAnsi="Times New Roman" w:eastAsia="宋体" w:cs="Times New Roman"/>
                <w:b/>
                <w:kern w:val="0"/>
              </w:rPr>
              <w:t>1.2评价范围内基本污染物环境质量现状</w:t>
            </w:r>
          </w:p>
          <w:p>
            <w:pPr>
              <w:pStyle w:val="24"/>
              <w:keepNext w:val="0"/>
              <w:keepLines w:val="0"/>
              <w:pageBreakBefore w:val="0"/>
              <w:widowControl w:val="0"/>
              <w:kinsoku/>
              <w:wordWrap/>
              <w:overflowPunct/>
              <w:topLinePunct w:val="0"/>
              <w:autoSpaceDE/>
              <w:autoSpaceDN/>
              <w:bidi w:val="0"/>
              <w:adjustRightInd/>
              <w:snapToGrid/>
              <w:spacing w:line="420" w:lineRule="exact"/>
              <w:ind w:firstLine="480" w:firstLineChars="200"/>
              <w:jc w:val="both"/>
              <w:textAlignment w:val="auto"/>
              <w:rPr>
                <w:rFonts w:hint="default" w:ascii="Times New Roman" w:hAnsi="Times New Roman" w:cs="Times New Roman"/>
                <w:szCs w:val="24"/>
              </w:rPr>
            </w:pPr>
            <w:r>
              <w:rPr>
                <w:rFonts w:hint="default" w:ascii="Times New Roman" w:hAnsi="Times New Roman" w:cs="Times New Roman"/>
                <w:szCs w:val="24"/>
              </w:rPr>
              <w:t>根据《环境影响评价技术导则  大气环境》（HJ2.2-2018）中规定，“评价范围内没有环境空气质量监测网数据的，可选择与评价范围地理位置邻近，地形、气候条件相近的环境空间质量监测数据”。因本项目评价范围内没有设置环境空气质量监测点位，因此，本次评价引用</w:t>
            </w:r>
            <w:r>
              <w:rPr>
                <w:rFonts w:hint="default" w:ascii="Times New Roman" w:hAnsi="Times New Roman" w:cs="Times New Roman"/>
                <w:szCs w:val="24"/>
                <w:lang w:eastAsia="zh-CN"/>
              </w:rPr>
              <w:t>克井镇</w:t>
            </w:r>
            <w:r>
              <w:rPr>
                <w:rFonts w:hint="default" w:ascii="Times New Roman" w:hAnsi="Times New Roman" w:cs="Times New Roman"/>
                <w:szCs w:val="24"/>
              </w:rPr>
              <w:t>环境空气质量数据，</w:t>
            </w:r>
            <w:r>
              <w:rPr>
                <w:rFonts w:hint="default" w:ascii="Times New Roman" w:hAnsi="Times New Roman" w:cs="Times New Roman"/>
                <w:szCs w:val="24"/>
                <w:lang w:eastAsia="zh-CN"/>
              </w:rPr>
              <w:t>克井镇</w:t>
            </w:r>
            <w:r>
              <w:rPr>
                <w:rFonts w:hint="default" w:ascii="Times New Roman" w:hAnsi="Times New Roman" w:cs="Times New Roman"/>
                <w:szCs w:val="24"/>
              </w:rPr>
              <w:t>202</w:t>
            </w:r>
            <w:r>
              <w:rPr>
                <w:rFonts w:hint="default" w:ascii="Times New Roman" w:hAnsi="Times New Roman" w:cs="Times New Roman"/>
                <w:szCs w:val="24"/>
                <w:lang w:val="en-US" w:eastAsia="zh-CN"/>
              </w:rPr>
              <w:t>2</w:t>
            </w:r>
            <w:r>
              <w:rPr>
                <w:rFonts w:hint="default" w:ascii="Times New Roman" w:hAnsi="Times New Roman" w:cs="Times New Roman"/>
                <w:szCs w:val="24"/>
              </w:rPr>
              <w:t>年</w:t>
            </w:r>
            <w:r>
              <w:rPr>
                <w:rFonts w:hint="default" w:ascii="Times New Roman" w:hAnsi="Times New Roman" w:cs="Times New Roman"/>
                <w:szCs w:val="24"/>
                <w:lang w:val="en-US" w:eastAsia="zh-CN"/>
              </w:rPr>
              <w:t>1</w:t>
            </w:r>
            <w:r>
              <w:rPr>
                <w:rFonts w:hint="default" w:ascii="Times New Roman" w:hAnsi="Times New Roman" w:cs="Times New Roman"/>
                <w:szCs w:val="24"/>
              </w:rPr>
              <w:t>月</w:t>
            </w:r>
            <w:r>
              <w:rPr>
                <w:rFonts w:hint="default" w:ascii="Times New Roman" w:hAnsi="Times New Roman" w:cs="Times New Roman"/>
                <w:szCs w:val="24"/>
                <w:lang w:val="en-US" w:eastAsia="zh-CN"/>
              </w:rPr>
              <w:t>10</w:t>
            </w:r>
            <w:r>
              <w:rPr>
                <w:rFonts w:hint="default" w:ascii="Times New Roman" w:hAnsi="Times New Roman" w:cs="Times New Roman"/>
                <w:szCs w:val="24"/>
              </w:rPr>
              <w:t>日-</w:t>
            </w:r>
            <w:r>
              <w:rPr>
                <w:rFonts w:hint="default" w:ascii="Times New Roman" w:hAnsi="Times New Roman" w:cs="Times New Roman"/>
                <w:szCs w:val="24"/>
                <w:lang w:val="en-US" w:eastAsia="zh-CN"/>
              </w:rPr>
              <w:t>16</w:t>
            </w:r>
            <w:r>
              <w:rPr>
                <w:rFonts w:hint="default" w:ascii="Times New Roman" w:hAnsi="Times New Roman" w:cs="Times New Roman"/>
                <w:szCs w:val="24"/>
              </w:rPr>
              <w:t>日平均空气质量统计如下表：</w:t>
            </w:r>
          </w:p>
          <w:p>
            <w:pPr>
              <w:spacing w:line="240" w:lineRule="auto"/>
              <w:ind w:left="0" w:leftChars="0" w:firstLine="0" w:firstLineChars="0"/>
              <w:jc w:val="center"/>
              <w:rPr>
                <w:rFonts w:hint="default" w:ascii="Times New Roman" w:hAnsi="Times New Roman" w:eastAsia="黑体" w:cs="Times New Roman"/>
                <w:sz w:val="24"/>
                <w:szCs w:val="24"/>
              </w:rPr>
            </w:pPr>
          </w:p>
          <w:p>
            <w:pPr>
              <w:spacing w:line="240" w:lineRule="auto"/>
              <w:ind w:left="0" w:leftChars="0" w:firstLine="0" w:firstLineChars="0"/>
              <w:jc w:val="center"/>
              <w:rPr>
                <w:rFonts w:hint="default" w:ascii="Times New Roman" w:hAnsi="Times New Roman" w:cs="Times New Roman"/>
                <w:highlight w:val="yellow"/>
                <w:vertAlign w:val="superscript"/>
              </w:rPr>
            </w:pPr>
            <w:r>
              <w:rPr>
                <w:rFonts w:hint="eastAsia" w:eastAsia="黑体" w:cs="Times New Roman"/>
                <w:sz w:val="24"/>
                <w:szCs w:val="24"/>
                <w:lang w:eastAsia="zh-CN"/>
              </w:rPr>
              <w:t>克井镇</w:t>
            </w:r>
            <w:r>
              <w:rPr>
                <w:rFonts w:hint="default" w:ascii="Times New Roman" w:hAnsi="Times New Roman" w:eastAsia="黑体" w:cs="Times New Roman"/>
                <w:sz w:val="24"/>
                <w:szCs w:val="24"/>
              </w:rPr>
              <w:t>站点空气质量日均值统计  单位：μg/m</w:t>
            </w:r>
            <w:r>
              <w:rPr>
                <w:rFonts w:hint="default" w:ascii="Times New Roman" w:hAnsi="Times New Roman" w:eastAsia="黑体" w:cs="Times New Roman"/>
                <w:sz w:val="24"/>
                <w:szCs w:val="24"/>
                <w:vertAlign w:val="superscript"/>
              </w:rPr>
              <w:t>3</w:t>
            </w:r>
          </w:p>
          <w:tbl>
            <w:tblPr>
              <w:tblStyle w:val="16"/>
              <w:tblW w:w="80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4"/>
              <w:gridCol w:w="1883"/>
              <w:gridCol w:w="1261"/>
              <w:gridCol w:w="878"/>
              <w:gridCol w:w="1803"/>
              <w:gridCol w:w="11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污染物</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评价指标</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现状浓度</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eastAsia="zh-CN"/>
                    </w:rPr>
                    <w:t>标准值</w:t>
                  </w:r>
                  <w:r>
                    <w:rPr>
                      <w:rFonts w:hint="eastAsia" w:ascii="Times New Roman" w:hAnsi="Times New Roman" w:eastAsia="宋体" w:cs="Times New Roman"/>
                      <w:spacing w:val="-2"/>
                      <w:sz w:val="21"/>
                      <w:szCs w:val="21"/>
                      <w:vertAlign w:val="baseline"/>
                      <w:lang w:val="en-US" w:eastAsia="zh-CN"/>
                    </w:rPr>
                    <w:t xml:space="preserve"> </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最大浓度占标率</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PM</w:t>
                  </w:r>
                  <w:r>
                    <w:rPr>
                      <w:rFonts w:hint="eastAsia" w:ascii="Times New Roman" w:hAnsi="Times New Roman" w:eastAsia="宋体" w:cs="Times New Roman"/>
                      <w:spacing w:val="-2"/>
                      <w:sz w:val="21"/>
                      <w:szCs w:val="21"/>
                      <w:vertAlign w:val="subscript"/>
                      <w:lang w:val="en-US" w:eastAsia="zh-CN"/>
                    </w:rPr>
                    <w:t>2.5</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ascii="Times New Roman" w:hAnsi="Times New Roman" w:eastAsia="Times New Roman" w:cs="Times New Roman"/>
                      <w:spacing w:val="-3"/>
                      <w:sz w:val="21"/>
                      <w:szCs w:val="21"/>
                    </w:rPr>
                    <w:t>24</w:t>
                  </w:r>
                  <w:r>
                    <w:rPr>
                      <w:rFonts w:ascii="宋体" w:hAnsi="宋体" w:eastAsia="宋体" w:cs="宋体"/>
                      <w:spacing w:val="-3"/>
                      <w:sz w:val="21"/>
                      <w:szCs w:val="21"/>
                    </w:rPr>
                    <w:t>小时平均浓度值</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35~99</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75</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132</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SO</w:t>
                  </w:r>
                  <w:r>
                    <w:rPr>
                      <w:rFonts w:hint="eastAsia" w:ascii="Times New Roman" w:hAnsi="Times New Roman" w:eastAsia="宋体" w:cs="Times New Roman"/>
                      <w:spacing w:val="-2"/>
                      <w:sz w:val="21"/>
                      <w:szCs w:val="21"/>
                      <w:vertAlign w:val="subscript"/>
                      <w:lang w:val="en-US" w:eastAsia="zh-CN"/>
                    </w:rPr>
                    <w:t>2</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ascii="Times New Roman" w:hAnsi="Times New Roman" w:eastAsia="Times New Roman" w:cs="Times New Roman"/>
                      <w:spacing w:val="-3"/>
                      <w:sz w:val="21"/>
                      <w:szCs w:val="21"/>
                    </w:rPr>
                    <w:t>24</w:t>
                  </w:r>
                  <w:r>
                    <w:rPr>
                      <w:rFonts w:ascii="宋体" w:hAnsi="宋体" w:eastAsia="宋体" w:cs="宋体"/>
                      <w:spacing w:val="-3"/>
                      <w:sz w:val="21"/>
                      <w:szCs w:val="21"/>
                    </w:rPr>
                    <w:t>小时平均浓度值</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4~26</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150</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17.3</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NO</w:t>
                  </w:r>
                  <w:r>
                    <w:rPr>
                      <w:rFonts w:hint="eastAsia" w:ascii="Times New Roman" w:hAnsi="Times New Roman" w:eastAsia="宋体" w:cs="Times New Roman"/>
                      <w:spacing w:val="-2"/>
                      <w:sz w:val="21"/>
                      <w:szCs w:val="21"/>
                      <w:vertAlign w:val="subscript"/>
                      <w:lang w:val="en-US" w:eastAsia="zh-CN"/>
                    </w:rPr>
                    <w:t>2</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ascii="Times New Roman" w:hAnsi="Times New Roman" w:eastAsia="Times New Roman" w:cs="Times New Roman"/>
                      <w:spacing w:val="-3"/>
                      <w:sz w:val="21"/>
                      <w:szCs w:val="21"/>
                    </w:rPr>
                    <w:t>24</w:t>
                  </w:r>
                  <w:r>
                    <w:rPr>
                      <w:rFonts w:ascii="宋体" w:hAnsi="宋体" w:eastAsia="宋体" w:cs="宋体"/>
                      <w:spacing w:val="-3"/>
                      <w:sz w:val="21"/>
                      <w:szCs w:val="21"/>
                    </w:rPr>
                    <w:t>小时平均浓度值</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24~116</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80</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148.8</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PM</w:t>
                  </w:r>
                  <w:r>
                    <w:rPr>
                      <w:rFonts w:hint="eastAsia" w:ascii="Times New Roman" w:hAnsi="Times New Roman" w:eastAsia="宋体" w:cs="Times New Roman"/>
                      <w:spacing w:val="-2"/>
                      <w:sz w:val="21"/>
                      <w:szCs w:val="21"/>
                      <w:vertAlign w:val="subscript"/>
                      <w:lang w:val="en-US" w:eastAsia="zh-CN"/>
                    </w:rPr>
                    <w:t>10</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ascii="Times New Roman" w:hAnsi="Times New Roman" w:eastAsia="Times New Roman" w:cs="Times New Roman"/>
                      <w:spacing w:val="-3"/>
                      <w:sz w:val="21"/>
                      <w:szCs w:val="21"/>
                    </w:rPr>
                    <w:t>24</w:t>
                  </w:r>
                  <w:r>
                    <w:rPr>
                      <w:rFonts w:ascii="宋体" w:hAnsi="宋体" w:eastAsia="宋体" w:cs="宋体"/>
                      <w:spacing w:val="-3"/>
                      <w:sz w:val="21"/>
                      <w:szCs w:val="21"/>
                    </w:rPr>
                    <w:t>小时平均浓度值</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67~221</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150</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147.3</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CO</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ascii="Times New Roman" w:hAnsi="Times New Roman" w:eastAsia="Times New Roman" w:cs="Times New Roman"/>
                      <w:spacing w:val="-3"/>
                      <w:sz w:val="21"/>
                      <w:szCs w:val="21"/>
                    </w:rPr>
                    <w:t>24</w:t>
                  </w:r>
                  <w:r>
                    <w:rPr>
                      <w:rFonts w:ascii="宋体" w:hAnsi="宋体" w:eastAsia="宋体" w:cs="宋体"/>
                      <w:spacing w:val="-3"/>
                      <w:sz w:val="21"/>
                      <w:szCs w:val="21"/>
                    </w:rPr>
                    <w:t>小时平均浓度值</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150~1150</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4000</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28.75</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64"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臭氧</w:t>
                  </w:r>
                </w:p>
              </w:tc>
              <w:tc>
                <w:tcPr>
                  <w:tcW w:w="188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ascii="宋体" w:hAnsi="宋体" w:eastAsia="宋体" w:cs="宋体"/>
                      <w:spacing w:val="-5"/>
                      <w:sz w:val="21"/>
                      <w:szCs w:val="21"/>
                    </w:rPr>
                    <w:t>最大</w:t>
                  </w:r>
                  <w:r>
                    <w:rPr>
                      <w:rFonts w:ascii="宋体" w:hAnsi="宋体" w:eastAsia="宋体" w:cs="宋体"/>
                      <w:spacing w:val="-31"/>
                      <w:sz w:val="21"/>
                      <w:szCs w:val="21"/>
                    </w:rPr>
                    <w:t xml:space="preserve"> </w:t>
                  </w:r>
                  <w:r>
                    <w:rPr>
                      <w:rFonts w:ascii="Times New Roman" w:hAnsi="Times New Roman" w:eastAsia="Times New Roman" w:cs="Times New Roman"/>
                      <w:spacing w:val="-5"/>
                      <w:sz w:val="21"/>
                      <w:szCs w:val="21"/>
                    </w:rPr>
                    <w:t>8</w:t>
                  </w:r>
                  <w:r>
                    <w:rPr>
                      <w:rFonts w:ascii="宋体" w:hAnsi="宋体" w:eastAsia="宋体" w:cs="宋体"/>
                      <w:spacing w:val="-5"/>
                      <w:sz w:val="21"/>
                      <w:szCs w:val="21"/>
                    </w:rPr>
                    <w:t>小时平均浓度值</w:t>
                  </w:r>
                </w:p>
              </w:tc>
              <w:tc>
                <w:tcPr>
                  <w:tcW w:w="1261"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53~233</w:t>
                  </w:r>
                </w:p>
              </w:tc>
              <w:tc>
                <w:tcPr>
                  <w:tcW w:w="87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160</w:t>
                  </w:r>
                </w:p>
              </w:tc>
              <w:tc>
                <w:tcPr>
                  <w:tcW w:w="180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eastAsia" w:ascii="Times New Roman" w:hAnsi="Times New Roman" w:eastAsia="宋体" w:cs="Times New Roman"/>
                      <w:spacing w:val="-2"/>
                      <w:sz w:val="21"/>
                      <w:szCs w:val="21"/>
                      <w:vertAlign w:val="baseline"/>
                      <w:lang w:val="en-US" w:eastAsia="zh-CN"/>
                    </w:rPr>
                    <w:t>145.6</w:t>
                  </w:r>
                </w:p>
              </w:tc>
              <w:tc>
                <w:tcPr>
                  <w:tcW w:w="113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eastAsia" w:ascii="Times New Roman" w:hAnsi="Times New Roman" w:eastAsia="宋体" w:cs="Times New Roman"/>
                      <w:spacing w:val="-2"/>
                      <w:sz w:val="21"/>
                      <w:szCs w:val="21"/>
                      <w:vertAlign w:val="baseline"/>
                      <w:lang w:eastAsia="zh-CN"/>
                    </w:rPr>
                    <w:t>超标</w:t>
                  </w:r>
                </w:p>
              </w:tc>
            </w:tr>
          </w:tbl>
          <w:p>
            <w:pPr>
              <w:keepNext w:val="0"/>
              <w:keepLines w:val="0"/>
              <w:pageBreakBefore w:val="0"/>
              <w:widowControl w:val="0"/>
              <w:kinsoku/>
              <w:wordWrap/>
              <w:overflowPunct/>
              <w:topLinePunct w:val="0"/>
              <w:autoSpaceDE/>
              <w:autoSpaceDN/>
              <w:bidi w:val="0"/>
              <w:adjustRightInd/>
              <w:snapToGrid/>
              <w:spacing w:line="420" w:lineRule="exact"/>
              <w:ind w:left="0" w:right="0" w:firstLine="481"/>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由上表可以看出，本项目评价范围内PM</w:t>
            </w:r>
            <w:r>
              <w:rPr>
                <w:rFonts w:hint="default" w:ascii="Times New Roman" w:hAnsi="Times New Roman" w:eastAsia="宋体" w:cs="Times New Roman"/>
                <w:sz w:val="24"/>
                <w:szCs w:val="24"/>
                <w:vertAlign w:val="subscript"/>
              </w:rPr>
              <w:t>2.5</w:t>
            </w:r>
            <w:r>
              <w:rPr>
                <w:rFonts w:hint="default" w:ascii="Times New Roman" w:hAnsi="Times New Roman" w:eastAsia="宋体" w:cs="Times New Roman"/>
                <w:sz w:val="24"/>
                <w:szCs w:val="24"/>
              </w:rPr>
              <w:t>、PM</w:t>
            </w:r>
            <w:r>
              <w:rPr>
                <w:rFonts w:hint="default" w:ascii="Times New Roman" w:hAnsi="Times New Roman" w:eastAsia="宋体" w:cs="Times New Roman"/>
                <w:sz w:val="24"/>
                <w:szCs w:val="24"/>
                <w:vertAlign w:val="subscript"/>
              </w:rPr>
              <w:t>10</w:t>
            </w:r>
            <w:r>
              <w:rPr>
                <w:rFonts w:hint="default" w:ascii="Times New Roman" w:hAnsi="Times New Roman" w:eastAsia="宋体" w:cs="Times New Roman"/>
                <w:sz w:val="24"/>
                <w:szCs w:val="24"/>
              </w:rPr>
              <w:t>、NO</w:t>
            </w:r>
            <w:r>
              <w:rPr>
                <w:rFonts w:hint="default" w:ascii="Times New Roman" w:hAnsi="Times New Roman" w:eastAsia="宋体" w:cs="Times New Roman"/>
                <w:sz w:val="24"/>
                <w:szCs w:val="24"/>
                <w:vertAlign w:val="subscript"/>
              </w:rPr>
              <w:t>2</w:t>
            </w:r>
            <w:r>
              <w:rPr>
                <w:rFonts w:hint="default" w:ascii="Times New Roman" w:hAnsi="Times New Roman" w:eastAsia="宋体" w:cs="Times New Roman"/>
                <w:sz w:val="24"/>
                <w:szCs w:val="24"/>
              </w:rPr>
              <w:t>、臭氧超标，SO</w:t>
            </w:r>
            <w:r>
              <w:rPr>
                <w:rFonts w:hint="default" w:ascii="Times New Roman" w:hAnsi="Times New Roman" w:eastAsia="宋体" w:cs="Times New Roman"/>
                <w:sz w:val="24"/>
                <w:szCs w:val="24"/>
                <w:vertAlign w:val="subscript"/>
              </w:rPr>
              <w:t>2</w:t>
            </w:r>
            <w:r>
              <w:rPr>
                <w:rFonts w:hint="default" w:ascii="Times New Roman" w:hAnsi="Times New Roman" w:eastAsia="宋体" w:cs="Times New Roman"/>
                <w:sz w:val="24"/>
                <w:szCs w:val="24"/>
              </w:rPr>
              <w:t>、CO达标。</w:t>
            </w:r>
          </w:p>
          <w:p>
            <w:pPr>
              <w:keepNext w:val="0"/>
              <w:keepLines w:val="0"/>
              <w:pageBreakBefore w:val="0"/>
              <w:widowControl/>
              <w:kinsoku/>
              <w:wordWrap/>
              <w:overflowPunct/>
              <w:topLinePunct w:val="0"/>
              <w:autoSpaceDE/>
              <w:autoSpaceDN/>
              <w:bidi w:val="0"/>
              <w:adjustRightInd/>
              <w:snapToGrid/>
              <w:spacing w:line="420" w:lineRule="exact"/>
              <w:ind w:firstLine="439" w:firstLineChars="182"/>
              <w:jc w:val="left"/>
              <w:textAlignment w:val="auto"/>
              <w:rPr>
                <w:rFonts w:hint="default" w:ascii="Times New Roman" w:hAnsi="Times New Roman" w:eastAsia="宋体" w:cs="Times New Roman"/>
                <w:b/>
                <w:kern w:val="0"/>
              </w:rPr>
            </w:pPr>
            <w:r>
              <w:rPr>
                <w:rFonts w:hint="default" w:ascii="Times New Roman" w:hAnsi="Times New Roman" w:eastAsia="宋体" w:cs="Times New Roman"/>
                <w:b/>
                <w:kern w:val="0"/>
              </w:rPr>
              <w:t>1.3 评价范围内其他污染物环境质量现状</w:t>
            </w:r>
          </w:p>
          <w:p>
            <w:pPr>
              <w:keepNext w:val="0"/>
              <w:keepLines w:val="0"/>
              <w:pageBreakBefore w:val="0"/>
              <w:widowControl w:val="0"/>
              <w:kinsoku/>
              <w:wordWrap/>
              <w:overflowPunct/>
              <w:topLinePunct w:val="0"/>
              <w:autoSpaceDE/>
              <w:autoSpaceDN/>
              <w:bidi w:val="0"/>
              <w:adjustRightInd/>
              <w:snapToGrid/>
              <w:spacing w:line="420" w:lineRule="exact"/>
              <w:ind w:left="0" w:right="0" w:firstLine="481"/>
              <w:textAlignment w:val="auto"/>
              <w:rPr>
                <w:rFonts w:hint="default" w:ascii="Times New Roman" w:hAnsi="Times New Roman" w:eastAsia="宋体" w:cs="Times New Roman"/>
                <w:spacing w:val="-2"/>
                <w:sz w:val="24"/>
                <w:szCs w:val="24"/>
              </w:rPr>
            </w:pPr>
            <w:r>
              <w:rPr>
                <w:rFonts w:hint="default" w:ascii="Times New Roman" w:hAnsi="Times New Roman" w:eastAsia="宋体" w:cs="Times New Roman"/>
                <w:sz w:val="24"/>
                <w:szCs w:val="24"/>
              </w:rPr>
              <w:t>本项目排放的其他污染物主要为硫酸雾，评价引用《河南长策环保科技</w:t>
            </w:r>
            <w:r>
              <w:rPr>
                <w:rFonts w:hint="default" w:ascii="Times New Roman" w:hAnsi="Times New Roman" w:eastAsia="宋体" w:cs="Times New Roman"/>
                <w:spacing w:val="30"/>
                <w:sz w:val="24"/>
                <w:szCs w:val="24"/>
              </w:rPr>
              <w:t xml:space="preserve"> </w:t>
            </w:r>
            <w:r>
              <w:rPr>
                <w:rFonts w:hint="default" w:ascii="Times New Roman" w:hAnsi="Times New Roman" w:eastAsia="宋体" w:cs="Times New Roman"/>
                <w:spacing w:val="-6"/>
                <w:sz w:val="24"/>
                <w:szCs w:val="24"/>
              </w:rPr>
              <w:t>有限公司废铅蓄电池收集项目环境影响报告表》于</w:t>
            </w:r>
            <w:r>
              <w:rPr>
                <w:rFonts w:hint="default" w:ascii="Times New Roman" w:hAnsi="Times New Roman" w:eastAsia="宋体" w:cs="Times New Roman"/>
                <w:spacing w:val="-46"/>
                <w:sz w:val="24"/>
                <w:szCs w:val="24"/>
              </w:rPr>
              <w:t xml:space="preserve"> </w:t>
            </w:r>
            <w:r>
              <w:rPr>
                <w:rFonts w:hint="default" w:ascii="Times New Roman" w:hAnsi="Times New Roman" w:eastAsia="Times New Roman" w:cs="Times New Roman"/>
                <w:spacing w:val="-6"/>
                <w:sz w:val="24"/>
                <w:szCs w:val="24"/>
              </w:rPr>
              <w:t>2021</w:t>
            </w:r>
            <w:r>
              <w:rPr>
                <w:rFonts w:hint="default" w:ascii="Times New Roman" w:hAnsi="Times New Roman" w:eastAsia="宋体" w:cs="Times New Roman"/>
                <w:spacing w:val="-6"/>
                <w:sz w:val="24"/>
                <w:szCs w:val="24"/>
              </w:rPr>
              <w:t>年</w:t>
            </w:r>
            <w:r>
              <w:rPr>
                <w:rFonts w:hint="default" w:ascii="Times New Roman" w:hAnsi="Times New Roman" w:eastAsia="宋体" w:cs="Times New Roman"/>
                <w:spacing w:val="-52"/>
                <w:sz w:val="24"/>
                <w:szCs w:val="24"/>
              </w:rPr>
              <w:t xml:space="preserve"> </w:t>
            </w:r>
            <w:r>
              <w:rPr>
                <w:rFonts w:hint="default" w:ascii="Times New Roman" w:hAnsi="Times New Roman" w:eastAsia="Times New Roman" w:cs="Times New Roman"/>
                <w:spacing w:val="-6"/>
                <w:sz w:val="24"/>
                <w:szCs w:val="24"/>
              </w:rPr>
              <w:t>7</w:t>
            </w:r>
            <w:r>
              <w:rPr>
                <w:rFonts w:hint="default" w:ascii="Times New Roman" w:hAnsi="Times New Roman" w:eastAsia="宋体" w:cs="Times New Roman"/>
                <w:spacing w:val="-6"/>
                <w:sz w:val="24"/>
                <w:szCs w:val="24"/>
              </w:rPr>
              <w:t>月</w:t>
            </w:r>
            <w:r>
              <w:rPr>
                <w:rFonts w:hint="default" w:ascii="Times New Roman" w:hAnsi="Times New Roman" w:eastAsia="宋体" w:cs="Times New Roman"/>
                <w:spacing w:val="-55"/>
                <w:sz w:val="24"/>
                <w:szCs w:val="24"/>
              </w:rPr>
              <w:t xml:space="preserve"> </w:t>
            </w:r>
            <w:r>
              <w:rPr>
                <w:rFonts w:hint="default" w:ascii="Times New Roman" w:hAnsi="Times New Roman" w:eastAsia="Times New Roman" w:cs="Times New Roman"/>
                <w:spacing w:val="-6"/>
                <w:sz w:val="24"/>
                <w:szCs w:val="24"/>
              </w:rPr>
              <w:t>26</w:t>
            </w:r>
            <w:r>
              <w:rPr>
                <w:rFonts w:hint="default" w:ascii="Times New Roman" w:hAnsi="Times New Roman" w:eastAsia="宋体" w:cs="Times New Roman"/>
                <w:spacing w:val="-6"/>
                <w:sz w:val="24"/>
                <w:szCs w:val="24"/>
                <w:lang w:eastAsia="zh-CN"/>
              </w:rPr>
              <w:t>日</w:t>
            </w:r>
            <w:r>
              <w:rPr>
                <w:rFonts w:hint="default" w:ascii="Times New Roman" w:hAnsi="Times New Roman" w:eastAsia="Times New Roman" w:cs="Times New Roman"/>
                <w:spacing w:val="-6"/>
                <w:sz w:val="24"/>
                <w:szCs w:val="24"/>
              </w:rPr>
              <w:t>~</w:t>
            </w:r>
            <w:r>
              <w:rPr>
                <w:rFonts w:hint="default" w:ascii="Times New Roman" w:hAnsi="Times New Roman" w:eastAsia="宋体" w:cs="Times New Roman"/>
                <w:spacing w:val="-55"/>
                <w:sz w:val="24"/>
                <w:szCs w:val="24"/>
              </w:rPr>
              <w:t xml:space="preserve"> </w:t>
            </w:r>
            <w:r>
              <w:rPr>
                <w:rFonts w:hint="default" w:ascii="Times New Roman" w:hAnsi="Times New Roman" w:eastAsia="Times New Roman" w:cs="Times New Roman"/>
                <w:spacing w:val="-6"/>
                <w:sz w:val="24"/>
                <w:szCs w:val="24"/>
              </w:rPr>
              <w:t>28</w:t>
            </w:r>
            <w:r>
              <w:rPr>
                <w:rFonts w:hint="default" w:ascii="Times New Roman" w:hAnsi="Times New Roman" w:eastAsia="宋体" w:cs="Times New Roman"/>
                <w:spacing w:val="-6"/>
                <w:sz w:val="24"/>
                <w:szCs w:val="24"/>
              </w:rPr>
              <w:t>日</w:t>
            </w:r>
            <w:r>
              <w:rPr>
                <w:rFonts w:hint="default" w:ascii="Times New Roman" w:hAnsi="Times New Roman" w:eastAsia="宋体" w:cs="Times New Roman"/>
                <w:spacing w:val="-2"/>
                <w:sz w:val="24"/>
                <w:szCs w:val="24"/>
              </w:rPr>
              <w:t>对厂区下风向小佃头村（距本项目</w:t>
            </w:r>
            <w:r>
              <w:rPr>
                <w:rFonts w:hint="default" w:ascii="Times New Roman" w:hAnsi="Times New Roman" w:eastAsia="宋体" w:cs="Times New Roman"/>
                <w:spacing w:val="-2"/>
                <w:sz w:val="24"/>
                <w:szCs w:val="24"/>
                <w:lang w:val="en-US" w:eastAsia="zh-CN"/>
              </w:rPr>
              <w:t>1240</w:t>
            </w:r>
            <w:r>
              <w:rPr>
                <w:rFonts w:hint="default" w:ascii="Times New Roman" w:hAnsi="Times New Roman" w:eastAsia="Times New Roman" w:cs="Times New Roman"/>
                <w:spacing w:val="-2"/>
                <w:sz w:val="24"/>
                <w:szCs w:val="24"/>
              </w:rPr>
              <w:t>m</w:t>
            </w:r>
            <w:r>
              <w:rPr>
                <w:rFonts w:hint="default" w:ascii="Times New Roman" w:hAnsi="Times New Roman" w:eastAsia="宋体" w:cs="Times New Roman"/>
                <w:spacing w:val="-2"/>
                <w:sz w:val="24"/>
                <w:szCs w:val="24"/>
              </w:rPr>
              <w:t>）环境空气中硫酸雾的监测数据，监测结果见下表：</w:t>
            </w:r>
          </w:p>
          <w:p>
            <w:pPr>
              <w:keepNext w:val="0"/>
              <w:keepLines w:val="0"/>
              <w:pageBreakBefore w:val="0"/>
              <w:widowControl w:val="0"/>
              <w:kinsoku/>
              <w:wordWrap/>
              <w:overflowPunct/>
              <w:topLinePunct w:val="0"/>
              <w:autoSpaceDE/>
              <w:autoSpaceDN/>
              <w:bidi w:val="0"/>
              <w:adjustRightInd/>
              <w:snapToGrid/>
              <w:spacing w:line="240" w:lineRule="auto"/>
              <w:ind w:left="0" w:leftChars="0" w:right="0" w:firstLine="0" w:firstLineChars="0"/>
              <w:jc w:val="center"/>
              <w:textAlignment w:val="auto"/>
              <w:rPr>
                <w:rFonts w:hint="default" w:ascii="Times New Roman" w:hAnsi="Times New Roman" w:eastAsia="黑体" w:cs="Times New Roman"/>
                <w:spacing w:val="-2"/>
                <w:sz w:val="24"/>
                <w:szCs w:val="24"/>
                <w:lang w:eastAsia="zh-CN"/>
              </w:rPr>
            </w:pPr>
            <w:r>
              <w:rPr>
                <w:rFonts w:hint="default" w:ascii="Times New Roman" w:hAnsi="Times New Roman" w:eastAsia="黑体" w:cs="Times New Roman"/>
                <w:spacing w:val="-2"/>
                <w:sz w:val="24"/>
                <w:szCs w:val="24"/>
                <w:lang w:eastAsia="zh-CN"/>
              </w:rPr>
              <w:t>小佃头村环境空气监测结果统计表</w:t>
            </w:r>
          </w:p>
          <w:tbl>
            <w:tblPr>
              <w:tblStyle w:val="16"/>
              <w:tblW w:w="80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1025"/>
              <w:gridCol w:w="759"/>
              <w:gridCol w:w="1176"/>
              <w:gridCol w:w="1017"/>
              <w:gridCol w:w="1052"/>
              <w:gridCol w:w="21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9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监测</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点位</w:t>
                  </w:r>
                </w:p>
              </w:tc>
              <w:tc>
                <w:tcPr>
                  <w:tcW w:w="102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监测</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时间</w:t>
                  </w:r>
                </w:p>
              </w:tc>
              <w:tc>
                <w:tcPr>
                  <w:tcW w:w="75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监测项目</w:t>
                  </w:r>
                </w:p>
              </w:tc>
              <w:tc>
                <w:tcPr>
                  <w:tcW w:w="117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浓度范围</w:t>
                  </w:r>
                  <w:r>
                    <w:rPr>
                      <w:rFonts w:hint="default" w:ascii="Times New Roman" w:hAnsi="Times New Roman" w:eastAsia="宋体" w:cs="Times New Roman"/>
                      <w:spacing w:val="-11"/>
                      <w:sz w:val="21"/>
                      <w:szCs w:val="21"/>
                    </w:rPr>
                    <w:t>μ</w:t>
                  </w:r>
                  <w:r>
                    <w:rPr>
                      <w:rFonts w:hint="default" w:ascii="Times New Roman" w:hAnsi="Times New Roman" w:eastAsia="Times New Roman" w:cs="Times New Roman"/>
                      <w:spacing w:val="-2"/>
                      <w:sz w:val="21"/>
                      <w:szCs w:val="21"/>
                    </w:rPr>
                    <w:t>g/m</w:t>
                  </w:r>
                  <w:r>
                    <w:rPr>
                      <w:rFonts w:hint="default" w:ascii="Times New Roman" w:hAnsi="Times New Roman" w:eastAsia="Times New Roman" w:cs="Times New Roman"/>
                      <w:spacing w:val="-2"/>
                      <w:position w:val="6"/>
                      <w:sz w:val="14"/>
                      <w:szCs w:val="14"/>
                    </w:rPr>
                    <w:t>3</w:t>
                  </w:r>
                </w:p>
              </w:tc>
              <w:tc>
                <w:tcPr>
                  <w:tcW w:w="10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default" w:ascii="Times New Roman" w:hAnsi="Times New Roman" w:eastAsia="宋体" w:cs="Times New Roman"/>
                      <w:spacing w:val="-2"/>
                      <w:sz w:val="21"/>
                      <w:szCs w:val="21"/>
                      <w:vertAlign w:val="baseline"/>
                      <w:lang w:eastAsia="zh-CN"/>
                    </w:rPr>
                    <w:t>最大浓度占标率</w:t>
                  </w:r>
                  <w:r>
                    <w:rPr>
                      <w:rFonts w:hint="default" w:ascii="Times New Roman" w:hAnsi="Times New Roman" w:eastAsia="宋体" w:cs="Times New Roman"/>
                      <w:spacing w:val="-2"/>
                      <w:sz w:val="21"/>
                      <w:szCs w:val="21"/>
                      <w:vertAlign w:val="baseline"/>
                      <w:lang w:val="en-US" w:eastAsia="zh-CN"/>
                    </w:rPr>
                    <w:t>%</w:t>
                  </w:r>
                </w:p>
              </w:tc>
              <w:tc>
                <w:tcPr>
                  <w:tcW w:w="105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标准限值</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cs="Times New Roman"/>
                      <w:lang w:eastAsia="zh-CN"/>
                    </w:rPr>
                  </w:pPr>
                  <w:r>
                    <w:rPr>
                      <w:rFonts w:hint="default" w:ascii="Times New Roman" w:hAnsi="Times New Roman" w:eastAsia="宋体" w:cs="Times New Roman"/>
                      <w:spacing w:val="-2"/>
                      <w:sz w:val="21"/>
                      <w:szCs w:val="21"/>
                      <w:vertAlign w:val="baseline"/>
                      <w:lang w:eastAsia="zh-CN"/>
                    </w:rPr>
                    <w:t>μg/m</w:t>
                  </w:r>
                  <w:r>
                    <w:rPr>
                      <w:rFonts w:hint="default" w:ascii="Times New Roman" w:hAnsi="Times New Roman" w:eastAsia="宋体" w:cs="Times New Roman"/>
                      <w:spacing w:val="-2"/>
                      <w:sz w:val="21"/>
                      <w:szCs w:val="21"/>
                      <w:vertAlign w:val="superscript"/>
                      <w:lang w:eastAsia="zh-CN"/>
                    </w:rPr>
                    <w:t>3</w:t>
                  </w:r>
                </w:p>
              </w:tc>
              <w:tc>
                <w:tcPr>
                  <w:tcW w:w="215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评价标准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9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小佃</w:t>
                  </w:r>
                </w:p>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头村</w:t>
                  </w:r>
                </w:p>
              </w:tc>
              <w:tc>
                <w:tcPr>
                  <w:tcW w:w="102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default" w:ascii="Times New Roman" w:hAnsi="Times New Roman" w:eastAsia="宋体" w:cs="Times New Roman"/>
                      <w:spacing w:val="-2"/>
                      <w:sz w:val="21"/>
                      <w:szCs w:val="21"/>
                      <w:vertAlign w:val="baseline"/>
                      <w:lang w:val="en-US" w:eastAsia="zh-CN"/>
                    </w:rPr>
                    <w:t>2021.7.26~7.28</w:t>
                  </w:r>
                </w:p>
              </w:tc>
              <w:tc>
                <w:tcPr>
                  <w:tcW w:w="759"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vertAlign w:val="baseline"/>
                      <w:lang w:eastAsia="zh-CN"/>
                    </w:rPr>
                    <w:t>硫酸雾</w:t>
                  </w:r>
                </w:p>
              </w:tc>
              <w:tc>
                <w:tcPr>
                  <w:tcW w:w="1176"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default" w:ascii="Times New Roman" w:hAnsi="Times New Roman" w:eastAsia="宋体" w:cs="Times New Roman"/>
                      <w:spacing w:val="-2"/>
                      <w:sz w:val="21"/>
                      <w:szCs w:val="21"/>
                      <w:vertAlign w:val="baseline"/>
                      <w:lang w:val="en-US" w:eastAsia="zh-CN"/>
                    </w:rPr>
                    <w:t>0~0.011</w:t>
                  </w:r>
                </w:p>
              </w:tc>
              <w:tc>
                <w:tcPr>
                  <w:tcW w:w="1017"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default" w:ascii="Times New Roman" w:hAnsi="Times New Roman" w:eastAsia="宋体" w:cs="Times New Roman"/>
                      <w:spacing w:val="-2"/>
                      <w:sz w:val="21"/>
                      <w:szCs w:val="21"/>
                      <w:vertAlign w:val="baseline"/>
                      <w:lang w:val="en-US" w:eastAsia="zh-CN"/>
                    </w:rPr>
                    <w:t>11</w:t>
                  </w:r>
                </w:p>
              </w:tc>
              <w:tc>
                <w:tcPr>
                  <w:tcW w:w="1052"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firstLine="0" w:firstLineChars="0"/>
                    <w:jc w:val="center"/>
                    <w:textAlignment w:val="auto"/>
                    <w:rPr>
                      <w:rFonts w:hint="default" w:ascii="Times New Roman" w:hAnsi="Times New Roman" w:eastAsia="宋体" w:cs="Times New Roman"/>
                      <w:spacing w:val="-2"/>
                      <w:sz w:val="21"/>
                      <w:szCs w:val="21"/>
                      <w:vertAlign w:val="baseline"/>
                      <w:lang w:val="en-US" w:eastAsia="zh-CN"/>
                    </w:rPr>
                  </w:pPr>
                  <w:r>
                    <w:rPr>
                      <w:rFonts w:hint="default" w:ascii="Times New Roman" w:hAnsi="Times New Roman" w:eastAsia="宋体" w:cs="Times New Roman"/>
                      <w:spacing w:val="-2"/>
                      <w:sz w:val="21"/>
                      <w:szCs w:val="21"/>
                      <w:vertAlign w:val="baseline"/>
                      <w:lang w:val="en-US" w:eastAsia="zh-CN"/>
                    </w:rPr>
                    <w:t>0.1</w:t>
                  </w:r>
                </w:p>
              </w:tc>
              <w:tc>
                <w:tcPr>
                  <w:tcW w:w="2153" w:type="dxa"/>
                  <w:vAlign w:val="center"/>
                </w:tcPr>
                <w:p>
                  <w:pPr>
                    <w:keepNext w:val="0"/>
                    <w:keepLines w:val="0"/>
                    <w:pageBreakBefore w:val="0"/>
                    <w:widowControl w:val="0"/>
                    <w:kinsoku/>
                    <w:wordWrap/>
                    <w:overflowPunct/>
                    <w:topLinePunct w:val="0"/>
                    <w:autoSpaceDE/>
                    <w:autoSpaceDN/>
                    <w:bidi w:val="0"/>
                    <w:adjustRightInd/>
                    <w:snapToGrid/>
                    <w:spacing w:line="239" w:lineRule="auto"/>
                    <w:ind w:left="0" w:leftChars="0" w:right="0" w:firstLine="0" w:firstLineChars="0"/>
                    <w:textAlignment w:val="auto"/>
                    <w:rPr>
                      <w:rFonts w:hint="default" w:ascii="Times New Roman" w:hAnsi="Times New Roman" w:eastAsia="宋体" w:cs="Times New Roman"/>
                      <w:spacing w:val="-2"/>
                      <w:sz w:val="21"/>
                      <w:szCs w:val="21"/>
                      <w:vertAlign w:val="baseline"/>
                      <w:lang w:eastAsia="zh-CN"/>
                    </w:rPr>
                  </w:pPr>
                  <w:r>
                    <w:rPr>
                      <w:rFonts w:hint="default" w:ascii="Times New Roman" w:hAnsi="Times New Roman" w:eastAsia="宋体" w:cs="Times New Roman"/>
                      <w:spacing w:val="-2"/>
                      <w:sz w:val="21"/>
                      <w:szCs w:val="21"/>
                    </w:rPr>
                    <w:t>《环境影响评价技</w:t>
                  </w:r>
                  <w:r>
                    <w:rPr>
                      <w:rFonts w:hint="default" w:ascii="Times New Roman" w:hAnsi="Times New Roman" w:eastAsia="宋体" w:cs="Times New Roman"/>
                      <w:sz w:val="21"/>
                      <w:szCs w:val="21"/>
                    </w:rPr>
                    <w:t xml:space="preserve">术导则大气环境》 </w:t>
                  </w:r>
                  <w:r>
                    <w:rPr>
                      <w:rFonts w:hint="default" w:ascii="Times New Roman" w:hAnsi="Times New Roman" w:eastAsia="宋体" w:cs="Times New Roman"/>
                      <w:spacing w:val="-2"/>
                      <w:sz w:val="21"/>
                      <w:szCs w:val="21"/>
                    </w:rPr>
                    <w:t>（</w:t>
                  </w:r>
                  <w:r>
                    <w:rPr>
                      <w:rFonts w:hint="default" w:ascii="Times New Roman" w:hAnsi="Times New Roman" w:eastAsia="Times New Roman" w:cs="Times New Roman"/>
                      <w:spacing w:val="-2"/>
                      <w:sz w:val="21"/>
                      <w:szCs w:val="21"/>
                    </w:rPr>
                    <w:t>HJ2.2-2018</w:t>
                  </w:r>
                  <w:r>
                    <w:rPr>
                      <w:rFonts w:hint="default" w:ascii="Times New Roman" w:hAnsi="Times New Roman" w:eastAsia="宋体" w:cs="Times New Roman"/>
                      <w:spacing w:val="-2"/>
                      <w:sz w:val="21"/>
                      <w:szCs w:val="21"/>
                    </w:rPr>
                    <w:t>）附录</w:t>
                  </w:r>
                  <w:r>
                    <w:rPr>
                      <w:rFonts w:hint="default" w:ascii="Times New Roman" w:hAnsi="Times New Roman" w:eastAsia="Times New Roman" w:cs="Times New Roman"/>
                      <w:sz w:val="21"/>
                      <w:szCs w:val="21"/>
                    </w:rPr>
                    <w:t>D</w:t>
                  </w:r>
                </w:p>
              </w:tc>
            </w:tr>
          </w:tbl>
          <w:p>
            <w:pPr>
              <w:keepNext w:val="0"/>
              <w:keepLines w:val="0"/>
              <w:pageBreakBefore w:val="0"/>
              <w:widowControl w:val="0"/>
              <w:kinsoku/>
              <w:wordWrap/>
              <w:overflowPunct/>
              <w:topLinePunct w:val="0"/>
              <w:autoSpaceDE/>
              <w:autoSpaceDN/>
              <w:bidi w:val="0"/>
              <w:adjustRightInd/>
              <w:snapToGrid/>
              <w:spacing w:line="420" w:lineRule="exact"/>
              <w:ind w:left="0" w:right="0" w:firstLine="481"/>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由上表可以看出，下风向村庄小佃头村环境空气中硫酸雾小时值能够满足《环境影响评价技术导则</w:t>
            </w:r>
            <w:r>
              <w:rPr>
                <w:rFonts w:hint="default" w:ascii="Times New Roman" w:hAnsi="Times New Roman" w:eastAsia="宋体" w:cs="Times New Roman"/>
                <w:sz w:val="24"/>
                <w:szCs w:val="24"/>
                <w:lang w:val="en-US" w:eastAsia="zh-CN"/>
              </w:rPr>
              <w:t xml:space="preserve"> </w:t>
            </w:r>
            <w:r>
              <w:rPr>
                <w:rFonts w:hint="default" w:ascii="Times New Roman" w:hAnsi="Times New Roman" w:eastAsia="宋体" w:cs="Times New Roman"/>
                <w:sz w:val="24"/>
                <w:szCs w:val="24"/>
              </w:rPr>
              <w:t>大气环境》</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HJ2.2-2018</w:t>
            </w:r>
            <w:r>
              <w:rPr>
                <w:rFonts w:hint="default" w:ascii="Times New Roman" w:hAnsi="Times New Roman" w:eastAsia="宋体" w:cs="Times New Roman"/>
                <w:sz w:val="24"/>
                <w:szCs w:val="24"/>
                <w:lang w:eastAsia="zh-CN"/>
              </w:rPr>
              <w:t>）</w:t>
            </w:r>
            <w:r>
              <w:rPr>
                <w:rFonts w:hint="default" w:ascii="Times New Roman" w:hAnsi="Times New Roman" w:eastAsia="宋体" w:cs="Times New Roman"/>
                <w:sz w:val="24"/>
                <w:szCs w:val="24"/>
              </w:rPr>
              <w:t>附录D中硫酸雾 浓度≤0.1mg/m</w:t>
            </w:r>
            <w:r>
              <w:rPr>
                <w:rFonts w:hint="default" w:ascii="Times New Roman" w:hAnsi="Times New Roman" w:eastAsia="宋体" w:cs="Times New Roman"/>
                <w:sz w:val="24"/>
                <w:szCs w:val="24"/>
                <w:vertAlign w:val="superscript"/>
              </w:rPr>
              <w:t>3</w:t>
            </w:r>
            <w:r>
              <w:rPr>
                <w:rFonts w:hint="default" w:ascii="Times New Roman" w:hAnsi="Times New Roman" w:eastAsia="宋体" w:cs="Times New Roman"/>
                <w:sz w:val="24"/>
                <w:szCs w:val="24"/>
              </w:rPr>
              <w:t>的要求。</w:t>
            </w:r>
          </w:p>
          <w:p>
            <w:pPr>
              <w:keepNext w:val="0"/>
              <w:keepLines w:val="0"/>
              <w:pageBreakBefore w:val="0"/>
              <w:widowControl w:val="0"/>
              <w:kinsoku/>
              <w:wordWrap/>
              <w:overflowPunct/>
              <w:topLinePunct w:val="0"/>
              <w:autoSpaceDE/>
              <w:autoSpaceDN/>
              <w:bidi w:val="0"/>
              <w:adjustRightInd/>
              <w:snapToGrid/>
              <w:spacing w:line="480" w:lineRule="exact"/>
              <w:ind w:firstLine="482"/>
              <w:textAlignment w:val="auto"/>
              <w:rPr>
                <w:rFonts w:hint="default" w:ascii="Times New Roman" w:hAnsi="Times New Roman" w:cs="Times New Roman"/>
                <w:b/>
              </w:rPr>
            </w:pPr>
            <w:r>
              <w:rPr>
                <w:rFonts w:hint="default" w:ascii="Times New Roman" w:hAnsi="Times New Roman" w:cs="Times New Roman"/>
                <w:b/>
              </w:rPr>
              <w:t>2、地表水环境质量现状</w:t>
            </w:r>
          </w:p>
          <w:p>
            <w:pPr>
              <w:keepNext w:val="0"/>
              <w:keepLines w:val="0"/>
              <w:pageBreakBefore w:val="0"/>
              <w:widowControl w:val="0"/>
              <w:kinsoku/>
              <w:wordWrap/>
              <w:overflowPunct/>
              <w:topLinePunct w:val="0"/>
              <w:autoSpaceDE/>
              <w:autoSpaceDN/>
              <w:bidi w:val="0"/>
              <w:adjustRightInd/>
              <w:snapToGrid/>
              <w:spacing w:line="480" w:lineRule="exact"/>
              <w:ind w:firstLine="480"/>
              <w:textAlignment w:val="auto"/>
              <w:rPr>
                <w:rFonts w:hint="default" w:ascii="Times New Roman" w:hAnsi="Times New Roman" w:cs="Times New Roman"/>
              </w:rPr>
            </w:pPr>
            <w:r>
              <w:rPr>
                <w:rFonts w:hint="default" w:ascii="Times New Roman" w:hAnsi="Times New Roman" w:cs="Times New Roman"/>
                <w:lang w:eastAsia="zh-CN"/>
              </w:rPr>
              <w:t>本</w:t>
            </w:r>
            <w:r>
              <w:rPr>
                <w:rFonts w:hint="default" w:ascii="Times New Roman" w:hAnsi="Times New Roman" w:cs="Times New Roman"/>
              </w:rPr>
              <w:t>项目</w:t>
            </w:r>
            <w:r>
              <w:rPr>
                <w:rFonts w:hint="default" w:ascii="Times New Roman" w:hAnsi="Times New Roman" w:cs="Times New Roman"/>
                <w:lang w:eastAsia="zh-CN"/>
              </w:rPr>
              <w:t>所在区域为蟒河流域，项目无生产废水产生且不新增生活污水</w:t>
            </w:r>
            <w:r>
              <w:rPr>
                <w:rFonts w:hint="default" w:ascii="Times New Roman" w:hAnsi="Times New Roman" w:cs="Times New Roman"/>
              </w:rPr>
              <w:t>。本次评价引用</w:t>
            </w:r>
            <w:r>
              <w:rPr>
                <w:rFonts w:hint="default" w:ascii="Times New Roman" w:hAnsi="Times New Roman" w:cs="Times New Roman"/>
                <w:lang w:eastAsia="zh-CN"/>
              </w:rPr>
              <w:t>河南省济源生态环境监测中心</w:t>
            </w:r>
            <w:r>
              <w:rPr>
                <w:rFonts w:hint="default" w:ascii="Times New Roman" w:hAnsi="Times New Roman" w:cs="Times New Roman"/>
              </w:rPr>
              <w:t>公布的济源市蟒河南官庄断面</w:t>
            </w:r>
            <w:r>
              <w:rPr>
                <w:rFonts w:hint="default" w:ascii="Times New Roman" w:hAnsi="Times New Roman" w:cs="Times New Roman"/>
                <w:lang w:val="en-US" w:eastAsia="zh-CN"/>
              </w:rPr>
              <w:t>2020</w:t>
            </w:r>
            <w:r>
              <w:rPr>
                <w:rFonts w:hint="default" w:ascii="Times New Roman" w:hAnsi="Times New Roman" w:cs="Times New Roman"/>
              </w:rPr>
              <w:t>年全年监测数据，监测结果见下表。</w:t>
            </w:r>
          </w:p>
          <w:p>
            <w:pPr>
              <w:spacing w:line="240" w:lineRule="auto"/>
              <w:ind w:left="0" w:leftChars="0" w:firstLine="0" w:firstLineChars="0"/>
              <w:jc w:val="center"/>
              <w:rPr>
                <w:rFonts w:hint="default" w:ascii="Times New Roman" w:hAnsi="Times New Roman" w:eastAsia="黑体" w:cs="Times New Roman"/>
                <w:sz w:val="24"/>
                <w:szCs w:val="24"/>
              </w:rPr>
            </w:pPr>
          </w:p>
          <w:p>
            <w:pPr>
              <w:spacing w:line="240" w:lineRule="auto"/>
              <w:ind w:left="0" w:leftChars="0" w:firstLine="0" w:firstLineChars="0"/>
              <w:jc w:val="center"/>
              <w:rPr>
                <w:rFonts w:hint="default" w:ascii="Times New Roman" w:hAnsi="Times New Roman" w:eastAsia="黑体" w:cs="Times New Roman"/>
                <w:sz w:val="24"/>
                <w:szCs w:val="24"/>
              </w:rPr>
            </w:pPr>
            <w:r>
              <w:rPr>
                <w:rFonts w:hint="default" w:ascii="Times New Roman" w:hAnsi="Times New Roman" w:eastAsia="黑体" w:cs="Times New Roman"/>
                <w:sz w:val="24"/>
                <w:szCs w:val="24"/>
              </w:rPr>
              <w:t>蟒河南官庄出境断面监测结果一览表   单位：mg/L</w:t>
            </w:r>
          </w:p>
          <w:tbl>
            <w:tblPr>
              <w:tblStyle w:val="15"/>
              <w:tblW w:w="805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453"/>
              <w:gridCol w:w="1653"/>
              <w:gridCol w:w="2092"/>
              <w:gridCol w:w="186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683" w:hRule="exact"/>
                <w:jc w:val="center"/>
              </w:trPr>
              <w:tc>
                <w:tcPr>
                  <w:tcW w:w="2453" w:type="dxa"/>
                  <w:noWrap w:val="0"/>
                  <w:vAlign w:val="center"/>
                </w:tcPr>
                <w:p>
                  <w:pPr>
                    <w:spacing w:line="240" w:lineRule="auto"/>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mc:AlternateContent>
                      <mc:Choice Requires="wps">
                        <w:drawing>
                          <wp:anchor distT="0" distB="0" distL="114300" distR="114300" simplePos="0" relativeHeight="251659264" behindDoc="0" locked="0" layoutInCell="1" allowOverlap="1">
                            <wp:simplePos x="0" y="0"/>
                            <wp:positionH relativeFrom="column">
                              <wp:posOffset>-73025</wp:posOffset>
                            </wp:positionH>
                            <wp:positionV relativeFrom="paragraph">
                              <wp:posOffset>-6350</wp:posOffset>
                            </wp:positionV>
                            <wp:extent cx="1552575" cy="421640"/>
                            <wp:effectExtent l="1270" t="4445" r="8255" b="12065"/>
                            <wp:wrapNone/>
                            <wp:docPr id="1" name="直接箭头连接符 1"/>
                            <wp:cNvGraphicFramePr/>
                            <a:graphic xmlns:a="http://schemas.openxmlformats.org/drawingml/2006/main">
                              <a:graphicData uri="http://schemas.microsoft.com/office/word/2010/wordprocessingShape">
                                <wps:wsp>
                                  <wps:cNvCnPr/>
                                  <wps:spPr>
                                    <a:xfrm>
                                      <a:off x="0" y="0"/>
                                      <a:ext cx="1552575" cy="42164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75pt;margin-top:-0.5pt;height:33.2pt;width:122.25pt;z-index:251659264;mso-width-relative:page;mso-height-relative:page;" filled="f" stroked="t" coordsize="21600,21600" o:gfxdata="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DTMSkL1wAAAAkBAAAPAAAAAAAAAAEAIAAAACIAAABkcnMvZG93&#10;bnJldi54bWxQSwECFAAUAAAACACHTuJAetly/gECAADxAwAADgAAAAAAAAABACAAAAAmAQAAZHJz&#10;L2Uyb0RvYy54bWxQSwUGAAAAAAYABgBZAQAAmQUAAAAA&#10;">
                            <v:fill on="f" focussize="0,0"/>
                            <v:stroke color="#000000" joinstyle="round"/>
                            <v:imagedata o:title=""/>
                            <o:lock v:ext="edit" aspectratio="f"/>
                          </v:shape>
                        </w:pict>
                      </mc:Fallback>
                    </mc:AlternateContent>
                  </w:r>
                  <w:r>
                    <w:rPr>
                      <w:rFonts w:hint="default" w:ascii="Times New Roman" w:hAnsi="Times New Roman" w:cs="Times New Roman"/>
                      <w:sz w:val="21"/>
                      <w:szCs w:val="21"/>
                    </w:rPr>
                    <w:t>指标</w:t>
                  </w:r>
                </w:p>
                <w:p>
                  <w:pPr>
                    <w:spacing w:line="240" w:lineRule="auto"/>
                    <w:ind w:firstLine="0" w:firstLineChars="0"/>
                    <w:jc w:val="both"/>
                    <w:rPr>
                      <w:rFonts w:hint="default" w:ascii="Times New Roman" w:hAnsi="Times New Roman" w:cs="Times New Roman"/>
                      <w:sz w:val="21"/>
                      <w:szCs w:val="21"/>
                    </w:rPr>
                  </w:pPr>
                  <w:r>
                    <w:rPr>
                      <w:rFonts w:hint="default" w:ascii="Times New Roman" w:hAnsi="Times New Roman" w:cs="Times New Roman"/>
                      <w:sz w:val="21"/>
                      <w:szCs w:val="21"/>
                    </w:rPr>
                    <w:t>时间（月）</w:t>
                  </w: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p>
                <w:p>
                  <w:pPr>
                    <w:spacing w:line="240" w:lineRule="auto"/>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监测时间</w:t>
                  </w:r>
                </w:p>
              </w:tc>
              <w:tc>
                <w:tcPr>
                  <w:tcW w:w="1653" w:type="dxa"/>
                  <w:noWrap w:val="0"/>
                  <w:vAlign w:val="center"/>
                </w:tcPr>
                <w:p>
                  <w:pPr>
                    <w:spacing w:line="240" w:lineRule="auto"/>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COD（mg/L）</w:t>
                  </w:r>
                </w:p>
              </w:tc>
              <w:tc>
                <w:tcPr>
                  <w:tcW w:w="2092" w:type="dxa"/>
                  <w:noWrap w:val="0"/>
                  <w:vAlign w:val="center"/>
                </w:tcPr>
                <w:p>
                  <w:pPr>
                    <w:spacing w:line="240" w:lineRule="auto"/>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NH</w:t>
                  </w:r>
                  <w:r>
                    <w:rPr>
                      <w:rFonts w:hint="default" w:ascii="Times New Roman" w:hAnsi="Times New Roman" w:cs="Times New Roman"/>
                      <w:sz w:val="21"/>
                      <w:szCs w:val="21"/>
                      <w:vertAlign w:val="subscript"/>
                    </w:rPr>
                    <w:t>3</w:t>
                  </w:r>
                  <w:r>
                    <w:rPr>
                      <w:rFonts w:hint="default" w:ascii="Times New Roman" w:hAnsi="Times New Roman" w:cs="Times New Roman"/>
                      <w:sz w:val="21"/>
                      <w:szCs w:val="21"/>
                    </w:rPr>
                    <w:t>-N（mg/L）</w:t>
                  </w:r>
                </w:p>
              </w:tc>
              <w:tc>
                <w:tcPr>
                  <w:tcW w:w="1860" w:type="dxa"/>
                  <w:noWrap w:val="0"/>
                  <w:vAlign w:val="center"/>
                </w:tcPr>
                <w:p>
                  <w:pPr>
                    <w:spacing w:line="240" w:lineRule="auto"/>
                    <w:ind w:firstLine="0" w:firstLineChars="0"/>
                    <w:jc w:val="center"/>
                    <w:rPr>
                      <w:rFonts w:hint="default" w:ascii="Times New Roman" w:hAnsi="Times New Roman" w:cs="Times New Roman"/>
                      <w:sz w:val="21"/>
                      <w:szCs w:val="21"/>
                    </w:rPr>
                  </w:pPr>
                  <w:r>
                    <w:rPr>
                      <w:rFonts w:hint="default" w:ascii="Times New Roman" w:hAnsi="Times New Roman" w:cs="Times New Roman"/>
                      <w:sz w:val="21"/>
                      <w:szCs w:val="21"/>
                    </w:rPr>
                    <w:t>总磷（mg/L）</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年1月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12.0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0.29</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0.21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年2月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15.9</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0.69</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0.195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年3月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13.0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0.54</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0.27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年4月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16.0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1.13</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0.19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年5月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16.0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0.30</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0.18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年6月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22.0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0.15</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0.72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年7月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22.0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0.16</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highlight w:val="none"/>
                      <w:lang w:val="en-US" w:eastAsia="zh-CN"/>
                    </w:rPr>
                  </w:pPr>
                  <w:r>
                    <w:rPr>
                      <w:rFonts w:hint="default" w:ascii="Times New Roman" w:hAnsi="Times New Roman" w:cs="Times New Roman"/>
                      <w:sz w:val="21"/>
                      <w:szCs w:val="21"/>
                      <w:highlight w:val="none"/>
                      <w:lang w:val="en-US" w:eastAsia="zh-CN"/>
                    </w:rPr>
                    <w:t>0.22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年8月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16.0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0.22</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0.18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年9月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25.0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0.53</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0.20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年10月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28.0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0.23</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0.18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年11月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17.0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0.12</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0.13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2020</w:t>
                  </w:r>
                  <w:r>
                    <w:rPr>
                      <w:rFonts w:hint="default" w:ascii="Times New Roman" w:hAnsi="Times New Roman" w:cs="Times New Roman"/>
                      <w:sz w:val="21"/>
                      <w:szCs w:val="21"/>
                    </w:rPr>
                    <w:t>年</w:t>
                  </w:r>
                  <w:r>
                    <w:rPr>
                      <w:rFonts w:hint="default" w:ascii="Times New Roman" w:hAnsi="Times New Roman" w:cs="Times New Roman"/>
                      <w:sz w:val="21"/>
                      <w:szCs w:val="21"/>
                      <w:lang w:val="en-US" w:eastAsia="zh-CN"/>
                    </w:rPr>
                    <w:t>12</w:t>
                  </w:r>
                  <w:r>
                    <w:rPr>
                      <w:rFonts w:hint="default" w:ascii="Times New Roman" w:hAnsi="Times New Roman" w:cs="Times New Roman"/>
                      <w:sz w:val="21"/>
                      <w:szCs w:val="21"/>
                    </w:rPr>
                    <w:t>月</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18.0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0.26</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0.15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《地表水环境质量标准》（GB3838-2002）Ш类</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420"/>
                    <w:textAlignment w:val="auto"/>
                    <w:rPr>
                      <w:rFonts w:hint="default" w:ascii="Times New Roman" w:hAnsi="Times New Roman" w:cs="Times New Roman"/>
                      <w:sz w:val="21"/>
                      <w:szCs w:val="21"/>
                    </w:rPr>
                  </w:pPr>
                  <w:r>
                    <w:rPr>
                      <w:rFonts w:hint="default" w:ascii="Times New Roman" w:hAnsi="Times New Roman" w:cs="Times New Roman"/>
                      <w:sz w:val="21"/>
                      <w:szCs w:val="21"/>
                    </w:rPr>
                    <w:t>≦20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199" w:firstLineChars="95"/>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≦1.0</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199" w:firstLineChars="95"/>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≦0.2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责任目标值</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≦40</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≦2.0</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≦0.4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超标率（%）</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33.3</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8.3</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33.3</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sz w:val="21"/>
                      <w:szCs w:val="21"/>
                    </w:rPr>
                  </w:pPr>
                  <w:r>
                    <w:rPr>
                      <w:rFonts w:hint="default" w:ascii="Times New Roman" w:hAnsi="Times New Roman" w:cs="Times New Roman"/>
                      <w:sz w:val="21"/>
                      <w:szCs w:val="21"/>
                    </w:rPr>
                    <w:t>最大超标倍数（倍）</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0.4</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0.13</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sz w:val="21"/>
                      <w:szCs w:val="21"/>
                      <w:lang w:val="en-US" w:eastAsia="zh-CN"/>
                    </w:rPr>
                  </w:pPr>
                  <w:r>
                    <w:rPr>
                      <w:rFonts w:hint="default" w:ascii="Times New Roman" w:hAnsi="Times New Roman" w:cs="Times New Roman"/>
                      <w:sz w:val="21"/>
                      <w:szCs w:val="21"/>
                      <w:lang w:val="en-US" w:eastAsia="zh-CN"/>
                    </w:rPr>
                    <w:t>2.6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397" w:hRule="atLeast"/>
                <w:jc w:val="center"/>
              </w:trPr>
              <w:tc>
                <w:tcPr>
                  <w:tcW w:w="24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bCs/>
                      <w:sz w:val="21"/>
                      <w:szCs w:val="21"/>
                    </w:rPr>
                  </w:pPr>
                  <w:r>
                    <w:rPr>
                      <w:rFonts w:hint="default" w:ascii="Times New Roman" w:hAnsi="Times New Roman" w:cs="Times New Roman"/>
                      <w:bCs/>
                      <w:sz w:val="21"/>
                      <w:szCs w:val="21"/>
                    </w:rPr>
                    <w:t>达标情况</w:t>
                  </w:r>
                </w:p>
              </w:tc>
              <w:tc>
                <w:tcPr>
                  <w:tcW w:w="1653"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bCs/>
                      <w:sz w:val="21"/>
                      <w:szCs w:val="21"/>
                    </w:rPr>
                  </w:pPr>
                  <w:r>
                    <w:rPr>
                      <w:rFonts w:hint="default" w:ascii="Times New Roman" w:hAnsi="Times New Roman" w:cs="Times New Roman"/>
                      <w:bCs/>
                      <w:sz w:val="21"/>
                      <w:szCs w:val="21"/>
                    </w:rPr>
                    <w:t>超标</w:t>
                  </w:r>
                </w:p>
              </w:tc>
              <w:tc>
                <w:tcPr>
                  <w:tcW w:w="209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bCs/>
                      <w:sz w:val="21"/>
                      <w:szCs w:val="21"/>
                    </w:rPr>
                  </w:pPr>
                  <w:r>
                    <w:rPr>
                      <w:rFonts w:hint="default" w:ascii="Times New Roman" w:hAnsi="Times New Roman" w:cs="Times New Roman"/>
                      <w:bCs/>
                      <w:sz w:val="21"/>
                      <w:szCs w:val="21"/>
                    </w:rPr>
                    <w:t>超标</w:t>
                  </w:r>
                </w:p>
              </w:tc>
              <w:tc>
                <w:tcPr>
                  <w:tcW w:w="186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cs="Times New Roman"/>
                      <w:bCs/>
                      <w:sz w:val="21"/>
                      <w:szCs w:val="21"/>
                    </w:rPr>
                  </w:pPr>
                  <w:r>
                    <w:rPr>
                      <w:rFonts w:hint="default" w:ascii="Times New Roman" w:hAnsi="Times New Roman" w:cs="Times New Roman"/>
                      <w:bCs/>
                      <w:sz w:val="21"/>
                      <w:szCs w:val="21"/>
                    </w:rPr>
                    <w:t>超标</w:t>
                  </w:r>
                </w:p>
              </w:tc>
            </w:tr>
          </w:tbl>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default" w:ascii="Times New Roman" w:hAnsi="Times New Roman" w:eastAsia="宋体" w:cs="Times New Roman"/>
                <w:lang w:eastAsia="zh-CN"/>
              </w:rPr>
            </w:pPr>
            <w:r>
              <w:rPr>
                <w:rFonts w:hint="default" w:ascii="Times New Roman" w:hAnsi="Times New Roman" w:cs="Times New Roman"/>
              </w:rPr>
              <w:t>由上表可以看出，</w:t>
            </w:r>
            <w:r>
              <w:rPr>
                <w:rFonts w:hint="default" w:ascii="Times New Roman" w:hAnsi="Times New Roman" w:cs="Times New Roman"/>
                <w:lang w:val="en-US" w:eastAsia="zh-CN"/>
              </w:rPr>
              <w:t>2020年</w:t>
            </w:r>
            <w:r>
              <w:rPr>
                <w:rFonts w:hint="default" w:ascii="Times New Roman" w:hAnsi="Times New Roman" w:cs="Times New Roman"/>
              </w:rPr>
              <w:t>蟒河南官庄断面中COD、氨氮、总磷</w:t>
            </w:r>
            <w:r>
              <w:rPr>
                <w:rFonts w:hint="default" w:ascii="Times New Roman" w:hAnsi="Times New Roman" w:cs="Times New Roman"/>
                <w:lang w:eastAsia="zh-CN"/>
              </w:rPr>
              <w:t>均有不同程度超标</w:t>
            </w:r>
            <w:r>
              <w:rPr>
                <w:rFonts w:hint="default" w:ascii="Times New Roman" w:hAnsi="Times New Roman" w:cs="Times New Roman"/>
              </w:rPr>
              <w:t>，最大超标倍数分别为</w:t>
            </w:r>
            <w:r>
              <w:rPr>
                <w:rFonts w:hint="default" w:ascii="Times New Roman" w:hAnsi="Times New Roman" w:cs="Times New Roman"/>
                <w:lang w:val="en-US" w:eastAsia="zh-CN"/>
              </w:rPr>
              <w:t>0.4</w:t>
            </w:r>
            <w:r>
              <w:rPr>
                <w:rFonts w:hint="default" w:ascii="Times New Roman" w:hAnsi="Times New Roman" w:cs="Times New Roman"/>
              </w:rPr>
              <w:t>、</w:t>
            </w:r>
            <w:r>
              <w:rPr>
                <w:rFonts w:hint="default" w:ascii="Times New Roman" w:hAnsi="Times New Roman" w:cs="Times New Roman"/>
                <w:lang w:val="en-US" w:eastAsia="zh-CN"/>
              </w:rPr>
              <w:t>0.13</w:t>
            </w:r>
            <w:r>
              <w:rPr>
                <w:rFonts w:hint="default" w:ascii="Times New Roman" w:hAnsi="Times New Roman" w:cs="Times New Roman"/>
              </w:rPr>
              <w:t>、</w:t>
            </w:r>
            <w:r>
              <w:rPr>
                <w:rFonts w:hint="default" w:ascii="Times New Roman" w:hAnsi="Times New Roman" w:cs="Times New Roman"/>
                <w:lang w:val="en-US" w:eastAsia="zh-CN"/>
              </w:rPr>
              <w:t>2.6；</w:t>
            </w:r>
            <w:r>
              <w:rPr>
                <w:rFonts w:hint="default" w:ascii="Times New Roman" w:hAnsi="Times New Roman" w:cs="Times New Roman"/>
                <w:highlight w:val="none"/>
                <w:lang w:val="en-US" w:eastAsia="zh-CN"/>
              </w:rPr>
              <w:t>对比断面目标责任值，除2020年6月总磷超出断面目标责任值外，其他月份COD、氨氮、总磷均能够满足蟒河断面目标责任值；</w:t>
            </w:r>
            <w:r>
              <w:rPr>
                <w:rFonts w:hint="default" w:ascii="Times New Roman" w:hAnsi="Times New Roman" w:cs="Times New Roman"/>
              </w:rPr>
              <w:t>超标原因是蟒河上游长期接纳济源市的生活污水、工业废水</w:t>
            </w:r>
            <w:r>
              <w:rPr>
                <w:rFonts w:hint="default" w:ascii="Times New Roman" w:hAnsi="Times New Roman" w:cs="Times New Roman"/>
                <w:lang w:eastAsia="zh-CN"/>
              </w:rPr>
              <w:t>、沿河养殖废水影响</w:t>
            </w:r>
            <w:r>
              <w:rPr>
                <w:rFonts w:hint="default" w:ascii="Times New Roman" w:hAnsi="Times New Roman" w:cs="Times New Roman"/>
              </w:rPr>
              <w:t>所致</w:t>
            </w:r>
            <w:r>
              <w:rPr>
                <w:rFonts w:hint="default" w:ascii="Times New Roman" w:hAnsi="Times New Roman" w:cs="Times New Roman"/>
                <w:lang w:eastAsia="zh-CN"/>
              </w:rPr>
              <w:t>，随着对蟒河等河流治理工作的深入开展，其水质将逐渐转好。</w:t>
            </w:r>
          </w:p>
          <w:p>
            <w:pPr>
              <w:keepNext w:val="0"/>
              <w:keepLines w:val="0"/>
              <w:pageBreakBefore w:val="0"/>
              <w:widowControl w:val="0"/>
              <w:kinsoku/>
              <w:wordWrap/>
              <w:overflowPunct/>
              <w:topLinePunct w:val="0"/>
              <w:autoSpaceDE/>
              <w:autoSpaceDN/>
              <w:bidi w:val="0"/>
              <w:adjustRightInd/>
              <w:snapToGrid/>
              <w:spacing w:line="420" w:lineRule="exact"/>
              <w:ind w:firstLine="482"/>
              <w:textAlignment w:val="auto"/>
              <w:rPr>
                <w:rFonts w:hint="default" w:ascii="Times New Roman" w:hAnsi="Times New Roman" w:eastAsia="宋体" w:cs="Times New Roman"/>
                <w:b/>
                <w:szCs w:val="20"/>
                <w:lang w:eastAsia="zh-CN"/>
              </w:rPr>
            </w:pPr>
            <w:r>
              <w:rPr>
                <w:rFonts w:hint="default" w:ascii="Times New Roman" w:hAnsi="Times New Roman" w:cs="Times New Roman"/>
                <w:b/>
                <w:szCs w:val="20"/>
                <w:lang w:val="en-US" w:eastAsia="zh-CN"/>
              </w:rPr>
              <w:t>3</w:t>
            </w:r>
            <w:r>
              <w:rPr>
                <w:rFonts w:hint="default" w:ascii="Times New Roman" w:hAnsi="Times New Roman" w:cs="Times New Roman"/>
                <w:b/>
                <w:szCs w:val="20"/>
              </w:rPr>
              <w:t>、</w:t>
            </w:r>
            <w:r>
              <w:rPr>
                <w:rFonts w:hint="default" w:ascii="Times New Roman" w:hAnsi="Times New Roman" w:cs="Times New Roman"/>
                <w:b/>
                <w:szCs w:val="20"/>
                <w:lang w:eastAsia="zh-CN"/>
              </w:rPr>
              <w:t>地下水环境质量现状</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default" w:ascii="Times New Roman" w:hAnsi="Times New Roman" w:eastAsia="宋体" w:cs="Times New Roman"/>
                <w:lang w:eastAsia="zh-CN"/>
              </w:rPr>
            </w:pPr>
            <w:r>
              <w:rPr>
                <w:rFonts w:hint="default" w:ascii="Times New Roman" w:hAnsi="Times New Roman" w:eastAsia="宋体" w:cs="Times New Roman"/>
                <w:lang w:val="en-US" w:eastAsia="zh-CN"/>
              </w:rPr>
              <w:t>项目所在区地下水流向为自西北向东南，鉴于项目位于济源市玉川产业集聚区内，工业及生活用水为园区集中供水，根据所在区地质结构可知，项目位于监测井较难布置的基岩山区，基岩厚度超100m，根据导则要求，可调整现状监测点位。本次评价引用本公司年收集贮存2万吨危险废物项目地下水监测数据，地下水现状监测设3个水质监测点，3个水位监测点。在评价期间对周边地下水开展了本项目特征因子监测。为了解项目区域地下水质量状况，地下水质量评价引用本公司年收集贮存2万吨危废项目监测数据，监测结果如下。</w:t>
            </w:r>
          </w:p>
          <w:p>
            <w:pPr>
              <w:spacing w:line="240" w:lineRule="auto"/>
              <w:ind w:firstLine="0" w:firstLineChars="0"/>
              <w:jc w:val="center"/>
              <w:rPr>
                <w:rFonts w:hint="default" w:ascii="Times New Roman" w:hAnsi="Times New Roman" w:eastAsia="黑体" w:cs="Times New Roman"/>
                <w:b w:val="0"/>
                <w:bCs/>
                <w:szCs w:val="20"/>
                <w:lang w:val="en-US" w:eastAsia="zh-CN"/>
              </w:rPr>
            </w:pPr>
          </w:p>
          <w:p>
            <w:pPr>
              <w:spacing w:line="240" w:lineRule="auto"/>
              <w:ind w:firstLine="0" w:firstLineChars="0"/>
              <w:jc w:val="center"/>
              <w:rPr>
                <w:rFonts w:hint="default" w:ascii="Times New Roman" w:hAnsi="Times New Roman" w:eastAsia="黑体" w:cs="Times New Roman"/>
                <w:b w:val="0"/>
                <w:bCs/>
                <w:szCs w:val="20"/>
                <w:lang w:val="en-US" w:eastAsia="zh-CN"/>
              </w:rPr>
            </w:pPr>
          </w:p>
          <w:p>
            <w:pPr>
              <w:spacing w:line="240" w:lineRule="auto"/>
              <w:ind w:firstLine="0" w:firstLineChars="0"/>
              <w:jc w:val="center"/>
              <w:rPr>
                <w:rFonts w:hint="default" w:ascii="Times New Roman" w:hAnsi="Times New Roman" w:eastAsia="黑体" w:cs="Times New Roman"/>
                <w:b w:val="0"/>
                <w:bCs/>
                <w:szCs w:val="20"/>
                <w:lang w:val="en-US" w:eastAsia="zh-CN"/>
              </w:rPr>
            </w:pPr>
          </w:p>
          <w:p>
            <w:pPr>
              <w:spacing w:line="240" w:lineRule="auto"/>
              <w:ind w:firstLine="0" w:firstLineChars="0"/>
              <w:jc w:val="center"/>
              <w:rPr>
                <w:rFonts w:hint="default" w:ascii="Times New Roman" w:hAnsi="Times New Roman" w:eastAsia="黑体" w:cs="Times New Roman"/>
                <w:b w:val="0"/>
                <w:bCs/>
                <w:szCs w:val="20"/>
                <w:lang w:val="en-US" w:eastAsia="zh-CN"/>
              </w:rPr>
            </w:pPr>
            <w:r>
              <w:rPr>
                <w:rFonts w:hint="default" w:ascii="Times New Roman" w:hAnsi="Times New Roman" w:eastAsia="黑体" w:cs="Times New Roman"/>
                <w:b w:val="0"/>
                <w:bCs/>
                <w:szCs w:val="20"/>
                <w:lang w:val="en-US" w:eastAsia="zh-CN"/>
              </w:rPr>
              <w:t>地下水监测结果统计表</w:t>
            </w:r>
          </w:p>
          <w:tbl>
            <w:tblPr>
              <w:tblStyle w:val="15"/>
              <w:tblW w:w="78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9"/>
              <w:gridCol w:w="1488"/>
              <w:gridCol w:w="908"/>
              <w:gridCol w:w="1036"/>
              <w:gridCol w:w="1077"/>
              <w:gridCol w:w="1040"/>
              <w:gridCol w:w="919"/>
              <w:gridCol w:w="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blHeader/>
                <w:jc w:val="center"/>
              </w:trPr>
              <w:tc>
                <w:tcPr>
                  <w:tcW w:w="669"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采样日期</w:t>
                  </w:r>
                </w:p>
              </w:tc>
              <w:tc>
                <w:tcPr>
                  <w:tcW w:w="148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检测因子</w:t>
                  </w:r>
                </w:p>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908"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单位</w:t>
                  </w:r>
                </w:p>
              </w:tc>
              <w:tc>
                <w:tcPr>
                  <w:tcW w:w="3153" w:type="dxa"/>
                  <w:gridSpan w:val="3"/>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采样点位</w:t>
                  </w:r>
                </w:p>
              </w:tc>
              <w:tc>
                <w:tcPr>
                  <w:tcW w:w="919"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评价</w:t>
                  </w:r>
                </w:p>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标准</w:t>
                  </w:r>
                </w:p>
              </w:tc>
              <w:tc>
                <w:tcPr>
                  <w:tcW w:w="732"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blHeader/>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908"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石河村</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原昌村</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小佃头村</w:t>
                  </w:r>
                </w:p>
              </w:tc>
              <w:tc>
                <w:tcPr>
                  <w:tcW w:w="91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732"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2020.07.05</w:t>
                  </w: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pH值</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无量纲</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7.37</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7.24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7.33</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6.5~8.5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钾</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2.07</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2.07</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2.14</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钠</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129</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128</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128</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钙</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332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334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333</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镁</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61.8</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61.4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60.6</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碳酸盐</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mol/L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重碳酸盐</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mol/L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11.1</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4.69</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3.58</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氯化物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11</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58</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250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硫酸盐</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78</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105</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192</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250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色度</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度</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嗅和味</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浑浊度</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NTU</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肉眼可见物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　　　　　　　　　　　　　　　　　　　　　　　　　　　　　　　　　　　　　　　　　　　　　　　　　　　　　　　　　　　　　　　　　　　　　　　　　　　　　　　　　　　　　　　　　　　　　　　　　　　　　　　　　　　　　　　　　　　　　　　　　　　　　　　　　　　　　　　　　　　　　　　　　　　　　　　　　　　　　　　　　　　　　　　　　　　　　　　　　　　　　　　　　　　　　　　　　　　　　　　　　　　　　　　　　　　　　　　　　　　　　　　　　　　　　　　　　　　　　　　　　　　　　　　　　　　　　　　　　　　　　　　　　　　　　　　　　　　　　　　　　　　　　　　　　　　　　　　　　　　　　　　　　　　　　　　　　　　　　　　　　　　　　　　　　　　　　　　　　　　　　　　　　　　　　　　　　　　　　　　　　　　　　　　　　　　　　　　　　　　　　　　　　　　　　　　　　　　　　　　　　　　　　　　　　　　　　　　　　　　　　　　　　　　　　　　　　　　　　　　　　　　　　　　　　　　　　　　　　　　　　　　　　　　　　　　　　　　　　　　　　　　　　　　　　　　　　　　　　　</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总硬度</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422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438</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445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450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溶解性总固体</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562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526</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648</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铁</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0.3</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锰</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铜</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锌</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挥发酚</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0.002</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阴离子表面活性剂</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0.3</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耗氧量</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1.85</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1.80</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1.14</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氨氮</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0.035</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0.037</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0.029</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硫化物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0.02</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总大肠菌群</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MPN/100mL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细菌总数</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CFU/mL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21</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15</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19</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亚硝酸盐氮</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硝酸盐氮</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7.32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10.1</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6.91</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氰化物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氟化物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0.16</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0.14</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砷</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1.68×10</w:t>
                  </w:r>
                  <w:r>
                    <w:rPr>
                      <w:rFonts w:hint="default" w:ascii="Times New Roman" w:hAnsi="Times New Roman" w:eastAsia="宋体" w:cs="Times New Roman"/>
                      <w:b w:val="0"/>
                      <w:bCs w:val="0"/>
                      <w:color w:val="auto"/>
                      <w:sz w:val="21"/>
                      <w:szCs w:val="21"/>
                      <w:vertAlign w:val="superscript"/>
                      <w:lang w:val="en-US" w:eastAsia="zh-CN"/>
                    </w:rPr>
                    <w:t>-3</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1.53×10</w:t>
                  </w:r>
                  <w:r>
                    <w:rPr>
                      <w:rFonts w:hint="default" w:ascii="Times New Roman" w:hAnsi="Times New Roman" w:eastAsia="宋体" w:cs="Times New Roman"/>
                      <w:b w:val="0"/>
                      <w:bCs w:val="0"/>
                      <w:color w:val="auto"/>
                      <w:sz w:val="21"/>
                      <w:szCs w:val="21"/>
                      <w:vertAlign w:val="superscript"/>
                      <w:lang w:val="en-US" w:eastAsia="zh-CN"/>
                    </w:rPr>
                    <w:t>-3</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1.57×10</w:t>
                  </w:r>
                  <w:r>
                    <w:rPr>
                      <w:rFonts w:hint="default" w:ascii="Times New Roman" w:hAnsi="Times New Roman" w:eastAsia="宋体" w:cs="Times New Roman"/>
                      <w:b w:val="0"/>
                      <w:bCs w:val="0"/>
                      <w:color w:val="auto"/>
                      <w:sz w:val="21"/>
                      <w:szCs w:val="21"/>
                      <w:vertAlign w:val="superscript"/>
                      <w:lang w:val="en-US" w:eastAsia="zh-CN"/>
                    </w:rPr>
                    <w:t>-3</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汞</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8.0×10</w:t>
                  </w:r>
                  <w:r>
                    <w:rPr>
                      <w:rFonts w:hint="default" w:ascii="Times New Roman" w:hAnsi="Times New Roman" w:eastAsia="宋体" w:cs="Times New Roman"/>
                      <w:b w:val="0"/>
                      <w:bCs w:val="0"/>
                      <w:color w:val="auto"/>
                      <w:sz w:val="21"/>
                      <w:szCs w:val="21"/>
                      <w:vertAlign w:val="superscript"/>
                      <w:lang w:val="en-US" w:eastAsia="zh-CN"/>
                    </w:rPr>
                    <w:t>-4</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9.0×10</w:t>
                  </w:r>
                  <w:r>
                    <w:rPr>
                      <w:rFonts w:hint="default" w:ascii="Times New Roman" w:hAnsi="Times New Roman" w:eastAsia="宋体" w:cs="Times New Roman"/>
                      <w:b w:val="0"/>
                      <w:bCs w:val="0"/>
                      <w:color w:val="auto"/>
                      <w:sz w:val="21"/>
                      <w:szCs w:val="21"/>
                      <w:vertAlign w:val="superscript"/>
                      <w:lang w:val="en-US" w:eastAsia="zh-CN"/>
                    </w:rPr>
                    <w:t>-4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8.0×10</w:t>
                  </w:r>
                  <w:r>
                    <w:rPr>
                      <w:rFonts w:hint="default" w:ascii="Times New Roman" w:hAnsi="Times New Roman" w:eastAsia="宋体" w:cs="Times New Roman"/>
                      <w:b w:val="0"/>
                      <w:bCs w:val="0"/>
                      <w:color w:val="auto"/>
                      <w:sz w:val="21"/>
                      <w:szCs w:val="21"/>
                      <w:vertAlign w:val="superscript"/>
                      <w:lang w:val="en-US" w:eastAsia="zh-CN"/>
                    </w:rPr>
                    <w:t>-4</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硒</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镉</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六价铬</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铅</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三氯甲烷</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四氯化碳</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苯</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甲苯</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2020.07.06</w:t>
                  </w: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pH值</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无量纲</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7.35</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7.29</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7.48</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6.5~8.5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钾</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2.06</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2.02</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2.09</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钠</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130</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130</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130</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钙</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329</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337</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329</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镁</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61.6</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62.0</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61.1</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碳酸盐</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mol/L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重碳酸盐</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mol/L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氯化物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25</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59</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250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硫酸盐</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77</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106</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193</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250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色度</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度</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嗅和味</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浑浊度</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NTU</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肉眼可见物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无</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总硬度</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433</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427</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440</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450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溶解性总固体</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558</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534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655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铁</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0.3</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锰</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铜</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锌</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挥发酚</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0.002</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阴离子表面活性剂</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0.3</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耗氧量</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1.84</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1.78</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1.10</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氨氮</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0.029</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0.037</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0.027</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硫化物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0.02</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总大肠菌群</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MPN/100mL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3.0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细菌总数</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CFU/mL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18</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21</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亚硝酸盐氮</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硝酸盐氮</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7.35</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6.95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氰化物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氟化物</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0.12</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0.17</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0.15</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砷</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1.65×10</w:t>
                  </w:r>
                  <w:r>
                    <w:rPr>
                      <w:rFonts w:hint="default" w:ascii="Times New Roman" w:hAnsi="Times New Roman" w:eastAsia="宋体" w:cs="Times New Roman"/>
                      <w:b w:val="0"/>
                      <w:bCs w:val="0"/>
                      <w:color w:val="auto"/>
                      <w:sz w:val="21"/>
                      <w:szCs w:val="21"/>
                      <w:vertAlign w:val="superscript"/>
                      <w:lang w:val="en-US" w:eastAsia="zh-CN"/>
                    </w:rPr>
                    <w:t>-3</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1.57×10</w:t>
                  </w:r>
                  <w:r>
                    <w:rPr>
                      <w:rFonts w:hint="default" w:ascii="Times New Roman" w:hAnsi="Times New Roman" w:eastAsia="宋体" w:cs="Times New Roman"/>
                      <w:b w:val="0"/>
                      <w:bCs w:val="0"/>
                      <w:color w:val="auto"/>
                      <w:sz w:val="21"/>
                      <w:szCs w:val="21"/>
                      <w:vertAlign w:val="superscript"/>
                      <w:lang w:val="en-US" w:eastAsia="zh-CN"/>
                    </w:rPr>
                    <w:t>-3</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1.60×10</w:t>
                  </w:r>
                  <w:r>
                    <w:rPr>
                      <w:rFonts w:hint="default" w:ascii="Times New Roman" w:hAnsi="Times New Roman" w:eastAsia="宋体" w:cs="Times New Roman"/>
                      <w:b w:val="0"/>
                      <w:bCs w:val="0"/>
                      <w:color w:val="auto"/>
                      <w:sz w:val="21"/>
                      <w:szCs w:val="21"/>
                      <w:vertAlign w:val="superscript"/>
                      <w:lang w:val="en-US" w:eastAsia="zh-CN"/>
                    </w:rPr>
                    <w:t>-3</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汞</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8.0×10</w:t>
                  </w:r>
                  <w:r>
                    <w:rPr>
                      <w:rFonts w:hint="default" w:ascii="Times New Roman" w:hAnsi="Times New Roman" w:eastAsia="宋体" w:cs="Times New Roman"/>
                      <w:b w:val="0"/>
                      <w:bCs w:val="0"/>
                      <w:color w:val="auto"/>
                      <w:sz w:val="21"/>
                      <w:szCs w:val="21"/>
                      <w:vertAlign w:val="superscript"/>
                      <w:lang w:val="en-US" w:eastAsia="zh-CN"/>
                    </w:rPr>
                    <w:t>-4</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9.0×10</w:t>
                  </w:r>
                  <w:r>
                    <w:rPr>
                      <w:rFonts w:hint="default" w:ascii="Times New Roman" w:hAnsi="Times New Roman" w:eastAsia="宋体" w:cs="Times New Roman"/>
                      <w:b w:val="0"/>
                      <w:bCs w:val="0"/>
                      <w:color w:val="auto"/>
                      <w:sz w:val="21"/>
                      <w:szCs w:val="21"/>
                      <w:vertAlign w:val="superscript"/>
                      <w:lang w:val="en-US" w:eastAsia="zh-CN"/>
                    </w:rPr>
                    <w:t>-4</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8.0×10</w:t>
                  </w:r>
                  <w:r>
                    <w:rPr>
                      <w:rFonts w:hint="default" w:ascii="Times New Roman" w:hAnsi="Times New Roman" w:eastAsia="宋体" w:cs="Times New Roman"/>
                      <w:b w:val="0"/>
                      <w:bCs w:val="0"/>
                      <w:color w:val="auto"/>
                      <w:sz w:val="21"/>
                      <w:szCs w:val="21"/>
                      <w:vertAlign w:val="superscript"/>
                      <w:lang w:val="en-US" w:eastAsia="zh-CN"/>
                    </w:rPr>
                    <w:t>-4</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硒</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镉</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六价铬</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0.05</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铅</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mg/L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0.01</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三氯甲烷</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60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四氯化碳</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苯</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9"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p>
              </w:tc>
              <w:tc>
                <w:tcPr>
                  <w:tcW w:w="148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甲苯</w:t>
                  </w:r>
                </w:p>
              </w:tc>
              <w:tc>
                <w:tcPr>
                  <w:tcW w:w="908"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µg/L</w:t>
                  </w:r>
                </w:p>
              </w:tc>
              <w:tc>
                <w:tcPr>
                  <w:tcW w:w="103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77"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1040"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未检出</w:t>
                  </w:r>
                </w:p>
              </w:tc>
              <w:tc>
                <w:tcPr>
                  <w:tcW w:w="919"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700</w:t>
                  </w:r>
                </w:p>
              </w:tc>
              <w:tc>
                <w:tcPr>
                  <w:tcW w:w="73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bl>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default" w:ascii="Times New Roman" w:hAnsi="Times New Roman" w:cs="Times New Roman"/>
                <w:color w:val="auto"/>
                <w:kern w:val="0"/>
                <w:sz w:val="24"/>
                <w:lang w:val="en-US" w:eastAsia="zh-CN"/>
              </w:rPr>
            </w:pPr>
            <w:r>
              <w:rPr>
                <w:rFonts w:hint="default" w:ascii="Times New Roman" w:hAnsi="Times New Roman" w:cs="Times New Roman"/>
                <w:color w:val="auto"/>
                <w:kern w:val="0"/>
                <w:sz w:val="24"/>
                <w:lang w:val="en-US" w:eastAsia="zh-CN"/>
              </w:rPr>
              <w:t>由上表可知，项目所在区域地下水水质良好，水质均符合《地下水质量标准》（GB/T14848-2017）Ⅲ类标准。</w:t>
            </w:r>
          </w:p>
          <w:p>
            <w:pPr>
              <w:keepNext w:val="0"/>
              <w:keepLines w:val="0"/>
              <w:pageBreakBefore w:val="0"/>
              <w:widowControl w:val="0"/>
              <w:kinsoku/>
              <w:wordWrap/>
              <w:overflowPunct/>
              <w:topLinePunct w:val="0"/>
              <w:autoSpaceDE/>
              <w:autoSpaceDN/>
              <w:bidi w:val="0"/>
              <w:adjustRightInd/>
              <w:snapToGrid/>
              <w:spacing w:line="420" w:lineRule="exact"/>
              <w:ind w:firstLine="482"/>
              <w:textAlignment w:val="auto"/>
              <w:rPr>
                <w:rFonts w:hint="default" w:ascii="Times New Roman" w:hAnsi="Times New Roman" w:cs="Times New Roman"/>
                <w:b/>
                <w:szCs w:val="20"/>
              </w:rPr>
            </w:pPr>
            <w:r>
              <w:rPr>
                <w:rFonts w:hint="default" w:ascii="Times New Roman" w:hAnsi="Times New Roman" w:cs="Times New Roman"/>
                <w:b/>
                <w:szCs w:val="20"/>
                <w:lang w:val="en-US" w:eastAsia="zh-CN"/>
              </w:rPr>
              <w:t>4、</w:t>
            </w:r>
            <w:r>
              <w:rPr>
                <w:rFonts w:hint="default" w:ascii="Times New Roman" w:hAnsi="Times New Roman" w:cs="Times New Roman"/>
                <w:b/>
                <w:szCs w:val="20"/>
              </w:rPr>
              <w:t>声环境质量现状调查</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default" w:ascii="Times New Roman" w:hAnsi="Times New Roman" w:cs="Times New Roman"/>
              </w:rPr>
            </w:pPr>
            <w:r>
              <w:rPr>
                <w:rFonts w:hint="default" w:ascii="Times New Roman" w:hAnsi="Times New Roman" w:cs="Times New Roman"/>
                <w:bCs/>
                <w:szCs w:val="20"/>
                <w:lang w:val="zh-CN"/>
              </w:rPr>
              <w:t>项目位于玉川产业集聚区贵金属产业园，属于声环境3类功能区，四周厂界声环境应执行《声环境质量标准》（GB3096-2008）3类标准。</w:t>
            </w:r>
            <w:r>
              <w:rPr>
                <w:rFonts w:hint="default" w:ascii="Times New Roman" w:hAnsi="Times New Roman" w:cs="Times New Roman"/>
                <w:bCs/>
                <w:szCs w:val="20"/>
                <w:lang w:val="en-US" w:eastAsia="zh-CN"/>
              </w:rPr>
              <w:t>2021年7月31日至8月1日，公司</w:t>
            </w:r>
            <w:r>
              <w:rPr>
                <w:rFonts w:hint="default" w:ascii="Times New Roman" w:hAnsi="Times New Roman" w:cs="Times New Roman"/>
                <w:bCs/>
                <w:szCs w:val="20"/>
                <w:highlight w:val="none"/>
              </w:rPr>
              <w:t>委托</w:t>
            </w:r>
            <w:r>
              <w:rPr>
                <w:rFonts w:hint="default" w:ascii="Times New Roman" w:hAnsi="Times New Roman" w:cs="Times New Roman"/>
                <w:bCs/>
                <w:szCs w:val="20"/>
                <w:highlight w:val="none"/>
                <w:lang w:eastAsia="zh-CN"/>
              </w:rPr>
              <w:t>河南永飞检测科技有限公司</w:t>
            </w:r>
            <w:r>
              <w:rPr>
                <w:rFonts w:hint="default" w:ascii="Times New Roman" w:hAnsi="Times New Roman" w:cs="Times New Roman"/>
                <w:bCs/>
                <w:szCs w:val="20"/>
              </w:rPr>
              <w:t>对厂区四周边界的声环境质量进行现状监测，</w:t>
            </w:r>
            <w:r>
              <w:rPr>
                <w:rFonts w:hint="default" w:ascii="Times New Roman" w:hAnsi="Times New Roman" w:cs="Times New Roman"/>
                <w:bCs/>
                <w:szCs w:val="20"/>
                <w:lang w:val="zh-CN"/>
              </w:rPr>
              <w:t>项目区域声环境质量现状见下表</w:t>
            </w:r>
            <w:r>
              <w:rPr>
                <w:rFonts w:hint="default" w:ascii="Times New Roman" w:hAnsi="Times New Roman" w:cs="Times New Roman"/>
                <w:bCs/>
                <w:szCs w:val="20"/>
              </w:rPr>
              <w:t>。</w:t>
            </w:r>
          </w:p>
          <w:p>
            <w:pPr>
              <w:spacing w:line="240" w:lineRule="auto"/>
              <w:ind w:left="0" w:leftChars="0" w:firstLine="0" w:firstLineChars="0"/>
              <w:jc w:val="center"/>
              <w:rPr>
                <w:rFonts w:hint="default" w:ascii="Times New Roman" w:hAnsi="Times New Roman" w:eastAsia="黑体" w:cs="Times New Roman"/>
                <w:sz w:val="24"/>
                <w:szCs w:val="24"/>
              </w:rPr>
            </w:pPr>
            <w:r>
              <w:rPr>
                <w:rFonts w:hint="default" w:ascii="Times New Roman" w:hAnsi="Times New Roman" w:eastAsia="黑体" w:cs="Times New Roman"/>
                <w:sz w:val="24"/>
                <w:szCs w:val="24"/>
                <w:lang w:val="en-US" w:eastAsia="zh-CN"/>
              </w:rPr>
              <w:t xml:space="preserve">                 </w:t>
            </w:r>
            <w:r>
              <w:rPr>
                <w:rFonts w:hint="default" w:ascii="Times New Roman" w:hAnsi="Times New Roman" w:eastAsia="黑体" w:cs="Times New Roman"/>
                <w:sz w:val="24"/>
                <w:szCs w:val="24"/>
              </w:rPr>
              <w:t>噪声检测结果     单位:Leq [dB(A)]</w:t>
            </w:r>
          </w:p>
          <w:tbl>
            <w:tblPr>
              <w:tblStyle w:val="15"/>
              <w:tblW w:w="80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20"/>
              <w:gridCol w:w="1631"/>
              <w:gridCol w:w="1706"/>
              <w:gridCol w:w="1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监测点位</w:t>
                  </w:r>
                </w:p>
              </w:tc>
              <w:tc>
                <w:tcPr>
                  <w:tcW w:w="1631"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测量时间</w:t>
                  </w:r>
                </w:p>
              </w:tc>
              <w:tc>
                <w:tcPr>
                  <w:tcW w:w="36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lang w:eastAsia="zh-CN"/>
                    </w:rPr>
                    <w:t>结果值</w:t>
                  </w:r>
                  <w:r>
                    <w:rPr>
                      <w:rFonts w:hint="default" w:ascii="Times New Roman" w:hAnsi="Times New Roman" w:eastAsia="宋体" w:cs="Times New Roman"/>
                      <w:bCs/>
                      <w:sz w:val="21"/>
                      <w:szCs w:val="21"/>
                    </w:rPr>
                    <w:t>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p>
              </w:tc>
              <w:tc>
                <w:tcPr>
                  <w:tcW w:w="1631"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昼间</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东厂界</w:t>
                  </w: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2021.07.31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53</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2021.08.01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52</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南厂界</w:t>
                  </w: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rPr>
                  </w:pPr>
                  <w:r>
                    <w:rPr>
                      <w:rFonts w:hint="default" w:ascii="Times New Roman" w:hAnsi="Times New Roman" w:cs="Times New Roman"/>
                      <w:bCs/>
                      <w:sz w:val="21"/>
                      <w:szCs w:val="21"/>
                      <w:lang w:val="en-US" w:eastAsia="zh-CN"/>
                    </w:rPr>
                    <w:t>2021.07.31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52</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cs="Times New Roman"/>
                      <w:bCs/>
                      <w:sz w:val="21"/>
                      <w:szCs w:val="21"/>
                      <w:lang w:val="en-US" w:eastAsia="zh-CN"/>
                    </w:rPr>
                    <w:t>2021.08.01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51</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西厂界</w:t>
                  </w: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cs="Times New Roman"/>
                      <w:bCs/>
                      <w:sz w:val="21"/>
                      <w:szCs w:val="21"/>
                      <w:lang w:val="en-US" w:eastAsia="zh-CN"/>
                    </w:rPr>
                    <w:t>2021.07.31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54</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cs="Times New Roman"/>
                      <w:bCs/>
                      <w:sz w:val="21"/>
                      <w:szCs w:val="21"/>
                      <w:lang w:val="en-US" w:eastAsia="zh-CN"/>
                    </w:rPr>
                    <w:t>2021.08.01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53</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北厂界</w:t>
                  </w: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cs="Times New Roman"/>
                      <w:bCs/>
                      <w:sz w:val="21"/>
                      <w:szCs w:val="21"/>
                      <w:lang w:val="en-US" w:eastAsia="zh-CN"/>
                    </w:rPr>
                    <w:t>2021.07.31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54</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820"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p>
              </w:tc>
              <w:tc>
                <w:tcPr>
                  <w:tcW w:w="16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cs="Times New Roman"/>
                      <w:bCs/>
                      <w:sz w:val="21"/>
                      <w:szCs w:val="21"/>
                      <w:lang w:val="en-US" w:eastAsia="zh-CN"/>
                    </w:rPr>
                    <w:t>2021.08.01</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55</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cs="Times New Roman"/>
                      <w:bCs/>
                      <w:sz w:val="21"/>
                      <w:szCs w:val="21"/>
                      <w:lang w:val="en-US" w:eastAsia="zh-CN"/>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《声环境质量标准》（GB</w:t>
                  </w:r>
                  <w:r>
                    <w:rPr>
                      <w:rFonts w:hint="default" w:ascii="Times New Roman" w:hAnsi="Times New Roman" w:eastAsia="宋体" w:cs="Times New Roman"/>
                      <w:bCs/>
                      <w:sz w:val="21"/>
                      <w:szCs w:val="21"/>
                    </w:rPr>
                    <w:softHyphen/>
                  </w:r>
                  <w:r>
                    <w:rPr>
                      <w:rFonts w:hint="default" w:ascii="Times New Roman" w:hAnsi="Times New Roman" w:eastAsia="宋体" w:cs="Times New Roman"/>
                      <w:bCs/>
                      <w:sz w:val="21"/>
                      <w:szCs w:val="21"/>
                    </w:rPr>
                    <w:t>3096—2008）</w:t>
                  </w:r>
                  <w:r>
                    <w:rPr>
                      <w:rFonts w:hint="default" w:ascii="Times New Roman" w:hAnsi="Times New Roman" w:eastAsia="宋体" w:cs="Times New Roman"/>
                      <w:bCs/>
                      <w:sz w:val="21"/>
                      <w:szCs w:val="21"/>
                      <w:lang w:val="en-US" w:eastAsia="zh-CN"/>
                    </w:rPr>
                    <w:t>3</w:t>
                  </w:r>
                  <w:r>
                    <w:rPr>
                      <w:rFonts w:hint="default" w:ascii="Times New Roman" w:hAnsi="Times New Roman" w:eastAsia="宋体" w:cs="Times New Roman"/>
                      <w:bCs/>
                      <w:sz w:val="21"/>
                      <w:szCs w:val="21"/>
                    </w:rPr>
                    <w:t>类</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65</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lang w:val="en-US" w:eastAsia="zh-CN"/>
                    </w:rPr>
                  </w:pPr>
                  <w:r>
                    <w:rPr>
                      <w:rFonts w:hint="default" w:ascii="Times New Roman" w:hAnsi="Times New Roman" w:eastAsia="宋体" w:cs="Times New Roman"/>
                      <w:bCs/>
                      <w:sz w:val="21"/>
                      <w:szCs w:val="21"/>
                      <w:lang w:val="en-US" w:eastAsia="zh-CN"/>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51"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达标情况</w:t>
                  </w:r>
                </w:p>
              </w:tc>
              <w:tc>
                <w:tcPr>
                  <w:tcW w:w="1706"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达标</w:t>
                  </w:r>
                </w:p>
              </w:tc>
              <w:tc>
                <w:tcPr>
                  <w:tcW w:w="190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firstLine="0" w:firstLineChars="0"/>
                    <w:jc w:val="center"/>
                    <w:textAlignment w:val="auto"/>
                    <w:rPr>
                      <w:rFonts w:hint="default" w:ascii="Times New Roman" w:hAnsi="Times New Roman" w:eastAsia="宋体" w:cs="Times New Roman"/>
                      <w:bCs/>
                      <w:sz w:val="21"/>
                      <w:szCs w:val="21"/>
                    </w:rPr>
                  </w:pPr>
                  <w:r>
                    <w:rPr>
                      <w:rFonts w:hint="default" w:ascii="Times New Roman" w:hAnsi="Times New Roman" w:eastAsia="宋体" w:cs="Times New Roman"/>
                      <w:bCs/>
                      <w:sz w:val="21"/>
                      <w:szCs w:val="21"/>
                    </w:rPr>
                    <w:t>达标</w:t>
                  </w:r>
                </w:p>
              </w:tc>
            </w:tr>
          </w:tbl>
          <w:p>
            <w:pPr>
              <w:keepNext w:val="0"/>
              <w:pageBreakBefore w:val="0"/>
              <w:widowControl w:val="0"/>
              <w:kinsoku/>
              <w:wordWrap/>
              <w:overflowPunct/>
              <w:topLinePunct w:val="0"/>
              <w:autoSpaceDE/>
              <w:autoSpaceDN/>
              <w:bidi w:val="0"/>
              <w:adjustRightInd w:val="0"/>
              <w:snapToGrid w:val="0"/>
              <w:spacing w:line="440" w:lineRule="exact"/>
              <w:ind w:firstLine="588" w:firstLineChars="245"/>
              <w:textAlignment w:val="auto"/>
              <w:rPr>
                <w:rFonts w:hint="default" w:ascii="Times New Roman" w:hAnsi="Times New Roman" w:cs="Times New Roman"/>
                <w:sz w:val="24"/>
              </w:rPr>
            </w:pPr>
            <w:r>
              <w:rPr>
                <w:rFonts w:hint="default" w:ascii="Times New Roman" w:hAnsi="Times New Roman" w:cs="Times New Roman"/>
                <w:sz w:val="24"/>
              </w:rPr>
              <w:t>由以上监测结果可知，企业四周厂界噪声现状值均符合《声环境质量标准》（GB</w:t>
            </w:r>
            <w:r>
              <w:rPr>
                <w:rFonts w:hint="default" w:ascii="Times New Roman" w:hAnsi="Times New Roman" w:cs="Times New Roman"/>
                <w:sz w:val="24"/>
              </w:rPr>
              <w:softHyphen/>
            </w:r>
            <w:r>
              <w:rPr>
                <w:rFonts w:hint="default" w:ascii="Times New Roman" w:hAnsi="Times New Roman" w:cs="Times New Roman"/>
                <w:sz w:val="24"/>
              </w:rPr>
              <w:t>3096—2008）</w:t>
            </w:r>
            <w:r>
              <w:rPr>
                <w:rFonts w:hint="default" w:ascii="Times New Roman" w:hAnsi="Times New Roman" w:cs="Times New Roman"/>
                <w:sz w:val="24"/>
                <w:lang w:val="en-US" w:eastAsia="zh-CN"/>
              </w:rPr>
              <w:t>3</w:t>
            </w:r>
            <w:r>
              <w:rPr>
                <w:rFonts w:hint="default" w:ascii="Times New Roman" w:hAnsi="Times New Roman" w:cs="Times New Roman"/>
                <w:sz w:val="24"/>
              </w:rPr>
              <w:t>类区标准要求，声环境质量现状良好。</w:t>
            </w:r>
          </w:p>
          <w:p>
            <w:pPr>
              <w:keepNext w:val="0"/>
              <w:keepLines w:val="0"/>
              <w:pageBreakBefore w:val="0"/>
              <w:widowControl w:val="0"/>
              <w:kinsoku/>
              <w:wordWrap/>
              <w:overflowPunct/>
              <w:topLinePunct w:val="0"/>
              <w:autoSpaceDE/>
              <w:autoSpaceDN/>
              <w:bidi w:val="0"/>
              <w:adjustRightInd/>
              <w:snapToGrid/>
              <w:spacing w:line="420" w:lineRule="exact"/>
              <w:ind w:firstLine="482"/>
              <w:jc w:val="left"/>
              <w:textAlignment w:val="auto"/>
              <w:rPr>
                <w:rFonts w:hint="default" w:ascii="Times New Roman" w:hAnsi="Times New Roman" w:cs="Times New Roman"/>
                <w:b/>
                <w:lang w:val="en-US" w:eastAsia="zh-CN"/>
              </w:rPr>
            </w:pPr>
            <w:r>
              <w:rPr>
                <w:rFonts w:hint="default" w:ascii="Times New Roman" w:hAnsi="Times New Roman" w:cs="Times New Roman"/>
                <w:b/>
                <w:lang w:val="en-US" w:eastAsia="zh-CN"/>
              </w:rPr>
              <w:t>5、土壤环境质量</w:t>
            </w:r>
          </w:p>
          <w:p>
            <w:pPr>
              <w:keepNext w:val="0"/>
              <w:pageBreakBefore w:val="0"/>
              <w:widowControl w:val="0"/>
              <w:kinsoku/>
              <w:wordWrap/>
              <w:overflowPunct/>
              <w:topLinePunct w:val="0"/>
              <w:autoSpaceDE/>
              <w:autoSpaceDN/>
              <w:bidi w:val="0"/>
              <w:adjustRightInd w:val="0"/>
              <w:snapToGrid w:val="0"/>
              <w:spacing w:line="440" w:lineRule="exact"/>
              <w:ind w:firstLine="588" w:firstLineChars="245"/>
              <w:textAlignment w:val="auto"/>
              <w:rPr>
                <w:rFonts w:hint="default" w:ascii="Times New Roman" w:hAnsi="Times New Roman" w:eastAsia="宋体" w:cs="Times New Roman"/>
                <w:sz w:val="24"/>
                <w:lang w:val="en-US" w:eastAsia="zh-CN"/>
              </w:rPr>
            </w:pPr>
            <w:r>
              <w:rPr>
                <w:rFonts w:hint="default" w:ascii="Times New Roman" w:hAnsi="Times New Roman" w:eastAsia="宋体" w:cs="Times New Roman"/>
                <w:sz w:val="24"/>
                <w:lang w:val="en-US" w:eastAsia="zh-CN"/>
              </w:rPr>
              <w:t>本次评价引用本公司年收集贮存2万吨危险废物项目土壤监测数据，监测结果见下表。</w:t>
            </w:r>
          </w:p>
          <w:p>
            <w:pPr>
              <w:keepNext w:val="0"/>
              <w:pageBreakBefore w:val="0"/>
              <w:widowControl w:val="0"/>
              <w:kinsoku/>
              <w:wordWrap/>
              <w:overflowPunct/>
              <w:topLinePunct w:val="0"/>
              <w:autoSpaceDE/>
              <w:autoSpaceDN/>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sz w:val="24"/>
                <w:lang w:val="en-US" w:eastAsia="zh-CN"/>
              </w:rPr>
            </w:pPr>
            <w:r>
              <w:rPr>
                <w:rFonts w:hint="default" w:ascii="Times New Roman" w:hAnsi="Times New Roman" w:eastAsia="黑体" w:cs="Times New Roman"/>
                <w:sz w:val="24"/>
                <w:lang w:val="en-US" w:eastAsia="zh-CN"/>
              </w:rPr>
              <w:t>土壤环境质量监测结果统计表</w:t>
            </w:r>
            <w:r>
              <w:rPr>
                <w:rFonts w:hint="default" w:ascii="Times New Roman" w:hAnsi="Times New Roman" w:eastAsia="宋体" w:cs="Times New Roman"/>
                <w:sz w:val="24"/>
                <w:lang w:val="en-US" w:eastAsia="zh-CN"/>
              </w:rPr>
              <w:t>。</w:t>
            </w:r>
          </w:p>
          <w:tbl>
            <w:tblPr>
              <w:tblStyle w:val="15"/>
              <w:tblW w:w="80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440"/>
              <w:gridCol w:w="299"/>
              <w:gridCol w:w="1255"/>
              <w:gridCol w:w="855"/>
              <w:gridCol w:w="1040"/>
              <w:gridCol w:w="1007"/>
              <w:gridCol w:w="1086"/>
              <w:gridCol w:w="763"/>
              <w:gridCol w:w="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blHeader/>
                <w:jc w:val="center"/>
              </w:trPr>
              <w:tc>
                <w:tcPr>
                  <w:tcW w:w="66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采样日期</w:t>
                  </w: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检测因子</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单位</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车间</w:t>
                  </w:r>
                </w:p>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东部(0~0.2m)</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车间</w:t>
                  </w:r>
                </w:p>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中部(0~0.2m)</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车间</w:t>
                  </w:r>
                </w:p>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西部(0~0.2m)</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评价</w:t>
                  </w:r>
                </w:p>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标准</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2020.07.05</w:t>
                  </w: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9.68</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60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镉</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0.42</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65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六价铬</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5.7</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铜</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30</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18000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铅</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18</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800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汞</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0.030</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38</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镍</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32</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900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挥发性有机物</w:t>
                  </w: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四氯化碳</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2.8</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氯仿</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0.9</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氯甲烷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37</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1,1-二氯乙烷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9</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1,2-二氯乙烷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1,1-二氯乙烯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66</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顺-1,2-二氯乙烯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596</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反-1,2-二氯乙烯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54</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二氯甲烷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616</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1,2-二氯丙烷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1,1,1,2-四氯乙烷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1,1,2,2-四氯乙烷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6.8</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四氯乙烯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53</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1,1,1-三氯乙烷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840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1,1,2-三氯乙烷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2.8</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三氯乙烯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2.8</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 ,2,3-三氯丙烷</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0.5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0.43</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4</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氯苯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270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1，2-二氯苯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560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1,4-二氯苯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乙苯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28</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苯乙烯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1290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甲苯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1200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间二甲苯+对二甲苯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570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邻二甲苯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μg/kg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640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半挥发性有机物</w:t>
                  </w: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硝基苯</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76</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299"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苯胺</w:t>
                  </w:r>
                </w:p>
              </w:tc>
              <w:tc>
                <w:tcPr>
                  <w:tcW w:w="12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4-氯苯胺</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260</w:t>
                  </w:r>
                </w:p>
              </w:tc>
              <w:tc>
                <w:tcPr>
                  <w:tcW w:w="665"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299"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2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2-硝基苯胺</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665"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299"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2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3-硝基苯胺</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665"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299"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2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4-硝基苯胺</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665"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2-氯酚</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2256</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苯并[a]蒽</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苯并[a]芘</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苯并[b]荧蒽</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苯并[k]荧蒽</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151</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䓛</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1293</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二苯并[a,h]蒽</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茚并[1,2,3-cd]芘</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15</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440"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554"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萘</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70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石油烃（C10-C40）</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mg/kg</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未检出</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4500</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666"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p>
              </w:tc>
              <w:tc>
                <w:tcPr>
                  <w:tcW w:w="1994" w:type="dxa"/>
                  <w:gridSpan w:val="3"/>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pH值</w:t>
                  </w:r>
                </w:p>
              </w:tc>
              <w:tc>
                <w:tcPr>
                  <w:tcW w:w="85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无量纲</w:t>
                  </w:r>
                </w:p>
              </w:tc>
              <w:tc>
                <w:tcPr>
                  <w:tcW w:w="10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100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8.25</w:t>
                  </w:r>
                </w:p>
              </w:tc>
              <w:tc>
                <w:tcPr>
                  <w:tcW w:w="108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7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c>
                <w:tcPr>
                  <w:tcW w:w="66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atLeast"/>
                    <w:ind w:left="0" w:leftChars="0" w:right="0" w:rightChars="0" w:firstLine="0" w:firstLineChars="0"/>
                    <w:jc w:val="center"/>
                    <w:textAlignment w:val="center"/>
                    <w:outlineLvl w:val="9"/>
                    <w:rPr>
                      <w:rFonts w:hint="default" w:ascii="Times New Roman" w:hAnsi="Times New Roman" w:eastAsia="宋体" w:cs="Times New Roman"/>
                      <w:b w:val="0"/>
                      <w:bCs w:val="0"/>
                      <w:i w:val="0"/>
                      <w:color w:val="auto"/>
                      <w:kern w:val="0"/>
                      <w:sz w:val="21"/>
                      <w:szCs w:val="21"/>
                      <w:u w:val="none"/>
                      <w:lang w:val="en-US" w:eastAsia="zh-CN" w:bidi="ar"/>
                    </w:rPr>
                  </w:pPr>
                  <w:r>
                    <w:rPr>
                      <w:rFonts w:hint="default" w:ascii="Times New Roman" w:hAnsi="Times New Roman" w:eastAsia="宋体" w:cs="Times New Roman"/>
                      <w:b w:val="0"/>
                      <w:bCs w:val="0"/>
                      <w:i w:val="0"/>
                      <w:color w:val="auto"/>
                      <w:kern w:val="0"/>
                      <w:sz w:val="21"/>
                      <w:szCs w:val="21"/>
                      <w:u w:val="none"/>
                      <w:lang w:val="en-US" w:eastAsia="zh-CN" w:bidi="ar"/>
                    </w:rPr>
                    <w:t>/</w:t>
                  </w:r>
                </w:p>
              </w:tc>
            </w:tr>
          </w:tbl>
          <w:p>
            <w:pPr>
              <w:keepNext w:val="0"/>
              <w:keepLines w:val="0"/>
              <w:pageBreakBefore w:val="0"/>
              <w:widowControl w:val="0"/>
              <w:kinsoku/>
              <w:wordWrap/>
              <w:overflowPunct/>
              <w:topLinePunct w:val="0"/>
              <w:autoSpaceDE/>
              <w:autoSpaceDN/>
              <w:bidi w:val="0"/>
              <w:adjustRightInd/>
              <w:snapToGrid/>
              <w:spacing w:line="420" w:lineRule="exact"/>
              <w:ind w:firstLine="480"/>
              <w:jc w:val="left"/>
              <w:textAlignment w:val="auto"/>
              <w:rPr>
                <w:rFonts w:hint="default" w:ascii="Times New Roman" w:hAnsi="Times New Roman" w:eastAsia="宋体" w:cs="Times New Roman"/>
                <w:lang w:eastAsia="zh-CN"/>
              </w:rPr>
            </w:pPr>
          </w:p>
          <w:p>
            <w:pPr>
              <w:keepNext w:val="0"/>
              <w:keepLines w:val="0"/>
              <w:pageBreakBefore w:val="0"/>
              <w:widowControl w:val="0"/>
              <w:kinsoku/>
              <w:wordWrap/>
              <w:overflowPunct/>
              <w:topLinePunct w:val="0"/>
              <w:autoSpaceDE/>
              <w:autoSpaceDN/>
              <w:bidi w:val="0"/>
              <w:adjustRightInd/>
              <w:snapToGrid/>
              <w:spacing w:line="420" w:lineRule="exact"/>
              <w:ind w:firstLine="480"/>
              <w:jc w:val="left"/>
              <w:textAlignment w:val="auto"/>
              <w:rPr>
                <w:rFonts w:hint="default" w:ascii="Times New Roman" w:hAnsi="Times New Roman" w:eastAsia="宋体" w:cs="Times New Roman"/>
                <w:lang w:eastAsia="zh-CN"/>
              </w:rPr>
            </w:pPr>
            <w:r>
              <w:rPr>
                <w:rFonts w:hint="default" w:ascii="Times New Roman" w:hAnsi="Times New Roman" w:eastAsia="宋体" w:cs="Times New Roman"/>
                <w:lang w:eastAsia="zh-CN"/>
              </w:rPr>
              <w:t>由上表可知，项目车间东部、中部、西部土壤环境质量能够满足《土壤环境质量 建设用地土壤污染风险管控标准》（GB36600-2018）中第二类用地筛选值要求，项目所在区域土壤环境质量良好。</w:t>
            </w:r>
          </w:p>
          <w:p>
            <w:pPr>
              <w:keepNext w:val="0"/>
              <w:keepLines w:val="0"/>
              <w:pageBreakBefore w:val="0"/>
              <w:widowControl w:val="0"/>
              <w:kinsoku/>
              <w:wordWrap/>
              <w:overflowPunct/>
              <w:topLinePunct w:val="0"/>
              <w:autoSpaceDE/>
              <w:autoSpaceDN/>
              <w:bidi w:val="0"/>
              <w:adjustRightInd/>
              <w:snapToGrid/>
              <w:spacing w:line="420" w:lineRule="exact"/>
              <w:ind w:firstLine="482"/>
              <w:jc w:val="left"/>
              <w:textAlignment w:val="auto"/>
              <w:rPr>
                <w:rFonts w:hint="default" w:ascii="Times New Roman" w:hAnsi="Times New Roman" w:cs="Times New Roman"/>
                <w:b/>
              </w:rPr>
            </w:pPr>
            <w:r>
              <w:rPr>
                <w:rFonts w:hint="default" w:ascii="Times New Roman" w:hAnsi="Times New Roman" w:cs="Times New Roman"/>
                <w:b/>
                <w:lang w:val="en-US" w:eastAsia="zh-CN"/>
              </w:rPr>
              <w:t>6</w:t>
            </w:r>
            <w:r>
              <w:rPr>
                <w:rFonts w:hint="default" w:ascii="Times New Roman" w:hAnsi="Times New Roman" w:cs="Times New Roman"/>
                <w:b/>
              </w:rPr>
              <w:t>、生态环境</w:t>
            </w:r>
          </w:p>
          <w:p>
            <w:pPr>
              <w:keepNext w:val="0"/>
              <w:keepLines w:val="0"/>
              <w:pageBreakBefore w:val="0"/>
              <w:widowControl w:val="0"/>
              <w:kinsoku/>
              <w:wordWrap/>
              <w:overflowPunct/>
              <w:topLinePunct w:val="0"/>
              <w:autoSpaceDE/>
              <w:autoSpaceDN/>
              <w:bidi w:val="0"/>
              <w:adjustRightInd/>
              <w:snapToGrid/>
              <w:spacing w:line="420" w:lineRule="exact"/>
              <w:ind w:firstLine="480"/>
              <w:jc w:val="left"/>
              <w:textAlignment w:val="auto"/>
              <w:rPr>
                <w:rFonts w:hint="default" w:ascii="Times New Roman" w:hAnsi="Times New Roman" w:cs="Times New Roman"/>
              </w:rPr>
            </w:pPr>
            <w:r>
              <w:rPr>
                <w:rFonts w:hint="default" w:ascii="Times New Roman" w:hAnsi="Times New Roman" w:cs="Times New Roman"/>
              </w:rPr>
              <w:t>本项目位于</w:t>
            </w:r>
            <w:r>
              <w:rPr>
                <w:rFonts w:hint="default" w:ascii="Times New Roman" w:hAnsi="Times New Roman" w:cs="Times New Roman"/>
                <w:bCs/>
              </w:rPr>
              <w:t>济源市</w:t>
            </w:r>
            <w:r>
              <w:rPr>
                <w:rFonts w:hint="default" w:ascii="Times New Roman" w:hAnsi="Times New Roman" w:cs="Times New Roman"/>
                <w:bCs/>
                <w:lang w:eastAsia="zh-CN"/>
              </w:rPr>
              <w:t>玉川产业集聚区贵金属产业园</w:t>
            </w:r>
            <w:r>
              <w:rPr>
                <w:rFonts w:hint="default" w:ascii="Times New Roman" w:hAnsi="Times New Roman" w:cs="Times New Roman"/>
              </w:rPr>
              <w:t>，现状为城市建成区四周多为企业，人员活动频繁，无国家1、2类保护动物及受国家保护的珍稀濒危植物，也没有自然保护区等需要保护的区域</w:t>
            </w:r>
            <w:r>
              <w:rPr>
                <w:rFonts w:hint="default" w:ascii="Times New Roman" w:hAnsi="Times New Roman" w:cs="Times New Roman"/>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3" w:hRule="atLeast"/>
        </w:trPr>
        <w:tc>
          <w:tcPr>
            <w:tcW w:w="817" w:type="dxa"/>
            <w:noWrap w:val="0"/>
            <w:vAlign w:val="center"/>
          </w:tcPr>
          <w:p>
            <w:pPr>
              <w:adjustRightInd w:val="0"/>
              <w:snapToGrid w:val="0"/>
              <w:spacing w:line="240" w:lineRule="auto"/>
              <w:ind w:left="-72" w:leftChars="-30" w:right="-72" w:rightChars="-30" w:firstLine="0" w:firstLineChars="0"/>
              <w:jc w:val="center"/>
              <w:rPr>
                <w:rFonts w:hint="eastAsia" w:ascii="宋体" w:hAnsi="宋体" w:cs="宋体"/>
                <w:kern w:val="0"/>
                <w:sz w:val="24"/>
                <w:szCs w:val="24"/>
              </w:rPr>
            </w:pPr>
            <w:r>
              <w:rPr>
                <w:rFonts w:hint="eastAsia" w:ascii="宋体" w:hAnsi="宋体" w:cs="宋体"/>
                <w:kern w:val="0"/>
                <w:sz w:val="24"/>
                <w:szCs w:val="24"/>
              </w:rPr>
              <w:t>环境</w:t>
            </w:r>
          </w:p>
          <w:p>
            <w:pPr>
              <w:adjustRightInd w:val="0"/>
              <w:snapToGrid w:val="0"/>
              <w:spacing w:line="240" w:lineRule="auto"/>
              <w:ind w:left="-72" w:leftChars="-30" w:right="-72" w:rightChars="-30" w:firstLine="0" w:firstLineChars="0"/>
              <w:jc w:val="center"/>
              <w:rPr>
                <w:rFonts w:hint="eastAsia" w:ascii="宋体" w:hAnsi="宋体" w:cs="宋体"/>
                <w:kern w:val="0"/>
                <w:sz w:val="24"/>
                <w:szCs w:val="24"/>
              </w:rPr>
            </w:pPr>
            <w:r>
              <w:rPr>
                <w:rFonts w:hint="eastAsia" w:ascii="宋体" w:hAnsi="宋体" w:cs="宋体"/>
                <w:kern w:val="0"/>
                <w:sz w:val="24"/>
                <w:szCs w:val="24"/>
              </w:rPr>
              <w:t>保护</w:t>
            </w:r>
          </w:p>
          <w:p>
            <w:pPr>
              <w:adjustRightInd w:val="0"/>
              <w:snapToGrid w:val="0"/>
              <w:spacing w:line="240" w:lineRule="auto"/>
              <w:ind w:left="-72" w:leftChars="-30" w:right="-72" w:rightChars="-30" w:firstLine="0" w:firstLineChars="0"/>
              <w:jc w:val="center"/>
              <w:rPr>
                <w:rFonts w:hint="eastAsia" w:ascii="宋体" w:hAnsi="宋体" w:cs="宋体"/>
                <w:kern w:val="0"/>
                <w:sz w:val="24"/>
                <w:szCs w:val="24"/>
                <w:highlight w:val="yellow"/>
              </w:rPr>
            </w:pPr>
            <w:r>
              <w:rPr>
                <w:rFonts w:hint="eastAsia" w:ascii="宋体" w:hAnsi="宋体" w:cs="宋体"/>
                <w:kern w:val="0"/>
                <w:sz w:val="24"/>
                <w:szCs w:val="24"/>
              </w:rPr>
              <w:t>目标</w:t>
            </w:r>
          </w:p>
        </w:tc>
        <w:tc>
          <w:tcPr>
            <w:tcW w:w="8244" w:type="dxa"/>
            <w:noWrap w:val="0"/>
            <w:vAlign w:val="center"/>
          </w:tcPr>
          <w:p>
            <w:pPr>
              <w:keepNext w:val="0"/>
              <w:keepLines w:val="0"/>
              <w:pageBreakBefore w:val="0"/>
              <w:widowControl w:val="0"/>
              <w:kinsoku/>
              <w:wordWrap/>
              <w:overflowPunct/>
              <w:topLinePunct w:val="0"/>
              <w:autoSpaceDE/>
              <w:autoSpaceDN/>
              <w:bidi w:val="0"/>
              <w:adjustRightInd w:val="0"/>
              <w:snapToGrid w:val="0"/>
              <w:spacing w:line="480" w:lineRule="exact"/>
              <w:ind w:firstLine="482"/>
              <w:textAlignment w:val="auto"/>
              <w:rPr>
                <w:rFonts w:hint="default" w:ascii="Times New Roman" w:hAnsi="Times New Roman" w:cs="Times New Roman"/>
                <w:sz w:val="21"/>
                <w:szCs w:val="21"/>
                <w:highlight w:val="yellow"/>
              </w:rPr>
            </w:pPr>
            <w:r>
              <w:rPr>
                <w:rFonts w:hint="default" w:ascii="Times New Roman" w:hAnsi="Times New Roman" w:cs="Times New Roman"/>
                <w:kern w:val="0"/>
                <w:sz w:val="24"/>
                <w:szCs w:val="24"/>
                <w:lang w:val="en-US" w:eastAsia="zh-CN"/>
              </w:rPr>
              <w:t>本项目50米范围内无声环境保护目标，项目500米范围内无地表水、地下水及大气环境保护目标</w:t>
            </w:r>
            <w:r>
              <w:rPr>
                <w:rFonts w:hint="default" w:ascii="Times New Roman" w:hAnsi="Times New Roman" w:cs="Times New Roman"/>
                <w:kern w:val="0"/>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02" w:hRule="atLeast"/>
        </w:trPr>
        <w:tc>
          <w:tcPr>
            <w:tcW w:w="817" w:type="dxa"/>
            <w:noWrap w:val="0"/>
            <w:tcMar>
              <w:left w:w="28" w:type="dxa"/>
              <w:right w:w="28" w:type="dxa"/>
            </w:tcMar>
            <w:vAlign w:val="center"/>
          </w:tcPr>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p>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p>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p>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p>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p>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r>
              <w:rPr>
                <w:rFonts w:hint="eastAsia" w:ascii="宋体" w:hAnsi="宋体" w:eastAsia="宋体" w:cs="宋体"/>
                <w:kern w:val="0"/>
                <w:sz w:val="24"/>
                <w:szCs w:val="24"/>
              </w:rPr>
              <w:t>污染物排放标准</w:t>
            </w:r>
          </w:p>
          <w:p>
            <w:pPr>
              <w:pStyle w:val="3"/>
              <w:rPr>
                <w:rFonts w:hint="eastAsia"/>
                <w:sz w:val="24"/>
                <w:szCs w:val="24"/>
              </w:rPr>
            </w:pPr>
          </w:p>
          <w:p>
            <w:pPr>
              <w:rPr>
                <w:rFonts w:hint="eastAsia"/>
                <w:sz w:val="24"/>
                <w:szCs w:val="24"/>
              </w:rPr>
            </w:pPr>
          </w:p>
          <w:p>
            <w:pPr>
              <w:pStyle w:val="3"/>
              <w:rPr>
                <w:rFonts w:hint="eastAsia"/>
                <w:sz w:val="24"/>
                <w:szCs w:val="24"/>
              </w:rPr>
            </w:pPr>
          </w:p>
          <w:p>
            <w:pPr>
              <w:pStyle w:val="6"/>
              <w:ind w:firstLine="0" w:firstLineChars="0"/>
              <w:rPr>
                <w:rFonts w:hint="eastAsia"/>
                <w:sz w:val="24"/>
                <w:szCs w:val="24"/>
                <w:highlight w:val="yellow"/>
                <w:lang w:val="en-US" w:eastAsia="zh-CN"/>
              </w:rPr>
            </w:pPr>
          </w:p>
        </w:tc>
        <w:tc>
          <w:tcPr>
            <w:tcW w:w="8244" w:type="dxa"/>
            <w:noWrap w:val="0"/>
            <w:vAlign w:val="center"/>
          </w:tcPr>
          <w:p>
            <w:pPr>
              <w:spacing w:line="240" w:lineRule="auto"/>
              <w:ind w:left="0" w:leftChars="0" w:firstLine="0" w:firstLineChars="0"/>
              <w:jc w:val="center"/>
              <w:rPr>
                <w:rFonts w:hint="eastAsia" w:ascii="黑体" w:hAnsi="宋体" w:eastAsia="黑体" w:cs="Times New Roman"/>
                <w:sz w:val="24"/>
                <w:szCs w:val="24"/>
              </w:rPr>
            </w:pPr>
            <w:r>
              <w:rPr>
                <w:rFonts w:hint="eastAsia" w:ascii="黑体" w:hAnsi="宋体" w:eastAsia="黑体" w:cs="Times New Roman"/>
                <w:sz w:val="24"/>
                <w:szCs w:val="24"/>
              </w:rPr>
              <w:t>污染物排放标准</w:t>
            </w:r>
          </w:p>
          <w:tbl>
            <w:tblPr>
              <w:tblStyle w:val="16"/>
              <w:tblW w:w="80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2455"/>
              <w:gridCol w:w="557"/>
              <w:gridCol w:w="593"/>
              <w:gridCol w:w="1306"/>
              <w:gridCol w:w="18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eastAsia="zh-CN"/>
                    </w:rPr>
                  </w:pPr>
                  <w:r>
                    <w:rPr>
                      <w:rFonts w:hint="default" w:ascii="Times New Roman" w:hAnsi="Times New Roman" w:eastAsia="宋体" w:cs="Times New Roman"/>
                      <w:kern w:val="0"/>
                      <w:sz w:val="21"/>
                      <w:szCs w:val="21"/>
                      <w:highlight w:val="none"/>
                      <w:vertAlign w:val="baseline"/>
                      <w:lang w:eastAsia="zh-CN"/>
                    </w:rPr>
                    <w:t>环境要素</w:t>
                  </w:r>
                </w:p>
              </w:tc>
              <w:tc>
                <w:tcPr>
                  <w:tcW w:w="2455"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执行标准名称及编号</w:t>
                  </w:r>
                </w:p>
              </w:tc>
              <w:tc>
                <w:tcPr>
                  <w:tcW w:w="2456"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项目</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排放限值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废气</w:t>
                  </w:r>
                </w:p>
              </w:tc>
              <w:tc>
                <w:tcPr>
                  <w:tcW w:w="245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eastAsia="zh-CN"/>
                    </w:rPr>
                    <w:t>《大气污染物综合排放标准》（</w:t>
                  </w:r>
                  <w:r>
                    <w:rPr>
                      <w:rFonts w:hint="eastAsia" w:ascii="Times New Roman" w:hAnsi="Times New Roman" w:eastAsia="宋体" w:cs="Times New Roman"/>
                      <w:kern w:val="0"/>
                      <w:sz w:val="21"/>
                      <w:szCs w:val="21"/>
                      <w:highlight w:val="none"/>
                      <w:vertAlign w:val="baseline"/>
                      <w:lang w:val="en-US" w:eastAsia="zh-CN"/>
                    </w:rPr>
                    <w:t>GB16297-1996</w:t>
                  </w:r>
                  <w:r>
                    <w:rPr>
                      <w:rFonts w:hint="eastAsia" w:ascii="Times New Roman" w:hAnsi="Times New Roman" w:eastAsia="宋体" w:cs="Times New Roman"/>
                      <w:kern w:val="0"/>
                      <w:sz w:val="21"/>
                      <w:szCs w:val="21"/>
                      <w:highlight w:val="none"/>
                      <w:vertAlign w:val="baseline"/>
                      <w:lang w:eastAsia="zh-CN"/>
                    </w:rPr>
                    <w:t>）表</w:t>
                  </w:r>
                  <w:r>
                    <w:rPr>
                      <w:rFonts w:hint="eastAsia" w:ascii="Times New Roman" w:hAnsi="Times New Roman" w:eastAsia="宋体" w:cs="Times New Roman"/>
                      <w:kern w:val="0"/>
                      <w:sz w:val="21"/>
                      <w:szCs w:val="21"/>
                      <w:highlight w:val="none"/>
                      <w:vertAlign w:val="baseline"/>
                      <w:lang w:val="en-US" w:eastAsia="zh-CN"/>
                    </w:rPr>
                    <w:t>2二级</w:t>
                  </w:r>
                </w:p>
              </w:tc>
              <w:tc>
                <w:tcPr>
                  <w:tcW w:w="557"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硫酸雾</w:t>
                  </w:r>
                </w:p>
              </w:tc>
              <w:tc>
                <w:tcPr>
                  <w:tcW w:w="1899"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排放浓度</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45mg/m</w:t>
                  </w:r>
                  <w:r>
                    <w:rPr>
                      <w:rFonts w:hint="eastAsia" w:ascii="Times New Roman" w:hAnsi="Times New Roman" w:eastAsia="宋体" w:cs="Times New Roman"/>
                      <w:kern w:val="0"/>
                      <w:sz w:val="21"/>
                      <w:szCs w:val="21"/>
                      <w:highlight w:val="none"/>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2455"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557"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1899"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排放速率</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1.5kg/h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2455"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557"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1899"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无组织排放浓度</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1.2mg/m</w:t>
                  </w:r>
                  <w:r>
                    <w:rPr>
                      <w:rFonts w:hint="eastAsia" w:ascii="Times New Roman" w:hAnsi="Times New Roman" w:eastAsia="宋体" w:cs="Times New Roman"/>
                      <w:kern w:val="0"/>
                      <w:sz w:val="21"/>
                      <w:szCs w:val="21"/>
                      <w:highlight w:val="none"/>
                      <w:vertAlign w:val="superscript"/>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2455"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557"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1899"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最低允许排放高度</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15m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1260"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噪声</w:t>
                  </w:r>
                </w:p>
              </w:tc>
              <w:tc>
                <w:tcPr>
                  <w:tcW w:w="2455"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eastAsia="zh-CN"/>
                    </w:rPr>
                    <w:t>《工业企业厂界环境噪声排放标准》（</w:t>
                  </w:r>
                  <w:r>
                    <w:rPr>
                      <w:rFonts w:hint="eastAsia" w:ascii="Times New Roman" w:hAnsi="Times New Roman" w:eastAsia="宋体" w:cs="Times New Roman"/>
                      <w:kern w:val="0"/>
                      <w:sz w:val="21"/>
                      <w:szCs w:val="21"/>
                      <w:highlight w:val="none"/>
                      <w:vertAlign w:val="baseline"/>
                      <w:lang w:val="en-US" w:eastAsia="zh-CN"/>
                    </w:rPr>
                    <w:t>GB12348-2008</w:t>
                  </w:r>
                  <w:r>
                    <w:rPr>
                      <w:rFonts w:hint="eastAsia" w:ascii="Times New Roman" w:hAnsi="Times New Roman" w:eastAsia="宋体" w:cs="Times New Roman"/>
                      <w:kern w:val="0"/>
                      <w:sz w:val="21"/>
                      <w:szCs w:val="21"/>
                      <w:highlight w:val="none"/>
                      <w:vertAlign w:val="baseline"/>
                      <w:lang w:eastAsia="zh-CN"/>
                    </w:rPr>
                    <w:t>）</w:t>
                  </w:r>
                  <w:r>
                    <w:rPr>
                      <w:rFonts w:hint="eastAsia" w:ascii="Times New Roman" w:hAnsi="Times New Roman" w:eastAsia="宋体" w:cs="Times New Roman"/>
                      <w:kern w:val="0"/>
                      <w:sz w:val="21"/>
                      <w:szCs w:val="21"/>
                      <w:highlight w:val="none"/>
                      <w:vertAlign w:val="baseline"/>
                      <w:lang w:val="en-US" w:eastAsia="zh-CN"/>
                    </w:rPr>
                    <w:t>3类</w:t>
                  </w:r>
                </w:p>
              </w:tc>
              <w:tc>
                <w:tcPr>
                  <w:tcW w:w="1150" w:type="dxa"/>
                  <w:gridSpan w:val="2"/>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等效声级</w:t>
                  </w:r>
                </w:p>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LAeq</w:t>
                  </w:r>
                </w:p>
              </w:tc>
              <w:tc>
                <w:tcPr>
                  <w:tcW w:w="1306"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昼间</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65dB(A)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p>
              </w:tc>
              <w:tc>
                <w:tcPr>
                  <w:tcW w:w="2455"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1150" w:type="dxa"/>
                  <w:gridSpan w:val="2"/>
                  <w:vMerge w:val="continue"/>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p>
              </w:tc>
              <w:tc>
                <w:tcPr>
                  <w:tcW w:w="1306"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夜间</w:t>
                  </w:r>
                </w:p>
              </w:tc>
              <w:tc>
                <w:tcPr>
                  <w:tcW w:w="1857"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rPr>
                  </w:pPr>
                  <w:r>
                    <w:rPr>
                      <w:rFonts w:hint="eastAsia" w:ascii="Times New Roman" w:hAnsi="Times New Roman" w:eastAsia="宋体" w:cs="Times New Roman"/>
                      <w:kern w:val="0"/>
                      <w:sz w:val="21"/>
                      <w:szCs w:val="21"/>
                      <w:highlight w:val="none"/>
                      <w:vertAlign w:val="baseline"/>
                      <w:lang w:val="en-US" w:eastAsia="zh-CN"/>
                    </w:rPr>
                    <w:t>55dB(A)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260" w:type="dxa"/>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eastAsia" w:ascii="Times New Roman" w:hAnsi="Times New Roman" w:eastAsia="宋体" w:cs="Times New Roman"/>
                      <w:kern w:val="0"/>
                      <w:sz w:val="21"/>
                      <w:szCs w:val="21"/>
                      <w:highlight w:val="none"/>
                      <w:vertAlign w:val="baseline"/>
                      <w:lang w:eastAsia="zh-CN"/>
                    </w:rPr>
                  </w:pPr>
                  <w:r>
                    <w:rPr>
                      <w:rFonts w:hint="eastAsia" w:ascii="Times New Roman" w:hAnsi="Times New Roman" w:eastAsia="宋体" w:cs="Times New Roman"/>
                      <w:kern w:val="0"/>
                      <w:sz w:val="21"/>
                      <w:szCs w:val="21"/>
                      <w:highlight w:val="none"/>
                      <w:vertAlign w:val="baseline"/>
                      <w:lang w:eastAsia="zh-CN"/>
                    </w:rPr>
                    <w:t>固废</w:t>
                  </w:r>
                </w:p>
              </w:tc>
              <w:tc>
                <w:tcPr>
                  <w:tcW w:w="6768" w:type="dxa"/>
                  <w:gridSpan w:val="5"/>
                  <w:vAlign w:val="center"/>
                </w:tcPr>
                <w:p>
                  <w:pPr>
                    <w:keepNext w:val="0"/>
                    <w:keepLines w:val="0"/>
                    <w:pageBreakBefore w:val="0"/>
                    <w:widowControl w:val="0"/>
                    <w:kinsoku/>
                    <w:wordWrap/>
                    <w:overflowPunct/>
                    <w:topLinePunct w:val="0"/>
                    <w:autoSpaceDE/>
                    <w:autoSpaceDN/>
                    <w:bidi w:val="0"/>
                    <w:adjustRightInd w:val="0"/>
                    <w:snapToGrid w:val="0"/>
                    <w:spacing w:line="240" w:lineRule="exact"/>
                    <w:ind w:left="0" w:leftChars="0" w:firstLine="0" w:firstLineChars="0"/>
                    <w:jc w:val="center"/>
                    <w:textAlignment w:val="auto"/>
                    <w:rPr>
                      <w:rFonts w:hint="default" w:ascii="Times New Roman" w:hAnsi="Times New Roman" w:eastAsia="宋体" w:cs="Times New Roman"/>
                      <w:kern w:val="0"/>
                      <w:sz w:val="21"/>
                      <w:szCs w:val="21"/>
                      <w:highlight w:val="none"/>
                      <w:vertAlign w:val="baseline"/>
                      <w:lang w:val="en-US" w:eastAsia="zh-CN"/>
                    </w:rPr>
                  </w:pPr>
                  <w:r>
                    <w:rPr>
                      <w:rFonts w:hint="eastAsia" w:ascii="Times New Roman" w:hAnsi="Times New Roman" w:eastAsia="宋体" w:cs="Times New Roman"/>
                      <w:kern w:val="0"/>
                      <w:sz w:val="21"/>
                      <w:szCs w:val="21"/>
                      <w:highlight w:val="none"/>
                      <w:vertAlign w:val="baseline"/>
                      <w:lang w:val="en-US" w:eastAsia="zh-CN"/>
                    </w:rPr>
                    <w:t>《危险废物贮存污染控制标准》（GB18597-2001）及2013年修改单</w:t>
                  </w:r>
                </w:p>
              </w:tc>
            </w:tr>
          </w:tbl>
          <w:p>
            <w:pPr>
              <w:adjustRightInd w:val="0"/>
              <w:snapToGrid w:val="0"/>
              <w:ind w:firstLine="0" w:firstLineChars="0"/>
              <w:jc w:val="left"/>
              <w:rPr>
                <w:rFonts w:hint="eastAsia" w:ascii="宋体" w:hAnsi="宋体" w:cs="宋体"/>
                <w:kern w:val="0"/>
                <w:szCs w:val="21"/>
                <w:highlight w:val="yellow"/>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690" w:hRule="atLeast"/>
        </w:trPr>
        <w:tc>
          <w:tcPr>
            <w:tcW w:w="817" w:type="dxa"/>
            <w:noWrap w:val="0"/>
            <w:tcMar>
              <w:left w:w="28" w:type="dxa"/>
              <w:right w:w="28" w:type="dxa"/>
            </w:tcMar>
            <w:vAlign w:val="center"/>
          </w:tcPr>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r>
              <w:rPr>
                <w:rFonts w:hint="eastAsia" w:ascii="宋体" w:hAnsi="宋体" w:eastAsia="宋体" w:cs="宋体"/>
                <w:kern w:val="0"/>
                <w:sz w:val="24"/>
                <w:szCs w:val="24"/>
              </w:rPr>
              <w:t>总量</w:t>
            </w:r>
          </w:p>
          <w:p>
            <w:pPr>
              <w:adjustRightInd w:val="0"/>
              <w:snapToGrid w:val="0"/>
              <w:spacing w:line="240" w:lineRule="auto"/>
              <w:ind w:left="-72" w:leftChars="-30" w:right="-72" w:rightChars="-30" w:firstLine="0" w:firstLineChars="0"/>
              <w:jc w:val="center"/>
              <w:rPr>
                <w:rFonts w:hint="eastAsia" w:ascii="宋体" w:hAnsi="宋体" w:eastAsia="宋体" w:cs="宋体"/>
                <w:kern w:val="0"/>
                <w:sz w:val="24"/>
                <w:szCs w:val="24"/>
              </w:rPr>
            </w:pPr>
            <w:r>
              <w:rPr>
                <w:rFonts w:hint="eastAsia" w:ascii="宋体" w:hAnsi="宋体" w:eastAsia="宋体" w:cs="宋体"/>
                <w:kern w:val="0"/>
                <w:sz w:val="24"/>
                <w:szCs w:val="24"/>
              </w:rPr>
              <w:t>控制</w:t>
            </w:r>
          </w:p>
          <w:p>
            <w:pPr>
              <w:adjustRightInd w:val="0"/>
              <w:snapToGrid w:val="0"/>
              <w:spacing w:line="240" w:lineRule="auto"/>
              <w:ind w:left="-72" w:leftChars="-30" w:right="-72" w:rightChars="-30" w:firstLine="0" w:firstLineChars="0"/>
              <w:jc w:val="center"/>
              <w:rPr>
                <w:rFonts w:hint="eastAsia" w:ascii="宋体" w:hAnsi="宋体" w:cs="宋体"/>
                <w:kern w:val="0"/>
                <w:highlight w:val="none"/>
              </w:rPr>
            </w:pPr>
            <w:r>
              <w:rPr>
                <w:rFonts w:hint="eastAsia" w:ascii="宋体" w:hAnsi="宋体" w:eastAsia="宋体" w:cs="宋体"/>
                <w:kern w:val="0"/>
                <w:sz w:val="24"/>
                <w:szCs w:val="24"/>
              </w:rPr>
              <w:t>指标</w:t>
            </w:r>
          </w:p>
        </w:tc>
        <w:tc>
          <w:tcPr>
            <w:tcW w:w="8244" w:type="dxa"/>
            <w:noWrap w:val="0"/>
            <w:vAlign w:val="center"/>
          </w:tcPr>
          <w:p>
            <w:pPr>
              <w:spacing w:line="240" w:lineRule="auto"/>
              <w:ind w:firstLine="420"/>
              <w:rPr>
                <w:sz w:val="21"/>
                <w:szCs w:val="21"/>
                <w:highlight w:val="none"/>
              </w:rPr>
            </w:pPr>
          </w:p>
          <w:p>
            <w:pPr>
              <w:adjustRightInd w:val="0"/>
              <w:snapToGrid w:val="0"/>
              <w:spacing w:line="240" w:lineRule="auto"/>
              <w:ind w:firstLine="0" w:firstLineChars="0"/>
              <w:jc w:val="both"/>
              <w:rPr>
                <w:rFonts w:hint="eastAsia"/>
                <w:b/>
                <w:bCs/>
                <w:highlight w:val="none"/>
              </w:rPr>
            </w:pPr>
            <w:r>
              <w:rPr>
                <w:rFonts w:hint="eastAsia" w:cs="Times New Roman"/>
                <w:sz w:val="21"/>
                <w:szCs w:val="21"/>
                <w:highlight w:val="none"/>
                <w:lang w:eastAsia="zh-CN"/>
              </w:rPr>
              <w:t>本项目不涉及总量控制污染物排放。</w:t>
            </w:r>
          </w:p>
        </w:tc>
      </w:tr>
    </w:tbl>
    <w:p>
      <w:pPr>
        <w:pStyle w:val="12"/>
        <w:spacing w:line="240" w:lineRule="auto"/>
        <w:ind w:firstLine="0" w:firstLineChars="0"/>
        <w:jc w:val="center"/>
        <w:outlineLvl w:val="0"/>
        <w:rPr>
          <w:rFonts w:ascii="黑体" w:hAnsi="黑体" w:eastAsia="黑体"/>
          <w:snapToGrid w:val="0"/>
          <w:sz w:val="30"/>
          <w:szCs w:val="30"/>
        </w:rPr>
      </w:pPr>
      <w:r>
        <w:rPr>
          <w:rFonts w:ascii="黑体" w:hAnsi="黑体" w:eastAsia="黑体"/>
          <w:snapToGrid w:val="0"/>
          <w:sz w:val="36"/>
          <w:szCs w:val="36"/>
          <w:highlight w:val="yellow"/>
        </w:rPr>
        <w:br w:type="page"/>
      </w:r>
      <w:r>
        <w:rPr>
          <w:rFonts w:hint="eastAsia" w:ascii="黑体" w:hAnsi="黑体" w:eastAsia="黑体"/>
          <w:snapToGrid w:val="0"/>
          <w:sz w:val="30"/>
          <w:szCs w:val="30"/>
        </w:rPr>
        <w:t>四、主要环境影响和保护措施</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46"/>
        <w:gridCol w:w="81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17" w:hRule="atLeast"/>
          <w:jc w:val="center"/>
        </w:trPr>
        <w:tc>
          <w:tcPr>
            <w:tcW w:w="746" w:type="dxa"/>
            <w:noWrap w:val="0"/>
            <w:tcMar>
              <w:left w:w="28" w:type="dxa"/>
              <w:right w:w="28" w:type="dxa"/>
            </w:tcMar>
            <w:vAlign w:val="center"/>
          </w:tcPr>
          <w:p>
            <w:pPr>
              <w:pStyle w:val="12"/>
              <w:adjustRightInd w:val="0"/>
              <w:snapToGrid w:val="0"/>
              <w:spacing w:before="0" w:beforeAutospacing="0" w:after="0" w:afterAutospacing="0"/>
              <w:ind w:left="-72" w:leftChars="-30" w:right="-72" w:rightChars="-30" w:firstLine="0" w:firstLineChars="0"/>
              <w:jc w:val="center"/>
              <w:rPr>
                <w:rFonts w:hint="eastAsia" w:cs="宋体"/>
                <w:kern w:val="2"/>
                <w:szCs w:val="24"/>
                <w:lang w:val="en-US" w:eastAsia="zh-CN"/>
              </w:rPr>
            </w:pPr>
            <w:r>
              <w:rPr>
                <w:rFonts w:hint="eastAsia" w:cs="宋体"/>
                <w:kern w:val="2"/>
                <w:szCs w:val="24"/>
                <w:lang w:val="en-US" w:eastAsia="zh-CN"/>
              </w:rPr>
              <w:t>施工</w:t>
            </w:r>
          </w:p>
          <w:p>
            <w:pPr>
              <w:pStyle w:val="12"/>
              <w:adjustRightInd w:val="0"/>
              <w:snapToGrid w:val="0"/>
              <w:spacing w:before="0" w:beforeAutospacing="0" w:after="0" w:afterAutospacing="0"/>
              <w:ind w:left="-72" w:leftChars="-30" w:right="-72" w:rightChars="-30" w:firstLine="0" w:firstLineChars="0"/>
              <w:jc w:val="center"/>
              <w:rPr>
                <w:rFonts w:hint="eastAsia" w:cs="宋体"/>
                <w:kern w:val="2"/>
                <w:szCs w:val="24"/>
                <w:lang w:val="en-US" w:eastAsia="zh-CN"/>
              </w:rPr>
            </w:pPr>
            <w:r>
              <w:rPr>
                <w:rFonts w:hint="eastAsia" w:cs="宋体"/>
                <w:kern w:val="2"/>
                <w:szCs w:val="24"/>
                <w:lang w:val="en-US" w:eastAsia="zh-CN"/>
              </w:rPr>
              <w:t>期环</w:t>
            </w:r>
          </w:p>
          <w:p>
            <w:pPr>
              <w:pStyle w:val="12"/>
              <w:adjustRightInd w:val="0"/>
              <w:snapToGrid w:val="0"/>
              <w:spacing w:before="0" w:beforeAutospacing="0" w:after="0" w:afterAutospacing="0"/>
              <w:ind w:left="-72" w:leftChars="-30" w:right="-72" w:rightChars="-30" w:firstLine="0" w:firstLineChars="0"/>
              <w:jc w:val="center"/>
              <w:rPr>
                <w:rFonts w:hint="eastAsia" w:cs="宋体"/>
                <w:kern w:val="2"/>
                <w:szCs w:val="24"/>
                <w:lang w:val="en-US" w:eastAsia="zh-CN"/>
              </w:rPr>
            </w:pPr>
            <w:r>
              <w:rPr>
                <w:rFonts w:hint="eastAsia" w:cs="宋体"/>
                <w:kern w:val="2"/>
                <w:szCs w:val="24"/>
                <w:lang w:val="en-US" w:eastAsia="zh-CN"/>
              </w:rPr>
              <w:t>境保</w:t>
            </w:r>
          </w:p>
          <w:p>
            <w:pPr>
              <w:pStyle w:val="12"/>
              <w:adjustRightInd w:val="0"/>
              <w:snapToGrid w:val="0"/>
              <w:spacing w:before="0" w:beforeAutospacing="0" w:after="0" w:afterAutospacing="0"/>
              <w:ind w:left="-72" w:leftChars="-30" w:right="-72" w:rightChars="-30" w:firstLine="0" w:firstLineChars="0"/>
              <w:jc w:val="center"/>
              <w:rPr>
                <w:rFonts w:hint="eastAsia" w:cs="宋体"/>
                <w:kern w:val="2"/>
                <w:szCs w:val="24"/>
                <w:lang w:val="en-US" w:eastAsia="zh-CN"/>
              </w:rPr>
            </w:pPr>
            <w:r>
              <w:rPr>
                <w:rFonts w:hint="eastAsia" w:cs="宋体"/>
                <w:kern w:val="2"/>
                <w:szCs w:val="24"/>
                <w:lang w:val="en-US" w:eastAsia="zh-CN"/>
              </w:rPr>
              <w:t>护措</w:t>
            </w:r>
          </w:p>
          <w:p>
            <w:pPr>
              <w:pStyle w:val="12"/>
              <w:adjustRightInd w:val="0"/>
              <w:snapToGrid w:val="0"/>
              <w:spacing w:before="0" w:beforeAutospacing="0" w:after="0" w:afterAutospacing="0"/>
              <w:ind w:left="-72" w:leftChars="-30" w:right="-72" w:rightChars="-30" w:firstLine="0" w:firstLineChars="0"/>
              <w:jc w:val="center"/>
              <w:rPr>
                <w:rFonts w:hint="eastAsia" w:cs="宋体"/>
                <w:bCs/>
                <w:kern w:val="2"/>
                <w:szCs w:val="24"/>
                <w:lang w:val="en-US" w:eastAsia="zh-CN"/>
              </w:rPr>
            </w:pPr>
            <w:r>
              <w:rPr>
                <w:rFonts w:hint="eastAsia" w:cs="宋体"/>
                <w:kern w:val="2"/>
                <w:szCs w:val="24"/>
                <w:lang w:val="en-US" w:eastAsia="zh-CN"/>
              </w:rPr>
              <w:t>施</w:t>
            </w:r>
          </w:p>
        </w:tc>
        <w:tc>
          <w:tcPr>
            <w:tcW w:w="8162" w:type="dxa"/>
            <w:noWrap w:val="0"/>
            <w:vAlign w:val="center"/>
          </w:tcPr>
          <w:p>
            <w:pPr>
              <w:ind w:firstLine="480"/>
            </w:pPr>
            <w:r>
              <w:rPr>
                <w:szCs w:val="22"/>
              </w:rPr>
              <w:t>该项目为</w:t>
            </w:r>
            <w:r>
              <w:rPr>
                <w:rFonts w:hint="eastAsia"/>
                <w:szCs w:val="22"/>
              </w:rPr>
              <w:t>利用</w:t>
            </w:r>
            <w:r>
              <w:rPr>
                <w:szCs w:val="22"/>
              </w:rPr>
              <w:t>现有厂房，施工期主要为设备安装和调试，施工期影响较小，因此不再对施工期进行分析。</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10" w:hRule="atLeast"/>
          <w:jc w:val="center"/>
        </w:trPr>
        <w:tc>
          <w:tcPr>
            <w:tcW w:w="746" w:type="dxa"/>
            <w:noWrap w:val="0"/>
            <w:tcMar>
              <w:left w:w="28" w:type="dxa"/>
              <w:right w:w="28" w:type="dxa"/>
            </w:tcMar>
            <w:vAlign w:val="center"/>
          </w:tcPr>
          <w:p>
            <w:pPr>
              <w:adjustRightInd w:val="0"/>
              <w:snapToGrid w:val="0"/>
              <w:ind w:left="-72" w:leftChars="-30" w:right="-72" w:rightChars="-30" w:firstLine="0" w:firstLineChars="0"/>
              <w:jc w:val="center"/>
              <w:rPr>
                <w:rFonts w:hint="eastAsia" w:ascii="宋体" w:hAnsi="宋体" w:cs="宋体"/>
                <w:bCs/>
              </w:rPr>
            </w:pPr>
            <w:r>
              <w:rPr>
                <w:rFonts w:hint="eastAsia" w:ascii="宋体" w:hAnsi="宋体" w:cs="宋体"/>
                <w:bCs/>
              </w:rPr>
              <w:t>运营</w:t>
            </w:r>
          </w:p>
          <w:p>
            <w:pPr>
              <w:adjustRightInd w:val="0"/>
              <w:snapToGrid w:val="0"/>
              <w:ind w:left="-72" w:leftChars="-30" w:right="-72" w:rightChars="-30" w:firstLine="0" w:firstLineChars="0"/>
              <w:jc w:val="center"/>
              <w:rPr>
                <w:rFonts w:hint="eastAsia" w:ascii="宋体" w:hAnsi="宋体" w:cs="宋体"/>
                <w:bCs/>
              </w:rPr>
            </w:pPr>
            <w:r>
              <w:rPr>
                <w:rFonts w:hint="eastAsia" w:ascii="宋体" w:hAnsi="宋体" w:cs="宋体"/>
                <w:bCs/>
              </w:rPr>
              <w:t>期环</w:t>
            </w:r>
          </w:p>
          <w:p>
            <w:pPr>
              <w:adjustRightInd w:val="0"/>
              <w:snapToGrid w:val="0"/>
              <w:ind w:left="-72" w:leftChars="-30" w:right="-72" w:rightChars="-30" w:firstLine="0" w:firstLineChars="0"/>
              <w:jc w:val="center"/>
              <w:rPr>
                <w:rFonts w:hint="eastAsia" w:ascii="宋体" w:hAnsi="宋体" w:cs="宋体"/>
                <w:bCs/>
              </w:rPr>
            </w:pPr>
            <w:r>
              <w:rPr>
                <w:rFonts w:hint="eastAsia" w:ascii="宋体" w:hAnsi="宋体" w:cs="宋体"/>
                <w:bCs/>
              </w:rPr>
              <w:t>境影</w:t>
            </w:r>
          </w:p>
          <w:p>
            <w:pPr>
              <w:adjustRightInd w:val="0"/>
              <w:snapToGrid w:val="0"/>
              <w:ind w:left="-72" w:leftChars="-30" w:right="-72" w:rightChars="-30" w:firstLine="0" w:firstLineChars="0"/>
              <w:jc w:val="center"/>
              <w:rPr>
                <w:rFonts w:hint="eastAsia" w:ascii="宋体" w:hAnsi="宋体" w:cs="宋体"/>
                <w:bCs/>
              </w:rPr>
            </w:pPr>
            <w:r>
              <w:rPr>
                <w:rFonts w:hint="eastAsia" w:ascii="宋体" w:hAnsi="宋体" w:cs="宋体"/>
                <w:bCs/>
              </w:rPr>
              <w:t>响和</w:t>
            </w:r>
          </w:p>
          <w:p>
            <w:pPr>
              <w:adjustRightInd w:val="0"/>
              <w:snapToGrid w:val="0"/>
              <w:ind w:left="-72" w:leftChars="-30" w:right="-72" w:rightChars="-30" w:firstLine="0" w:firstLineChars="0"/>
              <w:jc w:val="center"/>
              <w:rPr>
                <w:rFonts w:hint="eastAsia" w:ascii="宋体" w:hAnsi="宋体" w:cs="宋体"/>
                <w:bCs/>
              </w:rPr>
            </w:pPr>
            <w:r>
              <w:rPr>
                <w:rFonts w:hint="eastAsia" w:ascii="宋体" w:hAnsi="宋体" w:cs="宋体"/>
                <w:bCs/>
              </w:rPr>
              <w:t>保护</w:t>
            </w:r>
          </w:p>
          <w:p>
            <w:pPr>
              <w:adjustRightInd w:val="0"/>
              <w:snapToGrid w:val="0"/>
              <w:ind w:left="-72" w:leftChars="-30" w:right="-72" w:rightChars="-30" w:firstLine="0" w:firstLineChars="0"/>
              <w:jc w:val="center"/>
              <w:rPr>
                <w:rFonts w:ascii="宋体" w:hAnsi="宋体" w:cs="宋体"/>
                <w:bCs/>
                <w:highlight w:val="yellow"/>
              </w:rPr>
            </w:pPr>
            <w:r>
              <w:rPr>
                <w:rFonts w:hint="eastAsia" w:ascii="宋体" w:hAnsi="宋体" w:cs="宋体"/>
                <w:bCs/>
              </w:rPr>
              <w:t>措施</w:t>
            </w:r>
          </w:p>
        </w:tc>
        <w:tc>
          <w:tcPr>
            <w:tcW w:w="8162" w:type="dxa"/>
            <w:noWrap w:val="0"/>
            <w:vAlign w:val="center"/>
          </w:tcPr>
          <w:p>
            <w:pPr>
              <w:keepNext w:val="0"/>
              <w:keepLines w:val="0"/>
              <w:pageBreakBefore w:val="0"/>
              <w:kinsoku/>
              <w:wordWrap/>
              <w:overflowPunct/>
              <w:topLinePunct w:val="0"/>
              <w:autoSpaceDE/>
              <w:autoSpaceDN/>
              <w:bidi w:val="0"/>
              <w:adjustRightInd w:val="0"/>
              <w:snapToGrid w:val="0"/>
              <w:spacing w:line="480" w:lineRule="exact"/>
              <w:ind w:firstLine="442"/>
              <w:textAlignment w:val="auto"/>
              <w:rPr>
                <w:rFonts w:hint="eastAsia" w:ascii="宋体" w:hAnsi="宋体" w:eastAsia="宋体" w:cs="宋体"/>
                <w:b/>
                <w:bCs/>
                <w:spacing w:val="-10"/>
                <w:szCs w:val="21"/>
                <w:highlight w:val="none"/>
                <w:lang w:eastAsia="zh-CN"/>
              </w:rPr>
            </w:pPr>
            <w:r>
              <w:rPr>
                <w:rFonts w:ascii="宋体" w:hAnsi="宋体" w:cs="宋体"/>
                <w:b/>
                <w:bCs/>
                <w:spacing w:val="-10"/>
                <w:szCs w:val="21"/>
                <w:highlight w:val="none"/>
              </w:rPr>
              <w:t>1</w:t>
            </w:r>
            <w:r>
              <w:rPr>
                <w:rFonts w:hint="eastAsia" w:ascii="宋体" w:hAnsi="宋体" w:cs="宋体"/>
                <w:b/>
                <w:bCs/>
                <w:spacing w:val="-10"/>
                <w:szCs w:val="21"/>
                <w:highlight w:val="none"/>
              </w:rPr>
              <w:t>、</w:t>
            </w:r>
            <w:r>
              <w:rPr>
                <w:rFonts w:hint="eastAsia" w:ascii="宋体" w:hAnsi="宋体" w:cs="宋体"/>
                <w:b/>
                <w:bCs/>
                <w:spacing w:val="-10"/>
                <w:szCs w:val="21"/>
                <w:highlight w:val="none"/>
                <w:lang w:eastAsia="zh-CN"/>
              </w:rPr>
              <w:t>大气环境影响分析</w:t>
            </w:r>
          </w:p>
          <w:p>
            <w:pPr>
              <w:keepNext w:val="0"/>
              <w:keepLines w:val="0"/>
              <w:pageBreakBefore w:val="0"/>
              <w:kinsoku/>
              <w:wordWrap/>
              <w:overflowPunct/>
              <w:topLinePunct w:val="0"/>
              <w:autoSpaceDE/>
              <w:autoSpaceDN/>
              <w:bidi w:val="0"/>
              <w:adjustRightInd w:val="0"/>
              <w:snapToGrid w:val="0"/>
              <w:spacing w:line="480" w:lineRule="exact"/>
              <w:ind w:firstLine="442"/>
              <w:textAlignment w:val="auto"/>
              <w:rPr>
                <w:rFonts w:hint="default" w:ascii="Times New Roman" w:hAnsi="Times New Roman" w:eastAsia="宋体" w:cs="Times New Roman"/>
                <w:b w:val="0"/>
                <w:bCs w:val="0"/>
                <w:spacing w:val="-10"/>
                <w:szCs w:val="21"/>
                <w:highlight w:val="none"/>
                <w:lang w:val="en-US" w:eastAsia="zh-CN"/>
              </w:rPr>
            </w:pPr>
            <w:r>
              <w:rPr>
                <w:rFonts w:hint="default" w:ascii="Times New Roman" w:hAnsi="Times New Roman" w:eastAsia="宋体" w:cs="Times New Roman"/>
                <w:b w:val="0"/>
                <w:bCs w:val="0"/>
                <w:spacing w:val="-10"/>
                <w:szCs w:val="21"/>
                <w:highlight w:val="none"/>
                <w:lang w:val="en-US" w:eastAsia="zh-CN"/>
              </w:rPr>
              <w:t>1.1源强分析</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highlight w:val="none"/>
              </w:rPr>
            </w:pPr>
            <w:r>
              <w:rPr>
                <w:rFonts w:ascii="宋体" w:hAnsi="宋体" w:eastAsia="宋体" w:cs="宋体"/>
                <w:spacing w:val="-7"/>
                <w:sz w:val="24"/>
                <w:szCs w:val="24"/>
              </w:rPr>
              <w:t>铅酸蓄电池主要由正极板</w:t>
            </w:r>
            <w:r>
              <w:rPr>
                <w:rFonts w:ascii="宋体" w:hAnsi="宋体" w:eastAsia="宋体" w:cs="宋体"/>
                <w:spacing w:val="-26"/>
                <w:sz w:val="24"/>
                <w:szCs w:val="24"/>
              </w:rPr>
              <w:t xml:space="preserve"> </w:t>
            </w:r>
            <w:r>
              <w:rPr>
                <w:rFonts w:ascii="Times New Roman" w:hAnsi="Times New Roman" w:eastAsia="Times New Roman" w:cs="Times New Roman"/>
                <w:spacing w:val="-7"/>
                <w:sz w:val="24"/>
                <w:szCs w:val="24"/>
              </w:rPr>
              <w:t>PbO</w:t>
            </w:r>
            <w:r>
              <w:rPr>
                <w:rFonts w:ascii="Times New Roman" w:hAnsi="Times New Roman" w:eastAsia="Times New Roman" w:cs="Times New Roman"/>
                <w:spacing w:val="-7"/>
                <w:position w:val="-1"/>
                <w:sz w:val="16"/>
                <w:szCs w:val="16"/>
              </w:rPr>
              <w:t>2</w:t>
            </w:r>
            <w:r>
              <w:rPr>
                <w:rFonts w:ascii="宋体" w:hAnsi="宋体" w:eastAsia="宋体" w:cs="宋体"/>
                <w:spacing w:val="-7"/>
                <w:sz w:val="24"/>
                <w:szCs w:val="24"/>
              </w:rPr>
              <w:t>、负极板</w:t>
            </w:r>
            <w:r>
              <w:rPr>
                <w:rFonts w:ascii="宋体" w:hAnsi="宋体" w:eastAsia="宋体" w:cs="宋体"/>
                <w:spacing w:val="-56"/>
                <w:sz w:val="24"/>
                <w:szCs w:val="24"/>
              </w:rPr>
              <w:t xml:space="preserve"> </w:t>
            </w:r>
            <w:r>
              <w:rPr>
                <w:rFonts w:ascii="Times New Roman" w:hAnsi="Times New Roman" w:eastAsia="Times New Roman" w:cs="Times New Roman"/>
                <w:spacing w:val="-7"/>
                <w:sz w:val="24"/>
                <w:szCs w:val="24"/>
              </w:rPr>
              <w:t>Pb</w:t>
            </w:r>
            <w:r>
              <w:rPr>
                <w:rFonts w:ascii="宋体" w:hAnsi="宋体" w:eastAsia="宋体" w:cs="宋体"/>
                <w:spacing w:val="-7"/>
                <w:sz w:val="24"/>
                <w:szCs w:val="24"/>
              </w:rPr>
              <w:t>及中间隔板的电解液（</w:t>
            </w:r>
            <w:r>
              <w:rPr>
                <w:rFonts w:ascii="Times New Roman" w:hAnsi="Times New Roman" w:eastAsia="Times New Roman" w:cs="Times New Roman"/>
                <w:spacing w:val="-7"/>
                <w:sz w:val="24"/>
                <w:szCs w:val="24"/>
              </w:rPr>
              <w:t>H</w:t>
            </w:r>
            <w:r>
              <w:rPr>
                <w:rFonts w:ascii="Times New Roman" w:hAnsi="Times New Roman" w:eastAsia="Times New Roman" w:cs="Times New Roman"/>
                <w:spacing w:val="-7"/>
                <w:position w:val="-1"/>
                <w:sz w:val="16"/>
                <w:szCs w:val="16"/>
              </w:rPr>
              <w:t>2</w:t>
            </w:r>
            <w:r>
              <w:rPr>
                <w:rFonts w:ascii="Times New Roman" w:hAnsi="Times New Roman" w:eastAsia="Times New Roman" w:cs="Times New Roman"/>
                <w:spacing w:val="-7"/>
                <w:sz w:val="24"/>
                <w:szCs w:val="24"/>
              </w:rPr>
              <w:t>SO</w:t>
            </w:r>
            <w:r>
              <w:rPr>
                <w:rFonts w:ascii="Times New Roman" w:hAnsi="Times New Roman" w:eastAsia="Times New Roman" w:cs="Times New Roman"/>
                <w:spacing w:val="-7"/>
                <w:position w:val="-1"/>
                <w:sz w:val="16"/>
                <w:szCs w:val="16"/>
              </w:rPr>
              <w:t>4</w:t>
            </w:r>
            <w:r>
              <w:rPr>
                <w:rFonts w:ascii="宋体" w:hAnsi="宋体" w:eastAsia="宋体" w:cs="宋体"/>
                <w:spacing w:val="-7"/>
                <w:sz w:val="24"/>
                <w:szCs w:val="24"/>
              </w:rPr>
              <w:t>）</w:t>
            </w:r>
            <w:r>
              <w:rPr>
                <w:rFonts w:ascii="宋体" w:hAnsi="宋体" w:eastAsia="宋体" w:cs="宋体"/>
                <w:sz w:val="24"/>
                <w:szCs w:val="24"/>
              </w:rPr>
              <w:t xml:space="preserve"> </w:t>
            </w:r>
            <w:r>
              <w:rPr>
                <w:rFonts w:ascii="宋体" w:hAnsi="宋体" w:eastAsia="宋体" w:cs="宋体"/>
                <w:spacing w:val="1"/>
                <w:sz w:val="24"/>
                <w:szCs w:val="24"/>
              </w:rPr>
              <w:t>组成，由于废铅酸蓄电池</w:t>
            </w:r>
            <w:r>
              <w:rPr>
                <w:rFonts w:hint="eastAsia" w:ascii="宋体" w:hAnsi="宋体" w:eastAsia="宋体" w:cs="宋体"/>
                <w:spacing w:val="1"/>
                <w:sz w:val="24"/>
                <w:szCs w:val="24"/>
                <w:lang w:eastAsia="zh-CN"/>
              </w:rPr>
              <w:t>中</w:t>
            </w:r>
            <w:r>
              <w:rPr>
                <w:rFonts w:ascii="宋体" w:hAnsi="宋体" w:eastAsia="宋体" w:cs="宋体"/>
                <w:spacing w:val="1"/>
                <w:sz w:val="24"/>
                <w:szCs w:val="24"/>
              </w:rPr>
              <w:t>铅基本转化成不可逆硫酸盐化的硫酸铅，即使含</w:t>
            </w:r>
            <w:r>
              <w:rPr>
                <w:rFonts w:ascii="宋体" w:hAnsi="宋体" w:eastAsia="宋体" w:cs="宋体"/>
                <w:spacing w:val="13"/>
                <w:sz w:val="24"/>
                <w:szCs w:val="24"/>
              </w:rPr>
              <w:t xml:space="preserve">  </w:t>
            </w:r>
            <w:r>
              <w:rPr>
                <w:rFonts w:ascii="宋体" w:hAnsi="宋体" w:eastAsia="宋体" w:cs="宋体"/>
                <w:spacing w:val="1"/>
                <w:sz w:val="24"/>
                <w:szCs w:val="24"/>
              </w:rPr>
              <w:t>有少量的二氧化铅也是被硫酸铅严重腐蚀，被包在硫酸铅晶体中，基本不会</w:t>
            </w:r>
            <w:r>
              <w:rPr>
                <w:rFonts w:ascii="宋体" w:hAnsi="宋体" w:eastAsia="宋体" w:cs="宋体"/>
                <w:spacing w:val="13"/>
                <w:sz w:val="24"/>
                <w:szCs w:val="24"/>
              </w:rPr>
              <w:t xml:space="preserve">  </w:t>
            </w:r>
            <w:r>
              <w:rPr>
                <w:rFonts w:ascii="宋体" w:hAnsi="宋体" w:eastAsia="宋体" w:cs="宋体"/>
                <w:spacing w:val="1"/>
                <w:sz w:val="24"/>
                <w:szCs w:val="24"/>
              </w:rPr>
              <w:t>挥发产生铅尘废气，</w:t>
            </w:r>
            <w:r>
              <w:rPr>
                <w:rFonts w:hint="eastAsia" w:ascii="宋体" w:hAnsi="宋体" w:eastAsia="宋体" w:cs="宋体"/>
                <w:spacing w:val="1"/>
                <w:sz w:val="24"/>
                <w:szCs w:val="24"/>
                <w:lang w:eastAsia="zh-CN"/>
              </w:rPr>
              <w:t>因此</w:t>
            </w:r>
            <w:r>
              <w:rPr>
                <w:highlight w:val="none"/>
              </w:rPr>
              <w:t>项目产生的废气主要为</w:t>
            </w:r>
            <w:r>
              <w:rPr>
                <w:rFonts w:hint="eastAsia"/>
                <w:highlight w:val="none"/>
                <w:lang w:eastAsia="zh-CN"/>
              </w:rPr>
              <w:t>事故状态下破损废铅蓄电池电解液挥发产生的硫酸雾及运输车辆进出厂时产生的汽车尾气</w:t>
            </w:r>
            <w:r>
              <w:rPr>
                <w:highlight w:val="none"/>
              </w:rPr>
              <w:t>。</w:t>
            </w:r>
          </w:p>
          <w:p>
            <w:pPr>
              <w:keepNext w:val="0"/>
              <w:keepLines w:val="0"/>
              <w:pageBreakBefore w:val="0"/>
              <w:widowControl w:val="0"/>
              <w:kinsoku/>
              <w:wordWrap/>
              <w:overflowPunct/>
              <w:topLinePunct w:val="0"/>
              <w:autoSpaceDE/>
              <w:autoSpaceDN/>
              <w:bidi w:val="0"/>
              <w:adjustRightInd/>
              <w:snapToGrid/>
              <w:spacing w:line="420" w:lineRule="exact"/>
              <w:ind w:right="0" w:firstLine="480"/>
              <w:textAlignment w:val="auto"/>
              <w:rPr>
                <w:rFonts w:hint="eastAsia" w:eastAsia="宋体"/>
                <w:highlight w:val="none"/>
                <w:lang w:eastAsia="zh-CN"/>
              </w:rPr>
            </w:pPr>
            <w:r>
              <w:rPr>
                <w:highlight w:val="none"/>
              </w:rPr>
              <w:t>（1）</w:t>
            </w:r>
            <w:r>
              <w:rPr>
                <w:rFonts w:hint="eastAsia"/>
                <w:highlight w:val="none"/>
                <w:lang w:eastAsia="zh-CN"/>
              </w:rPr>
              <w:t>电解液挥发产生的废气</w:t>
            </w:r>
          </w:p>
          <w:p>
            <w:pPr>
              <w:keepNext w:val="0"/>
              <w:keepLines w:val="0"/>
              <w:pageBreakBefore w:val="0"/>
              <w:widowControl w:val="0"/>
              <w:kinsoku/>
              <w:wordWrap/>
              <w:overflowPunct/>
              <w:topLinePunct w:val="0"/>
              <w:autoSpaceDE/>
              <w:autoSpaceDN/>
              <w:bidi w:val="0"/>
              <w:adjustRightInd/>
              <w:snapToGrid/>
              <w:spacing w:line="420" w:lineRule="exact"/>
              <w:ind w:right="0" w:firstLine="708" w:firstLineChars="300"/>
              <w:textAlignment w:val="auto"/>
              <w:rPr>
                <w:rFonts w:ascii="宋体" w:hAnsi="宋体" w:eastAsia="宋体" w:cs="宋体"/>
                <w:sz w:val="24"/>
                <w:szCs w:val="24"/>
              </w:rPr>
            </w:pPr>
            <w:r>
              <w:rPr>
                <w:rFonts w:ascii="宋体" w:hAnsi="宋体" w:eastAsia="宋体" w:cs="宋体"/>
                <w:spacing w:val="-2"/>
                <w:sz w:val="24"/>
                <w:szCs w:val="24"/>
              </w:rPr>
              <w:t>①正常工况</w:t>
            </w:r>
          </w:p>
          <w:p>
            <w:pPr>
              <w:keepNext w:val="0"/>
              <w:keepLines w:val="0"/>
              <w:pageBreakBefore w:val="0"/>
              <w:widowControl w:val="0"/>
              <w:kinsoku/>
              <w:wordWrap/>
              <w:overflowPunct/>
              <w:topLinePunct w:val="0"/>
              <w:autoSpaceDE/>
              <w:autoSpaceDN/>
              <w:bidi w:val="0"/>
              <w:adjustRightInd/>
              <w:snapToGrid/>
              <w:spacing w:line="420" w:lineRule="exact"/>
              <w:ind w:left="0" w:right="0" w:firstLine="481"/>
              <w:textAlignment w:val="auto"/>
              <w:rPr>
                <w:rFonts w:ascii="宋体" w:hAnsi="宋体" w:eastAsia="宋体" w:cs="宋体"/>
                <w:sz w:val="24"/>
                <w:szCs w:val="24"/>
              </w:rPr>
            </w:pPr>
            <w:r>
              <w:rPr>
                <w:rFonts w:ascii="宋体" w:hAnsi="宋体" w:eastAsia="宋体" w:cs="宋体"/>
                <w:spacing w:val="-3"/>
                <w:sz w:val="24"/>
                <w:szCs w:val="24"/>
              </w:rPr>
              <w:t>本项目只进行废铅酸蓄电池仓储，不进行废铅酸蓄电池的拆解、</w:t>
            </w:r>
            <w:r>
              <w:rPr>
                <w:rFonts w:ascii="宋体" w:hAnsi="宋体" w:eastAsia="宋体" w:cs="宋体"/>
                <w:spacing w:val="1"/>
                <w:sz w:val="24"/>
                <w:szCs w:val="24"/>
              </w:rPr>
              <w:t>处置等加工环节。收集的废铅酸蓄电池主要来源于使用铅酸蓄电池的社会企业、事业单位和行政单位，本项目委托</w:t>
            </w:r>
            <w:r>
              <w:rPr>
                <w:rFonts w:hint="eastAsia" w:ascii="宋体" w:hAnsi="宋体" w:eastAsia="宋体" w:cs="宋体"/>
                <w:spacing w:val="1"/>
                <w:sz w:val="24"/>
                <w:szCs w:val="24"/>
                <w:lang w:eastAsia="zh-CN"/>
              </w:rPr>
              <w:t>有资质单位</w:t>
            </w:r>
            <w:r>
              <w:rPr>
                <w:rFonts w:ascii="宋体" w:hAnsi="宋体" w:eastAsia="宋体" w:cs="宋体"/>
                <w:spacing w:val="1"/>
                <w:sz w:val="24"/>
                <w:szCs w:val="24"/>
              </w:rPr>
              <w:t>进行运输，运输车内设金属外框加固收集箱，在运输过程中一般不会对完整</w:t>
            </w:r>
            <w:r>
              <w:rPr>
                <w:rFonts w:ascii="宋体" w:hAnsi="宋体" w:eastAsia="宋体" w:cs="宋体"/>
                <w:spacing w:val="-2"/>
                <w:sz w:val="24"/>
                <w:szCs w:val="24"/>
              </w:rPr>
              <w:t>电池造成损伤。</w:t>
            </w:r>
          </w:p>
          <w:p>
            <w:pPr>
              <w:keepNext w:val="0"/>
              <w:keepLines w:val="0"/>
              <w:pageBreakBefore w:val="0"/>
              <w:widowControl w:val="0"/>
              <w:kinsoku/>
              <w:wordWrap/>
              <w:overflowPunct/>
              <w:topLinePunct w:val="0"/>
              <w:autoSpaceDE/>
              <w:autoSpaceDN/>
              <w:bidi w:val="0"/>
              <w:adjustRightInd/>
              <w:snapToGrid/>
              <w:spacing w:line="420" w:lineRule="exact"/>
              <w:ind w:left="0" w:right="0" w:firstLine="480"/>
              <w:textAlignment w:val="auto"/>
              <w:rPr>
                <w:rFonts w:ascii="宋体" w:hAnsi="宋体" w:eastAsia="宋体" w:cs="宋体"/>
                <w:sz w:val="24"/>
                <w:szCs w:val="24"/>
              </w:rPr>
            </w:pPr>
            <w:r>
              <w:rPr>
                <w:rFonts w:ascii="宋体" w:hAnsi="宋体" w:eastAsia="宋体" w:cs="宋体"/>
                <w:spacing w:val="2"/>
                <w:sz w:val="24"/>
                <w:szCs w:val="24"/>
              </w:rPr>
              <w:t>铅酸蓄电池的工作基本原理是硫酸和铅进行离子交换的化学反应过程形</w:t>
            </w:r>
            <w:r>
              <w:rPr>
                <w:rFonts w:ascii="宋体" w:hAnsi="宋体" w:eastAsia="宋体" w:cs="宋体"/>
                <w:spacing w:val="1"/>
                <w:sz w:val="24"/>
                <w:szCs w:val="24"/>
              </w:rPr>
              <w:t>成的能量，报废的铅酸蓄电池大部分在能量交换过程中，其反应生成物</w:t>
            </w:r>
            <w:r>
              <w:rPr>
                <w:rFonts w:ascii="Times New Roman" w:hAnsi="Times New Roman" w:eastAsia="Times New Roman" w:cs="Times New Roman"/>
                <w:spacing w:val="1"/>
                <w:sz w:val="24"/>
                <w:szCs w:val="24"/>
              </w:rPr>
              <w:t>—</w:t>
            </w:r>
            <w:r>
              <w:rPr>
                <w:rFonts w:ascii="宋体" w:hAnsi="宋体" w:eastAsia="宋体" w:cs="宋体"/>
                <w:spacing w:val="1"/>
                <w:sz w:val="24"/>
                <w:szCs w:val="24"/>
              </w:rPr>
              <w:t>硫</w:t>
            </w:r>
            <w:r>
              <w:rPr>
                <w:rFonts w:ascii="宋体" w:hAnsi="宋体" w:eastAsia="宋体" w:cs="宋体"/>
                <w:spacing w:val="2"/>
                <w:sz w:val="24"/>
                <w:szCs w:val="24"/>
              </w:rPr>
              <w:t>酸铅在极板上是</w:t>
            </w:r>
            <w:r>
              <w:rPr>
                <w:rFonts w:ascii="Times New Roman" w:hAnsi="Times New Roman" w:eastAsia="Times New Roman" w:cs="Times New Roman"/>
                <w:spacing w:val="2"/>
                <w:sz w:val="24"/>
                <w:szCs w:val="24"/>
              </w:rPr>
              <w:t>“</w:t>
            </w:r>
            <w:r>
              <w:rPr>
                <w:rFonts w:ascii="宋体" w:hAnsi="宋体" w:eastAsia="宋体" w:cs="宋体"/>
                <w:spacing w:val="2"/>
                <w:sz w:val="24"/>
                <w:szCs w:val="24"/>
              </w:rPr>
              <w:t>临时</w:t>
            </w:r>
            <w:r>
              <w:rPr>
                <w:rFonts w:ascii="Times New Roman" w:hAnsi="Times New Roman" w:eastAsia="Times New Roman" w:cs="Times New Roman"/>
                <w:spacing w:val="2"/>
                <w:sz w:val="24"/>
                <w:szCs w:val="24"/>
              </w:rPr>
              <w:t>”</w:t>
            </w:r>
            <w:r>
              <w:rPr>
                <w:rFonts w:ascii="宋体" w:hAnsi="宋体" w:eastAsia="宋体" w:cs="宋体"/>
                <w:spacing w:val="2"/>
                <w:sz w:val="24"/>
                <w:szCs w:val="24"/>
              </w:rPr>
              <w:t>的，在充电还原过程，极板上的硫酸铅并不能全部溶</w:t>
            </w:r>
            <w:r>
              <w:rPr>
                <w:rFonts w:ascii="宋体" w:hAnsi="宋体" w:eastAsia="宋体" w:cs="宋体"/>
                <w:spacing w:val="1"/>
                <w:sz w:val="24"/>
                <w:szCs w:val="24"/>
              </w:rPr>
              <w:t>解而堆在极板上。这种堆积物是电化学反应的剩余物，</w:t>
            </w:r>
            <w:r>
              <w:rPr>
                <w:rFonts w:ascii="宋体" w:hAnsi="宋体" w:eastAsia="宋体" w:cs="宋体"/>
                <w:spacing w:val="-55"/>
                <w:sz w:val="24"/>
                <w:szCs w:val="24"/>
              </w:rPr>
              <w:t xml:space="preserve"> </w:t>
            </w:r>
            <w:r>
              <w:rPr>
                <w:rFonts w:ascii="宋体" w:hAnsi="宋体" w:eastAsia="宋体" w:cs="宋体"/>
                <w:spacing w:val="1"/>
                <w:sz w:val="24"/>
                <w:szCs w:val="24"/>
              </w:rPr>
              <w:t>占据了极板的位置。</w:t>
            </w:r>
            <w:r>
              <w:rPr>
                <w:rFonts w:ascii="宋体" w:hAnsi="宋体" w:eastAsia="宋体" w:cs="宋体"/>
                <w:sz w:val="24"/>
                <w:szCs w:val="24"/>
              </w:rPr>
              <w:t xml:space="preserve"> </w:t>
            </w:r>
            <w:r>
              <w:rPr>
                <w:rFonts w:hint="eastAsia" w:ascii="宋体" w:hAnsi="宋体" w:eastAsia="宋体" w:cs="宋体"/>
                <w:spacing w:val="-3"/>
                <w:sz w:val="24"/>
                <w:szCs w:val="24"/>
                <w:lang w:eastAsia="zh-CN"/>
              </w:rPr>
              <w:t>因此</w:t>
            </w:r>
            <w:r>
              <w:rPr>
                <w:rFonts w:ascii="宋体" w:hAnsi="宋体" w:eastAsia="宋体" w:cs="宋体"/>
                <w:spacing w:val="-3"/>
                <w:sz w:val="24"/>
                <w:szCs w:val="24"/>
              </w:rPr>
              <w:t>，极板的有效反应材料在不断减少，是导致电池失效的主要原因。</w:t>
            </w:r>
            <w:r>
              <w:rPr>
                <w:rFonts w:ascii="宋体" w:hAnsi="宋体" w:eastAsia="宋体" w:cs="宋体"/>
                <w:spacing w:val="1"/>
                <w:sz w:val="24"/>
                <w:szCs w:val="24"/>
              </w:rPr>
              <w:t>因此废铅酸蓄电池的电解液是较少的，正常储存条件下，不会导致废旧铅</w:t>
            </w:r>
            <w:r>
              <w:rPr>
                <w:rFonts w:ascii="宋体" w:hAnsi="宋体" w:eastAsia="宋体" w:cs="宋体"/>
                <w:spacing w:val="-1"/>
                <w:sz w:val="24"/>
                <w:szCs w:val="24"/>
              </w:rPr>
              <w:t>酸蓄电池电解液的泄漏。</w:t>
            </w:r>
          </w:p>
          <w:p>
            <w:pPr>
              <w:keepNext w:val="0"/>
              <w:keepLines w:val="0"/>
              <w:pageBreakBefore w:val="0"/>
              <w:widowControl w:val="0"/>
              <w:kinsoku/>
              <w:wordWrap/>
              <w:overflowPunct/>
              <w:topLinePunct w:val="0"/>
              <w:autoSpaceDE/>
              <w:autoSpaceDN/>
              <w:bidi w:val="0"/>
              <w:adjustRightInd/>
              <w:snapToGrid/>
              <w:spacing w:line="420" w:lineRule="exact"/>
              <w:ind w:left="0" w:right="0" w:firstLine="483"/>
              <w:textAlignment w:val="auto"/>
              <w:rPr>
                <w:rFonts w:ascii="宋体" w:hAnsi="宋体" w:eastAsia="宋体" w:cs="宋体"/>
                <w:sz w:val="24"/>
                <w:szCs w:val="24"/>
              </w:rPr>
            </w:pPr>
            <w:r>
              <w:rPr>
                <w:rFonts w:ascii="宋体" w:hAnsi="宋体" w:eastAsia="宋体" w:cs="宋体"/>
                <w:spacing w:val="-4"/>
                <w:sz w:val="24"/>
                <w:szCs w:val="24"/>
              </w:rPr>
              <w:t>综上所述：正常工况下不会导致废旧铅酸蓄电池泄漏电解液，因此也不</w:t>
            </w:r>
            <w:r>
              <w:rPr>
                <w:rFonts w:ascii="宋体" w:hAnsi="宋体" w:eastAsia="宋体" w:cs="宋体"/>
                <w:spacing w:val="-2"/>
                <w:sz w:val="24"/>
                <w:szCs w:val="24"/>
              </w:rPr>
              <w:t>会有硫酸雾产生。</w:t>
            </w:r>
          </w:p>
          <w:p>
            <w:pPr>
              <w:keepNext w:val="0"/>
              <w:keepLines w:val="0"/>
              <w:pageBreakBefore w:val="0"/>
              <w:widowControl w:val="0"/>
              <w:kinsoku/>
              <w:wordWrap/>
              <w:overflowPunct/>
              <w:topLinePunct w:val="0"/>
              <w:autoSpaceDE/>
              <w:autoSpaceDN/>
              <w:bidi w:val="0"/>
              <w:adjustRightInd/>
              <w:snapToGrid/>
              <w:spacing w:line="420" w:lineRule="exact"/>
              <w:ind w:right="0" w:firstLine="708" w:firstLineChars="300"/>
              <w:textAlignment w:val="auto"/>
              <w:rPr>
                <w:rFonts w:hint="default" w:ascii="宋体" w:hAnsi="宋体" w:eastAsia="宋体" w:cs="宋体"/>
                <w:spacing w:val="-2"/>
                <w:sz w:val="24"/>
                <w:szCs w:val="24"/>
              </w:rPr>
            </w:pPr>
          </w:p>
          <w:p>
            <w:pPr>
              <w:keepNext w:val="0"/>
              <w:keepLines w:val="0"/>
              <w:pageBreakBefore w:val="0"/>
              <w:widowControl w:val="0"/>
              <w:kinsoku/>
              <w:wordWrap/>
              <w:overflowPunct/>
              <w:topLinePunct w:val="0"/>
              <w:autoSpaceDE/>
              <w:autoSpaceDN/>
              <w:bidi w:val="0"/>
              <w:adjustRightInd/>
              <w:snapToGrid/>
              <w:spacing w:line="420" w:lineRule="exact"/>
              <w:ind w:right="0" w:firstLine="708" w:firstLineChars="300"/>
              <w:textAlignment w:val="auto"/>
              <w:rPr>
                <w:rFonts w:ascii="宋体" w:hAnsi="宋体" w:eastAsia="宋体" w:cs="宋体"/>
                <w:sz w:val="24"/>
                <w:szCs w:val="24"/>
              </w:rPr>
            </w:pPr>
            <w:r>
              <w:rPr>
                <w:rFonts w:hint="default" w:ascii="宋体" w:hAnsi="宋体" w:eastAsia="宋体" w:cs="宋体"/>
                <w:spacing w:val="-2"/>
                <w:sz w:val="24"/>
                <w:szCs w:val="24"/>
              </w:rPr>
              <w:t>②</w:t>
            </w:r>
            <w:r>
              <w:rPr>
                <w:rFonts w:hint="eastAsia" w:ascii="宋体" w:hAnsi="宋体" w:eastAsia="宋体" w:cs="宋体"/>
                <w:spacing w:val="-2"/>
                <w:sz w:val="24"/>
                <w:szCs w:val="24"/>
                <w:lang w:eastAsia="zh-CN"/>
              </w:rPr>
              <w:t>非</w:t>
            </w:r>
            <w:r>
              <w:rPr>
                <w:rFonts w:ascii="宋体" w:hAnsi="宋体" w:eastAsia="宋体" w:cs="宋体"/>
                <w:spacing w:val="-2"/>
                <w:sz w:val="24"/>
                <w:szCs w:val="24"/>
              </w:rPr>
              <w:t>正常工况</w:t>
            </w:r>
          </w:p>
          <w:p>
            <w:pPr>
              <w:keepNext w:val="0"/>
              <w:keepLines w:val="0"/>
              <w:pageBreakBefore w:val="0"/>
              <w:widowControl w:val="0"/>
              <w:kinsoku/>
              <w:wordWrap/>
              <w:overflowPunct/>
              <w:topLinePunct w:val="0"/>
              <w:autoSpaceDE/>
              <w:autoSpaceDN/>
              <w:bidi w:val="0"/>
              <w:adjustRightInd/>
              <w:snapToGrid/>
              <w:spacing w:line="420" w:lineRule="exact"/>
              <w:ind w:left="0" w:right="0" w:firstLine="1"/>
              <w:textAlignment w:val="auto"/>
              <w:rPr>
                <w:rFonts w:ascii="宋体" w:hAnsi="宋体" w:eastAsia="宋体" w:cs="宋体"/>
                <w:sz w:val="24"/>
                <w:szCs w:val="24"/>
              </w:rPr>
            </w:pPr>
            <w:r>
              <w:rPr>
                <w:rFonts w:ascii="宋体" w:hAnsi="宋体" w:eastAsia="宋体" w:cs="宋体"/>
                <w:spacing w:val="1"/>
                <w:sz w:val="24"/>
                <w:szCs w:val="24"/>
              </w:rPr>
              <w:t>非正常</w:t>
            </w:r>
            <w:r>
              <w:rPr>
                <w:rFonts w:hint="eastAsia" w:ascii="宋体" w:hAnsi="宋体" w:eastAsia="宋体" w:cs="宋体"/>
                <w:spacing w:val="1"/>
                <w:sz w:val="24"/>
                <w:szCs w:val="24"/>
                <w:lang w:eastAsia="zh-CN"/>
              </w:rPr>
              <w:t>工况</w:t>
            </w:r>
            <w:r>
              <w:rPr>
                <w:rFonts w:ascii="宋体" w:hAnsi="宋体" w:eastAsia="宋体" w:cs="宋体"/>
                <w:spacing w:val="1"/>
                <w:sz w:val="24"/>
                <w:szCs w:val="24"/>
              </w:rPr>
              <w:t>主要指废铅酸蓄电池受外环境影响（如温度、压力、湿度变化</w:t>
            </w:r>
            <w:r>
              <w:rPr>
                <w:rFonts w:ascii="宋体" w:hAnsi="宋体" w:eastAsia="宋体" w:cs="宋体"/>
                <w:spacing w:val="-63"/>
                <w:sz w:val="24"/>
                <w:szCs w:val="24"/>
              </w:rPr>
              <w:t>），</w:t>
            </w:r>
            <w:r>
              <w:rPr>
                <w:rFonts w:ascii="宋体" w:hAnsi="宋体" w:eastAsia="宋体" w:cs="宋体"/>
                <w:spacing w:val="1"/>
                <w:sz w:val="24"/>
                <w:szCs w:val="24"/>
              </w:rPr>
              <w:t>或搬卸过程中受到外力撞击，或者外壳老化破损，造成内部酸性液体外漏的情况。废旧铅酸蓄电池在人工转移过程操作高度较低，高空坠落可</w:t>
            </w:r>
            <w:r>
              <w:rPr>
                <w:rFonts w:ascii="宋体" w:hAnsi="宋体" w:eastAsia="宋体" w:cs="宋体"/>
                <w:spacing w:val="-4"/>
                <w:sz w:val="24"/>
                <w:szCs w:val="24"/>
              </w:rPr>
              <w:t>能性低。由于铅酸蓄电池内部结构紧凑，由汇流排将正负极板焊接固定成组，</w:t>
            </w:r>
            <w:r>
              <w:rPr>
                <w:rFonts w:ascii="宋体" w:hAnsi="宋体" w:eastAsia="宋体" w:cs="宋体"/>
                <w:spacing w:val="1"/>
                <w:sz w:val="24"/>
                <w:szCs w:val="24"/>
              </w:rPr>
              <w:t>外部塑料壳做保护，即使因机械故障或操作失当导致铅酸蓄电池坠地或受外</w:t>
            </w:r>
            <w:r>
              <w:rPr>
                <w:rFonts w:ascii="宋体" w:hAnsi="宋体" w:eastAsia="宋体" w:cs="宋体"/>
                <w:spacing w:val="-1"/>
                <w:sz w:val="24"/>
                <w:szCs w:val="24"/>
              </w:rPr>
              <w:t>部温度等影响，一般情况下不会导致电池完全破碎。</w:t>
            </w:r>
          </w:p>
          <w:p>
            <w:pPr>
              <w:keepNext w:val="0"/>
              <w:keepLines w:val="0"/>
              <w:pageBreakBefore w:val="0"/>
              <w:widowControl w:val="0"/>
              <w:kinsoku/>
              <w:wordWrap/>
              <w:overflowPunct/>
              <w:topLinePunct w:val="0"/>
              <w:autoSpaceDE/>
              <w:autoSpaceDN/>
              <w:bidi w:val="0"/>
              <w:adjustRightInd/>
              <w:snapToGrid/>
              <w:spacing w:line="420" w:lineRule="exact"/>
              <w:ind w:left="0" w:right="0" w:firstLine="475"/>
              <w:textAlignment w:val="auto"/>
              <w:rPr>
                <w:rFonts w:ascii="宋体" w:hAnsi="宋体" w:eastAsia="宋体" w:cs="宋体"/>
                <w:sz w:val="24"/>
                <w:szCs w:val="24"/>
              </w:rPr>
            </w:pPr>
            <w:r>
              <w:rPr>
                <w:rFonts w:ascii="宋体" w:hAnsi="宋体" w:eastAsia="宋体" w:cs="宋体"/>
                <w:spacing w:val="-1"/>
                <w:sz w:val="24"/>
                <w:szCs w:val="24"/>
              </w:rPr>
              <w:t>在事故工况下</w:t>
            </w:r>
            <w:r>
              <w:rPr>
                <w:rFonts w:ascii="Times New Roman" w:hAnsi="Times New Roman" w:eastAsia="Times New Roman" w:cs="Times New Roman"/>
                <w:spacing w:val="-1"/>
                <w:sz w:val="24"/>
                <w:szCs w:val="24"/>
              </w:rPr>
              <w:t>(</w:t>
            </w:r>
            <w:r>
              <w:rPr>
                <w:rFonts w:ascii="宋体" w:hAnsi="宋体" w:eastAsia="宋体" w:cs="宋体"/>
                <w:spacing w:val="-1"/>
                <w:sz w:val="24"/>
                <w:szCs w:val="24"/>
              </w:rPr>
              <w:t>内部搬运及分类堆放过程中</w:t>
            </w:r>
            <w:r>
              <w:rPr>
                <w:rFonts w:ascii="Times New Roman" w:hAnsi="Times New Roman" w:eastAsia="Times New Roman" w:cs="Times New Roman"/>
                <w:spacing w:val="-1"/>
                <w:sz w:val="24"/>
                <w:szCs w:val="24"/>
              </w:rPr>
              <w:t>)</w:t>
            </w:r>
            <w:r>
              <w:rPr>
                <w:rFonts w:ascii="宋体" w:hAnsi="宋体" w:eastAsia="宋体" w:cs="宋体"/>
                <w:spacing w:val="-1"/>
                <w:sz w:val="24"/>
                <w:szCs w:val="24"/>
              </w:rPr>
              <w:t>可能出现电池电解液的泄漏，</w:t>
            </w:r>
            <w:r>
              <w:rPr>
                <w:rFonts w:ascii="宋体" w:hAnsi="宋体" w:eastAsia="宋体" w:cs="宋体"/>
                <w:spacing w:val="29"/>
                <w:sz w:val="24"/>
                <w:szCs w:val="24"/>
              </w:rPr>
              <w:t xml:space="preserve"> </w:t>
            </w:r>
            <w:r>
              <w:rPr>
                <w:rFonts w:ascii="宋体" w:hAnsi="宋体" w:eastAsia="宋体" w:cs="宋体"/>
                <w:spacing w:val="-4"/>
                <w:sz w:val="24"/>
                <w:szCs w:val="24"/>
              </w:rPr>
              <w:t>泄漏时可由专用容器</w:t>
            </w:r>
            <w:r>
              <w:rPr>
                <w:rFonts w:ascii="Times New Roman" w:hAnsi="Times New Roman" w:eastAsia="Times New Roman" w:cs="Times New Roman"/>
                <w:spacing w:val="-4"/>
                <w:sz w:val="24"/>
                <w:szCs w:val="24"/>
              </w:rPr>
              <w:t>(</w:t>
            </w:r>
            <w:r>
              <w:rPr>
                <w:rFonts w:ascii="宋体" w:hAnsi="宋体" w:eastAsia="宋体" w:cs="宋体"/>
                <w:spacing w:val="-4"/>
                <w:sz w:val="24"/>
                <w:szCs w:val="24"/>
              </w:rPr>
              <w:t>要求耐酸、防渗</w:t>
            </w:r>
            <w:r>
              <w:rPr>
                <w:rFonts w:ascii="Times New Roman" w:hAnsi="Times New Roman" w:eastAsia="Times New Roman" w:cs="Times New Roman"/>
                <w:spacing w:val="-4"/>
                <w:sz w:val="24"/>
                <w:szCs w:val="24"/>
              </w:rPr>
              <w:t>)+</w:t>
            </w:r>
            <w:r>
              <w:rPr>
                <w:rFonts w:ascii="宋体" w:hAnsi="宋体" w:eastAsia="宋体" w:cs="宋体"/>
                <w:spacing w:val="-4"/>
                <w:sz w:val="24"/>
                <w:szCs w:val="24"/>
              </w:rPr>
              <w:t>设防酸、防渗塑料托盘</w:t>
            </w:r>
            <w:r>
              <w:rPr>
                <w:rFonts w:ascii="Times New Roman" w:hAnsi="Times New Roman" w:eastAsia="Times New Roman" w:cs="Times New Roman"/>
                <w:spacing w:val="-4"/>
                <w:sz w:val="24"/>
                <w:szCs w:val="24"/>
              </w:rPr>
              <w:t>+</w:t>
            </w:r>
            <w:r>
              <w:rPr>
                <w:rFonts w:ascii="宋体" w:hAnsi="宋体" w:eastAsia="宋体" w:cs="宋体"/>
                <w:spacing w:val="-4"/>
                <w:sz w:val="24"/>
                <w:szCs w:val="24"/>
              </w:rPr>
              <w:t>导流沟</w:t>
            </w:r>
            <w:r>
              <w:rPr>
                <w:rFonts w:ascii="Times New Roman" w:hAnsi="Times New Roman" w:eastAsia="Times New Roman" w:cs="Times New Roman"/>
                <w:spacing w:val="-4"/>
                <w:sz w:val="24"/>
                <w:szCs w:val="24"/>
              </w:rPr>
              <w:t>(</w:t>
            </w:r>
            <w:r>
              <w:rPr>
                <w:rFonts w:ascii="宋体" w:hAnsi="宋体" w:eastAsia="宋体" w:cs="宋体"/>
                <w:spacing w:val="-4"/>
                <w:sz w:val="24"/>
                <w:szCs w:val="24"/>
              </w:rPr>
              <w:t>耐酸、</w:t>
            </w:r>
            <w:r>
              <w:rPr>
                <w:rFonts w:ascii="宋体" w:hAnsi="宋体" w:eastAsia="宋体" w:cs="宋体"/>
                <w:spacing w:val="28"/>
                <w:sz w:val="24"/>
                <w:szCs w:val="24"/>
              </w:rPr>
              <w:t xml:space="preserve"> </w:t>
            </w:r>
            <w:r>
              <w:rPr>
                <w:rFonts w:ascii="宋体" w:hAnsi="宋体" w:eastAsia="宋体" w:cs="宋体"/>
                <w:spacing w:val="-3"/>
                <w:sz w:val="24"/>
                <w:szCs w:val="24"/>
              </w:rPr>
              <w:t>防渗</w:t>
            </w:r>
            <w:r>
              <w:rPr>
                <w:rFonts w:ascii="Times New Roman" w:hAnsi="Times New Roman" w:eastAsia="Times New Roman" w:cs="Times New Roman"/>
                <w:spacing w:val="-3"/>
                <w:sz w:val="24"/>
                <w:szCs w:val="24"/>
              </w:rPr>
              <w:t>)+</w:t>
            </w:r>
            <w:r>
              <w:rPr>
                <w:rFonts w:hint="eastAsia" w:ascii="宋体" w:hAnsi="宋体" w:eastAsia="宋体" w:cs="宋体"/>
                <w:spacing w:val="-3"/>
                <w:sz w:val="24"/>
                <w:szCs w:val="24"/>
                <w:lang w:eastAsia="zh-CN"/>
              </w:rPr>
              <w:t>应急事故池</w:t>
            </w:r>
            <w:r>
              <w:rPr>
                <w:rFonts w:ascii="Times New Roman" w:hAnsi="Times New Roman" w:eastAsia="Times New Roman" w:cs="Times New Roman"/>
                <w:spacing w:val="-3"/>
                <w:sz w:val="24"/>
                <w:szCs w:val="24"/>
              </w:rPr>
              <w:t>(</w:t>
            </w:r>
            <w:r>
              <w:rPr>
                <w:rFonts w:ascii="宋体" w:hAnsi="宋体" w:eastAsia="宋体" w:cs="宋体"/>
                <w:spacing w:val="-3"/>
                <w:sz w:val="24"/>
                <w:szCs w:val="24"/>
              </w:rPr>
              <w:t>耐酸、防渗</w:t>
            </w:r>
            <w:r>
              <w:rPr>
                <w:rFonts w:ascii="Times New Roman" w:hAnsi="Times New Roman" w:eastAsia="Times New Roman" w:cs="Times New Roman"/>
                <w:spacing w:val="-3"/>
                <w:sz w:val="24"/>
                <w:szCs w:val="24"/>
              </w:rPr>
              <w:t>)+</w:t>
            </w:r>
            <w:r>
              <w:rPr>
                <w:rFonts w:ascii="宋体" w:hAnsi="宋体" w:eastAsia="宋体" w:cs="宋体"/>
                <w:spacing w:val="-3"/>
                <w:sz w:val="24"/>
                <w:szCs w:val="24"/>
              </w:rPr>
              <w:t>带盖密闭专用桶（防酸、防渗）</w:t>
            </w:r>
            <w:r>
              <w:rPr>
                <w:rFonts w:ascii="宋体" w:hAnsi="宋体" w:eastAsia="宋体" w:cs="宋体"/>
                <w:spacing w:val="23"/>
                <w:sz w:val="24"/>
                <w:szCs w:val="24"/>
              </w:rPr>
              <w:t xml:space="preserve"> </w:t>
            </w:r>
            <w:r>
              <w:rPr>
                <w:rFonts w:ascii="宋体" w:hAnsi="宋体" w:eastAsia="宋体" w:cs="宋体"/>
                <w:spacing w:val="-3"/>
                <w:sz w:val="24"/>
                <w:szCs w:val="24"/>
              </w:rPr>
              <w:t>对其进行</w:t>
            </w:r>
            <w:r>
              <w:rPr>
                <w:rFonts w:ascii="宋体" w:hAnsi="宋体" w:eastAsia="宋体" w:cs="宋体"/>
                <w:spacing w:val="2"/>
                <w:sz w:val="24"/>
                <w:szCs w:val="24"/>
              </w:rPr>
              <w:t>收集。泄漏的电解液挥发会产生硫酸雾。类比同行业企业经验数据，</w:t>
            </w:r>
            <w:r>
              <w:rPr>
                <w:rFonts w:ascii="宋体" w:hAnsi="宋体" w:eastAsia="宋体" w:cs="宋体"/>
                <w:spacing w:val="-2"/>
                <w:sz w:val="24"/>
                <w:szCs w:val="24"/>
              </w:rPr>
              <w:t>该事故发生率约</w:t>
            </w:r>
            <w:r>
              <w:rPr>
                <w:rFonts w:ascii="宋体" w:hAnsi="宋体" w:eastAsia="宋体" w:cs="宋体"/>
                <w:spacing w:val="-50"/>
                <w:sz w:val="24"/>
                <w:szCs w:val="24"/>
              </w:rPr>
              <w:t xml:space="preserve"> </w:t>
            </w:r>
            <w:r>
              <w:rPr>
                <w:rFonts w:ascii="Times New Roman" w:hAnsi="Times New Roman" w:eastAsia="Times New Roman" w:cs="Times New Roman"/>
                <w:spacing w:val="-2"/>
                <w:sz w:val="24"/>
                <w:szCs w:val="24"/>
              </w:rPr>
              <w:t>0.5‰</w:t>
            </w:r>
            <w:r>
              <w:rPr>
                <w:rFonts w:ascii="宋体" w:hAnsi="宋体" w:eastAsia="宋体" w:cs="宋体"/>
                <w:spacing w:val="-2"/>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left="0" w:right="0" w:firstLine="483"/>
              <w:textAlignment w:val="auto"/>
              <w:rPr>
                <w:rFonts w:ascii="宋体" w:hAnsi="宋体" w:eastAsia="宋体" w:cs="宋体"/>
                <w:sz w:val="24"/>
                <w:szCs w:val="24"/>
              </w:rPr>
            </w:pPr>
            <w:r>
              <w:rPr>
                <w:rFonts w:ascii="宋体" w:hAnsi="宋体" w:eastAsia="宋体" w:cs="宋体"/>
                <w:spacing w:val="-2"/>
                <w:sz w:val="24"/>
                <w:szCs w:val="24"/>
              </w:rPr>
              <w:t>项目每个铅蓄电池重约</w:t>
            </w:r>
            <w:r>
              <w:rPr>
                <w:rFonts w:ascii="Times New Roman" w:hAnsi="Times New Roman" w:eastAsia="Times New Roman" w:cs="Times New Roman"/>
                <w:spacing w:val="-2"/>
                <w:sz w:val="24"/>
                <w:szCs w:val="24"/>
              </w:rPr>
              <w:t>20kg</w:t>
            </w:r>
            <w:r>
              <w:rPr>
                <w:rFonts w:ascii="Times New Roman" w:hAnsi="Times New Roman" w:eastAsia="Times New Roman" w:cs="Times New Roman"/>
                <w:spacing w:val="-28"/>
                <w:sz w:val="24"/>
                <w:szCs w:val="24"/>
              </w:rPr>
              <w:t xml:space="preserve"> </w:t>
            </w:r>
            <w:r>
              <w:rPr>
                <w:rFonts w:ascii="宋体" w:hAnsi="宋体" w:eastAsia="宋体" w:cs="宋体"/>
                <w:spacing w:val="-2"/>
                <w:sz w:val="24"/>
                <w:szCs w:val="24"/>
              </w:rPr>
              <w:t>，根据铅蓄电池成分组成，电解液占电池重</w:t>
            </w:r>
            <w:r>
              <w:rPr>
                <w:rFonts w:ascii="宋体" w:hAnsi="宋体" w:eastAsia="宋体" w:cs="宋体"/>
                <w:sz w:val="24"/>
                <w:szCs w:val="24"/>
              </w:rPr>
              <w:t xml:space="preserve"> </w:t>
            </w:r>
            <w:r>
              <w:rPr>
                <w:rFonts w:ascii="宋体" w:hAnsi="宋体" w:eastAsia="宋体" w:cs="宋体"/>
                <w:spacing w:val="-6"/>
                <w:sz w:val="24"/>
                <w:szCs w:val="24"/>
              </w:rPr>
              <w:t>量的</w:t>
            </w:r>
            <w:r>
              <w:rPr>
                <w:rFonts w:ascii="宋体" w:hAnsi="宋体" w:eastAsia="宋体" w:cs="宋体"/>
                <w:spacing w:val="-44"/>
                <w:sz w:val="24"/>
                <w:szCs w:val="24"/>
              </w:rPr>
              <w:t xml:space="preserve"> </w:t>
            </w:r>
            <w:r>
              <w:rPr>
                <w:rFonts w:ascii="Times New Roman" w:hAnsi="Times New Roman" w:eastAsia="Times New Roman" w:cs="Times New Roman"/>
                <w:spacing w:val="-6"/>
                <w:sz w:val="24"/>
                <w:szCs w:val="24"/>
              </w:rPr>
              <w:t>7%</w:t>
            </w:r>
            <w:r>
              <w:rPr>
                <w:rFonts w:ascii="Times New Roman" w:hAnsi="Times New Roman" w:eastAsia="Times New Roman" w:cs="Times New Roman"/>
                <w:spacing w:val="-29"/>
                <w:sz w:val="24"/>
                <w:szCs w:val="24"/>
              </w:rPr>
              <w:t xml:space="preserve"> </w:t>
            </w:r>
            <w:r>
              <w:rPr>
                <w:rFonts w:ascii="宋体" w:hAnsi="宋体" w:eastAsia="宋体" w:cs="宋体"/>
                <w:spacing w:val="-6"/>
                <w:sz w:val="24"/>
                <w:szCs w:val="24"/>
              </w:rPr>
              <w:t>，铅占电池重量的</w:t>
            </w:r>
            <w:r>
              <w:rPr>
                <w:rFonts w:ascii="宋体" w:hAnsi="宋体" w:eastAsia="宋体" w:cs="宋体"/>
                <w:spacing w:val="-46"/>
                <w:sz w:val="24"/>
                <w:szCs w:val="24"/>
              </w:rPr>
              <w:t xml:space="preserve"> </w:t>
            </w:r>
            <w:r>
              <w:rPr>
                <w:rFonts w:ascii="Times New Roman" w:hAnsi="Times New Roman" w:eastAsia="Times New Roman" w:cs="Times New Roman"/>
                <w:spacing w:val="-6"/>
                <w:sz w:val="24"/>
                <w:szCs w:val="24"/>
              </w:rPr>
              <w:t>82%</w:t>
            </w:r>
            <w:r>
              <w:rPr>
                <w:rFonts w:ascii="Times New Roman" w:hAnsi="Times New Roman" w:eastAsia="Times New Roman" w:cs="Times New Roman"/>
                <w:spacing w:val="-31"/>
                <w:sz w:val="24"/>
                <w:szCs w:val="24"/>
              </w:rPr>
              <w:t xml:space="preserve"> </w:t>
            </w:r>
            <w:r>
              <w:rPr>
                <w:rFonts w:ascii="宋体" w:hAnsi="宋体" w:eastAsia="宋体" w:cs="宋体"/>
                <w:spacing w:val="-6"/>
                <w:sz w:val="24"/>
                <w:szCs w:val="24"/>
              </w:rPr>
              <w:t>，则电解液总量为</w:t>
            </w:r>
            <w:r>
              <w:rPr>
                <w:rFonts w:ascii="宋体" w:hAnsi="宋体" w:eastAsia="宋体" w:cs="宋体"/>
                <w:spacing w:val="-49"/>
                <w:sz w:val="24"/>
                <w:szCs w:val="24"/>
              </w:rPr>
              <w:t xml:space="preserve"> </w:t>
            </w:r>
            <w:r>
              <w:rPr>
                <w:rFonts w:ascii="Times New Roman" w:hAnsi="Times New Roman" w:eastAsia="Times New Roman" w:cs="Times New Roman"/>
                <w:spacing w:val="-6"/>
                <w:sz w:val="24"/>
                <w:szCs w:val="24"/>
              </w:rPr>
              <w:t>0.</w:t>
            </w:r>
            <w:r>
              <w:rPr>
                <w:rFonts w:ascii="Times New Roman" w:hAnsi="Times New Roman" w:eastAsia="Times New Roman" w:cs="Times New Roman"/>
                <w:spacing w:val="-32"/>
                <w:sz w:val="24"/>
                <w:szCs w:val="24"/>
              </w:rPr>
              <w:t xml:space="preserve"> </w:t>
            </w:r>
            <w:r>
              <w:rPr>
                <w:rFonts w:ascii="Times New Roman" w:hAnsi="Times New Roman" w:eastAsia="Times New Roman" w:cs="Times New Roman"/>
                <w:spacing w:val="-6"/>
                <w:sz w:val="24"/>
                <w:szCs w:val="24"/>
              </w:rPr>
              <w:t>14kg</w:t>
            </w:r>
            <w:r>
              <w:rPr>
                <w:rFonts w:ascii="Times New Roman" w:hAnsi="Times New Roman" w:eastAsia="Times New Roman" w:cs="Times New Roman"/>
                <w:spacing w:val="-31"/>
                <w:sz w:val="24"/>
                <w:szCs w:val="24"/>
              </w:rPr>
              <w:t xml:space="preserve"> </w:t>
            </w:r>
            <w:r>
              <w:rPr>
                <w:rFonts w:ascii="宋体" w:hAnsi="宋体" w:eastAsia="宋体" w:cs="宋体"/>
                <w:spacing w:val="-6"/>
                <w:sz w:val="24"/>
                <w:szCs w:val="24"/>
              </w:rPr>
              <w:t>，铅总量为</w:t>
            </w:r>
            <w:r>
              <w:rPr>
                <w:rFonts w:ascii="宋体" w:hAnsi="宋体" w:eastAsia="宋体" w:cs="宋体"/>
                <w:spacing w:val="-32"/>
                <w:sz w:val="24"/>
                <w:szCs w:val="24"/>
              </w:rPr>
              <w:t xml:space="preserve"> </w:t>
            </w:r>
            <w:r>
              <w:rPr>
                <w:rFonts w:ascii="Times New Roman" w:hAnsi="Times New Roman" w:eastAsia="Times New Roman" w:cs="Times New Roman"/>
                <w:spacing w:val="-6"/>
                <w:sz w:val="24"/>
                <w:szCs w:val="24"/>
              </w:rPr>
              <w:t>16.4kg</w:t>
            </w:r>
            <w:r>
              <w:rPr>
                <w:rFonts w:ascii="宋体" w:hAnsi="宋体" w:eastAsia="宋体" w:cs="宋体"/>
                <w:spacing w:val="-6"/>
                <w:sz w:val="24"/>
                <w:szCs w:val="24"/>
              </w:rPr>
              <w:t>，</w:t>
            </w:r>
            <w:r>
              <w:rPr>
                <w:rFonts w:ascii="宋体" w:hAnsi="宋体" w:eastAsia="宋体" w:cs="宋体"/>
                <w:spacing w:val="1"/>
                <w:sz w:val="24"/>
                <w:szCs w:val="24"/>
              </w:rPr>
              <w:t>由于废铅酸蓄电池铅基本转化成不可逆硫酸盐化的硫酸铅，即使含有少量的二氧化铅也是被硫酸铅严重腐蚀，被包在硫酸铅晶体中，基本不会挥发产</w:t>
            </w:r>
            <w:r>
              <w:rPr>
                <w:rFonts w:ascii="宋体" w:hAnsi="宋体" w:eastAsia="宋体" w:cs="宋体"/>
                <w:spacing w:val="-2"/>
                <w:sz w:val="24"/>
                <w:szCs w:val="24"/>
              </w:rPr>
              <w:t>生铅尘废气。</w:t>
            </w:r>
          </w:p>
          <w:p>
            <w:pPr>
              <w:keepNext w:val="0"/>
              <w:keepLines w:val="0"/>
              <w:pageBreakBefore w:val="0"/>
              <w:widowControl w:val="0"/>
              <w:kinsoku/>
              <w:wordWrap/>
              <w:overflowPunct/>
              <w:topLinePunct w:val="0"/>
              <w:autoSpaceDE/>
              <w:autoSpaceDN/>
              <w:bidi w:val="0"/>
              <w:adjustRightInd/>
              <w:snapToGrid/>
              <w:spacing w:line="420" w:lineRule="exact"/>
              <w:ind w:left="0" w:right="0" w:firstLine="480"/>
              <w:textAlignment w:val="auto"/>
              <w:rPr>
                <w:rFonts w:ascii="宋体" w:hAnsi="宋体" w:eastAsia="宋体" w:cs="宋体"/>
                <w:sz w:val="24"/>
                <w:szCs w:val="24"/>
              </w:rPr>
            </w:pPr>
            <w:r>
              <w:rPr>
                <w:rFonts w:ascii="宋体" w:hAnsi="宋体" w:eastAsia="宋体" w:cs="宋体"/>
                <w:spacing w:val="2"/>
                <w:sz w:val="24"/>
                <w:szCs w:val="24"/>
              </w:rPr>
              <w:t>在</w:t>
            </w:r>
            <w:r>
              <w:rPr>
                <w:rFonts w:ascii="宋体" w:hAnsi="宋体" w:eastAsia="宋体" w:cs="宋体"/>
                <w:b w:val="0"/>
                <w:bCs w:val="0"/>
                <w:spacing w:val="2"/>
                <w:sz w:val="24"/>
                <w:szCs w:val="24"/>
              </w:rPr>
              <w:t>泄漏发生后</w:t>
            </w:r>
            <w:r>
              <w:rPr>
                <w:rFonts w:ascii="宋体" w:hAnsi="宋体" w:eastAsia="宋体" w:cs="宋体"/>
                <w:spacing w:val="2"/>
                <w:sz w:val="24"/>
                <w:szCs w:val="24"/>
              </w:rPr>
              <w:t>，立即关闭厂区出入口，泄漏产生的</w:t>
            </w:r>
            <w:r>
              <w:rPr>
                <w:rFonts w:hint="eastAsia" w:ascii="宋体" w:hAnsi="宋体" w:eastAsia="宋体" w:cs="宋体"/>
                <w:spacing w:val="2"/>
                <w:sz w:val="24"/>
                <w:szCs w:val="24"/>
                <w:lang w:eastAsia="zh-CN"/>
              </w:rPr>
              <w:t>电解液</w:t>
            </w:r>
            <w:r>
              <w:rPr>
                <w:rFonts w:ascii="宋体" w:hAnsi="宋体" w:eastAsia="宋体" w:cs="宋体"/>
                <w:spacing w:val="2"/>
                <w:sz w:val="24"/>
                <w:szCs w:val="24"/>
              </w:rPr>
              <w:t>会经导流槽进</w:t>
            </w:r>
            <w:r>
              <w:rPr>
                <w:rFonts w:ascii="宋体" w:hAnsi="宋体" w:eastAsia="宋体" w:cs="宋体"/>
                <w:spacing w:val="3"/>
                <w:sz w:val="24"/>
                <w:szCs w:val="24"/>
              </w:rPr>
              <w:t xml:space="preserve"> </w:t>
            </w:r>
            <w:r>
              <w:rPr>
                <w:rFonts w:ascii="宋体" w:hAnsi="宋体" w:eastAsia="宋体" w:cs="宋体"/>
                <w:spacing w:val="1"/>
                <w:sz w:val="24"/>
                <w:szCs w:val="24"/>
              </w:rPr>
              <w:t>入事故应急池，本次评价单次泄漏发生时铅蓄电池的数量按</w:t>
            </w:r>
            <w:r>
              <w:rPr>
                <w:rFonts w:ascii="宋体" w:hAnsi="宋体" w:eastAsia="宋体" w:cs="宋体"/>
                <w:spacing w:val="-39"/>
                <w:sz w:val="24"/>
                <w:szCs w:val="24"/>
              </w:rPr>
              <w:t xml:space="preserve"> </w:t>
            </w:r>
            <w:r>
              <w:rPr>
                <w:rFonts w:ascii="Times New Roman" w:hAnsi="Times New Roman" w:eastAsia="Times New Roman" w:cs="Times New Roman"/>
                <w:spacing w:val="1"/>
                <w:sz w:val="24"/>
                <w:szCs w:val="24"/>
              </w:rPr>
              <w:t>5</w:t>
            </w:r>
            <w:r>
              <w:rPr>
                <w:rFonts w:ascii="宋体" w:hAnsi="宋体" w:eastAsia="宋体" w:cs="宋体"/>
                <w:spacing w:val="1"/>
                <w:sz w:val="24"/>
                <w:szCs w:val="24"/>
              </w:rPr>
              <w:t>块计，电池从</w:t>
            </w:r>
            <w:r>
              <w:rPr>
                <w:rFonts w:ascii="宋体" w:hAnsi="宋体" w:eastAsia="宋体" w:cs="宋体"/>
                <w:sz w:val="24"/>
                <w:szCs w:val="24"/>
              </w:rPr>
              <w:t xml:space="preserve"> </w:t>
            </w:r>
            <w:r>
              <w:rPr>
                <w:rFonts w:ascii="宋体" w:hAnsi="宋体" w:eastAsia="宋体" w:cs="宋体"/>
                <w:spacing w:val="-2"/>
                <w:sz w:val="24"/>
                <w:szCs w:val="24"/>
              </w:rPr>
              <w:t>破损到处置结束时间按</w:t>
            </w:r>
            <w:r>
              <w:rPr>
                <w:rFonts w:ascii="宋体" w:hAnsi="宋体" w:eastAsia="宋体" w:cs="宋体"/>
                <w:spacing w:val="-52"/>
                <w:sz w:val="24"/>
                <w:szCs w:val="24"/>
              </w:rPr>
              <w:t xml:space="preserve"> </w:t>
            </w:r>
            <w:r>
              <w:rPr>
                <w:rFonts w:ascii="Times New Roman" w:hAnsi="Times New Roman" w:eastAsia="Times New Roman" w:cs="Times New Roman"/>
                <w:spacing w:val="-2"/>
                <w:sz w:val="24"/>
                <w:szCs w:val="24"/>
              </w:rPr>
              <w:t>0.5h</w:t>
            </w:r>
            <w:r>
              <w:rPr>
                <w:rFonts w:ascii="宋体" w:hAnsi="宋体" w:eastAsia="宋体" w:cs="宋体"/>
                <w:spacing w:val="-2"/>
                <w:sz w:val="24"/>
                <w:szCs w:val="24"/>
              </w:rPr>
              <w:t>计，泄漏面积平均约为</w:t>
            </w:r>
            <w:r>
              <w:rPr>
                <w:rFonts w:ascii="宋体" w:hAnsi="宋体" w:eastAsia="宋体" w:cs="宋体"/>
                <w:spacing w:val="-32"/>
                <w:sz w:val="24"/>
                <w:szCs w:val="24"/>
              </w:rPr>
              <w:t xml:space="preserve"> </w:t>
            </w:r>
            <w:r>
              <w:rPr>
                <w:rFonts w:ascii="Times New Roman" w:hAnsi="Times New Roman" w:eastAsia="Times New Roman" w:cs="Times New Roman"/>
                <w:spacing w:val="-2"/>
                <w:sz w:val="24"/>
                <w:szCs w:val="24"/>
              </w:rPr>
              <w:t>1m</w:t>
            </w:r>
            <w:r>
              <w:rPr>
                <w:rFonts w:ascii="Times New Roman" w:hAnsi="Times New Roman" w:eastAsia="Times New Roman" w:cs="Times New Roman"/>
                <w:spacing w:val="-2"/>
                <w:position w:val="8"/>
                <w:sz w:val="16"/>
                <w:szCs w:val="16"/>
              </w:rPr>
              <w:t>2</w:t>
            </w:r>
            <w:r>
              <w:rPr>
                <w:rFonts w:ascii="宋体" w:hAnsi="宋体" w:eastAsia="宋体" w:cs="宋体"/>
                <w:spacing w:val="-2"/>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firstLine="587"/>
              <w:textAlignment w:val="auto"/>
              <w:rPr>
                <w:rFonts w:ascii="宋体" w:hAnsi="宋体" w:eastAsia="宋体" w:cs="宋体"/>
                <w:sz w:val="24"/>
                <w:szCs w:val="24"/>
              </w:rPr>
            </w:pPr>
            <w:r>
              <w:rPr>
                <w:rFonts w:ascii="宋体" w:hAnsi="宋体" w:eastAsia="宋体" w:cs="宋体"/>
                <w:spacing w:val="-5"/>
                <w:sz w:val="24"/>
                <w:szCs w:val="24"/>
              </w:rPr>
              <w:t>根据《环境统计手册》</w:t>
            </w:r>
            <w:r>
              <w:rPr>
                <w:rFonts w:ascii="宋体" w:hAnsi="宋体" w:eastAsia="宋体" w:cs="宋体"/>
                <w:spacing w:val="25"/>
                <w:sz w:val="24"/>
                <w:szCs w:val="24"/>
              </w:rPr>
              <w:t xml:space="preserve"> </w:t>
            </w:r>
            <w:r>
              <w:rPr>
                <w:rFonts w:ascii="宋体" w:hAnsi="宋体" w:eastAsia="宋体" w:cs="宋体"/>
                <w:spacing w:val="-5"/>
                <w:sz w:val="24"/>
                <w:szCs w:val="24"/>
              </w:rPr>
              <w:t>中推荐的酸雾统计公式，酸雾挥发量计算如下：</w:t>
            </w:r>
          </w:p>
          <w:p>
            <w:pPr>
              <w:spacing w:before="185" w:line="465" w:lineRule="exact"/>
              <w:ind w:left="0" w:leftChars="0" w:firstLine="0" w:firstLineChars="0"/>
              <w:jc w:val="center"/>
              <w:rPr>
                <w:rFonts w:ascii="Times New Roman" w:hAnsi="Times New Roman" w:eastAsia="Times New Roman" w:cs="Times New Roman"/>
                <w:sz w:val="24"/>
                <w:szCs w:val="24"/>
              </w:rPr>
            </w:pPr>
            <w:r>
              <w:rPr>
                <w:rFonts w:ascii="Times New Roman" w:hAnsi="Times New Roman" w:eastAsia="Times New Roman" w:cs="Times New Roman"/>
                <w:spacing w:val="-1"/>
                <w:position w:val="12"/>
                <w:sz w:val="24"/>
                <w:szCs w:val="24"/>
              </w:rPr>
              <w:t>Gz=M</w:t>
            </w:r>
            <w:r>
              <w:rPr>
                <w:rFonts w:ascii="Times New Roman" w:hAnsi="Times New Roman" w:eastAsia="Times New Roman" w:cs="Times New Roman"/>
                <w:spacing w:val="-40"/>
                <w:position w:val="12"/>
                <w:sz w:val="24"/>
                <w:szCs w:val="24"/>
              </w:rPr>
              <w:t xml:space="preserve"> </w:t>
            </w:r>
            <w:r>
              <w:rPr>
                <w:rFonts w:ascii="宋体" w:hAnsi="宋体" w:eastAsia="宋体" w:cs="宋体"/>
                <w:spacing w:val="-1"/>
                <w:position w:val="12"/>
                <w:sz w:val="24"/>
                <w:szCs w:val="24"/>
              </w:rPr>
              <w:t>（</w:t>
            </w:r>
            <w:r>
              <w:rPr>
                <w:rFonts w:ascii="Times New Roman" w:hAnsi="Times New Roman" w:eastAsia="Times New Roman" w:cs="Times New Roman"/>
                <w:spacing w:val="-1"/>
                <w:position w:val="12"/>
                <w:sz w:val="24"/>
                <w:szCs w:val="24"/>
              </w:rPr>
              <w:t>0.000352+0.000786V</w:t>
            </w:r>
            <w:r>
              <w:rPr>
                <w:rFonts w:ascii="宋体" w:hAnsi="宋体" w:eastAsia="宋体" w:cs="宋体"/>
                <w:spacing w:val="-1"/>
                <w:position w:val="12"/>
                <w:sz w:val="24"/>
                <w:szCs w:val="24"/>
              </w:rPr>
              <w:t>）</w:t>
            </w:r>
            <w:r>
              <w:rPr>
                <w:rFonts w:ascii="Times New Roman" w:hAnsi="Times New Roman" w:eastAsia="Times New Roman" w:cs="Times New Roman"/>
                <w:spacing w:val="-1"/>
                <w:position w:val="12"/>
                <w:sz w:val="24"/>
                <w:szCs w:val="24"/>
              </w:rPr>
              <w:t>×P×F</w:t>
            </w:r>
          </w:p>
          <w:p>
            <w:pPr>
              <w:keepNext w:val="0"/>
              <w:keepLines w:val="0"/>
              <w:pageBreakBefore w:val="0"/>
              <w:widowControl w:val="0"/>
              <w:kinsoku/>
              <w:wordWrap/>
              <w:overflowPunct/>
              <w:topLinePunct w:val="0"/>
              <w:autoSpaceDE/>
              <w:autoSpaceDN/>
              <w:bidi w:val="0"/>
              <w:adjustRightInd/>
              <w:snapToGrid/>
              <w:spacing w:line="420" w:lineRule="exact"/>
              <w:ind w:firstLine="864" w:firstLineChars="40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12"/>
                <w:position w:val="1"/>
                <w:sz w:val="24"/>
                <w:szCs w:val="24"/>
              </w:rPr>
              <w:t>式中：Gz：液体蒸发量（kg/h</w:t>
            </w:r>
            <w:r>
              <w:rPr>
                <w:rFonts w:hint="default" w:ascii="Times New Roman" w:hAnsi="Times New Roman" w:eastAsia="宋体" w:cs="Times New Roman"/>
                <w:spacing w:val="2"/>
                <w:position w:val="1"/>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1544" w:firstLineChars="80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21"/>
                <w:w w:val="98"/>
                <w:sz w:val="24"/>
                <w:szCs w:val="24"/>
              </w:rPr>
              <w:t>M：液体分子量；硫酸：98；</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1544" w:firstLineChars="800"/>
              <w:textAlignment w:val="auto"/>
              <w:rPr>
                <w:rFonts w:hint="default" w:ascii="Times New Roman" w:hAnsi="Times New Roman" w:eastAsia="宋体" w:cs="Times New Roman"/>
                <w:spacing w:val="-21"/>
                <w:w w:val="98"/>
                <w:sz w:val="24"/>
                <w:szCs w:val="24"/>
              </w:rPr>
            </w:pPr>
            <w:r>
              <w:rPr>
                <w:rFonts w:hint="default" w:ascii="Times New Roman" w:hAnsi="Times New Roman" w:eastAsia="宋体" w:cs="Times New Roman"/>
                <w:spacing w:val="-21"/>
                <w:w w:val="98"/>
                <w:sz w:val="24"/>
                <w:szCs w:val="24"/>
              </w:rPr>
              <w:t>V：蒸发液体表面上的空气流速，m/s ，以实测数据为准，无条件实测时，一般可取 0.2~0.5 ，本次评价取中间值 0.3。</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1544" w:firstLineChars="800"/>
              <w:textAlignment w:val="auto"/>
              <w:rPr>
                <w:rFonts w:hint="default" w:ascii="Times New Roman" w:hAnsi="Times New Roman" w:eastAsia="宋体" w:cs="Times New Roman"/>
                <w:spacing w:val="-21"/>
                <w:w w:val="98"/>
                <w:sz w:val="24"/>
                <w:szCs w:val="24"/>
              </w:rPr>
            </w:pPr>
            <w:r>
              <w:rPr>
                <w:rFonts w:hint="default" w:ascii="Times New Roman" w:hAnsi="Times New Roman" w:eastAsia="宋体" w:cs="Times New Roman"/>
                <w:spacing w:val="-21"/>
                <w:w w:val="98"/>
                <w:sz w:val="24"/>
                <w:szCs w:val="24"/>
              </w:rPr>
              <w:t>P：相应于液体温度下的空气中的蒸气分压力，mmHg 。本项目废 酸液硫酸浓度约为 40% ，温度为20°C ，经查阅硫酸溶液饱和蒸汽压中硫酸分压资料，本项目P取 9.84mmHg。</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1544" w:firstLineChars="800"/>
              <w:textAlignment w:val="auto"/>
              <w:rPr>
                <w:rFonts w:hint="default" w:ascii="Times New Roman" w:hAnsi="Times New Roman" w:eastAsia="宋体" w:cs="Times New Roman"/>
                <w:spacing w:val="-21"/>
                <w:w w:val="98"/>
                <w:sz w:val="24"/>
                <w:szCs w:val="24"/>
              </w:rPr>
            </w:pPr>
            <w:r>
              <w:rPr>
                <w:rFonts w:hint="default" w:ascii="Times New Roman" w:hAnsi="Times New Roman" w:eastAsia="宋体" w:cs="Times New Roman"/>
                <w:spacing w:val="-21"/>
                <w:w w:val="98"/>
                <w:sz w:val="24"/>
                <w:szCs w:val="24"/>
              </w:rPr>
              <w:t>F：液体蒸发面表面积，m</w:t>
            </w:r>
            <w:r>
              <w:rPr>
                <w:rFonts w:hint="default" w:ascii="Times New Roman" w:hAnsi="Times New Roman" w:eastAsia="宋体" w:cs="Times New Roman"/>
                <w:spacing w:val="-21"/>
                <w:w w:val="98"/>
                <w:sz w:val="24"/>
                <w:szCs w:val="24"/>
                <w:vertAlign w:val="superscript"/>
              </w:rPr>
              <w:t>2</w:t>
            </w:r>
            <w:r>
              <w:rPr>
                <w:rFonts w:hint="default" w:ascii="Times New Roman" w:hAnsi="Times New Roman" w:eastAsia="宋体" w:cs="Times New Roman"/>
                <w:spacing w:val="-21"/>
                <w:w w:val="98"/>
                <w:sz w:val="24"/>
                <w:szCs w:val="24"/>
              </w:rPr>
              <w:t xml:space="preserve"> ，本次评价取 1m</w:t>
            </w:r>
            <w:r>
              <w:rPr>
                <w:rFonts w:hint="default" w:ascii="Times New Roman" w:hAnsi="Times New Roman" w:eastAsia="宋体" w:cs="Times New Roman"/>
                <w:spacing w:val="-21"/>
                <w:w w:val="98"/>
                <w:sz w:val="24"/>
                <w:szCs w:val="24"/>
                <w:vertAlign w:val="superscript"/>
              </w:rPr>
              <w:t>2</w:t>
            </w:r>
            <w:r>
              <w:rPr>
                <w:rFonts w:hint="default" w:ascii="Times New Roman" w:hAnsi="Times New Roman" w:eastAsia="宋体" w:cs="Times New Roman"/>
                <w:spacing w:val="-21"/>
                <w:w w:val="98"/>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1544" w:firstLineChars="800"/>
              <w:textAlignment w:val="auto"/>
              <w:rPr>
                <w:rFonts w:hint="default" w:ascii="Times New Roman" w:hAnsi="Times New Roman" w:eastAsia="宋体" w:cs="Times New Roman"/>
                <w:spacing w:val="-21"/>
                <w:w w:val="98"/>
                <w:sz w:val="24"/>
                <w:szCs w:val="24"/>
              </w:rPr>
            </w:pPr>
            <w:r>
              <w:rPr>
                <w:rFonts w:hint="default" w:ascii="Times New Roman" w:hAnsi="Times New Roman" w:eastAsia="宋体" w:cs="Times New Roman"/>
                <w:spacing w:val="-21"/>
                <w:w w:val="98"/>
                <w:sz w:val="24"/>
                <w:szCs w:val="24"/>
              </w:rPr>
              <w:t>Gz 硫酸雾=Gz-G水，20°C 时水蒸气的蒸发量为0.5L/m</w:t>
            </w:r>
            <w:r>
              <w:rPr>
                <w:rFonts w:hint="default" w:ascii="Times New Roman" w:hAnsi="Times New Roman" w:eastAsia="宋体" w:cs="Times New Roman"/>
                <w:spacing w:val="-21"/>
                <w:w w:val="98"/>
                <w:sz w:val="24"/>
                <w:szCs w:val="24"/>
                <w:vertAlign w:val="superscript"/>
              </w:rPr>
              <w:t>2</w:t>
            </w:r>
            <w:r>
              <w:rPr>
                <w:rFonts w:hint="default" w:ascii="Times New Roman" w:hAnsi="Times New Roman" w:eastAsia="宋体" w:cs="Times New Roman"/>
                <w:spacing w:val="-21"/>
                <w:w w:val="98"/>
                <w:sz w:val="24"/>
                <w:szCs w:val="24"/>
              </w:rPr>
              <w:t>·h 。则G水为 0.5kg/h。</w:t>
            </w:r>
          </w:p>
          <w:p>
            <w:pPr>
              <w:keepNext w:val="0"/>
              <w:keepLines w:val="0"/>
              <w:pageBreakBefore w:val="0"/>
              <w:kinsoku/>
              <w:wordWrap/>
              <w:overflowPunct/>
              <w:topLinePunct w:val="0"/>
              <w:autoSpaceDE/>
              <w:autoSpaceDN/>
              <w:bidi w:val="0"/>
              <w:spacing w:line="480" w:lineRule="exact"/>
              <w:ind w:left="0" w:leftChars="0" w:firstLine="472" w:firstLineChars="200"/>
              <w:textAlignment w:val="auto"/>
              <w:rPr>
                <w:rFonts w:hint="eastAsia"/>
                <w:highlight w:val="none"/>
                <w:lang w:eastAsia="zh-CN"/>
              </w:rPr>
            </w:pPr>
            <w:r>
              <w:rPr>
                <w:rFonts w:hint="eastAsia" w:ascii="宋体" w:hAnsi="宋体" w:eastAsia="宋体" w:cs="宋体"/>
                <w:spacing w:val="-2"/>
                <w:position w:val="1"/>
                <w:sz w:val="24"/>
                <w:szCs w:val="24"/>
                <w:lang w:eastAsia="zh-CN"/>
              </w:rPr>
              <w:t>经</w:t>
            </w:r>
            <w:r>
              <w:rPr>
                <w:rFonts w:ascii="宋体" w:hAnsi="宋体" w:eastAsia="宋体" w:cs="宋体"/>
                <w:spacing w:val="-2"/>
                <w:position w:val="1"/>
                <w:sz w:val="24"/>
                <w:szCs w:val="24"/>
              </w:rPr>
              <w:t>计算，硫酸挥发量约为</w:t>
            </w:r>
            <w:r>
              <w:rPr>
                <w:rFonts w:ascii="宋体" w:hAnsi="宋体" w:eastAsia="宋体" w:cs="宋体"/>
                <w:spacing w:val="-21"/>
                <w:position w:val="1"/>
                <w:sz w:val="24"/>
                <w:szCs w:val="24"/>
              </w:rPr>
              <w:t xml:space="preserve"> </w:t>
            </w:r>
            <w:r>
              <w:rPr>
                <w:rFonts w:ascii="Times New Roman" w:hAnsi="Times New Roman" w:eastAsia="Times New Roman" w:cs="Times New Roman"/>
                <w:spacing w:val="-2"/>
                <w:position w:val="1"/>
                <w:sz w:val="24"/>
                <w:szCs w:val="24"/>
              </w:rPr>
              <w:t>0.067kg/h</w:t>
            </w:r>
            <w:r>
              <w:rPr>
                <w:rFonts w:ascii="Times New Roman" w:hAnsi="Times New Roman" w:eastAsia="Times New Roman" w:cs="Times New Roman"/>
                <w:spacing w:val="-31"/>
                <w:position w:val="1"/>
                <w:sz w:val="24"/>
                <w:szCs w:val="24"/>
              </w:rPr>
              <w:t xml:space="preserve"> </w:t>
            </w:r>
            <w:r>
              <w:rPr>
                <w:rFonts w:ascii="宋体" w:hAnsi="宋体" w:eastAsia="宋体" w:cs="宋体"/>
                <w:spacing w:val="-2"/>
                <w:position w:val="1"/>
                <w:sz w:val="24"/>
                <w:szCs w:val="24"/>
              </w:rPr>
              <w:t>，项目贮存仓库全部密封，破损电池</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textAlignment w:val="auto"/>
              <w:rPr>
                <w:rFonts w:hint="default" w:ascii="Times New Roman" w:hAnsi="Times New Roman" w:cs="Times New Roman"/>
                <w:highlight w:val="none"/>
                <w:lang w:eastAsia="zh-CN"/>
              </w:rPr>
            </w:pPr>
            <w:r>
              <w:rPr>
                <w:rFonts w:ascii="宋体" w:hAnsi="宋体" w:eastAsia="宋体" w:cs="宋体"/>
                <w:spacing w:val="-5"/>
                <w:sz w:val="24"/>
                <w:szCs w:val="24"/>
              </w:rPr>
              <w:t>储存区二次密闭（长</w:t>
            </w:r>
            <w:r>
              <w:rPr>
                <w:rFonts w:ascii="宋体" w:hAnsi="宋体" w:eastAsia="宋体" w:cs="宋体"/>
                <w:spacing w:val="-27"/>
                <w:sz w:val="24"/>
                <w:szCs w:val="24"/>
              </w:rPr>
              <w:t xml:space="preserve"> </w:t>
            </w:r>
            <w:r>
              <w:rPr>
                <w:rFonts w:ascii="Times New Roman" w:hAnsi="Times New Roman" w:eastAsia="Times New Roman" w:cs="Times New Roman"/>
                <w:spacing w:val="-5"/>
                <w:sz w:val="24"/>
                <w:szCs w:val="24"/>
              </w:rPr>
              <w:t>10m</w:t>
            </w:r>
            <w:r>
              <w:rPr>
                <w:rFonts w:ascii="Times New Roman" w:hAnsi="Times New Roman" w:eastAsia="Times New Roman" w:cs="Times New Roman"/>
                <w:spacing w:val="-33"/>
                <w:sz w:val="24"/>
                <w:szCs w:val="24"/>
              </w:rPr>
              <w:t xml:space="preserve"> </w:t>
            </w:r>
            <w:r>
              <w:rPr>
                <w:rFonts w:ascii="宋体" w:hAnsi="宋体" w:eastAsia="宋体" w:cs="宋体"/>
                <w:spacing w:val="-5"/>
                <w:sz w:val="24"/>
                <w:szCs w:val="24"/>
              </w:rPr>
              <w:t>、宽</w:t>
            </w:r>
            <w:r>
              <w:rPr>
                <w:rFonts w:ascii="宋体" w:hAnsi="宋体" w:eastAsia="宋体" w:cs="宋体"/>
                <w:spacing w:val="-29"/>
                <w:sz w:val="24"/>
                <w:szCs w:val="24"/>
              </w:rPr>
              <w:t xml:space="preserve"> </w:t>
            </w:r>
            <w:r>
              <w:rPr>
                <w:rFonts w:ascii="Times New Roman" w:hAnsi="Times New Roman" w:eastAsia="Times New Roman" w:cs="Times New Roman"/>
                <w:spacing w:val="-5"/>
                <w:sz w:val="24"/>
                <w:szCs w:val="24"/>
              </w:rPr>
              <w:t>10m</w:t>
            </w:r>
            <w:r>
              <w:rPr>
                <w:rFonts w:ascii="Times New Roman" w:hAnsi="Times New Roman" w:eastAsia="Times New Roman" w:cs="Times New Roman"/>
                <w:spacing w:val="-33"/>
                <w:sz w:val="24"/>
                <w:szCs w:val="24"/>
              </w:rPr>
              <w:t xml:space="preserve"> </w:t>
            </w:r>
            <w:r>
              <w:rPr>
                <w:rFonts w:ascii="宋体" w:hAnsi="宋体" w:eastAsia="宋体" w:cs="宋体"/>
                <w:spacing w:val="-5"/>
                <w:sz w:val="24"/>
                <w:szCs w:val="24"/>
              </w:rPr>
              <w:t>、高</w:t>
            </w:r>
            <w:r>
              <w:rPr>
                <w:rFonts w:ascii="宋体" w:hAnsi="宋体" w:eastAsia="宋体" w:cs="宋体"/>
                <w:spacing w:val="-46"/>
                <w:sz w:val="24"/>
                <w:szCs w:val="24"/>
              </w:rPr>
              <w:t xml:space="preserve"> </w:t>
            </w:r>
            <w:r>
              <w:rPr>
                <w:rFonts w:ascii="Times New Roman" w:hAnsi="Times New Roman" w:eastAsia="Times New Roman" w:cs="Times New Roman"/>
                <w:spacing w:val="-5"/>
                <w:sz w:val="24"/>
                <w:szCs w:val="24"/>
              </w:rPr>
              <w:t>5m</w:t>
            </w:r>
            <w:r>
              <w:rPr>
                <w:rFonts w:ascii="Times New Roman" w:hAnsi="Times New Roman" w:eastAsia="Times New Roman" w:cs="Times New Roman"/>
                <w:spacing w:val="-25"/>
                <w:sz w:val="24"/>
                <w:szCs w:val="24"/>
              </w:rPr>
              <w:t xml:space="preserve"> </w:t>
            </w:r>
            <w:r>
              <w:rPr>
                <w:rFonts w:ascii="宋体" w:hAnsi="宋体" w:eastAsia="宋体" w:cs="宋体"/>
                <w:spacing w:val="1"/>
                <w:sz w:val="24"/>
                <w:szCs w:val="24"/>
              </w:rPr>
              <w:t>），</w:t>
            </w:r>
            <w:r>
              <w:rPr>
                <w:rFonts w:ascii="宋体" w:hAnsi="宋体" w:eastAsia="宋体" w:cs="宋体"/>
                <w:spacing w:val="-5"/>
                <w:sz w:val="24"/>
                <w:szCs w:val="24"/>
              </w:rPr>
              <w:t>按照每小时通风换气</w:t>
            </w:r>
            <w:r>
              <w:rPr>
                <w:rFonts w:ascii="Times New Roman" w:hAnsi="Times New Roman" w:eastAsia="Times New Roman" w:cs="Times New Roman"/>
                <w:spacing w:val="-5"/>
                <w:sz w:val="24"/>
                <w:szCs w:val="24"/>
              </w:rPr>
              <w:t>10</w:t>
            </w:r>
            <w:r>
              <w:rPr>
                <w:rFonts w:ascii="宋体" w:hAnsi="宋体" w:eastAsia="宋体" w:cs="宋体"/>
                <w:spacing w:val="-5"/>
                <w:sz w:val="24"/>
                <w:szCs w:val="24"/>
              </w:rPr>
              <w:t>次进</w:t>
            </w:r>
            <w:r>
              <w:rPr>
                <w:rFonts w:ascii="宋体" w:hAnsi="宋体" w:eastAsia="宋体" w:cs="宋体"/>
                <w:spacing w:val="-2"/>
                <w:sz w:val="24"/>
                <w:szCs w:val="24"/>
              </w:rPr>
              <w:t>行设计，风量设计为</w:t>
            </w:r>
            <w:r>
              <w:rPr>
                <w:rFonts w:ascii="宋体" w:hAnsi="宋体" w:eastAsia="宋体" w:cs="宋体"/>
                <w:spacing w:val="-35"/>
                <w:sz w:val="24"/>
                <w:szCs w:val="24"/>
              </w:rPr>
              <w:t xml:space="preserve"> </w:t>
            </w:r>
            <w:r>
              <w:rPr>
                <w:rFonts w:ascii="Times New Roman" w:hAnsi="Times New Roman" w:eastAsia="Times New Roman" w:cs="Times New Roman"/>
                <w:spacing w:val="-2"/>
                <w:sz w:val="24"/>
                <w:szCs w:val="24"/>
              </w:rPr>
              <w:t>5000m</w:t>
            </w:r>
            <w:r>
              <w:rPr>
                <w:rFonts w:ascii="Times New Roman" w:hAnsi="Times New Roman" w:eastAsia="Times New Roman" w:cs="Times New Roman"/>
                <w:spacing w:val="-2"/>
                <w:position w:val="8"/>
                <w:sz w:val="16"/>
                <w:szCs w:val="16"/>
              </w:rPr>
              <w:t>3</w:t>
            </w:r>
            <w:r>
              <w:rPr>
                <w:rFonts w:ascii="Times New Roman" w:hAnsi="Times New Roman" w:eastAsia="Times New Roman" w:cs="Times New Roman"/>
                <w:spacing w:val="-2"/>
                <w:sz w:val="24"/>
                <w:szCs w:val="24"/>
              </w:rPr>
              <w:t>/h</w:t>
            </w:r>
            <w:r>
              <w:rPr>
                <w:rFonts w:ascii="Times New Roman" w:hAnsi="Times New Roman" w:eastAsia="Times New Roman" w:cs="Times New Roman"/>
                <w:spacing w:val="-31"/>
                <w:sz w:val="24"/>
                <w:szCs w:val="24"/>
              </w:rPr>
              <w:t xml:space="preserve"> </w:t>
            </w:r>
            <w:r>
              <w:rPr>
                <w:rFonts w:ascii="宋体" w:hAnsi="宋体" w:eastAsia="宋体" w:cs="宋体"/>
                <w:spacing w:val="-2"/>
                <w:sz w:val="24"/>
                <w:szCs w:val="24"/>
              </w:rPr>
              <w:t>，收集效率</w:t>
            </w:r>
            <w:r>
              <w:rPr>
                <w:rFonts w:ascii="宋体" w:hAnsi="宋体" w:eastAsia="宋体" w:cs="宋体"/>
                <w:spacing w:val="-51"/>
                <w:sz w:val="24"/>
                <w:szCs w:val="24"/>
              </w:rPr>
              <w:t xml:space="preserve"> </w:t>
            </w:r>
            <w:r>
              <w:rPr>
                <w:rFonts w:ascii="Times New Roman" w:hAnsi="Times New Roman" w:eastAsia="Times New Roman" w:cs="Times New Roman"/>
                <w:spacing w:val="-2"/>
                <w:sz w:val="24"/>
                <w:szCs w:val="24"/>
              </w:rPr>
              <w:t>95%</w:t>
            </w:r>
            <w:r>
              <w:rPr>
                <w:rFonts w:ascii="Times New Roman" w:hAnsi="Times New Roman" w:eastAsia="Times New Roman" w:cs="Times New Roman"/>
                <w:spacing w:val="-29"/>
                <w:sz w:val="24"/>
                <w:szCs w:val="24"/>
              </w:rPr>
              <w:t xml:space="preserve"> </w:t>
            </w:r>
            <w:r>
              <w:rPr>
                <w:rFonts w:ascii="宋体" w:hAnsi="宋体" w:eastAsia="宋体" w:cs="宋体"/>
                <w:spacing w:val="-2"/>
                <w:sz w:val="24"/>
                <w:szCs w:val="24"/>
              </w:rPr>
              <w:t>，废气经</w:t>
            </w:r>
            <w:r>
              <w:rPr>
                <w:rFonts w:hint="eastAsia" w:ascii="宋体" w:hAnsi="宋体" w:cs="宋体"/>
                <w:spacing w:val="-2"/>
                <w:sz w:val="24"/>
                <w:szCs w:val="24"/>
                <w:lang w:eastAsia="zh-CN"/>
              </w:rPr>
              <w:t>负压</w:t>
            </w:r>
            <w:r>
              <w:rPr>
                <w:rFonts w:ascii="宋体" w:hAnsi="宋体" w:eastAsia="宋体" w:cs="宋体"/>
                <w:spacing w:val="-2"/>
                <w:sz w:val="24"/>
                <w:szCs w:val="24"/>
              </w:rPr>
              <w:t>收集后由酸雾吸收</w:t>
            </w:r>
            <w:r>
              <w:rPr>
                <w:rFonts w:hint="eastAsia" w:ascii="宋体" w:hAnsi="宋体" w:cs="宋体"/>
                <w:spacing w:val="-2"/>
                <w:sz w:val="24"/>
                <w:szCs w:val="24"/>
                <w:lang w:eastAsia="zh-CN"/>
              </w:rPr>
              <w:t>塔</w:t>
            </w:r>
            <w:r>
              <w:rPr>
                <w:rFonts w:ascii="宋体" w:hAnsi="宋体" w:eastAsia="宋体" w:cs="宋体"/>
                <w:spacing w:val="-2"/>
                <w:sz w:val="24"/>
                <w:szCs w:val="24"/>
              </w:rPr>
              <w:t>处理，根据生态环境部</w:t>
            </w:r>
            <w:r>
              <w:rPr>
                <w:rFonts w:ascii="宋体" w:hAnsi="宋体" w:eastAsia="宋体" w:cs="宋体"/>
                <w:spacing w:val="-45"/>
                <w:sz w:val="24"/>
                <w:szCs w:val="24"/>
              </w:rPr>
              <w:t xml:space="preserve"> </w:t>
            </w:r>
            <w:r>
              <w:rPr>
                <w:rFonts w:ascii="Times New Roman" w:hAnsi="Times New Roman" w:eastAsia="Times New Roman" w:cs="Times New Roman"/>
                <w:spacing w:val="-2"/>
                <w:sz w:val="24"/>
                <w:szCs w:val="24"/>
              </w:rPr>
              <w:t>2021</w:t>
            </w:r>
            <w:r>
              <w:rPr>
                <w:rFonts w:ascii="宋体" w:hAnsi="宋体" w:eastAsia="宋体" w:cs="宋体"/>
                <w:spacing w:val="-2"/>
                <w:sz w:val="24"/>
                <w:szCs w:val="24"/>
              </w:rPr>
              <w:t>年</w:t>
            </w:r>
            <w:r>
              <w:rPr>
                <w:rFonts w:ascii="宋体" w:hAnsi="宋体" w:eastAsia="宋体" w:cs="宋体"/>
                <w:spacing w:val="-48"/>
                <w:sz w:val="24"/>
                <w:szCs w:val="24"/>
              </w:rPr>
              <w:t xml:space="preserve"> </w:t>
            </w:r>
            <w:r>
              <w:rPr>
                <w:rFonts w:ascii="Times New Roman" w:hAnsi="Times New Roman" w:eastAsia="Times New Roman" w:cs="Times New Roman"/>
                <w:spacing w:val="-2"/>
                <w:sz w:val="24"/>
                <w:szCs w:val="24"/>
              </w:rPr>
              <w:t>6</w:t>
            </w:r>
            <w:r>
              <w:rPr>
                <w:rFonts w:ascii="宋体" w:hAnsi="宋体" w:eastAsia="宋体" w:cs="宋体"/>
                <w:spacing w:val="-2"/>
                <w:sz w:val="24"/>
                <w:szCs w:val="24"/>
              </w:rPr>
              <w:t>月</w:t>
            </w:r>
            <w:r>
              <w:rPr>
                <w:rFonts w:ascii="Times New Roman" w:hAnsi="Times New Roman" w:eastAsia="Times New Roman" w:cs="Times New Roman"/>
                <w:spacing w:val="-2"/>
                <w:sz w:val="24"/>
                <w:szCs w:val="24"/>
              </w:rPr>
              <w:t>11</w:t>
            </w:r>
            <w:r>
              <w:rPr>
                <w:rFonts w:ascii="宋体" w:hAnsi="宋体" w:eastAsia="宋体" w:cs="宋体"/>
                <w:spacing w:val="-2"/>
                <w:sz w:val="24"/>
                <w:szCs w:val="24"/>
              </w:rPr>
              <w:t>日发布的《排放源统计调查产排污核</w:t>
            </w:r>
            <w:r>
              <w:rPr>
                <w:rFonts w:ascii="宋体" w:hAnsi="宋体" w:eastAsia="宋体" w:cs="宋体"/>
                <w:spacing w:val="-5"/>
                <w:sz w:val="24"/>
                <w:szCs w:val="24"/>
              </w:rPr>
              <w:t>算方法和系数手册》中，采用酸雾吸收</w:t>
            </w:r>
            <w:r>
              <w:rPr>
                <w:rFonts w:hint="eastAsia" w:ascii="宋体" w:hAnsi="宋体" w:cs="宋体"/>
                <w:spacing w:val="-5"/>
                <w:sz w:val="24"/>
                <w:szCs w:val="24"/>
                <w:lang w:eastAsia="zh-CN"/>
              </w:rPr>
              <w:t>塔</w:t>
            </w:r>
            <w:r>
              <w:rPr>
                <w:rFonts w:ascii="宋体" w:hAnsi="宋体" w:eastAsia="宋体" w:cs="宋体"/>
                <w:spacing w:val="-5"/>
                <w:sz w:val="24"/>
                <w:szCs w:val="24"/>
              </w:rPr>
              <w:t>对酸雾去除率为</w:t>
            </w:r>
            <w:r>
              <w:rPr>
                <w:rFonts w:ascii="宋体" w:hAnsi="宋体" w:eastAsia="宋体" w:cs="宋体"/>
                <w:spacing w:val="-40"/>
                <w:sz w:val="24"/>
                <w:szCs w:val="24"/>
              </w:rPr>
              <w:t xml:space="preserve"> </w:t>
            </w:r>
            <w:r>
              <w:rPr>
                <w:rFonts w:ascii="Times New Roman" w:hAnsi="Times New Roman" w:eastAsia="Times New Roman" w:cs="Times New Roman"/>
                <w:spacing w:val="-5"/>
                <w:sz w:val="24"/>
                <w:szCs w:val="24"/>
              </w:rPr>
              <w:t>80%</w:t>
            </w:r>
            <w:r>
              <w:rPr>
                <w:rFonts w:ascii="Times New Roman" w:hAnsi="Times New Roman" w:eastAsia="Times New Roman" w:cs="Times New Roman"/>
                <w:spacing w:val="-30"/>
                <w:sz w:val="24"/>
                <w:szCs w:val="24"/>
              </w:rPr>
              <w:t xml:space="preserve"> </w:t>
            </w:r>
            <w:r>
              <w:rPr>
                <w:rFonts w:ascii="宋体" w:hAnsi="宋体" w:eastAsia="宋体" w:cs="宋体"/>
                <w:spacing w:val="-5"/>
                <w:sz w:val="24"/>
                <w:szCs w:val="24"/>
              </w:rPr>
              <w:t>，处理后的废</w:t>
            </w:r>
            <w:r>
              <w:rPr>
                <w:rFonts w:ascii="宋体" w:hAnsi="宋体" w:eastAsia="宋体" w:cs="宋体"/>
                <w:spacing w:val="-7"/>
                <w:sz w:val="24"/>
                <w:szCs w:val="24"/>
              </w:rPr>
              <w:t>气经</w:t>
            </w:r>
            <w:r>
              <w:rPr>
                <w:rFonts w:ascii="宋体" w:hAnsi="宋体" w:eastAsia="宋体" w:cs="宋体"/>
                <w:spacing w:val="-22"/>
                <w:sz w:val="24"/>
                <w:szCs w:val="24"/>
              </w:rPr>
              <w:t xml:space="preserve"> </w:t>
            </w:r>
            <w:r>
              <w:rPr>
                <w:rFonts w:ascii="Times New Roman" w:hAnsi="Times New Roman" w:eastAsia="Times New Roman" w:cs="Times New Roman"/>
                <w:spacing w:val="-7"/>
                <w:sz w:val="24"/>
                <w:szCs w:val="24"/>
              </w:rPr>
              <w:t>15m</w:t>
            </w:r>
            <w:r>
              <w:rPr>
                <w:rFonts w:ascii="宋体" w:hAnsi="宋体" w:eastAsia="宋体" w:cs="宋体"/>
                <w:spacing w:val="-7"/>
                <w:sz w:val="24"/>
                <w:szCs w:val="24"/>
              </w:rPr>
              <w:t>高排气筒排放。项目全年泄漏发生及处置时间约为</w:t>
            </w:r>
            <w:r>
              <w:rPr>
                <w:rFonts w:ascii="宋体" w:hAnsi="宋体" w:eastAsia="宋体" w:cs="宋体"/>
                <w:spacing w:val="-55"/>
                <w:sz w:val="24"/>
                <w:szCs w:val="24"/>
              </w:rPr>
              <w:t xml:space="preserve"> </w:t>
            </w:r>
            <w:r>
              <w:rPr>
                <w:rFonts w:ascii="Times New Roman" w:hAnsi="Times New Roman" w:eastAsia="Times New Roman" w:cs="Times New Roman"/>
                <w:spacing w:val="-7"/>
                <w:sz w:val="24"/>
                <w:szCs w:val="24"/>
              </w:rPr>
              <w:t>250h</w:t>
            </w:r>
            <w:r>
              <w:rPr>
                <w:rFonts w:ascii="宋体" w:hAnsi="宋体" w:eastAsia="宋体" w:cs="宋体"/>
                <w:spacing w:val="-7"/>
                <w:sz w:val="24"/>
                <w:szCs w:val="24"/>
              </w:rPr>
              <w:t>，</w:t>
            </w:r>
            <w:r>
              <w:rPr>
                <w:rFonts w:ascii="宋体" w:hAnsi="宋体" w:eastAsia="宋体" w:cs="宋体"/>
                <w:spacing w:val="-4"/>
                <w:sz w:val="24"/>
                <w:szCs w:val="24"/>
              </w:rPr>
              <w:t>经计算，项目有组织硫酸雾的产生量约为</w:t>
            </w:r>
            <w:r>
              <w:rPr>
                <w:rFonts w:ascii="Times New Roman" w:hAnsi="Times New Roman" w:eastAsia="Times New Roman" w:cs="Times New Roman"/>
                <w:spacing w:val="-4"/>
                <w:sz w:val="24"/>
                <w:szCs w:val="24"/>
              </w:rPr>
              <w:t>15.913kg/a</w:t>
            </w:r>
            <w:r>
              <w:rPr>
                <w:rFonts w:ascii="宋体" w:hAnsi="宋体" w:eastAsia="宋体" w:cs="宋体"/>
                <w:spacing w:val="-4"/>
                <w:sz w:val="24"/>
                <w:szCs w:val="24"/>
              </w:rPr>
              <w:t>，经酸雾吸收</w:t>
            </w:r>
            <w:r>
              <w:rPr>
                <w:rFonts w:hint="eastAsia" w:ascii="宋体" w:hAnsi="宋体" w:eastAsia="宋体" w:cs="宋体"/>
                <w:spacing w:val="-4"/>
                <w:sz w:val="24"/>
                <w:szCs w:val="24"/>
                <w:lang w:eastAsia="zh-CN"/>
              </w:rPr>
              <w:t>塔</w:t>
            </w:r>
            <w:r>
              <w:rPr>
                <w:rFonts w:ascii="宋体" w:hAnsi="宋体" w:eastAsia="宋体" w:cs="宋体"/>
                <w:spacing w:val="-4"/>
                <w:sz w:val="24"/>
                <w:szCs w:val="24"/>
              </w:rPr>
              <w:t>处理后有</w:t>
            </w:r>
            <w:r>
              <w:rPr>
                <w:rFonts w:ascii="宋体" w:hAnsi="宋体" w:eastAsia="宋体" w:cs="宋体"/>
                <w:spacing w:val="8"/>
                <w:sz w:val="24"/>
                <w:szCs w:val="24"/>
              </w:rPr>
              <w:t>组织硫酸雾排放量</w:t>
            </w:r>
            <w:r>
              <w:rPr>
                <w:rFonts w:ascii="宋体" w:hAnsi="宋体" w:eastAsia="宋体" w:cs="宋体"/>
                <w:spacing w:val="-71"/>
                <w:sz w:val="24"/>
                <w:szCs w:val="24"/>
              </w:rPr>
              <w:t xml:space="preserve"> </w:t>
            </w:r>
            <w:r>
              <w:rPr>
                <w:rFonts w:ascii="宋体" w:hAnsi="宋体" w:eastAsia="宋体" w:cs="宋体"/>
                <w:spacing w:val="8"/>
                <w:sz w:val="24"/>
                <w:szCs w:val="24"/>
              </w:rPr>
              <w:t>为</w:t>
            </w:r>
            <w:r>
              <w:rPr>
                <w:rFonts w:ascii="宋体" w:hAnsi="宋体" w:eastAsia="宋体" w:cs="宋体"/>
                <w:spacing w:val="-14"/>
                <w:sz w:val="24"/>
                <w:szCs w:val="24"/>
              </w:rPr>
              <w:t xml:space="preserve"> </w:t>
            </w:r>
            <w:r>
              <w:rPr>
                <w:rFonts w:ascii="Times New Roman" w:hAnsi="Times New Roman" w:eastAsia="Times New Roman" w:cs="Times New Roman"/>
                <w:spacing w:val="8"/>
                <w:sz w:val="24"/>
                <w:szCs w:val="24"/>
              </w:rPr>
              <w:t>3.183kg/a</w:t>
            </w:r>
            <w:r>
              <w:rPr>
                <w:rFonts w:ascii="宋体" w:hAnsi="宋体" w:eastAsia="宋体" w:cs="宋体"/>
                <w:spacing w:val="8"/>
                <w:sz w:val="24"/>
                <w:szCs w:val="24"/>
              </w:rPr>
              <w:t>，排放速率</w:t>
            </w:r>
            <w:r>
              <w:rPr>
                <w:rFonts w:ascii="宋体" w:hAnsi="宋体" w:eastAsia="宋体" w:cs="宋体"/>
                <w:spacing w:val="-72"/>
                <w:sz w:val="24"/>
                <w:szCs w:val="24"/>
              </w:rPr>
              <w:t xml:space="preserve"> </w:t>
            </w:r>
            <w:r>
              <w:rPr>
                <w:rFonts w:ascii="宋体" w:hAnsi="宋体" w:eastAsia="宋体" w:cs="宋体"/>
                <w:spacing w:val="8"/>
                <w:sz w:val="24"/>
                <w:szCs w:val="24"/>
              </w:rPr>
              <w:t>为</w:t>
            </w:r>
            <w:r>
              <w:rPr>
                <w:rFonts w:ascii="Times New Roman" w:hAnsi="Times New Roman" w:eastAsia="Times New Roman" w:cs="Times New Roman"/>
                <w:spacing w:val="8"/>
                <w:sz w:val="24"/>
                <w:szCs w:val="24"/>
              </w:rPr>
              <w:t>0.0127kg/h</w:t>
            </w:r>
            <w:r>
              <w:rPr>
                <w:rFonts w:ascii="宋体" w:hAnsi="宋体" w:eastAsia="宋体" w:cs="宋体"/>
                <w:spacing w:val="8"/>
                <w:sz w:val="24"/>
                <w:szCs w:val="24"/>
              </w:rPr>
              <w:t>，排放浓度</w:t>
            </w:r>
            <w:r>
              <w:rPr>
                <w:rFonts w:ascii="宋体" w:hAnsi="宋体" w:eastAsia="宋体" w:cs="宋体"/>
                <w:spacing w:val="-70"/>
                <w:sz w:val="24"/>
                <w:szCs w:val="24"/>
              </w:rPr>
              <w:t xml:space="preserve"> </w:t>
            </w:r>
            <w:r>
              <w:rPr>
                <w:rFonts w:ascii="宋体" w:hAnsi="宋体" w:eastAsia="宋体" w:cs="宋体"/>
                <w:spacing w:val="8"/>
                <w:sz w:val="24"/>
                <w:szCs w:val="24"/>
              </w:rPr>
              <w:t>为</w:t>
            </w:r>
            <w:r>
              <w:rPr>
                <w:rFonts w:ascii="Times New Roman" w:hAnsi="Times New Roman" w:eastAsia="Times New Roman" w:cs="Times New Roman"/>
                <w:spacing w:val="-1"/>
                <w:sz w:val="24"/>
                <w:szCs w:val="24"/>
              </w:rPr>
              <w:t>2.55mg/m</w:t>
            </w:r>
            <w:r>
              <w:rPr>
                <w:rFonts w:ascii="Times New Roman" w:hAnsi="Times New Roman" w:eastAsia="Times New Roman" w:cs="Times New Roman"/>
                <w:spacing w:val="-1"/>
                <w:position w:val="8"/>
                <w:sz w:val="16"/>
                <w:szCs w:val="16"/>
              </w:rPr>
              <w:t>3</w:t>
            </w:r>
            <w:r>
              <w:rPr>
                <w:rFonts w:hint="eastAsia" w:ascii="宋体" w:hAnsi="宋体" w:eastAsia="宋体" w:cs="宋体"/>
                <w:spacing w:val="-1"/>
                <w:sz w:val="24"/>
                <w:szCs w:val="24"/>
                <w:lang w:eastAsia="zh-CN"/>
              </w:rPr>
              <w:t>，</w:t>
            </w:r>
            <w:r>
              <w:rPr>
                <w:rFonts w:hint="default" w:ascii="Times New Roman" w:hAnsi="Times New Roman" w:eastAsia="宋体" w:cs="Times New Roman"/>
                <w:spacing w:val="-1"/>
                <w:sz w:val="24"/>
                <w:szCs w:val="24"/>
                <w:lang w:eastAsia="zh-CN"/>
              </w:rPr>
              <w:t>能够满足《大气污染物综合排放标准》</w:t>
            </w:r>
            <w:r>
              <w:rPr>
                <w:rFonts w:hint="default" w:ascii="Times New Roman" w:hAnsi="Times New Roman" w:eastAsia="宋体" w:cs="Times New Roman"/>
                <w:spacing w:val="-1"/>
                <w:sz w:val="24"/>
                <w:szCs w:val="24"/>
                <w:lang w:val="en-US" w:eastAsia="zh-CN"/>
              </w:rPr>
              <w:t>(GB16597-1996)表2二级标准限值要求</w:t>
            </w:r>
            <w:r>
              <w:rPr>
                <w:rFonts w:hint="default" w:ascii="Times New Roman" w:hAnsi="Times New Roman" w:eastAsia="宋体" w:cs="Times New Roman"/>
                <w:spacing w:val="-1"/>
                <w:sz w:val="24"/>
                <w:szCs w:val="24"/>
              </w:rPr>
              <w:t>。无组织硫酸雾排放量为</w:t>
            </w:r>
            <w:r>
              <w:rPr>
                <w:rFonts w:hint="default" w:ascii="Times New Roman" w:hAnsi="Times New Roman" w:eastAsia="宋体" w:cs="Times New Roman"/>
                <w:spacing w:val="-51"/>
                <w:sz w:val="24"/>
                <w:szCs w:val="24"/>
              </w:rPr>
              <w:t xml:space="preserve"> </w:t>
            </w:r>
            <w:r>
              <w:rPr>
                <w:rFonts w:hint="default" w:ascii="Times New Roman" w:hAnsi="Times New Roman" w:eastAsia="Times New Roman" w:cs="Times New Roman"/>
                <w:spacing w:val="-1"/>
                <w:sz w:val="24"/>
                <w:szCs w:val="24"/>
              </w:rPr>
              <w:t>0.0838kg/a</w:t>
            </w:r>
            <w:r>
              <w:rPr>
                <w:rFonts w:hint="default" w:ascii="Times New Roman" w:hAnsi="Times New Roman" w:eastAsia="Times New Roman" w:cs="Times New Roman"/>
                <w:spacing w:val="-23"/>
                <w:sz w:val="24"/>
                <w:szCs w:val="24"/>
              </w:rPr>
              <w:t xml:space="preserve"> </w:t>
            </w:r>
            <w:r>
              <w:rPr>
                <w:rFonts w:hint="default" w:ascii="Times New Roman" w:hAnsi="Times New Roman" w:eastAsia="宋体" w:cs="Times New Roman"/>
                <w:spacing w:val="-1"/>
                <w:sz w:val="24"/>
                <w:szCs w:val="24"/>
              </w:rPr>
              <w:t>。</w:t>
            </w:r>
          </w:p>
          <w:p>
            <w:pPr>
              <w:keepNext w:val="0"/>
              <w:keepLines w:val="0"/>
              <w:pageBreakBefore w:val="0"/>
              <w:kinsoku/>
              <w:wordWrap/>
              <w:overflowPunct/>
              <w:topLinePunct w:val="0"/>
              <w:autoSpaceDE/>
              <w:autoSpaceDN/>
              <w:bidi w:val="0"/>
              <w:spacing w:line="240" w:lineRule="auto"/>
              <w:ind w:left="0" w:leftChars="0" w:firstLine="0" w:firstLineChars="0"/>
              <w:jc w:val="center"/>
              <w:textAlignment w:val="auto"/>
              <w:rPr>
                <w:rFonts w:hint="eastAsia" w:ascii="黑体" w:hAnsi="黑体" w:eastAsia="黑体" w:cs="黑体"/>
                <w:highlight w:val="none"/>
                <w:lang w:eastAsia="zh-CN"/>
              </w:rPr>
            </w:pPr>
            <w:r>
              <w:rPr>
                <w:rFonts w:hint="eastAsia" w:ascii="黑体" w:hAnsi="黑体" w:eastAsia="黑体" w:cs="黑体"/>
                <w:highlight w:val="none"/>
                <w:lang w:eastAsia="zh-CN"/>
              </w:rPr>
              <w:t>非正常工况下硫酸雾废气产排情况一览表</w:t>
            </w:r>
          </w:p>
          <w:tbl>
            <w:tblPr>
              <w:tblStyle w:val="16"/>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722"/>
              <w:gridCol w:w="722"/>
              <w:gridCol w:w="825"/>
              <w:gridCol w:w="825"/>
              <w:gridCol w:w="825"/>
              <w:gridCol w:w="825"/>
              <w:gridCol w:w="825"/>
              <w:gridCol w:w="825"/>
              <w:gridCol w:w="8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default" w:ascii="Times New Roman" w:hAnsi="Times New Roman" w:eastAsia="宋体" w:cs="Times New Roman"/>
                      <w:sz w:val="21"/>
                      <w:szCs w:val="21"/>
                      <w:highlight w:val="none"/>
                      <w:vertAlign w:val="baseline"/>
                      <w:lang w:eastAsia="zh-CN"/>
                    </w:rPr>
                    <w:t>排放形式</w:t>
                  </w:r>
                </w:p>
              </w:tc>
              <w:tc>
                <w:tcPr>
                  <w:tcW w:w="722"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default" w:ascii="Times New Roman" w:hAnsi="Times New Roman" w:eastAsia="宋体" w:cs="Times New Roman"/>
                      <w:sz w:val="21"/>
                      <w:szCs w:val="21"/>
                      <w:highlight w:val="none"/>
                      <w:vertAlign w:val="baseline"/>
                      <w:lang w:eastAsia="zh-CN"/>
                    </w:rPr>
                    <w:t>排放点位</w:t>
                  </w:r>
                </w:p>
              </w:tc>
              <w:tc>
                <w:tcPr>
                  <w:tcW w:w="722"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default" w:ascii="Times New Roman" w:hAnsi="Times New Roman" w:eastAsia="宋体" w:cs="Times New Roman"/>
                      <w:sz w:val="21"/>
                      <w:szCs w:val="21"/>
                      <w:highlight w:val="none"/>
                      <w:vertAlign w:val="baseline"/>
                      <w:lang w:eastAsia="zh-CN"/>
                    </w:rPr>
                    <w:t>污染因子</w:t>
                  </w:r>
                </w:p>
              </w:tc>
              <w:tc>
                <w:tcPr>
                  <w:tcW w:w="2475"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产生情况</w:t>
                  </w:r>
                </w:p>
              </w:tc>
              <w:tc>
                <w:tcPr>
                  <w:tcW w:w="825"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治理措施</w:t>
                  </w:r>
                </w:p>
              </w:tc>
              <w:tc>
                <w:tcPr>
                  <w:tcW w:w="2480"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排放情况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p>
              </w:tc>
              <w:tc>
                <w:tcPr>
                  <w:tcW w:w="722"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p>
              </w:tc>
              <w:tc>
                <w:tcPr>
                  <w:tcW w:w="722"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eastAsia="zh-CN"/>
                    </w:rPr>
                    <w:t>产生浓度</w:t>
                  </w:r>
                  <w:r>
                    <w:rPr>
                      <w:rFonts w:hint="eastAsia" w:ascii="Times New Roman" w:hAnsi="Times New Roman" w:eastAsia="宋体" w:cs="Times New Roman"/>
                      <w:sz w:val="21"/>
                      <w:szCs w:val="21"/>
                      <w:highlight w:val="none"/>
                      <w:vertAlign w:val="baseline"/>
                      <w:lang w:val="en-US" w:eastAsia="zh-CN"/>
                    </w:rPr>
                    <w:t>mg/m</w:t>
                  </w:r>
                  <w:r>
                    <w:rPr>
                      <w:rFonts w:hint="eastAsia" w:ascii="Times New Roman" w:hAnsi="Times New Roman" w:eastAsia="宋体" w:cs="Times New Roman"/>
                      <w:sz w:val="21"/>
                      <w:szCs w:val="21"/>
                      <w:highlight w:val="none"/>
                      <w:vertAlign w:val="superscript"/>
                      <w:lang w:val="en-US" w:eastAsia="zh-CN"/>
                    </w:rPr>
                    <w:t>3</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eastAsia="zh-CN"/>
                    </w:rPr>
                    <w:t>产生速率</w:t>
                  </w:r>
                  <w:r>
                    <w:rPr>
                      <w:rFonts w:hint="eastAsia" w:ascii="Times New Roman" w:hAnsi="Times New Roman" w:eastAsia="宋体" w:cs="Times New Roman"/>
                      <w:sz w:val="21"/>
                      <w:szCs w:val="21"/>
                      <w:highlight w:val="none"/>
                      <w:vertAlign w:val="baseline"/>
                      <w:lang w:val="en-US" w:eastAsia="zh-CN"/>
                    </w:rPr>
                    <w:t>kg/h</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产生量</w:t>
                  </w:r>
                </w:p>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t/a</w:t>
                  </w:r>
                </w:p>
              </w:tc>
              <w:tc>
                <w:tcPr>
                  <w:tcW w:w="825"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排放浓度</w:t>
                  </w:r>
                  <w:r>
                    <w:rPr>
                      <w:rFonts w:hint="eastAsia" w:ascii="Times New Roman" w:hAnsi="Times New Roman" w:eastAsia="宋体" w:cs="Times New Roman"/>
                      <w:sz w:val="21"/>
                      <w:szCs w:val="21"/>
                      <w:highlight w:val="none"/>
                      <w:vertAlign w:val="baseline"/>
                      <w:lang w:val="en-US" w:eastAsia="zh-CN"/>
                    </w:rPr>
                    <w:t>mg/m</w:t>
                  </w:r>
                  <w:r>
                    <w:rPr>
                      <w:rFonts w:hint="eastAsia" w:ascii="Times New Roman" w:hAnsi="Times New Roman" w:eastAsia="宋体" w:cs="Times New Roman"/>
                      <w:sz w:val="21"/>
                      <w:szCs w:val="21"/>
                      <w:highlight w:val="none"/>
                      <w:vertAlign w:val="superscript"/>
                      <w:lang w:val="en-US" w:eastAsia="zh-CN"/>
                    </w:rPr>
                    <w:t>3</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排放速率</w:t>
                  </w:r>
                  <w:r>
                    <w:rPr>
                      <w:rFonts w:hint="eastAsia" w:ascii="Times New Roman" w:hAnsi="Times New Roman" w:eastAsia="宋体" w:cs="Times New Roman"/>
                      <w:sz w:val="21"/>
                      <w:szCs w:val="21"/>
                      <w:highlight w:val="none"/>
                      <w:vertAlign w:val="baseline"/>
                      <w:lang w:val="en-US" w:eastAsia="zh-CN"/>
                    </w:rPr>
                    <w:t>kg/h</w:t>
                  </w:r>
                </w:p>
              </w:tc>
              <w:tc>
                <w:tcPr>
                  <w:tcW w:w="83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排放量</w:t>
                  </w:r>
                </w:p>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有组织</w:t>
                  </w:r>
                </w:p>
              </w:tc>
              <w:tc>
                <w:tcPr>
                  <w:tcW w:w="72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酸性废气排气筒</w:t>
                  </w:r>
                </w:p>
              </w:tc>
              <w:tc>
                <w:tcPr>
                  <w:tcW w:w="722"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硫</w:t>
                  </w:r>
                </w:p>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eastAsia"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酸</w:t>
                  </w:r>
                </w:p>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雾</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12.73</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0.06365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0.015913</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负压收集</w:t>
                  </w:r>
                  <w:r>
                    <w:rPr>
                      <w:rFonts w:hint="eastAsia" w:ascii="Times New Roman" w:hAnsi="Times New Roman" w:eastAsia="宋体" w:cs="Times New Roman"/>
                      <w:sz w:val="21"/>
                      <w:szCs w:val="21"/>
                      <w:highlight w:val="none"/>
                      <w:vertAlign w:val="baseline"/>
                      <w:lang w:val="en-US" w:eastAsia="zh-CN"/>
                    </w:rPr>
                    <w:t>+酸雾吸收塔+15m高排气筒</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2.55</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0.0127</w:t>
                  </w:r>
                </w:p>
              </w:tc>
              <w:tc>
                <w:tcPr>
                  <w:tcW w:w="83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0.003183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无组织</w:t>
                  </w:r>
                </w:p>
              </w:tc>
              <w:tc>
                <w:tcPr>
                  <w:tcW w:w="722"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r>
                    <w:rPr>
                      <w:rFonts w:hint="eastAsia" w:ascii="Times New Roman" w:hAnsi="Times New Roman" w:eastAsia="宋体" w:cs="Times New Roman"/>
                      <w:sz w:val="21"/>
                      <w:szCs w:val="21"/>
                      <w:highlight w:val="none"/>
                      <w:vertAlign w:val="baseline"/>
                      <w:lang w:eastAsia="zh-CN"/>
                    </w:rPr>
                    <w:t>贮存仓库</w:t>
                  </w:r>
                </w:p>
              </w:tc>
              <w:tc>
                <w:tcPr>
                  <w:tcW w:w="722"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eastAsia="zh-CN"/>
                    </w:rPr>
                  </w:pP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0.0000838</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w:t>
                  </w:r>
                </w:p>
              </w:tc>
              <w:tc>
                <w:tcPr>
                  <w:tcW w:w="825"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w:t>
                  </w:r>
                </w:p>
              </w:tc>
              <w:tc>
                <w:tcPr>
                  <w:tcW w:w="830" w:type="dxa"/>
                  <w:vAlign w:val="center"/>
                </w:tcPr>
                <w:p>
                  <w:pPr>
                    <w:keepNext w:val="0"/>
                    <w:keepLines w:val="0"/>
                    <w:pageBreakBefore w:val="0"/>
                    <w:widowControl w:val="0"/>
                    <w:kinsoku/>
                    <w:wordWrap/>
                    <w:overflowPunct/>
                    <w:topLinePunct w:val="0"/>
                    <w:autoSpaceDE/>
                    <w:autoSpaceDN/>
                    <w:bidi w:val="0"/>
                    <w:adjustRightInd/>
                    <w:snapToGrid/>
                    <w:spacing w:line="240" w:lineRule="exact"/>
                    <w:ind w:left="0" w:leftChars="0" w:firstLine="0" w:firstLineChars="0"/>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0.0000838</w:t>
                  </w:r>
                </w:p>
              </w:tc>
            </w:tr>
          </w:tbl>
          <w:p>
            <w:pPr>
              <w:keepNext w:val="0"/>
              <w:keepLines w:val="0"/>
              <w:pageBreakBefore w:val="0"/>
              <w:widowControl w:val="0"/>
              <w:kinsoku/>
              <w:wordWrap/>
              <w:overflowPunct/>
              <w:topLinePunct w:val="0"/>
              <w:autoSpaceDE/>
              <w:autoSpaceDN/>
              <w:bidi w:val="0"/>
              <w:adjustRightInd/>
              <w:snapToGrid/>
              <w:spacing w:line="420" w:lineRule="exact"/>
              <w:ind w:left="0" w:leftChars="0" w:right="0" w:firstLine="480" w:firstLineChars="200"/>
              <w:textAlignment w:val="auto"/>
              <w:rPr>
                <w:rFonts w:hint="eastAsia"/>
                <w:highlight w:val="none"/>
                <w:lang w:eastAsia="zh-CN"/>
              </w:rPr>
            </w:pPr>
            <w:r>
              <w:rPr>
                <w:rFonts w:hint="eastAsia"/>
                <w:highlight w:val="none"/>
                <w:lang w:eastAsia="zh-CN"/>
              </w:rPr>
              <w:t>（</w:t>
            </w:r>
            <w:r>
              <w:rPr>
                <w:rFonts w:hint="eastAsia"/>
                <w:highlight w:val="none"/>
                <w:lang w:val="en-US" w:eastAsia="zh-CN"/>
              </w:rPr>
              <w:t>2</w:t>
            </w:r>
            <w:r>
              <w:rPr>
                <w:rFonts w:hint="eastAsia"/>
                <w:highlight w:val="none"/>
                <w:lang w:eastAsia="zh-CN"/>
              </w:rPr>
              <w:t>）车辆尾气</w:t>
            </w:r>
          </w:p>
          <w:p>
            <w:pPr>
              <w:keepNext w:val="0"/>
              <w:keepLines w:val="0"/>
              <w:pageBreakBefore w:val="0"/>
              <w:widowControl w:val="0"/>
              <w:kinsoku/>
              <w:wordWrap/>
              <w:overflowPunct/>
              <w:topLinePunct w:val="0"/>
              <w:autoSpaceDE/>
              <w:autoSpaceDN/>
              <w:bidi w:val="0"/>
              <w:adjustRightInd/>
              <w:snapToGrid/>
              <w:spacing w:line="420" w:lineRule="exact"/>
              <w:ind w:left="0" w:right="0" w:firstLine="470"/>
              <w:textAlignment w:val="auto"/>
              <w:rPr>
                <w:rFonts w:ascii="宋体" w:hAnsi="宋体" w:eastAsia="宋体" w:cs="宋体"/>
                <w:sz w:val="24"/>
                <w:szCs w:val="24"/>
              </w:rPr>
            </w:pPr>
            <w:r>
              <w:rPr>
                <w:rFonts w:ascii="宋体" w:hAnsi="宋体" w:eastAsia="宋体" w:cs="宋体"/>
                <w:spacing w:val="2"/>
                <w:sz w:val="24"/>
                <w:szCs w:val="24"/>
              </w:rPr>
              <w:t>废铅酸蓄电池运输车辆运行时会产生一定量的尾气，为动力燃料柴油和</w:t>
            </w:r>
            <w:r>
              <w:rPr>
                <w:rFonts w:ascii="宋体" w:hAnsi="宋体" w:eastAsia="宋体" w:cs="宋体"/>
                <w:spacing w:val="13"/>
                <w:sz w:val="24"/>
                <w:szCs w:val="24"/>
              </w:rPr>
              <w:t xml:space="preserve"> </w:t>
            </w:r>
            <w:r>
              <w:rPr>
                <w:rFonts w:ascii="宋体" w:hAnsi="宋体" w:eastAsia="宋体" w:cs="宋体"/>
                <w:spacing w:val="-4"/>
                <w:sz w:val="24"/>
                <w:szCs w:val="24"/>
              </w:rPr>
              <w:t>汽油燃烧后所产生，主要成分是烯烃类、</w:t>
            </w:r>
            <w:r>
              <w:rPr>
                <w:rFonts w:ascii="Times New Roman" w:hAnsi="Times New Roman" w:eastAsia="Times New Roman" w:cs="Times New Roman"/>
                <w:spacing w:val="-4"/>
                <w:sz w:val="24"/>
                <w:szCs w:val="24"/>
              </w:rPr>
              <w:t>CO</w:t>
            </w:r>
            <w:r>
              <w:rPr>
                <w:rFonts w:ascii="Times New Roman" w:hAnsi="Times New Roman" w:eastAsia="Times New Roman" w:cs="Times New Roman"/>
                <w:spacing w:val="15"/>
                <w:w w:val="101"/>
                <w:sz w:val="24"/>
                <w:szCs w:val="24"/>
              </w:rPr>
              <w:t xml:space="preserve"> </w:t>
            </w:r>
            <w:r>
              <w:rPr>
                <w:rFonts w:ascii="宋体" w:hAnsi="宋体" w:eastAsia="宋体" w:cs="宋体"/>
                <w:spacing w:val="-4"/>
                <w:sz w:val="24"/>
                <w:szCs w:val="24"/>
              </w:rPr>
              <w:t>和</w:t>
            </w:r>
            <w:r>
              <w:rPr>
                <w:rFonts w:ascii="宋体" w:hAnsi="宋体" w:eastAsia="宋体" w:cs="宋体"/>
                <w:spacing w:val="-63"/>
                <w:sz w:val="24"/>
                <w:szCs w:val="24"/>
              </w:rPr>
              <w:t xml:space="preserve"> </w:t>
            </w:r>
            <w:r>
              <w:rPr>
                <w:rFonts w:ascii="Times New Roman" w:hAnsi="Times New Roman" w:eastAsia="Times New Roman" w:cs="Times New Roman"/>
                <w:spacing w:val="-4"/>
                <w:sz w:val="24"/>
                <w:szCs w:val="24"/>
              </w:rPr>
              <w:t>NO</w:t>
            </w:r>
            <w:r>
              <w:rPr>
                <w:rFonts w:ascii="Times New Roman" w:hAnsi="Times New Roman" w:eastAsia="Times New Roman" w:cs="Times New Roman"/>
                <w:spacing w:val="-4"/>
                <w:position w:val="-1"/>
                <w:sz w:val="16"/>
                <w:szCs w:val="16"/>
              </w:rPr>
              <w:t>X</w:t>
            </w:r>
            <w:r>
              <w:rPr>
                <w:rFonts w:ascii="宋体" w:hAnsi="宋体" w:eastAsia="宋体" w:cs="宋体"/>
                <w:spacing w:val="-4"/>
                <w:sz w:val="24"/>
                <w:szCs w:val="24"/>
              </w:rPr>
              <w:t>，是影响空气环境的主要</w:t>
            </w:r>
            <w:r>
              <w:rPr>
                <w:rFonts w:ascii="宋体" w:hAnsi="宋体" w:eastAsia="宋体" w:cs="宋体"/>
                <w:spacing w:val="1"/>
                <w:sz w:val="24"/>
                <w:szCs w:val="24"/>
              </w:rPr>
              <w:t>污染物之一，属无组织排放。运输车辆进出项目区时多为怠速行驶，间歇性</w:t>
            </w:r>
            <w:r>
              <w:rPr>
                <w:rFonts w:ascii="宋体" w:hAnsi="宋体" w:eastAsia="宋体" w:cs="宋体"/>
                <w:spacing w:val="32"/>
                <w:sz w:val="24"/>
                <w:szCs w:val="24"/>
              </w:rPr>
              <w:t xml:space="preserve"> </w:t>
            </w:r>
            <w:r>
              <w:rPr>
                <w:rFonts w:ascii="宋体" w:hAnsi="宋体" w:eastAsia="宋体" w:cs="宋体"/>
                <w:spacing w:val="1"/>
                <w:sz w:val="24"/>
                <w:szCs w:val="24"/>
              </w:rPr>
              <w:t>运输，尾气的产生量不大，车辆流动性大，污染源不集中，容易扩散，项目</w:t>
            </w:r>
            <w:r>
              <w:rPr>
                <w:rFonts w:ascii="宋体" w:hAnsi="宋体" w:eastAsia="宋体" w:cs="宋体"/>
                <w:spacing w:val="32"/>
                <w:sz w:val="24"/>
                <w:szCs w:val="24"/>
              </w:rPr>
              <w:t xml:space="preserve"> </w:t>
            </w:r>
            <w:r>
              <w:rPr>
                <w:rFonts w:ascii="宋体" w:hAnsi="宋体" w:eastAsia="宋体" w:cs="宋体"/>
                <w:spacing w:val="-4"/>
                <w:sz w:val="24"/>
                <w:szCs w:val="24"/>
              </w:rPr>
              <w:t>所在区地势开阔，有利于汽车尾气的稀释扩散，汽车尾气经自然稀释扩散后，</w:t>
            </w:r>
            <w:r>
              <w:rPr>
                <w:rFonts w:ascii="宋体" w:hAnsi="宋体" w:eastAsia="宋体" w:cs="宋体"/>
                <w:spacing w:val="28"/>
                <w:sz w:val="24"/>
                <w:szCs w:val="24"/>
              </w:rPr>
              <w:t xml:space="preserve"> </w:t>
            </w:r>
            <w:r>
              <w:rPr>
                <w:rFonts w:ascii="宋体" w:hAnsi="宋体" w:eastAsia="宋体" w:cs="宋体"/>
                <w:spacing w:val="-1"/>
                <w:sz w:val="24"/>
                <w:szCs w:val="24"/>
              </w:rPr>
              <w:t>对周围环境影响较小。</w:t>
            </w:r>
          </w:p>
          <w:p>
            <w:pPr>
              <w:keepNext w:val="0"/>
              <w:keepLines w:val="0"/>
              <w:pageBreakBefore w:val="0"/>
              <w:kinsoku/>
              <w:wordWrap/>
              <w:overflowPunct/>
              <w:topLinePunct w:val="0"/>
              <w:autoSpaceDE/>
              <w:autoSpaceDN/>
              <w:bidi w:val="0"/>
              <w:spacing w:line="480" w:lineRule="exact"/>
              <w:ind w:firstLine="480"/>
              <w:textAlignment w:val="auto"/>
              <w:rPr>
                <w:rFonts w:hint="default"/>
                <w:highlight w:val="none"/>
                <w:lang w:val="en-US" w:eastAsia="zh-CN"/>
              </w:rPr>
            </w:pPr>
            <w:r>
              <w:rPr>
                <w:rFonts w:hint="eastAsia"/>
                <w:highlight w:val="none"/>
                <w:lang w:eastAsia="zh-CN"/>
              </w:rPr>
              <w:t>综上所述，本项目有组织硫酸雾排放浓度及排放速率能够满足《大气污染物综合排放标准》（</w:t>
            </w:r>
            <w:r>
              <w:rPr>
                <w:rFonts w:hint="eastAsia"/>
                <w:highlight w:val="none"/>
                <w:lang w:val="en-US" w:eastAsia="zh-CN"/>
              </w:rPr>
              <w:t>GB16297-1996</w:t>
            </w:r>
            <w:r>
              <w:rPr>
                <w:rFonts w:hint="eastAsia"/>
                <w:highlight w:val="none"/>
                <w:lang w:eastAsia="zh-CN"/>
              </w:rPr>
              <w:t>）表</w:t>
            </w:r>
            <w:r>
              <w:rPr>
                <w:rFonts w:hint="eastAsia"/>
                <w:highlight w:val="none"/>
                <w:lang w:val="en-US" w:eastAsia="zh-CN"/>
              </w:rPr>
              <w:t>2二级标准要求；评价认为项目无组织硫酸雾及运输车辆尾气经自然稀释或三后对周围环境空气影响较小。</w:t>
            </w:r>
          </w:p>
          <w:p>
            <w:pPr>
              <w:keepNext w:val="0"/>
              <w:keepLines w:val="0"/>
              <w:pageBreakBefore w:val="0"/>
              <w:widowControl w:val="0"/>
              <w:kinsoku/>
              <w:wordWrap/>
              <w:overflowPunct/>
              <w:topLinePunct w:val="0"/>
              <w:autoSpaceDE/>
              <w:autoSpaceDN/>
              <w:bidi w:val="0"/>
              <w:adjustRightInd/>
              <w:snapToGrid/>
              <w:spacing w:line="420" w:lineRule="exact"/>
              <w:ind w:firstLine="440" w:firstLineChars="200"/>
              <w:textAlignment w:val="auto"/>
              <w:rPr>
                <w:rFonts w:hint="default" w:ascii="Times New Roman" w:hAnsi="Times New Roman" w:eastAsia="宋体" w:cs="Times New Roman"/>
                <w:b w:val="0"/>
                <w:bCs w:val="0"/>
                <w:sz w:val="24"/>
              </w:rPr>
            </w:pPr>
            <w:r>
              <w:rPr>
                <w:rFonts w:hint="default" w:ascii="Times New Roman" w:hAnsi="Times New Roman" w:eastAsia="宋体" w:cs="Times New Roman"/>
                <w:b w:val="0"/>
                <w:bCs w:val="0"/>
                <w:spacing w:val="-10"/>
                <w:szCs w:val="21"/>
                <w:highlight w:val="none"/>
                <w:lang w:val="en-US" w:eastAsia="zh-CN"/>
              </w:rPr>
              <w:t>1.2</w:t>
            </w:r>
            <w:r>
              <w:rPr>
                <w:rFonts w:hint="default" w:ascii="Times New Roman" w:hAnsi="Times New Roman" w:eastAsia="宋体" w:cs="Times New Roman"/>
                <w:b w:val="0"/>
                <w:bCs w:val="0"/>
                <w:sz w:val="24"/>
              </w:rPr>
              <w:t>排放口及采样平台设置要求</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sz w:val="24"/>
              </w:rPr>
            </w:pPr>
            <w:r>
              <w:rPr>
                <w:rFonts w:hint="eastAsia"/>
                <w:sz w:val="24"/>
              </w:rPr>
              <w:t>建设单位在项目建设中，大气污染物排放口按照《固定源废气监测技术规范》（HJ/T397-2007）应满足以下要求：</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b/>
                <w:bCs/>
                <w:sz w:val="24"/>
                <w:u w:val="single"/>
              </w:rPr>
            </w:pPr>
            <w:r>
              <w:rPr>
                <w:sz w:val="24"/>
              </w:rPr>
              <w:fldChar w:fldCharType="begin"/>
            </w:r>
            <w:r>
              <w:rPr>
                <w:sz w:val="24"/>
              </w:rPr>
              <w:instrText xml:space="preserve"> </w:instrText>
            </w:r>
            <w:r>
              <w:rPr>
                <w:rFonts w:hint="eastAsia"/>
                <w:sz w:val="24"/>
              </w:rPr>
              <w:instrText xml:space="preserve">= 1 \* GB3</w:instrText>
            </w:r>
            <w:r>
              <w:rPr>
                <w:sz w:val="24"/>
              </w:rPr>
              <w:instrText xml:space="preserve"> </w:instrText>
            </w:r>
            <w:r>
              <w:rPr>
                <w:sz w:val="24"/>
              </w:rPr>
              <w:fldChar w:fldCharType="separate"/>
            </w:r>
            <w:r>
              <w:rPr>
                <w:rFonts w:hint="eastAsia"/>
                <w:sz w:val="24"/>
              </w:rPr>
              <w:t>①</w:t>
            </w:r>
            <w:r>
              <w:rPr>
                <w:sz w:val="24"/>
              </w:rPr>
              <w:fldChar w:fldCharType="end"/>
            </w:r>
            <w:r>
              <w:rPr>
                <w:rFonts w:hint="eastAsia"/>
                <w:sz w:val="24"/>
              </w:rPr>
              <w:t>排气筒（烟囱）：高度不低于15m；应设置监测采样孔、采样平台和安全通道。</w:t>
            </w:r>
            <w:r>
              <w:rPr>
                <w:sz w:val="24"/>
              </w:rPr>
              <w:fldChar w:fldCharType="begin"/>
            </w:r>
            <w:r>
              <w:rPr>
                <w:sz w:val="24"/>
              </w:rPr>
              <w:instrText xml:space="preserve"> </w:instrText>
            </w:r>
            <w:r>
              <w:rPr>
                <w:rFonts w:hint="eastAsia"/>
                <w:sz w:val="24"/>
              </w:rPr>
              <w:instrText xml:space="preserve">= 2 \* GB3</w:instrText>
            </w:r>
            <w:r>
              <w:rPr>
                <w:sz w:val="24"/>
              </w:rPr>
              <w:instrText xml:space="preserve"> </w:instrText>
            </w:r>
            <w:r>
              <w:rPr>
                <w:sz w:val="24"/>
              </w:rPr>
              <w:fldChar w:fldCharType="separate"/>
            </w:r>
            <w:r>
              <w:rPr>
                <w:rFonts w:hint="eastAsia"/>
                <w:sz w:val="24"/>
              </w:rPr>
              <w:t>②</w:t>
            </w:r>
            <w:r>
              <w:rPr>
                <w:sz w:val="24"/>
              </w:rPr>
              <w:fldChar w:fldCharType="end"/>
            </w:r>
            <w:r>
              <w:rPr>
                <w:rFonts w:hint="eastAsia"/>
                <w:sz w:val="24"/>
              </w:rPr>
              <w:t>采样位置：应避开对测试人员操作有危险的场所。</w:t>
            </w:r>
            <w:r>
              <w:rPr>
                <w:sz w:val="24"/>
              </w:rPr>
              <w:fldChar w:fldCharType="begin"/>
            </w:r>
            <w:r>
              <w:rPr>
                <w:sz w:val="24"/>
              </w:rPr>
              <w:instrText xml:space="preserve"> </w:instrText>
            </w:r>
            <w:r>
              <w:rPr>
                <w:rFonts w:hint="eastAsia"/>
                <w:sz w:val="24"/>
              </w:rPr>
              <w:instrText xml:space="preserve">= 3 \* GB3</w:instrText>
            </w:r>
            <w:r>
              <w:rPr>
                <w:sz w:val="24"/>
              </w:rPr>
              <w:instrText xml:space="preserve"> </w:instrText>
            </w:r>
            <w:r>
              <w:rPr>
                <w:sz w:val="24"/>
              </w:rPr>
              <w:fldChar w:fldCharType="separate"/>
            </w:r>
            <w:r>
              <w:rPr>
                <w:rFonts w:hint="eastAsia"/>
                <w:sz w:val="24"/>
              </w:rPr>
              <w:t>③</w:t>
            </w:r>
            <w:r>
              <w:rPr>
                <w:sz w:val="24"/>
              </w:rPr>
              <w:fldChar w:fldCharType="end"/>
            </w:r>
            <w:r>
              <w:rPr>
                <w:rFonts w:hint="eastAsia"/>
                <w:sz w:val="24"/>
              </w:rPr>
              <w:t>采样孔位置：应优先选择在垂直管段和烟道负压区域。应避开烟道弯头和断面急剧变化的部位，设置在距弯头、阀门、变径管下游方向不小于6倍烟道直径处，以及距上述部件上游方向不小于3倍烟道直径处。采样断面的气流速度在5m/s以上。</w:t>
            </w:r>
            <w:r>
              <w:rPr>
                <w:sz w:val="24"/>
              </w:rPr>
              <w:fldChar w:fldCharType="begin"/>
            </w:r>
            <w:r>
              <w:rPr>
                <w:sz w:val="24"/>
              </w:rPr>
              <w:instrText xml:space="preserve"> </w:instrText>
            </w:r>
            <w:r>
              <w:rPr>
                <w:rFonts w:hint="eastAsia"/>
                <w:sz w:val="24"/>
              </w:rPr>
              <w:instrText xml:space="preserve">= 4 \* GB3</w:instrText>
            </w:r>
            <w:r>
              <w:rPr>
                <w:sz w:val="24"/>
              </w:rPr>
              <w:instrText xml:space="preserve"> </w:instrText>
            </w:r>
            <w:r>
              <w:rPr>
                <w:sz w:val="24"/>
              </w:rPr>
              <w:fldChar w:fldCharType="separate"/>
            </w:r>
            <w:r>
              <w:rPr>
                <w:rFonts w:hint="eastAsia"/>
                <w:sz w:val="24"/>
              </w:rPr>
              <w:t>④</w:t>
            </w:r>
            <w:r>
              <w:rPr>
                <w:sz w:val="24"/>
              </w:rPr>
              <w:fldChar w:fldCharType="end"/>
            </w:r>
            <w:r>
              <w:rPr>
                <w:rFonts w:hint="eastAsia"/>
                <w:sz w:val="24"/>
              </w:rPr>
              <w:t>采样平台：应有足够的工作面积使工作人员安全、方便地操作。采样平台应设置永久性的电源。平台上方应建有防雨棚。采样平台易于人员到达，应建设监测安全通道。当采样平台设置高于地面时，应有通往平台的Z字梯/旋梯/升降梯，切勿设置猪笼梯等不安全通道。</w:t>
            </w:r>
          </w:p>
          <w:p>
            <w:pPr>
              <w:keepNext w:val="0"/>
              <w:keepLines w:val="0"/>
              <w:pageBreakBefore w:val="0"/>
              <w:widowControl w:val="0"/>
              <w:kinsoku/>
              <w:wordWrap/>
              <w:overflowPunct/>
              <w:topLinePunct w:val="0"/>
              <w:autoSpaceDE/>
              <w:autoSpaceDN/>
              <w:bidi w:val="0"/>
              <w:adjustRightInd w:val="0"/>
              <w:snapToGrid w:val="0"/>
              <w:spacing w:line="420" w:lineRule="exact"/>
              <w:ind w:firstLine="442"/>
              <w:textAlignment w:val="auto"/>
              <w:rPr>
                <w:rFonts w:hint="default" w:ascii="Times New Roman" w:hAnsi="Times New Roman" w:eastAsia="宋体" w:cs="Times New Roman"/>
                <w:b w:val="0"/>
                <w:bCs w:val="0"/>
                <w:spacing w:val="-10"/>
                <w:szCs w:val="21"/>
                <w:highlight w:val="none"/>
                <w:lang w:val="en-US" w:eastAsia="zh-CN"/>
              </w:rPr>
            </w:pPr>
            <w:r>
              <w:rPr>
                <w:rFonts w:hint="eastAsia" w:ascii="Times New Roman" w:hAnsi="Times New Roman" w:cs="Times New Roman"/>
                <w:b w:val="0"/>
                <w:bCs w:val="0"/>
                <w:spacing w:val="-10"/>
                <w:szCs w:val="21"/>
                <w:highlight w:val="none"/>
                <w:lang w:val="en-US" w:eastAsia="zh-CN"/>
              </w:rPr>
              <w:t>1.3</w:t>
            </w:r>
            <w:r>
              <w:rPr>
                <w:rFonts w:hint="default" w:ascii="Times New Roman" w:hAnsi="Times New Roman" w:eastAsia="宋体" w:cs="Times New Roman"/>
                <w:b w:val="0"/>
                <w:bCs w:val="0"/>
                <w:spacing w:val="-10"/>
                <w:szCs w:val="21"/>
                <w:highlight w:val="none"/>
                <w:lang w:val="en-US" w:eastAsia="zh-CN"/>
              </w:rPr>
              <w:t>自行监测计划</w:t>
            </w:r>
          </w:p>
          <w:p>
            <w:pPr>
              <w:keepNext w:val="0"/>
              <w:keepLines w:val="0"/>
              <w:pageBreakBefore w:val="0"/>
              <w:widowControl w:val="0"/>
              <w:kinsoku/>
              <w:wordWrap/>
              <w:overflowPunct/>
              <w:topLinePunct w:val="0"/>
              <w:autoSpaceDE/>
              <w:autoSpaceDN/>
              <w:bidi w:val="0"/>
              <w:spacing w:line="420" w:lineRule="exact"/>
              <w:ind w:firstLine="480"/>
              <w:textAlignment w:val="auto"/>
              <w:rPr>
                <w:rFonts w:hint="default"/>
                <w:highlight w:val="none"/>
                <w:lang w:val="en-US" w:eastAsia="zh-CN"/>
              </w:rPr>
            </w:pPr>
            <w:r>
              <w:rPr>
                <w:rFonts w:hint="eastAsia"/>
                <w:highlight w:val="none"/>
                <w:lang w:eastAsia="zh-CN"/>
              </w:rPr>
              <w:t>参考《排污单位自行监测技术指南</w:t>
            </w:r>
            <w:r>
              <w:rPr>
                <w:rFonts w:hint="eastAsia"/>
                <w:highlight w:val="none"/>
                <w:lang w:val="en-US" w:eastAsia="zh-CN"/>
              </w:rPr>
              <w:t xml:space="preserve"> 总则</w:t>
            </w:r>
            <w:r>
              <w:rPr>
                <w:rFonts w:hint="eastAsia"/>
                <w:highlight w:val="none"/>
                <w:lang w:eastAsia="zh-CN"/>
              </w:rPr>
              <w:t>》（</w:t>
            </w:r>
            <w:r>
              <w:rPr>
                <w:rFonts w:hint="eastAsia"/>
                <w:highlight w:val="none"/>
                <w:lang w:val="en-US" w:eastAsia="zh-CN"/>
              </w:rPr>
              <w:t>HJ819-2017</w:t>
            </w:r>
            <w:r>
              <w:rPr>
                <w:rFonts w:hint="eastAsia"/>
                <w:highlight w:val="none"/>
                <w:lang w:eastAsia="zh-CN"/>
              </w:rPr>
              <w:t>）要求，项目废气自行监测内容如下：</w:t>
            </w:r>
          </w:p>
          <w:p>
            <w:pPr>
              <w:keepNext w:val="0"/>
              <w:keepLines w:val="0"/>
              <w:pageBreakBefore w:val="0"/>
              <w:kinsoku/>
              <w:wordWrap/>
              <w:overflowPunct/>
              <w:topLinePunct w:val="0"/>
              <w:autoSpaceDE/>
              <w:autoSpaceDN/>
              <w:bidi w:val="0"/>
              <w:spacing w:line="240" w:lineRule="auto"/>
              <w:ind w:left="0" w:leftChars="0" w:firstLine="0" w:firstLineChars="0"/>
              <w:jc w:val="center"/>
              <w:textAlignment w:val="auto"/>
              <w:rPr>
                <w:rFonts w:hint="eastAsia" w:ascii="黑体" w:hAnsi="黑体" w:eastAsia="黑体" w:cs="黑体"/>
                <w:highlight w:val="none"/>
                <w:lang w:eastAsia="zh-CN"/>
              </w:rPr>
            </w:pPr>
            <w:r>
              <w:rPr>
                <w:rFonts w:hint="eastAsia" w:ascii="黑体" w:hAnsi="黑体" w:eastAsia="黑体" w:cs="黑体"/>
                <w:highlight w:val="none"/>
                <w:lang w:eastAsia="zh-CN"/>
              </w:rPr>
              <w:t>项目废气自行监测方案</w:t>
            </w:r>
          </w:p>
          <w:tbl>
            <w:tblPr>
              <w:tblStyle w:val="16"/>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5"/>
              <w:gridCol w:w="1333"/>
              <w:gridCol w:w="1348"/>
              <w:gridCol w:w="3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8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r>
                    <w:rPr>
                      <w:rFonts w:hint="eastAsia"/>
                      <w:highlight w:val="none"/>
                      <w:vertAlign w:val="baseline"/>
                      <w:lang w:eastAsia="zh-CN"/>
                    </w:rPr>
                    <w:t>监测点位</w:t>
                  </w:r>
                </w:p>
              </w:tc>
              <w:tc>
                <w:tcPr>
                  <w:tcW w:w="1333"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r>
                    <w:rPr>
                      <w:rFonts w:hint="eastAsia"/>
                      <w:highlight w:val="none"/>
                      <w:vertAlign w:val="baseline"/>
                      <w:lang w:eastAsia="zh-CN"/>
                    </w:rPr>
                    <w:t>监测因子</w:t>
                  </w:r>
                </w:p>
              </w:tc>
              <w:tc>
                <w:tcPr>
                  <w:tcW w:w="1348"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r>
                    <w:rPr>
                      <w:rFonts w:hint="eastAsia"/>
                      <w:highlight w:val="none"/>
                      <w:vertAlign w:val="baseline"/>
                      <w:lang w:eastAsia="zh-CN"/>
                    </w:rPr>
                    <w:t>监测频次</w:t>
                  </w:r>
                </w:p>
              </w:tc>
              <w:tc>
                <w:tcPr>
                  <w:tcW w:w="3420"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r>
                    <w:rPr>
                      <w:rFonts w:hint="eastAsia"/>
                      <w:highlight w:val="none"/>
                      <w:vertAlign w:val="baseline"/>
                      <w:lang w:eastAsia="zh-CN"/>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8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highlight w:val="none"/>
                      <w:vertAlign w:val="baseline"/>
                      <w:lang w:val="en-US" w:eastAsia="zh-CN"/>
                    </w:rPr>
                  </w:pPr>
                  <w:r>
                    <w:rPr>
                      <w:rFonts w:hint="eastAsia"/>
                      <w:highlight w:val="none"/>
                      <w:vertAlign w:val="baseline"/>
                      <w:lang w:eastAsia="zh-CN"/>
                    </w:rPr>
                    <w:t>酸性废气排放口（</w:t>
                  </w:r>
                  <w:r>
                    <w:rPr>
                      <w:rFonts w:hint="eastAsia"/>
                      <w:highlight w:val="none"/>
                      <w:vertAlign w:val="baseline"/>
                      <w:lang w:val="en-US" w:eastAsia="zh-CN"/>
                    </w:rPr>
                    <w:t>DA001</w:t>
                  </w:r>
                  <w:r>
                    <w:rPr>
                      <w:rFonts w:hint="eastAsia"/>
                      <w:highlight w:val="none"/>
                      <w:vertAlign w:val="baseline"/>
                      <w:lang w:eastAsia="zh-CN"/>
                    </w:rPr>
                    <w:t>）</w:t>
                  </w:r>
                </w:p>
              </w:tc>
              <w:tc>
                <w:tcPr>
                  <w:tcW w:w="1333"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r>
                    <w:rPr>
                      <w:rFonts w:hint="eastAsia"/>
                      <w:highlight w:val="none"/>
                      <w:vertAlign w:val="baseline"/>
                      <w:lang w:eastAsia="zh-CN"/>
                    </w:rPr>
                    <w:t>硫酸雾</w:t>
                  </w:r>
                </w:p>
              </w:tc>
              <w:tc>
                <w:tcPr>
                  <w:tcW w:w="1348"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eastAsia="宋体"/>
                      <w:highlight w:val="none"/>
                      <w:vertAlign w:val="baseline"/>
                      <w:lang w:val="en-US" w:eastAsia="zh-CN"/>
                    </w:rPr>
                  </w:pPr>
                  <w:r>
                    <w:rPr>
                      <w:rFonts w:hint="eastAsia"/>
                      <w:highlight w:val="none"/>
                      <w:vertAlign w:val="baseline"/>
                      <w:lang w:val="en-US" w:eastAsia="zh-CN"/>
                    </w:rPr>
                    <w:t>1次/年</w:t>
                  </w:r>
                </w:p>
              </w:tc>
              <w:tc>
                <w:tcPr>
                  <w:tcW w:w="3420" w:type="dxa"/>
                  <w:vMerge w:val="restart"/>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highlight w:val="none"/>
                      <w:vertAlign w:val="baseline"/>
                      <w:lang w:val="en-US" w:eastAsia="zh-CN"/>
                    </w:rPr>
                  </w:pPr>
                  <w:r>
                    <w:rPr>
                      <w:rFonts w:hint="eastAsia"/>
                      <w:highlight w:val="none"/>
                      <w:vertAlign w:val="baseline"/>
                      <w:lang w:eastAsia="zh-CN"/>
                    </w:rPr>
                    <w:t>《大气污染物综合排放标准》（</w:t>
                  </w:r>
                  <w:r>
                    <w:rPr>
                      <w:rFonts w:hint="eastAsia"/>
                      <w:highlight w:val="none"/>
                      <w:vertAlign w:val="baseline"/>
                      <w:lang w:val="en-US" w:eastAsia="zh-CN"/>
                    </w:rPr>
                    <w:t>GB16297-1996</w:t>
                  </w:r>
                  <w:r>
                    <w:rPr>
                      <w:rFonts w:hint="eastAsia"/>
                      <w:highlight w:val="none"/>
                      <w:vertAlign w:val="baseline"/>
                      <w:lang w:eastAsia="zh-CN"/>
                    </w:rPr>
                    <w:t>）表</w:t>
                  </w:r>
                  <w:r>
                    <w:rPr>
                      <w:rFonts w:hint="eastAsia"/>
                      <w:highlight w:val="none"/>
                      <w:vertAlign w:val="baseline"/>
                      <w:lang w:val="en-US" w:eastAsia="zh-CN"/>
                    </w:rPr>
                    <w:t>2二级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845" w:type="dxa"/>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r>
                    <w:rPr>
                      <w:rFonts w:hint="eastAsia"/>
                      <w:highlight w:val="none"/>
                      <w:vertAlign w:val="baseline"/>
                      <w:lang w:eastAsia="zh-CN"/>
                    </w:rPr>
                    <w:t>厂界</w:t>
                  </w:r>
                </w:p>
              </w:tc>
              <w:tc>
                <w:tcPr>
                  <w:tcW w:w="1333"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p>
              </w:tc>
              <w:tc>
                <w:tcPr>
                  <w:tcW w:w="1348"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p>
              </w:tc>
              <w:tc>
                <w:tcPr>
                  <w:tcW w:w="3420" w:type="dxa"/>
                  <w:vMerge w:val="continue"/>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highlight w:val="none"/>
                      <w:vertAlign w:val="baseline"/>
                      <w:lang w:eastAsia="zh-CN"/>
                    </w:rPr>
                  </w:pPr>
                </w:p>
              </w:tc>
            </w:tr>
          </w:tbl>
          <w:p>
            <w:pPr>
              <w:keepNext w:val="0"/>
              <w:keepLines w:val="0"/>
              <w:pageBreakBefore w:val="0"/>
              <w:widowControl w:val="0"/>
              <w:numPr>
                <w:ilvl w:val="0"/>
                <w:numId w:val="4"/>
              </w:numPr>
              <w:kinsoku/>
              <w:wordWrap/>
              <w:overflowPunct/>
              <w:topLinePunct w:val="0"/>
              <w:autoSpaceDE/>
              <w:autoSpaceDN/>
              <w:bidi w:val="0"/>
              <w:adjustRightInd w:val="0"/>
              <w:snapToGrid w:val="0"/>
              <w:spacing w:line="420" w:lineRule="exact"/>
              <w:ind w:firstLine="442"/>
              <w:textAlignment w:val="auto"/>
              <w:rPr>
                <w:rFonts w:hint="eastAsia" w:ascii="宋体" w:hAnsi="宋体" w:cs="宋体"/>
                <w:b/>
                <w:bCs/>
                <w:spacing w:val="-10"/>
                <w:szCs w:val="21"/>
                <w:highlight w:val="none"/>
                <w:lang w:eastAsia="zh-CN"/>
              </w:rPr>
            </w:pPr>
            <w:r>
              <w:rPr>
                <w:rFonts w:hint="eastAsia" w:ascii="宋体" w:hAnsi="宋体" w:cs="宋体"/>
                <w:b/>
                <w:bCs/>
                <w:spacing w:val="-10"/>
                <w:szCs w:val="21"/>
                <w:highlight w:val="none"/>
                <w:lang w:eastAsia="zh-CN"/>
              </w:rPr>
              <w:t>声环境影响分析</w:t>
            </w:r>
          </w:p>
          <w:p>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40" w:firstLineChars="200"/>
              <w:textAlignment w:val="auto"/>
              <w:rPr>
                <w:rFonts w:hint="default" w:ascii="Times New Roman" w:hAnsi="Times New Roman" w:eastAsia="宋体" w:cs="Times New Roman"/>
                <w:b w:val="0"/>
                <w:bCs w:val="0"/>
                <w:spacing w:val="-10"/>
                <w:szCs w:val="21"/>
                <w:highlight w:val="none"/>
                <w:lang w:eastAsia="zh-CN"/>
              </w:rPr>
            </w:pPr>
            <w:r>
              <w:rPr>
                <w:rFonts w:hint="default" w:ascii="Times New Roman" w:hAnsi="Times New Roman" w:cs="Times New Roman"/>
                <w:b w:val="0"/>
                <w:bCs w:val="0"/>
                <w:spacing w:val="-10"/>
                <w:szCs w:val="21"/>
                <w:highlight w:val="none"/>
                <w:lang w:val="en-US" w:eastAsia="zh-CN"/>
              </w:rPr>
              <w:t>2.1工程噪声源强</w:t>
            </w:r>
          </w:p>
          <w:p>
            <w:pPr>
              <w:keepNext w:val="0"/>
              <w:keepLines w:val="0"/>
              <w:pageBreakBefore w:val="0"/>
              <w:widowControl w:val="0"/>
              <w:kinsoku/>
              <w:wordWrap/>
              <w:overflowPunct/>
              <w:topLinePunct w:val="0"/>
              <w:autoSpaceDE/>
              <w:autoSpaceDN/>
              <w:bidi w:val="0"/>
              <w:adjustRightInd w:val="0"/>
              <w:snapToGrid/>
              <w:spacing w:line="420" w:lineRule="exact"/>
              <w:ind w:firstLine="484" w:firstLineChars="200"/>
              <w:textAlignment w:val="auto"/>
              <w:rPr>
                <w:sz w:val="24"/>
              </w:rPr>
            </w:pPr>
            <w:r>
              <w:rPr>
                <w:rFonts w:ascii="宋体" w:hAnsi="宋体" w:eastAsia="宋体" w:cs="宋体"/>
                <w:spacing w:val="1"/>
                <w:sz w:val="24"/>
                <w:szCs w:val="24"/>
              </w:rPr>
              <w:t>项目运营期噪声源主要为自动缠绕机、</w:t>
            </w:r>
            <w:r>
              <w:rPr>
                <w:rFonts w:hint="eastAsia" w:ascii="宋体" w:hAnsi="宋体" w:eastAsia="宋体" w:cs="宋体"/>
                <w:spacing w:val="1"/>
                <w:sz w:val="24"/>
                <w:szCs w:val="24"/>
                <w:lang w:eastAsia="zh-CN"/>
              </w:rPr>
              <w:t>电动叉车</w:t>
            </w:r>
            <w:r>
              <w:rPr>
                <w:rFonts w:ascii="宋体" w:hAnsi="宋体" w:eastAsia="宋体" w:cs="宋体"/>
                <w:spacing w:val="1"/>
                <w:sz w:val="24"/>
                <w:szCs w:val="24"/>
              </w:rPr>
              <w:t>运行时的噪声，</w:t>
            </w:r>
            <w:r>
              <w:rPr>
                <w:rFonts w:ascii="宋体" w:hAnsi="宋体" w:eastAsia="宋体" w:cs="宋体"/>
                <w:spacing w:val="-2"/>
                <w:sz w:val="24"/>
                <w:szCs w:val="24"/>
              </w:rPr>
              <w:t>声</w:t>
            </w:r>
            <w:r>
              <w:rPr>
                <w:rFonts w:hint="eastAsia" w:ascii="宋体" w:hAnsi="宋体" w:eastAsia="宋体" w:cs="宋体"/>
                <w:spacing w:val="1"/>
                <w:sz w:val="24"/>
                <w:szCs w:val="24"/>
                <w:lang w:eastAsia="zh-CN"/>
              </w:rPr>
              <w:t>压一般在</w:t>
            </w:r>
            <w:r>
              <w:rPr>
                <w:rFonts w:ascii="宋体" w:hAnsi="宋体" w:eastAsia="宋体" w:cs="宋体"/>
                <w:spacing w:val="-36"/>
                <w:sz w:val="24"/>
                <w:szCs w:val="24"/>
              </w:rPr>
              <w:t xml:space="preserve"> </w:t>
            </w:r>
            <w:r>
              <w:rPr>
                <w:rFonts w:hint="eastAsia" w:ascii="Times New Roman" w:hAnsi="Times New Roman" w:eastAsia="宋体" w:cs="Times New Roman"/>
                <w:spacing w:val="-2"/>
                <w:sz w:val="24"/>
                <w:szCs w:val="24"/>
                <w:lang w:val="en-US" w:eastAsia="zh-CN"/>
              </w:rPr>
              <w:t>60~</w:t>
            </w:r>
            <w:r>
              <w:rPr>
                <w:rFonts w:ascii="Times New Roman" w:hAnsi="Times New Roman" w:eastAsia="Times New Roman" w:cs="Times New Roman"/>
                <w:spacing w:val="-2"/>
                <w:sz w:val="24"/>
                <w:szCs w:val="24"/>
              </w:rPr>
              <w:t>80dB</w:t>
            </w:r>
            <w:r>
              <w:rPr>
                <w:rFonts w:ascii="宋体" w:hAnsi="宋体" w:eastAsia="宋体" w:cs="宋体"/>
                <w:spacing w:val="-2"/>
                <w:sz w:val="24"/>
                <w:szCs w:val="24"/>
              </w:rPr>
              <w:t>（</w:t>
            </w:r>
            <w:r>
              <w:rPr>
                <w:rFonts w:ascii="Times New Roman" w:hAnsi="Times New Roman" w:eastAsia="Times New Roman" w:cs="Times New Roman"/>
                <w:spacing w:val="-2"/>
                <w:sz w:val="24"/>
                <w:szCs w:val="24"/>
              </w:rPr>
              <w:t>A</w:t>
            </w:r>
            <w:r>
              <w:rPr>
                <w:rFonts w:ascii="宋体" w:hAnsi="宋体" w:eastAsia="宋体" w:cs="宋体"/>
                <w:spacing w:val="-2"/>
                <w:sz w:val="24"/>
                <w:szCs w:val="24"/>
              </w:rPr>
              <w:t>）</w:t>
            </w:r>
            <w:r>
              <w:rPr>
                <w:rFonts w:hint="eastAsia" w:ascii="宋体" w:hAnsi="宋体" w:eastAsia="宋体" w:cs="宋体"/>
                <w:spacing w:val="-2"/>
                <w:sz w:val="24"/>
                <w:szCs w:val="24"/>
                <w:lang w:eastAsia="zh-CN"/>
              </w:rPr>
              <w:t>，</w:t>
            </w:r>
            <w:r>
              <w:rPr>
                <w:sz w:val="24"/>
              </w:rPr>
              <w:t>将设备置于封闭的厂房内，并采取基础减震等措施降噪后，其噪声值能降至</w:t>
            </w:r>
            <w:r>
              <w:rPr>
                <w:rFonts w:hint="eastAsia"/>
                <w:sz w:val="24"/>
                <w:lang w:val="en-US" w:eastAsia="zh-CN"/>
              </w:rPr>
              <w:t>50</w:t>
            </w:r>
            <w:r>
              <w:rPr>
                <w:sz w:val="24"/>
              </w:rPr>
              <w:t>～</w:t>
            </w:r>
            <w:r>
              <w:rPr>
                <w:rFonts w:hint="eastAsia"/>
                <w:sz w:val="24"/>
              </w:rPr>
              <w:t>70</w:t>
            </w:r>
            <w:r>
              <w:rPr>
                <w:sz w:val="24"/>
              </w:rPr>
              <w:t>dB（A）</w:t>
            </w:r>
            <w:r>
              <w:rPr>
                <w:rFonts w:ascii="宋体" w:hAnsi="宋体" w:eastAsia="宋体" w:cs="宋体"/>
                <w:spacing w:val="-2"/>
                <w:sz w:val="24"/>
                <w:szCs w:val="24"/>
              </w:rPr>
              <w:t>。</w:t>
            </w:r>
            <w:r>
              <w:rPr>
                <w:sz w:val="24"/>
              </w:rPr>
              <w:t>项目主要噪声源强产生情况见下表。</w:t>
            </w:r>
          </w:p>
          <w:p>
            <w:pPr>
              <w:spacing w:line="240" w:lineRule="auto"/>
              <w:ind w:left="0" w:leftChars="0" w:firstLine="0" w:firstLineChars="0"/>
              <w:jc w:val="center"/>
              <w:rPr>
                <w:rFonts w:hint="eastAsia" w:ascii="黑体" w:hAnsi="宋体" w:eastAsia="黑体" w:cs="Times New Roman"/>
                <w:sz w:val="24"/>
                <w:szCs w:val="24"/>
                <w:highlight w:val="none"/>
                <w:lang w:val="en-US" w:eastAsia="zh-CN"/>
              </w:rPr>
            </w:pPr>
            <w:r>
              <w:rPr>
                <w:rFonts w:hint="eastAsia" w:ascii="黑体" w:hAnsi="宋体" w:eastAsia="黑体" w:cs="Times New Roman"/>
                <w:sz w:val="24"/>
                <w:szCs w:val="24"/>
                <w:highlight w:val="none"/>
                <w:lang w:val="en-US" w:eastAsia="zh-CN"/>
              </w:rPr>
              <w:t>项目主要高噪声设备及声源情况  单位：dB（A）</w:t>
            </w:r>
          </w:p>
          <w:tbl>
            <w:tblPr>
              <w:tblStyle w:val="15"/>
              <w:tblW w:w="8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7"/>
              <w:gridCol w:w="845"/>
              <w:gridCol w:w="1580"/>
              <w:gridCol w:w="1133"/>
              <w:gridCol w:w="1388"/>
              <w:gridCol w:w="1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67"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高噪</w:t>
                  </w:r>
                  <w:r>
                    <w:rPr>
                      <w:rFonts w:hint="eastAsia" w:ascii="Times New Roman" w:hAnsi="Times New Roman" w:eastAsia="宋体" w:cs="Times New Roman"/>
                      <w:highlight w:val="none"/>
                      <w:lang w:val="en-US" w:eastAsia="zh-CN"/>
                    </w:rPr>
                    <w:t>声</w:t>
                  </w:r>
                  <w:r>
                    <w:rPr>
                      <w:rFonts w:hint="default" w:ascii="Times New Roman" w:hAnsi="Times New Roman" w:eastAsia="宋体" w:cs="Times New Roman"/>
                      <w:highlight w:val="none"/>
                      <w:lang w:val="en-US" w:eastAsia="zh-CN"/>
                    </w:rPr>
                    <w:t>设备</w:t>
                  </w:r>
                </w:p>
              </w:tc>
              <w:tc>
                <w:tcPr>
                  <w:tcW w:w="84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数量</w:t>
                  </w:r>
                </w:p>
              </w:tc>
              <w:tc>
                <w:tcPr>
                  <w:tcW w:w="158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噪声源强dB(A)</w:t>
                  </w:r>
                </w:p>
              </w:tc>
              <w:tc>
                <w:tcPr>
                  <w:tcW w:w="1133"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降噪措施</w:t>
                  </w:r>
                </w:p>
              </w:tc>
              <w:tc>
                <w:tcPr>
                  <w:tcW w:w="1388"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采取措施后</w:t>
                  </w:r>
                </w:p>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车间外源强</w:t>
                  </w:r>
                </w:p>
              </w:tc>
              <w:tc>
                <w:tcPr>
                  <w:tcW w:w="1504"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排放持续时间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67"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电动叉车</w:t>
                  </w:r>
                </w:p>
              </w:tc>
              <w:tc>
                <w:tcPr>
                  <w:tcW w:w="84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2</w:t>
                  </w:r>
                </w:p>
              </w:tc>
              <w:tc>
                <w:tcPr>
                  <w:tcW w:w="158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60</w:t>
                  </w:r>
                  <w:r>
                    <w:rPr>
                      <w:rFonts w:hint="default" w:ascii="Times New Roman" w:hAnsi="Times New Roman" w:eastAsia="宋体" w:cs="Times New Roman"/>
                      <w:highlight w:val="none"/>
                      <w:lang w:val="en-US" w:eastAsia="zh-CN"/>
                    </w:rPr>
                    <w:t>-</w:t>
                  </w:r>
                  <w:r>
                    <w:rPr>
                      <w:rFonts w:hint="eastAsia" w:ascii="Times New Roman" w:hAnsi="Times New Roman" w:eastAsia="宋体" w:cs="Times New Roman"/>
                      <w:highlight w:val="none"/>
                      <w:lang w:val="en-US" w:eastAsia="zh-CN"/>
                    </w:rPr>
                    <w:t>70</w:t>
                  </w:r>
                </w:p>
              </w:tc>
              <w:tc>
                <w:tcPr>
                  <w:tcW w:w="1133" w:type="dxa"/>
                  <w:vMerge w:val="restart"/>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基础减震</w:t>
                  </w:r>
                </w:p>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传动润滑</w:t>
                  </w:r>
                </w:p>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厂房歌声</w:t>
                  </w:r>
                </w:p>
              </w:tc>
              <w:tc>
                <w:tcPr>
                  <w:tcW w:w="1388"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50-60</w:t>
                  </w:r>
                </w:p>
              </w:tc>
              <w:tc>
                <w:tcPr>
                  <w:tcW w:w="1504" w:type="dxa"/>
                  <w:vMerge w:val="restart"/>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08:00~12:00</w:t>
                  </w:r>
                </w:p>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14:00~18:00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567"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自动缠绕机</w:t>
                  </w:r>
                </w:p>
              </w:tc>
              <w:tc>
                <w:tcPr>
                  <w:tcW w:w="84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2</w:t>
                  </w:r>
                </w:p>
              </w:tc>
              <w:tc>
                <w:tcPr>
                  <w:tcW w:w="158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70-80</w:t>
                  </w:r>
                </w:p>
              </w:tc>
              <w:tc>
                <w:tcPr>
                  <w:tcW w:w="1133" w:type="dxa"/>
                  <w:vMerge w:val="continue"/>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p>
              </w:tc>
              <w:tc>
                <w:tcPr>
                  <w:tcW w:w="1388"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60-70</w:t>
                  </w:r>
                </w:p>
              </w:tc>
              <w:tc>
                <w:tcPr>
                  <w:tcW w:w="1504" w:type="dxa"/>
                  <w:vMerge w:val="continue"/>
                  <w:noWrap w:val="0"/>
                  <w:vAlign w:val="center"/>
                </w:tcPr>
                <w:p>
                  <w:pPr>
                    <w:jc w:val="center"/>
                    <w:rPr>
                      <w:rFonts w:hint="eastAsia"/>
                      <w:szCs w:val="21"/>
                    </w:rPr>
                  </w:pPr>
                </w:p>
              </w:tc>
            </w:tr>
          </w:tbl>
          <w:p>
            <w:pPr>
              <w:keepNext w:val="0"/>
              <w:keepLines w:val="0"/>
              <w:pageBreakBefore w:val="0"/>
              <w:numPr>
                <w:ilvl w:val="0"/>
                <w:numId w:val="0"/>
              </w:numPr>
              <w:kinsoku/>
              <w:wordWrap/>
              <w:overflowPunct/>
              <w:topLinePunct w:val="0"/>
              <w:autoSpaceDE/>
              <w:autoSpaceDN/>
              <w:bidi w:val="0"/>
              <w:adjustRightInd w:val="0"/>
              <w:snapToGrid w:val="0"/>
              <w:spacing w:line="480" w:lineRule="exact"/>
              <w:ind w:firstLine="440" w:firstLineChars="200"/>
              <w:textAlignment w:val="auto"/>
              <w:rPr>
                <w:rFonts w:hint="default" w:ascii="Times New Roman" w:hAnsi="Times New Roman" w:eastAsia="宋体" w:cs="Times New Roman"/>
                <w:b w:val="0"/>
                <w:bCs w:val="0"/>
                <w:spacing w:val="-10"/>
                <w:szCs w:val="21"/>
                <w:highlight w:val="none"/>
                <w:lang w:val="en-US" w:eastAsia="zh-CN"/>
              </w:rPr>
            </w:pPr>
            <w:r>
              <w:rPr>
                <w:rFonts w:hint="default" w:ascii="Times New Roman" w:hAnsi="Times New Roman" w:eastAsia="宋体" w:cs="Times New Roman"/>
                <w:b w:val="0"/>
                <w:bCs w:val="0"/>
                <w:spacing w:val="-10"/>
                <w:szCs w:val="21"/>
                <w:highlight w:val="none"/>
                <w:lang w:val="en-US" w:eastAsia="zh-CN"/>
              </w:rPr>
              <w:t>2.2预测结果分析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rPr>
            </w:pPr>
            <w:r>
              <w:rPr>
                <w:sz w:val="24"/>
              </w:rPr>
              <w:t>营运期厂界噪声预测结果见下表。</w:t>
            </w:r>
          </w:p>
          <w:p>
            <w:pPr>
              <w:spacing w:line="240" w:lineRule="auto"/>
              <w:ind w:left="0" w:leftChars="0" w:firstLine="0" w:firstLineChars="0"/>
              <w:jc w:val="center"/>
              <w:rPr>
                <w:rFonts w:hint="eastAsia" w:ascii="黑体" w:hAnsi="宋体" w:eastAsia="黑体" w:cs="Times New Roman"/>
                <w:sz w:val="24"/>
                <w:szCs w:val="24"/>
                <w:highlight w:val="none"/>
                <w:lang w:val="en-US" w:eastAsia="zh-CN"/>
              </w:rPr>
            </w:pPr>
            <w:r>
              <w:rPr>
                <w:rFonts w:hint="eastAsia" w:ascii="黑体" w:hAnsi="宋体" w:eastAsia="黑体" w:cs="Times New Roman"/>
                <w:sz w:val="24"/>
                <w:szCs w:val="24"/>
                <w:highlight w:val="none"/>
                <w:lang w:val="en-US" w:eastAsia="zh-CN"/>
              </w:rPr>
              <w:t>工程营运期噪声预测结果表  单位：dB(A)</w:t>
            </w:r>
          </w:p>
          <w:tbl>
            <w:tblPr>
              <w:tblStyle w:val="15"/>
              <w:tblW w:w="8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5"/>
              <w:gridCol w:w="812"/>
              <w:gridCol w:w="1130"/>
              <w:gridCol w:w="1130"/>
              <w:gridCol w:w="1239"/>
              <w:gridCol w:w="1239"/>
              <w:gridCol w:w="12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预测点</w:t>
                  </w:r>
                </w:p>
              </w:tc>
              <w:tc>
                <w:tcPr>
                  <w:tcW w:w="812"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时段</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背景值</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贡献值</w:t>
                  </w:r>
                </w:p>
              </w:tc>
              <w:tc>
                <w:tcPr>
                  <w:tcW w:w="1239"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叠加值</w:t>
                  </w:r>
                </w:p>
              </w:tc>
              <w:tc>
                <w:tcPr>
                  <w:tcW w:w="1239"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标准值</w:t>
                  </w:r>
                </w:p>
              </w:tc>
              <w:tc>
                <w:tcPr>
                  <w:tcW w:w="1273"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东厂界</w:t>
                  </w:r>
                </w:p>
              </w:tc>
              <w:tc>
                <w:tcPr>
                  <w:tcW w:w="812"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昼间</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53</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48</w:t>
                  </w:r>
                </w:p>
              </w:tc>
              <w:tc>
                <w:tcPr>
                  <w:tcW w:w="1239"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US" w:eastAsia="zh-CN"/>
                    </w:rPr>
                    <w:t xml:space="preserve">54.2 </w:t>
                  </w:r>
                </w:p>
              </w:tc>
              <w:tc>
                <w:tcPr>
                  <w:tcW w:w="1239" w:type="dxa"/>
                  <w:vMerge w:val="restart"/>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GB" w:eastAsia="zh-CN"/>
                    </w:rPr>
                    <w:t>昼间：</w:t>
                  </w:r>
                  <w:r>
                    <w:rPr>
                      <w:rFonts w:hint="eastAsia" w:ascii="Times New Roman" w:hAnsi="Times New Roman" w:eastAsia="宋体" w:cs="Times New Roman"/>
                      <w:highlight w:val="none"/>
                      <w:lang w:val="en-US" w:eastAsia="zh-CN"/>
                    </w:rPr>
                    <w:t>65</w:t>
                  </w:r>
                </w:p>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GB" w:eastAsia="zh-CN"/>
                    </w:rPr>
                    <w:t>夜间：</w:t>
                  </w:r>
                  <w:r>
                    <w:rPr>
                      <w:rFonts w:hint="eastAsia" w:ascii="Times New Roman" w:hAnsi="Times New Roman" w:eastAsia="宋体" w:cs="Times New Roman"/>
                      <w:highlight w:val="none"/>
                      <w:lang w:val="en-US" w:eastAsia="zh-CN"/>
                    </w:rPr>
                    <w:t>55</w:t>
                  </w:r>
                </w:p>
              </w:tc>
              <w:tc>
                <w:tcPr>
                  <w:tcW w:w="1273"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南厂界</w:t>
                  </w:r>
                </w:p>
              </w:tc>
              <w:tc>
                <w:tcPr>
                  <w:tcW w:w="812"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昼间</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52</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46</w:t>
                  </w:r>
                </w:p>
              </w:tc>
              <w:tc>
                <w:tcPr>
                  <w:tcW w:w="1239"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 xml:space="preserve">53.0 </w:t>
                  </w:r>
                </w:p>
              </w:tc>
              <w:tc>
                <w:tcPr>
                  <w:tcW w:w="1239" w:type="dxa"/>
                  <w:vMerge w:val="continue"/>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p>
              </w:tc>
              <w:tc>
                <w:tcPr>
                  <w:tcW w:w="1273"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GB"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西厂界</w:t>
                  </w:r>
                </w:p>
              </w:tc>
              <w:tc>
                <w:tcPr>
                  <w:tcW w:w="812"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昼间</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54</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48</w:t>
                  </w:r>
                </w:p>
              </w:tc>
              <w:tc>
                <w:tcPr>
                  <w:tcW w:w="1239"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 xml:space="preserve">55.0 </w:t>
                  </w:r>
                </w:p>
              </w:tc>
              <w:tc>
                <w:tcPr>
                  <w:tcW w:w="1239" w:type="dxa"/>
                  <w:vMerge w:val="continue"/>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p>
              </w:tc>
              <w:tc>
                <w:tcPr>
                  <w:tcW w:w="1273"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15"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北厂界</w:t>
                  </w:r>
                </w:p>
              </w:tc>
              <w:tc>
                <w:tcPr>
                  <w:tcW w:w="812"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GB" w:eastAsia="zh-CN"/>
                    </w:rPr>
                  </w:pPr>
                  <w:r>
                    <w:rPr>
                      <w:rFonts w:hint="eastAsia" w:ascii="Times New Roman" w:hAnsi="Times New Roman" w:eastAsia="宋体" w:cs="Times New Roman"/>
                      <w:highlight w:val="none"/>
                      <w:lang w:val="en-GB" w:eastAsia="zh-CN"/>
                    </w:rPr>
                    <w:t>昼间</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55</w:t>
                  </w:r>
                </w:p>
              </w:tc>
              <w:tc>
                <w:tcPr>
                  <w:tcW w:w="1130"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50</w:t>
                  </w:r>
                </w:p>
              </w:tc>
              <w:tc>
                <w:tcPr>
                  <w:tcW w:w="1239"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 xml:space="preserve">56.2 </w:t>
                  </w:r>
                </w:p>
              </w:tc>
              <w:tc>
                <w:tcPr>
                  <w:tcW w:w="1239" w:type="dxa"/>
                  <w:vMerge w:val="continue"/>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p>
              </w:tc>
              <w:tc>
                <w:tcPr>
                  <w:tcW w:w="1273" w:type="dxa"/>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GB" w:eastAsia="zh-CN"/>
                    </w:rPr>
                    <w:t>达标</w:t>
                  </w:r>
                </w:p>
              </w:tc>
            </w:tr>
          </w:tbl>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sz w:val="24"/>
              </w:rPr>
            </w:pPr>
            <w:r>
              <w:rPr>
                <w:sz w:val="24"/>
              </w:rPr>
              <w:t>由上表可知，</w:t>
            </w:r>
            <w:r>
              <w:rPr>
                <w:rFonts w:hint="eastAsia"/>
                <w:sz w:val="24"/>
              </w:rPr>
              <w:t>本</w:t>
            </w:r>
            <w:r>
              <w:rPr>
                <w:sz w:val="24"/>
              </w:rPr>
              <w:t>工程营运期</w:t>
            </w:r>
            <w:r>
              <w:rPr>
                <w:rFonts w:hint="eastAsia"/>
                <w:sz w:val="24"/>
                <w:lang w:eastAsia="zh-CN"/>
              </w:rPr>
              <w:t>四周厂界</w:t>
            </w:r>
            <w:r>
              <w:rPr>
                <w:rFonts w:hint="eastAsia"/>
                <w:sz w:val="24"/>
              </w:rPr>
              <w:t>昼间噪声叠加值为</w:t>
            </w:r>
            <w:r>
              <w:rPr>
                <w:rFonts w:hint="eastAsia"/>
                <w:sz w:val="24"/>
                <w:lang w:val="en-US" w:eastAsia="zh-CN"/>
              </w:rPr>
              <w:t>53.0</w:t>
            </w:r>
            <w:r>
              <w:rPr>
                <w:rFonts w:hint="eastAsia"/>
                <w:sz w:val="24"/>
              </w:rPr>
              <w:t>~</w:t>
            </w:r>
            <w:r>
              <w:rPr>
                <w:rFonts w:hint="eastAsia"/>
                <w:sz w:val="24"/>
                <w:lang w:val="en-US" w:eastAsia="zh-CN"/>
              </w:rPr>
              <w:t>56.2</w:t>
            </w:r>
            <w:r>
              <w:rPr>
                <w:sz w:val="24"/>
              </w:rPr>
              <w:t>dB(A)</w:t>
            </w:r>
            <w:r>
              <w:rPr>
                <w:rFonts w:hint="eastAsia"/>
                <w:sz w:val="24"/>
              </w:rPr>
              <w:t>，</w:t>
            </w:r>
            <w:r>
              <w:rPr>
                <w:rFonts w:hint="eastAsia"/>
                <w:sz w:val="24"/>
                <w:lang w:eastAsia="zh-CN"/>
              </w:rPr>
              <w:t>能够满足</w:t>
            </w:r>
            <w:r>
              <w:rPr>
                <w:sz w:val="24"/>
              </w:rPr>
              <w:t>满足《工业企业厂界环境噪声排放标准》（GB12348-2008）中</w:t>
            </w:r>
            <w:r>
              <w:rPr>
                <w:rFonts w:hint="eastAsia"/>
                <w:sz w:val="24"/>
                <w:lang w:val="en-US" w:eastAsia="zh-CN"/>
              </w:rPr>
              <w:t>3</w:t>
            </w:r>
            <w:r>
              <w:rPr>
                <w:sz w:val="24"/>
              </w:rPr>
              <w:t>类标准</w:t>
            </w:r>
            <w:r>
              <w:rPr>
                <w:rFonts w:hint="eastAsia"/>
                <w:sz w:val="24"/>
                <w:lang w:eastAsia="zh-CN"/>
              </w:rPr>
              <w:t>要求</w:t>
            </w:r>
            <w:r>
              <w:rPr>
                <w:sz w:val="24"/>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420" w:lineRule="exact"/>
              <w:ind w:firstLine="440" w:firstLineChars="200"/>
              <w:textAlignment w:val="auto"/>
              <w:rPr>
                <w:rFonts w:hint="default" w:ascii="Times New Roman" w:hAnsi="Times New Roman" w:eastAsia="宋体" w:cs="Times New Roman"/>
                <w:b w:val="0"/>
                <w:bCs w:val="0"/>
                <w:spacing w:val="-10"/>
                <w:szCs w:val="21"/>
                <w:highlight w:val="none"/>
                <w:lang w:val="en-US" w:eastAsia="zh-CN"/>
              </w:rPr>
            </w:pPr>
            <w:r>
              <w:rPr>
                <w:rFonts w:hint="default" w:ascii="Times New Roman" w:hAnsi="Times New Roman" w:eastAsia="宋体" w:cs="Times New Roman"/>
                <w:b w:val="0"/>
                <w:bCs w:val="0"/>
                <w:spacing w:val="-10"/>
                <w:szCs w:val="21"/>
                <w:highlight w:val="none"/>
                <w:lang w:val="en-US" w:eastAsia="zh-CN"/>
              </w:rPr>
              <w:t>2.3自行监测计划</w:t>
            </w:r>
          </w:p>
          <w:p>
            <w:pPr>
              <w:tabs>
                <w:tab w:val="left" w:pos="993"/>
              </w:tabs>
              <w:spacing w:line="240" w:lineRule="auto"/>
              <w:ind w:left="0" w:leftChars="0" w:firstLine="0" w:firstLineChars="0"/>
              <w:jc w:val="center"/>
              <w:rPr>
                <w:rFonts w:hint="default" w:ascii="黑体" w:hAnsi="黑体" w:eastAsia="黑体" w:cs="黑体"/>
                <w:bCs/>
                <w:sz w:val="24"/>
                <w:lang w:val="en-US" w:eastAsia="zh-CN"/>
              </w:rPr>
            </w:pPr>
            <w:r>
              <w:rPr>
                <w:rFonts w:hint="eastAsia" w:ascii="黑体" w:hAnsi="黑体" w:eastAsia="黑体" w:cs="黑体"/>
                <w:bCs/>
                <w:sz w:val="24"/>
                <w:lang w:val="en-US" w:eastAsia="zh-CN"/>
              </w:rPr>
              <w:t>厂界噪声</w:t>
            </w:r>
            <w:r>
              <w:rPr>
                <w:rFonts w:hint="default" w:ascii="黑体" w:hAnsi="黑体" w:eastAsia="黑体" w:cs="黑体"/>
                <w:bCs/>
                <w:sz w:val="24"/>
                <w:lang w:val="en-US" w:eastAsia="zh-CN"/>
              </w:rPr>
              <w:t>监测方案</w:t>
            </w:r>
          </w:p>
          <w:tbl>
            <w:tblPr>
              <w:tblStyle w:val="16"/>
              <w:tblW w:w="8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3"/>
              <w:gridCol w:w="1711"/>
              <w:gridCol w:w="1445"/>
              <w:gridCol w:w="31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33"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监测点位</w:t>
                  </w:r>
                </w:p>
              </w:tc>
              <w:tc>
                <w:tcPr>
                  <w:tcW w:w="1711"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监测指标</w:t>
                  </w:r>
                </w:p>
              </w:tc>
              <w:tc>
                <w:tcPr>
                  <w:tcW w:w="1445"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监测频次</w:t>
                  </w:r>
                </w:p>
              </w:tc>
              <w:tc>
                <w:tcPr>
                  <w:tcW w:w="3169"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执行排放标准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733"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四周厂界</w:t>
                  </w:r>
                </w:p>
              </w:tc>
              <w:tc>
                <w:tcPr>
                  <w:tcW w:w="1711"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厂界环境噪声</w:t>
                  </w:r>
                </w:p>
              </w:tc>
              <w:tc>
                <w:tcPr>
                  <w:tcW w:w="1445"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1次/季度</w:t>
                  </w:r>
                </w:p>
              </w:tc>
              <w:tc>
                <w:tcPr>
                  <w:tcW w:w="3169" w:type="dxa"/>
                  <w:tcBorders>
                    <w:tl2br w:val="nil"/>
                    <w:tr2bl w:val="nil"/>
                  </w:tcBorders>
                  <w:noWrap w:val="0"/>
                  <w:vAlign w:val="center"/>
                </w:tcPr>
                <w:p>
                  <w:pPr>
                    <w:pStyle w:val="23"/>
                    <w:keepNext w:val="0"/>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《工业企业厂界环境噪声排放标准》（GB12348-2008）</w:t>
                  </w:r>
                  <w:r>
                    <w:rPr>
                      <w:rFonts w:hint="eastAsia" w:ascii="Times New Roman" w:hAnsi="Times New Roman" w:eastAsia="宋体" w:cs="Times New Roman"/>
                      <w:highlight w:val="none"/>
                      <w:lang w:val="en-US" w:eastAsia="zh-CN"/>
                    </w:rPr>
                    <w:t>3</w:t>
                  </w:r>
                  <w:r>
                    <w:rPr>
                      <w:rFonts w:hint="default" w:ascii="Times New Roman" w:hAnsi="Times New Roman" w:eastAsia="宋体" w:cs="Times New Roman"/>
                      <w:highlight w:val="none"/>
                      <w:lang w:val="en-US" w:eastAsia="zh-CN"/>
                    </w:rPr>
                    <w:t>类标准</w:t>
                  </w:r>
                </w:p>
              </w:tc>
            </w:tr>
          </w:tbl>
          <w:p>
            <w:pPr>
              <w:keepNext w:val="0"/>
              <w:keepLines w:val="0"/>
              <w:pageBreakBefore w:val="0"/>
              <w:widowControl w:val="0"/>
              <w:numPr>
                <w:ilvl w:val="0"/>
                <w:numId w:val="4"/>
              </w:numPr>
              <w:kinsoku/>
              <w:wordWrap/>
              <w:overflowPunct/>
              <w:topLinePunct w:val="0"/>
              <w:autoSpaceDE/>
              <w:autoSpaceDN/>
              <w:bidi w:val="0"/>
              <w:adjustRightInd w:val="0"/>
              <w:snapToGrid w:val="0"/>
              <w:spacing w:line="420" w:lineRule="exact"/>
              <w:ind w:firstLine="442"/>
              <w:textAlignment w:val="auto"/>
              <w:rPr>
                <w:rFonts w:hint="eastAsia" w:ascii="宋体" w:hAnsi="宋体" w:cs="宋体"/>
                <w:b/>
                <w:bCs/>
                <w:spacing w:val="-10"/>
                <w:szCs w:val="21"/>
                <w:highlight w:val="none"/>
                <w:lang w:eastAsia="zh-CN"/>
              </w:rPr>
            </w:pPr>
            <w:r>
              <w:rPr>
                <w:rFonts w:hint="eastAsia" w:ascii="宋体" w:hAnsi="宋体" w:cs="宋体"/>
                <w:b/>
                <w:bCs/>
                <w:spacing w:val="-10"/>
                <w:szCs w:val="21"/>
                <w:highlight w:val="none"/>
                <w:lang w:eastAsia="zh-CN"/>
              </w:rPr>
              <w:t>固体废物环境影响分析</w:t>
            </w:r>
          </w:p>
          <w:p>
            <w:pPr>
              <w:keepNext w:val="0"/>
              <w:keepLines w:val="0"/>
              <w:pageBreakBefore w:val="0"/>
              <w:kinsoku/>
              <w:wordWrap/>
              <w:overflowPunct/>
              <w:topLinePunct w:val="0"/>
              <w:autoSpaceDE/>
              <w:autoSpaceDN/>
              <w:bidi w:val="0"/>
              <w:spacing w:line="480" w:lineRule="exact"/>
              <w:ind w:firstLine="480"/>
              <w:textAlignment w:val="auto"/>
              <w:rPr>
                <w:rFonts w:hint="default"/>
                <w:b w:val="0"/>
                <w:bCs w:val="0"/>
                <w:highlight w:val="none"/>
                <w:lang w:val="en-US" w:eastAsia="zh-CN"/>
              </w:rPr>
            </w:pPr>
            <w:r>
              <w:rPr>
                <w:rFonts w:hint="eastAsia"/>
                <w:b w:val="0"/>
                <w:bCs w:val="0"/>
                <w:highlight w:val="none"/>
                <w:lang w:val="en-US" w:eastAsia="zh-CN"/>
              </w:rPr>
              <w:t>3.1固体废物产生情况分析</w:t>
            </w:r>
          </w:p>
          <w:p>
            <w:pPr>
              <w:keepNext w:val="0"/>
              <w:keepLines w:val="0"/>
              <w:pageBreakBefore w:val="0"/>
              <w:kinsoku/>
              <w:wordWrap/>
              <w:overflowPunct/>
              <w:topLinePunct w:val="0"/>
              <w:autoSpaceDE/>
              <w:autoSpaceDN/>
              <w:bidi w:val="0"/>
              <w:spacing w:line="480" w:lineRule="exact"/>
              <w:ind w:firstLine="480"/>
              <w:textAlignment w:val="auto"/>
              <w:rPr>
                <w:rFonts w:hint="eastAsia"/>
                <w:highlight w:val="none"/>
                <w:lang w:eastAsia="zh-CN"/>
              </w:rPr>
            </w:pPr>
            <w:r>
              <w:rPr>
                <w:rFonts w:hint="eastAsia"/>
                <w:highlight w:val="none"/>
                <w:lang w:eastAsia="zh-CN"/>
              </w:rPr>
              <w:t>本项目不新增劳动定员，无新增生活垃圾产生，项目固体废物主要为事故状态下废铅蓄电池泄露的电解液、生产过程产生的废弃沾染物（废防护服、废托盘、废收集桶、废抹布等）以及酸雾吸收塔定期更换下的废吸收液，具体产生情况分析如下。</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highlight w:val="none"/>
                <w:lang w:eastAsia="zh-CN"/>
              </w:rPr>
            </w:pPr>
            <w:r>
              <w:rPr>
                <w:rFonts w:hint="eastAsia"/>
                <w:highlight w:val="none"/>
                <w:lang w:eastAsia="zh-CN"/>
              </w:rPr>
              <w:t>（</w:t>
            </w:r>
            <w:r>
              <w:rPr>
                <w:rFonts w:hint="eastAsia"/>
                <w:highlight w:val="none"/>
                <w:lang w:val="en-US" w:eastAsia="zh-CN"/>
              </w:rPr>
              <w:t>1</w:t>
            </w:r>
            <w:r>
              <w:rPr>
                <w:rFonts w:hint="eastAsia"/>
                <w:highlight w:val="none"/>
                <w:lang w:eastAsia="zh-CN"/>
              </w:rPr>
              <w:t>）废铅蓄电池泄露的电解液</w:t>
            </w:r>
          </w:p>
          <w:p>
            <w:pPr>
              <w:keepNext w:val="0"/>
              <w:keepLines w:val="0"/>
              <w:pageBreakBefore w:val="0"/>
              <w:widowControl w:val="0"/>
              <w:kinsoku/>
              <w:wordWrap/>
              <w:overflowPunct/>
              <w:topLinePunct w:val="0"/>
              <w:autoSpaceDE/>
              <w:autoSpaceDN/>
              <w:bidi w:val="0"/>
              <w:adjustRightInd/>
              <w:snapToGrid/>
              <w:spacing w:line="420" w:lineRule="exact"/>
              <w:ind w:left="0" w:right="0" w:firstLine="487"/>
              <w:textAlignment w:val="auto"/>
              <w:rPr>
                <w:rFonts w:ascii="宋体" w:hAnsi="宋体" w:eastAsia="宋体" w:cs="宋体"/>
                <w:sz w:val="24"/>
                <w:szCs w:val="24"/>
              </w:rPr>
            </w:pPr>
            <w:r>
              <w:rPr>
                <w:rFonts w:ascii="宋体" w:hAnsi="宋体" w:eastAsia="宋体" w:cs="宋体"/>
                <w:spacing w:val="-7"/>
                <w:sz w:val="24"/>
                <w:szCs w:val="24"/>
              </w:rPr>
              <w:t>事故</w:t>
            </w:r>
            <w:r>
              <w:rPr>
                <w:rFonts w:hint="eastAsia" w:ascii="宋体" w:hAnsi="宋体" w:eastAsia="宋体" w:cs="宋体"/>
                <w:spacing w:val="-7"/>
                <w:sz w:val="24"/>
                <w:szCs w:val="24"/>
                <w:lang w:eastAsia="zh-CN"/>
              </w:rPr>
              <w:t>状态下</w:t>
            </w:r>
            <w:r>
              <w:rPr>
                <w:rFonts w:ascii="宋体" w:hAnsi="宋体" w:eastAsia="宋体" w:cs="宋体"/>
                <w:spacing w:val="-7"/>
                <w:sz w:val="24"/>
                <w:szCs w:val="24"/>
              </w:rPr>
              <w:t>所泄漏的电解液主要污染物为</w:t>
            </w:r>
            <w:r>
              <w:rPr>
                <w:rFonts w:ascii="宋体" w:hAnsi="宋体" w:eastAsia="宋体" w:cs="宋体"/>
                <w:spacing w:val="1"/>
                <w:sz w:val="24"/>
                <w:szCs w:val="24"/>
              </w:rPr>
              <w:t>硫酸、</w:t>
            </w:r>
            <w:r>
              <w:rPr>
                <w:rFonts w:ascii="Times New Roman" w:hAnsi="Times New Roman" w:eastAsia="Times New Roman" w:cs="Times New Roman"/>
                <w:spacing w:val="1"/>
                <w:sz w:val="24"/>
                <w:szCs w:val="24"/>
              </w:rPr>
              <w:t>Pb</w:t>
            </w:r>
            <w:r>
              <w:rPr>
                <w:rFonts w:ascii="宋体" w:hAnsi="宋体" w:eastAsia="宋体" w:cs="宋体"/>
                <w:spacing w:val="1"/>
                <w:sz w:val="24"/>
                <w:szCs w:val="24"/>
              </w:rPr>
              <w:t>等，类比同类项目，破损电池电解液泄漏是偶然发生的，预计</w:t>
            </w:r>
            <w:r>
              <w:rPr>
                <w:rFonts w:hint="eastAsia" w:ascii="宋体" w:hAnsi="宋体" w:eastAsia="宋体" w:cs="宋体"/>
                <w:spacing w:val="1"/>
                <w:sz w:val="24"/>
                <w:szCs w:val="24"/>
                <w:lang w:eastAsia="zh-CN"/>
              </w:rPr>
              <w:t>本项目</w:t>
            </w:r>
            <w:r>
              <w:rPr>
                <w:rFonts w:ascii="宋体" w:hAnsi="宋体" w:eastAsia="宋体" w:cs="宋体"/>
                <w:spacing w:val="1"/>
                <w:sz w:val="24"/>
                <w:szCs w:val="24"/>
              </w:rPr>
              <w:t>铅酸</w:t>
            </w:r>
            <w:r>
              <w:rPr>
                <w:rFonts w:ascii="宋体" w:hAnsi="宋体" w:eastAsia="宋体" w:cs="宋体"/>
                <w:spacing w:val="-2"/>
                <w:sz w:val="24"/>
                <w:szCs w:val="24"/>
              </w:rPr>
              <w:t>蓄电池发生泄漏概率为</w:t>
            </w:r>
            <w:r>
              <w:rPr>
                <w:rFonts w:ascii="Times New Roman" w:hAnsi="Times New Roman" w:eastAsia="Times New Roman" w:cs="Times New Roman"/>
                <w:spacing w:val="-2"/>
                <w:sz w:val="24"/>
                <w:szCs w:val="24"/>
              </w:rPr>
              <w:t>0.5‰</w:t>
            </w:r>
            <w:r>
              <w:rPr>
                <w:rFonts w:ascii="宋体" w:hAnsi="宋体" w:eastAsia="宋体" w:cs="宋体"/>
                <w:spacing w:val="-2"/>
                <w:sz w:val="24"/>
                <w:szCs w:val="24"/>
              </w:rPr>
              <w:t>，根据铅酸蓄电池中主要成分，电解液占</w:t>
            </w:r>
            <w:r>
              <w:rPr>
                <w:rFonts w:ascii="Times New Roman" w:hAnsi="Times New Roman" w:eastAsia="Times New Roman" w:cs="Times New Roman"/>
                <w:spacing w:val="-2"/>
                <w:sz w:val="24"/>
                <w:szCs w:val="24"/>
              </w:rPr>
              <w:t>7%</w:t>
            </w:r>
            <w:r>
              <w:rPr>
                <w:rFonts w:ascii="宋体" w:hAnsi="宋体" w:eastAsia="宋体" w:cs="宋体"/>
                <w:spacing w:val="-2"/>
                <w:sz w:val="24"/>
                <w:szCs w:val="24"/>
              </w:rPr>
              <w:t>，</w:t>
            </w:r>
            <w:r>
              <w:rPr>
                <w:rFonts w:hint="eastAsia" w:ascii="宋体" w:hAnsi="宋体" w:eastAsia="宋体" w:cs="宋体"/>
                <w:spacing w:val="-2"/>
                <w:sz w:val="24"/>
                <w:szCs w:val="24"/>
                <w:lang w:eastAsia="zh-CN"/>
              </w:rPr>
              <w:t>本次评价假定</w:t>
            </w:r>
            <w:r>
              <w:rPr>
                <w:rFonts w:ascii="宋体" w:hAnsi="宋体" w:eastAsia="宋体" w:cs="宋体"/>
                <w:spacing w:val="-1"/>
                <w:sz w:val="24"/>
                <w:szCs w:val="24"/>
              </w:rPr>
              <w:t>发生泄漏时电池内电解液全部泄漏，则泄漏液的产生量约为</w:t>
            </w:r>
            <w:r>
              <w:rPr>
                <w:rFonts w:ascii="Times New Roman" w:hAnsi="Times New Roman" w:eastAsia="Times New Roman" w:cs="Times New Roman"/>
                <w:spacing w:val="-1"/>
                <w:sz w:val="24"/>
                <w:szCs w:val="24"/>
              </w:rPr>
              <w:t>3.5t/a</w:t>
            </w:r>
            <w:r>
              <w:rPr>
                <w:rFonts w:ascii="Times New Roman" w:hAnsi="Times New Roman" w:eastAsia="Times New Roman" w:cs="Times New Roman"/>
                <w:spacing w:val="-15"/>
                <w:sz w:val="24"/>
                <w:szCs w:val="24"/>
              </w:rPr>
              <w:t xml:space="preserve"> </w:t>
            </w:r>
            <w:r>
              <w:rPr>
                <w:rFonts w:hint="eastAsia" w:ascii="宋体" w:hAnsi="宋体" w:eastAsia="宋体" w:cs="宋体"/>
                <w:spacing w:val="-1"/>
                <w:sz w:val="24"/>
                <w:szCs w:val="24"/>
                <w:lang w:eastAsia="zh-CN"/>
              </w:rPr>
              <w:t>。</w:t>
            </w:r>
            <w:r>
              <w:rPr>
                <w:rFonts w:ascii="宋体" w:hAnsi="宋体" w:eastAsia="宋体" w:cs="宋体"/>
                <w:spacing w:val="-1"/>
                <w:sz w:val="24"/>
                <w:szCs w:val="24"/>
              </w:rPr>
              <w:t>泄露的</w:t>
            </w:r>
            <w:r>
              <w:rPr>
                <w:rFonts w:ascii="宋体" w:hAnsi="宋体" w:eastAsia="宋体" w:cs="宋体"/>
                <w:spacing w:val="1"/>
                <w:sz w:val="24"/>
                <w:szCs w:val="24"/>
              </w:rPr>
              <w:t>废电解液经仓库内设置的导流槽进入应急事故池，</w:t>
            </w:r>
            <w:r>
              <w:rPr>
                <w:rFonts w:hint="eastAsia" w:ascii="宋体" w:hAnsi="宋体" w:eastAsia="宋体" w:cs="宋体"/>
                <w:spacing w:val="1"/>
                <w:sz w:val="24"/>
                <w:szCs w:val="24"/>
                <w:lang w:eastAsia="zh-CN"/>
              </w:rPr>
              <w:t>并</w:t>
            </w:r>
            <w:r>
              <w:rPr>
                <w:rFonts w:ascii="宋体" w:hAnsi="宋体" w:eastAsia="宋体" w:cs="宋体"/>
                <w:spacing w:val="1"/>
                <w:sz w:val="24"/>
                <w:szCs w:val="24"/>
              </w:rPr>
              <w:t>及时收集至桶内</w:t>
            </w:r>
            <w:r>
              <w:rPr>
                <w:rFonts w:hint="eastAsia" w:ascii="宋体" w:hAnsi="宋体" w:eastAsia="宋体" w:cs="宋体"/>
                <w:spacing w:val="1"/>
                <w:sz w:val="24"/>
                <w:szCs w:val="24"/>
                <w:lang w:eastAsia="zh-CN"/>
              </w:rPr>
              <w:t>暂存于公司现有危险废物仓库，</w:t>
            </w:r>
            <w:r>
              <w:rPr>
                <w:rFonts w:ascii="宋体" w:hAnsi="宋体" w:eastAsia="宋体" w:cs="宋体"/>
                <w:spacing w:val="1"/>
                <w:sz w:val="24"/>
                <w:szCs w:val="24"/>
              </w:rPr>
              <w:t>定期</w:t>
            </w:r>
            <w:r>
              <w:rPr>
                <w:rFonts w:hint="eastAsia" w:ascii="宋体" w:hAnsi="宋体" w:eastAsia="宋体" w:cs="宋体"/>
                <w:spacing w:val="1"/>
                <w:sz w:val="24"/>
                <w:szCs w:val="24"/>
                <w:lang w:eastAsia="zh-CN"/>
              </w:rPr>
              <w:t>交</w:t>
            </w:r>
            <w:r>
              <w:rPr>
                <w:rFonts w:ascii="宋体" w:hAnsi="宋体" w:eastAsia="宋体" w:cs="宋体"/>
                <w:spacing w:val="-3"/>
                <w:sz w:val="24"/>
                <w:szCs w:val="24"/>
              </w:rPr>
              <w:t>有资质单位</w:t>
            </w:r>
            <w:r>
              <w:rPr>
                <w:rFonts w:hint="eastAsia" w:ascii="宋体" w:hAnsi="宋体" w:eastAsia="宋体" w:cs="宋体"/>
                <w:spacing w:val="-3"/>
                <w:sz w:val="24"/>
                <w:szCs w:val="24"/>
                <w:lang w:eastAsia="zh-CN"/>
              </w:rPr>
              <w:t>统一</w:t>
            </w:r>
            <w:r>
              <w:rPr>
                <w:rFonts w:ascii="宋体" w:hAnsi="宋体" w:eastAsia="宋体" w:cs="宋体"/>
                <w:spacing w:val="-3"/>
                <w:sz w:val="24"/>
                <w:szCs w:val="24"/>
              </w:rPr>
              <w:t>处置。根据《国家危险废物名录（</w:t>
            </w:r>
            <w:r>
              <w:rPr>
                <w:rFonts w:ascii="Times New Roman" w:hAnsi="Times New Roman" w:eastAsia="Times New Roman" w:cs="Times New Roman"/>
                <w:spacing w:val="-3"/>
                <w:sz w:val="24"/>
                <w:szCs w:val="24"/>
              </w:rPr>
              <w:t>2021</w:t>
            </w:r>
            <w:r>
              <w:rPr>
                <w:rFonts w:ascii="宋体" w:hAnsi="宋体" w:eastAsia="宋体" w:cs="宋体"/>
                <w:spacing w:val="-3"/>
                <w:sz w:val="24"/>
                <w:szCs w:val="24"/>
              </w:rPr>
              <w:t>年版）》</w:t>
            </w:r>
            <w:r>
              <w:rPr>
                <w:rFonts w:hint="eastAsia" w:ascii="宋体" w:hAnsi="宋体" w:eastAsia="宋体" w:cs="宋体"/>
                <w:spacing w:val="-3"/>
                <w:sz w:val="24"/>
                <w:szCs w:val="24"/>
                <w:lang w:eastAsia="zh-CN"/>
              </w:rPr>
              <w:t>，铅蓄电池电解液</w:t>
            </w:r>
            <w:r>
              <w:rPr>
                <w:rFonts w:ascii="宋体" w:hAnsi="宋体" w:eastAsia="宋体" w:cs="宋体"/>
                <w:spacing w:val="-3"/>
                <w:sz w:val="24"/>
                <w:szCs w:val="24"/>
              </w:rPr>
              <w:t>废物类</w:t>
            </w:r>
            <w:r>
              <w:rPr>
                <w:rFonts w:ascii="宋体" w:hAnsi="宋体" w:eastAsia="宋体" w:cs="宋体"/>
                <w:spacing w:val="-7"/>
                <w:sz w:val="24"/>
                <w:szCs w:val="24"/>
              </w:rPr>
              <w:t>别为“</w:t>
            </w:r>
            <w:r>
              <w:rPr>
                <w:rFonts w:ascii="Times New Roman" w:hAnsi="Times New Roman" w:eastAsia="Times New Roman" w:cs="Times New Roman"/>
                <w:spacing w:val="-7"/>
                <w:sz w:val="24"/>
                <w:szCs w:val="24"/>
              </w:rPr>
              <w:t>HW31</w:t>
            </w:r>
            <w:r>
              <w:rPr>
                <w:rFonts w:ascii="宋体" w:hAnsi="宋体" w:eastAsia="宋体" w:cs="宋体"/>
                <w:spacing w:val="-7"/>
                <w:sz w:val="24"/>
                <w:szCs w:val="24"/>
              </w:rPr>
              <w:t>含铅废物”</w:t>
            </w:r>
            <w:r>
              <w:rPr>
                <w:rFonts w:ascii="宋体" w:hAnsi="宋体" w:eastAsia="宋体" w:cs="宋体"/>
                <w:spacing w:val="-52"/>
                <w:sz w:val="24"/>
                <w:szCs w:val="24"/>
              </w:rPr>
              <w:t xml:space="preserve"> </w:t>
            </w:r>
            <w:r>
              <w:rPr>
                <w:rFonts w:ascii="宋体" w:hAnsi="宋体" w:eastAsia="宋体" w:cs="宋体"/>
                <w:spacing w:val="-7"/>
                <w:sz w:val="24"/>
                <w:szCs w:val="24"/>
              </w:rPr>
              <w:t>，废物代码为：</w:t>
            </w:r>
            <w:r>
              <w:rPr>
                <w:rFonts w:ascii="Times New Roman" w:hAnsi="Times New Roman" w:eastAsia="Times New Roman" w:cs="Times New Roman"/>
                <w:spacing w:val="-7"/>
                <w:sz w:val="24"/>
                <w:szCs w:val="24"/>
              </w:rPr>
              <w:t>900-052-31</w:t>
            </w:r>
            <w:r>
              <w:rPr>
                <w:rFonts w:ascii="Times New Roman" w:hAnsi="Times New Roman" w:eastAsia="Times New Roman" w:cs="Times New Roman"/>
                <w:spacing w:val="-31"/>
                <w:sz w:val="24"/>
                <w:szCs w:val="24"/>
              </w:rPr>
              <w:t xml:space="preserve"> </w:t>
            </w:r>
            <w:r>
              <w:rPr>
                <w:rFonts w:ascii="宋体" w:hAnsi="宋体" w:eastAsia="宋体" w:cs="宋体"/>
                <w:spacing w:val="-1"/>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highlight w:val="none"/>
                <w:lang w:eastAsia="zh-CN"/>
              </w:rPr>
            </w:pPr>
            <w:r>
              <w:rPr>
                <w:rFonts w:hint="eastAsia"/>
                <w:highlight w:val="none"/>
                <w:lang w:eastAsia="zh-CN"/>
              </w:rPr>
              <w:t>（</w:t>
            </w:r>
            <w:r>
              <w:rPr>
                <w:rFonts w:hint="eastAsia"/>
                <w:highlight w:val="none"/>
                <w:lang w:val="en-US" w:eastAsia="zh-CN"/>
              </w:rPr>
              <w:t>2</w:t>
            </w:r>
            <w:r>
              <w:rPr>
                <w:rFonts w:hint="eastAsia"/>
                <w:highlight w:val="none"/>
                <w:lang w:eastAsia="zh-CN"/>
              </w:rPr>
              <w:t>）废弃沾染物</w:t>
            </w:r>
          </w:p>
          <w:p>
            <w:pPr>
              <w:keepNext w:val="0"/>
              <w:keepLines w:val="0"/>
              <w:pageBreakBefore w:val="0"/>
              <w:widowControl w:val="0"/>
              <w:kinsoku/>
              <w:wordWrap/>
              <w:overflowPunct/>
              <w:topLinePunct w:val="0"/>
              <w:autoSpaceDE/>
              <w:autoSpaceDN/>
              <w:bidi w:val="0"/>
              <w:adjustRightInd/>
              <w:snapToGrid/>
              <w:spacing w:line="420" w:lineRule="exact"/>
              <w:ind w:left="0" w:right="0"/>
              <w:textAlignment w:val="auto"/>
              <w:rPr>
                <w:rFonts w:ascii="宋体" w:hAnsi="宋体" w:eastAsia="宋体" w:cs="宋体"/>
                <w:sz w:val="24"/>
                <w:szCs w:val="24"/>
              </w:rPr>
            </w:pPr>
            <w:r>
              <w:rPr>
                <w:rFonts w:ascii="宋体" w:hAnsi="宋体" w:eastAsia="宋体" w:cs="宋体"/>
                <w:spacing w:val="-7"/>
                <w:sz w:val="24"/>
                <w:szCs w:val="24"/>
              </w:rPr>
              <w:t>生产过程中</w:t>
            </w:r>
            <w:r>
              <w:rPr>
                <w:rFonts w:hint="eastAsia" w:ascii="宋体" w:hAnsi="宋体" w:eastAsia="宋体" w:cs="宋体"/>
                <w:spacing w:val="-7"/>
                <w:sz w:val="24"/>
                <w:szCs w:val="24"/>
                <w:lang w:eastAsia="zh-CN"/>
              </w:rPr>
              <w:t>将</w:t>
            </w:r>
            <w:r>
              <w:rPr>
                <w:rFonts w:ascii="宋体" w:hAnsi="宋体" w:eastAsia="宋体" w:cs="宋体"/>
                <w:spacing w:val="-7"/>
                <w:sz w:val="24"/>
                <w:szCs w:val="24"/>
              </w:rPr>
              <w:t>产生一定量的沾染废物，如废托盘、废收</w:t>
            </w:r>
            <w:r>
              <w:rPr>
                <w:rFonts w:ascii="宋体" w:hAnsi="宋体" w:eastAsia="宋体" w:cs="宋体"/>
                <w:spacing w:val="-4"/>
                <w:sz w:val="24"/>
                <w:szCs w:val="24"/>
              </w:rPr>
              <w:t>集桶、废抹布、废手套、废防护服等，产生量约为</w:t>
            </w:r>
            <w:r>
              <w:rPr>
                <w:rFonts w:ascii="Times New Roman" w:hAnsi="Times New Roman" w:eastAsia="Times New Roman" w:cs="Times New Roman"/>
                <w:spacing w:val="-4"/>
                <w:sz w:val="24"/>
                <w:szCs w:val="24"/>
              </w:rPr>
              <w:t>1.5t/a</w:t>
            </w:r>
            <w:r>
              <w:rPr>
                <w:rFonts w:ascii="Times New Roman" w:hAnsi="Times New Roman" w:eastAsia="Times New Roman" w:cs="Times New Roman"/>
                <w:spacing w:val="-28"/>
                <w:sz w:val="24"/>
                <w:szCs w:val="24"/>
              </w:rPr>
              <w:t xml:space="preserve"> </w:t>
            </w:r>
            <w:r>
              <w:rPr>
                <w:rFonts w:ascii="宋体" w:hAnsi="宋体" w:eastAsia="宋体" w:cs="宋体"/>
                <w:spacing w:val="-4"/>
                <w:sz w:val="24"/>
                <w:szCs w:val="24"/>
              </w:rPr>
              <w:t>。根据《国家危险废</w:t>
            </w:r>
            <w:r>
              <w:rPr>
                <w:rFonts w:ascii="宋体" w:hAnsi="宋体" w:eastAsia="宋体" w:cs="宋体"/>
                <w:spacing w:val="1"/>
                <w:sz w:val="24"/>
                <w:szCs w:val="24"/>
              </w:rPr>
              <w:t>物名录（</w:t>
            </w:r>
            <w:r>
              <w:rPr>
                <w:rFonts w:ascii="宋体" w:hAnsi="宋体" w:eastAsia="宋体" w:cs="宋体"/>
                <w:spacing w:val="-45"/>
                <w:sz w:val="24"/>
                <w:szCs w:val="24"/>
              </w:rPr>
              <w:t xml:space="preserve"> </w:t>
            </w:r>
            <w:r>
              <w:rPr>
                <w:rFonts w:ascii="Times New Roman" w:hAnsi="Times New Roman" w:eastAsia="Times New Roman" w:cs="Times New Roman"/>
                <w:spacing w:val="1"/>
                <w:sz w:val="24"/>
                <w:szCs w:val="24"/>
              </w:rPr>
              <w:t>2021</w:t>
            </w:r>
            <w:r>
              <w:rPr>
                <w:rFonts w:ascii="Times New Roman" w:hAnsi="Times New Roman" w:eastAsia="Times New Roman" w:cs="Times New Roman"/>
                <w:spacing w:val="29"/>
                <w:w w:val="101"/>
                <w:sz w:val="24"/>
                <w:szCs w:val="24"/>
              </w:rPr>
              <w:t xml:space="preserve"> </w:t>
            </w:r>
            <w:r>
              <w:rPr>
                <w:rFonts w:ascii="宋体" w:hAnsi="宋体" w:eastAsia="宋体" w:cs="宋体"/>
                <w:spacing w:val="1"/>
                <w:sz w:val="24"/>
                <w:szCs w:val="24"/>
              </w:rPr>
              <w:t>年版）》</w:t>
            </w:r>
            <w:r>
              <w:rPr>
                <w:rFonts w:ascii="宋体" w:hAnsi="宋体" w:eastAsia="宋体" w:cs="宋体"/>
                <w:spacing w:val="-72"/>
                <w:sz w:val="24"/>
                <w:szCs w:val="24"/>
              </w:rPr>
              <w:t xml:space="preserve"> </w:t>
            </w:r>
            <w:r>
              <w:rPr>
                <w:rFonts w:ascii="宋体" w:hAnsi="宋体" w:eastAsia="宋体" w:cs="宋体"/>
                <w:spacing w:val="1"/>
                <w:sz w:val="24"/>
                <w:szCs w:val="24"/>
              </w:rPr>
              <w:t>，</w:t>
            </w:r>
            <w:r>
              <w:rPr>
                <w:rFonts w:hint="eastAsia" w:ascii="宋体" w:hAnsi="宋体" w:eastAsia="宋体" w:cs="宋体"/>
                <w:spacing w:val="1"/>
                <w:sz w:val="24"/>
                <w:szCs w:val="24"/>
                <w:lang w:eastAsia="zh-CN"/>
              </w:rPr>
              <w:t>废弃沾染物</w:t>
            </w:r>
            <w:r>
              <w:rPr>
                <w:rFonts w:ascii="宋体" w:hAnsi="宋体" w:eastAsia="宋体" w:cs="宋体"/>
                <w:spacing w:val="1"/>
                <w:sz w:val="24"/>
                <w:szCs w:val="24"/>
              </w:rPr>
              <w:t>废物类别为</w:t>
            </w:r>
            <w:r>
              <w:rPr>
                <w:rFonts w:ascii="Times New Roman" w:hAnsi="Times New Roman" w:eastAsia="Times New Roman" w:cs="Times New Roman"/>
                <w:spacing w:val="1"/>
                <w:sz w:val="24"/>
                <w:szCs w:val="24"/>
              </w:rPr>
              <w:t>“HW49</w:t>
            </w:r>
            <w:r>
              <w:rPr>
                <w:rFonts w:ascii="宋体" w:hAnsi="宋体" w:eastAsia="宋体" w:cs="宋体"/>
                <w:spacing w:val="1"/>
                <w:sz w:val="24"/>
                <w:szCs w:val="24"/>
              </w:rPr>
              <w:t>其他废物</w:t>
            </w:r>
            <w:r>
              <w:rPr>
                <w:rFonts w:ascii="Times New Roman" w:hAnsi="Times New Roman" w:eastAsia="Times New Roman" w:cs="Times New Roman"/>
                <w:spacing w:val="1"/>
                <w:sz w:val="24"/>
                <w:szCs w:val="24"/>
              </w:rPr>
              <w:t>”</w:t>
            </w:r>
            <w:r>
              <w:rPr>
                <w:rFonts w:ascii="Times New Roman" w:hAnsi="Times New Roman" w:eastAsia="Times New Roman" w:cs="Times New Roman"/>
                <w:spacing w:val="-13"/>
                <w:sz w:val="24"/>
                <w:szCs w:val="24"/>
              </w:rPr>
              <w:t xml:space="preserve"> </w:t>
            </w:r>
            <w:r>
              <w:rPr>
                <w:rFonts w:ascii="宋体" w:hAnsi="宋体" w:eastAsia="宋体" w:cs="宋体"/>
                <w:spacing w:val="1"/>
                <w:sz w:val="24"/>
                <w:szCs w:val="24"/>
              </w:rPr>
              <w:t>，废物代码为：</w:t>
            </w:r>
            <w:r>
              <w:rPr>
                <w:rFonts w:ascii="Times New Roman" w:hAnsi="Times New Roman" w:eastAsia="Times New Roman" w:cs="Times New Roman"/>
                <w:spacing w:val="-3"/>
                <w:sz w:val="24"/>
                <w:szCs w:val="24"/>
              </w:rPr>
              <w:t>900-041-49</w:t>
            </w:r>
            <w:r>
              <w:rPr>
                <w:rFonts w:hint="eastAsia" w:ascii="Times New Roman" w:hAnsi="Times New Roman" w:eastAsia="宋体" w:cs="Times New Roman"/>
                <w:spacing w:val="-3"/>
                <w:sz w:val="24"/>
                <w:szCs w:val="24"/>
                <w:lang w:eastAsia="zh-CN"/>
              </w:rPr>
              <w:t>。废物产生后由专用容器收集并暂存于公司现有危废仓库，</w:t>
            </w:r>
            <w:r>
              <w:rPr>
                <w:rFonts w:ascii="宋体" w:hAnsi="宋体" w:eastAsia="宋体" w:cs="宋体"/>
                <w:spacing w:val="-1"/>
                <w:sz w:val="24"/>
                <w:szCs w:val="24"/>
              </w:rPr>
              <w:t>定期交由有资质单位</w:t>
            </w:r>
            <w:r>
              <w:rPr>
                <w:rFonts w:hint="eastAsia" w:ascii="宋体" w:hAnsi="宋体" w:eastAsia="宋体" w:cs="宋体"/>
                <w:spacing w:val="-1"/>
                <w:sz w:val="24"/>
                <w:szCs w:val="24"/>
                <w:lang w:eastAsia="zh-CN"/>
              </w:rPr>
              <w:t>统一</w:t>
            </w:r>
            <w:r>
              <w:rPr>
                <w:rFonts w:ascii="宋体" w:hAnsi="宋体" w:eastAsia="宋体" w:cs="宋体"/>
                <w:spacing w:val="-1"/>
                <w:sz w:val="24"/>
                <w:szCs w:val="24"/>
              </w:rPr>
              <w:t>处置。</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highlight w:val="none"/>
                <w:lang w:eastAsia="zh-CN"/>
              </w:rPr>
            </w:pPr>
            <w:r>
              <w:rPr>
                <w:rFonts w:hint="eastAsia"/>
                <w:highlight w:val="none"/>
                <w:lang w:eastAsia="zh-CN"/>
              </w:rPr>
              <w:t>（</w:t>
            </w:r>
            <w:r>
              <w:rPr>
                <w:rFonts w:hint="eastAsia"/>
                <w:highlight w:val="none"/>
                <w:lang w:val="en-US" w:eastAsia="zh-CN"/>
              </w:rPr>
              <w:t>3</w:t>
            </w:r>
            <w:r>
              <w:rPr>
                <w:rFonts w:hint="eastAsia"/>
                <w:highlight w:val="none"/>
                <w:lang w:eastAsia="zh-CN"/>
              </w:rPr>
              <w:t>）酸雾吸收塔废吸收液</w:t>
            </w:r>
          </w:p>
          <w:p>
            <w:pPr>
              <w:keepNext w:val="0"/>
              <w:keepLines w:val="0"/>
              <w:pageBreakBefore w:val="0"/>
              <w:widowControl w:val="0"/>
              <w:kinsoku/>
              <w:wordWrap/>
              <w:overflowPunct/>
              <w:topLinePunct w:val="0"/>
              <w:autoSpaceDE/>
              <w:autoSpaceDN/>
              <w:bidi w:val="0"/>
              <w:adjustRightInd/>
              <w:snapToGrid/>
              <w:spacing w:line="420" w:lineRule="exact"/>
              <w:ind w:firstLine="480"/>
              <w:textAlignment w:val="auto"/>
              <w:rPr>
                <w:rFonts w:hint="eastAsia"/>
                <w:highlight w:val="none"/>
                <w:lang w:eastAsia="zh-CN"/>
              </w:rPr>
            </w:pPr>
            <w:r>
              <w:rPr>
                <w:rFonts w:ascii="宋体" w:hAnsi="宋体" w:eastAsia="宋体" w:cs="宋体"/>
                <w:spacing w:val="-7"/>
                <w:sz w:val="24"/>
                <w:szCs w:val="24"/>
              </w:rPr>
              <w:t>为了保证</w:t>
            </w:r>
            <w:r>
              <w:rPr>
                <w:rFonts w:hint="eastAsia" w:ascii="宋体" w:hAnsi="宋体" w:eastAsia="宋体" w:cs="宋体"/>
                <w:spacing w:val="-7"/>
                <w:sz w:val="24"/>
                <w:szCs w:val="24"/>
                <w:lang w:eastAsia="zh-CN"/>
              </w:rPr>
              <w:t>酸雾</w:t>
            </w:r>
            <w:r>
              <w:rPr>
                <w:rFonts w:ascii="宋体" w:hAnsi="宋体" w:eastAsia="宋体" w:cs="宋体"/>
                <w:spacing w:val="-7"/>
                <w:sz w:val="24"/>
                <w:szCs w:val="24"/>
              </w:rPr>
              <w:t>吸收效</w:t>
            </w:r>
            <w:r>
              <w:rPr>
                <w:rFonts w:ascii="宋体" w:hAnsi="宋体" w:eastAsia="宋体" w:cs="宋体"/>
                <w:spacing w:val="1"/>
                <w:sz w:val="24"/>
                <w:szCs w:val="24"/>
              </w:rPr>
              <w:t>果</w:t>
            </w:r>
            <w:r>
              <w:rPr>
                <w:rFonts w:hint="eastAsia" w:ascii="宋体" w:hAnsi="宋体" w:eastAsia="宋体" w:cs="宋体"/>
                <w:spacing w:val="1"/>
                <w:sz w:val="24"/>
                <w:szCs w:val="24"/>
                <w:lang w:eastAsia="zh-CN"/>
              </w:rPr>
              <w:t>，</w:t>
            </w:r>
            <w:r>
              <w:rPr>
                <w:rFonts w:ascii="宋体" w:hAnsi="宋体" w:eastAsia="宋体" w:cs="宋体"/>
                <w:spacing w:val="-7"/>
                <w:sz w:val="24"/>
                <w:szCs w:val="24"/>
              </w:rPr>
              <w:t>防止酸雾吸收</w:t>
            </w:r>
            <w:r>
              <w:rPr>
                <w:rFonts w:hint="eastAsia" w:ascii="宋体" w:hAnsi="宋体" w:eastAsia="宋体" w:cs="宋体"/>
                <w:spacing w:val="-7"/>
                <w:sz w:val="24"/>
                <w:szCs w:val="24"/>
                <w:lang w:eastAsia="zh-CN"/>
              </w:rPr>
              <w:t>塔</w:t>
            </w:r>
            <w:r>
              <w:rPr>
                <w:rFonts w:ascii="宋体" w:hAnsi="宋体" w:eastAsia="宋体" w:cs="宋体"/>
                <w:spacing w:val="-7"/>
                <w:sz w:val="24"/>
                <w:szCs w:val="24"/>
              </w:rPr>
              <w:t>的管道堵塞，</w:t>
            </w:r>
            <w:r>
              <w:rPr>
                <w:rFonts w:ascii="宋体" w:hAnsi="宋体" w:eastAsia="宋体" w:cs="宋体"/>
                <w:spacing w:val="1"/>
                <w:sz w:val="24"/>
                <w:szCs w:val="24"/>
              </w:rPr>
              <w:t>酸雾吸收</w:t>
            </w:r>
            <w:r>
              <w:rPr>
                <w:rFonts w:hint="eastAsia" w:ascii="宋体" w:hAnsi="宋体" w:eastAsia="宋体" w:cs="宋体"/>
                <w:spacing w:val="1"/>
                <w:sz w:val="24"/>
                <w:szCs w:val="24"/>
                <w:lang w:eastAsia="zh-CN"/>
              </w:rPr>
              <w:t>塔</w:t>
            </w:r>
            <w:r>
              <w:rPr>
                <w:rFonts w:ascii="宋体" w:hAnsi="宋体" w:eastAsia="宋体" w:cs="宋体"/>
                <w:spacing w:val="1"/>
                <w:sz w:val="24"/>
                <w:szCs w:val="24"/>
              </w:rPr>
              <w:t>吸收液半年更换一次，</w:t>
            </w:r>
            <w:r>
              <w:rPr>
                <w:rFonts w:hint="eastAsia" w:ascii="宋体" w:hAnsi="宋体" w:eastAsia="宋体" w:cs="宋体"/>
                <w:spacing w:val="1"/>
                <w:sz w:val="24"/>
                <w:szCs w:val="24"/>
                <w:lang w:eastAsia="zh-CN"/>
              </w:rPr>
              <w:t>碱液循环水箱</w:t>
            </w:r>
            <w:r>
              <w:rPr>
                <w:rFonts w:ascii="宋体" w:hAnsi="宋体" w:eastAsia="宋体" w:cs="宋体"/>
                <w:spacing w:val="1"/>
                <w:sz w:val="24"/>
                <w:szCs w:val="24"/>
              </w:rPr>
              <w:t>容积约为</w:t>
            </w:r>
            <w:r>
              <w:rPr>
                <w:rFonts w:ascii="Times New Roman" w:hAnsi="Times New Roman" w:eastAsia="Times New Roman" w:cs="Times New Roman"/>
                <w:spacing w:val="1"/>
                <w:sz w:val="24"/>
                <w:szCs w:val="24"/>
              </w:rPr>
              <w:t>1m</w:t>
            </w:r>
            <w:r>
              <w:rPr>
                <w:rFonts w:ascii="Times New Roman" w:hAnsi="Times New Roman" w:eastAsia="Times New Roman" w:cs="Times New Roman"/>
                <w:spacing w:val="1"/>
                <w:position w:val="8"/>
                <w:sz w:val="16"/>
                <w:szCs w:val="16"/>
              </w:rPr>
              <w:t>3</w:t>
            </w:r>
            <w:r>
              <w:rPr>
                <w:rFonts w:ascii="Times New Roman" w:hAnsi="Times New Roman" w:eastAsia="Times New Roman" w:cs="Times New Roman"/>
                <w:spacing w:val="-8"/>
                <w:position w:val="8"/>
                <w:sz w:val="16"/>
                <w:szCs w:val="16"/>
              </w:rPr>
              <w:t xml:space="preserve"> </w:t>
            </w:r>
            <w:r>
              <w:rPr>
                <w:rFonts w:ascii="宋体" w:hAnsi="宋体" w:eastAsia="宋体" w:cs="宋体"/>
                <w:spacing w:val="1"/>
                <w:sz w:val="24"/>
                <w:szCs w:val="24"/>
              </w:rPr>
              <w:t>，</w:t>
            </w:r>
            <w:r>
              <w:rPr>
                <w:rFonts w:ascii="宋体" w:hAnsi="宋体" w:eastAsia="宋体" w:cs="宋体"/>
                <w:sz w:val="24"/>
                <w:szCs w:val="24"/>
              </w:rPr>
              <w:t xml:space="preserve"> </w:t>
            </w:r>
            <w:r>
              <w:rPr>
                <w:rFonts w:ascii="宋体" w:hAnsi="宋体" w:eastAsia="宋体" w:cs="宋体"/>
                <w:spacing w:val="-4"/>
                <w:sz w:val="24"/>
                <w:szCs w:val="24"/>
              </w:rPr>
              <w:t>则废</w:t>
            </w:r>
            <w:r>
              <w:rPr>
                <w:rFonts w:hint="eastAsia" w:ascii="宋体" w:hAnsi="宋体" w:eastAsia="宋体" w:cs="宋体"/>
                <w:spacing w:val="-4"/>
                <w:sz w:val="24"/>
                <w:szCs w:val="24"/>
                <w:lang w:eastAsia="zh-CN"/>
              </w:rPr>
              <w:t>吸收液</w:t>
            </w:r>
            <w:r>
              <w:rPr>
                <w:rFonts w:ascii="宋体" w:hAnsi="宋体" w:eastAsia="宋体" w:cs="宋体"/>
                <w:spacing w:val="-4"/>
                <w:sz w:val="24"/>
                <w:szCs w:val="24"/>
              </w:rPr>
              <w:t>的产生量为</w:t>
            </w:r>
            <w:r>
              <w:rPr>
                <w:rFonts w:ascii="宋体" w:hAnsi="宋体" w:eastAsia="宋体" w:cs="宋体"/>
                <w:spacing w:val="-43"/>
                <w:sz w:val="24"/>
                <w:szCs w:val="24"/>
              </w:rPr>
              <w:t xml:space="preserve"> </w:t>
            </w:r>
            <w:r>
              <w:rPr>
                <w:rFonts w:ascii="Times New Roman" w:hAnsi="Times New Roman" w:eastAsia="Times New Roman" w:cs="Times New Roman"/>
                <w:spacing w:val="-4"/>
                <w:sz w:val="24"/>
                <w:szCs w:val="24"/>
              </w:rPr>
              <w:t>2t/a</w:t>
            </w:r>
            <w:r>
              <w:rPr>
                <w:rFonts w:ascii="宋体" w:hAnsi="宋体" w:eastAsia="宋体" w:cs="宋体"/>
                <w:spacing w:val="-4"/>
                <w:sz w:val="24"/>
                <w:szCs w:val="24"/>
              </w:rPr>
              <w:t>。根据《国家危险废物名录（</w:t>
            </w:r>
            <w:r>
              <w:rPr>
                <w:rFonts w:ascii="Times New Roman" w:hAnsi="Times New Roman" w:eastAsia="Times New Roman" w:cs="Times New Roman"/>
                <w:spacing w:val="-4"/>
                <w:sz w:val="24"/>
                <w:szCs w:val="24"/>
              </w:rPr>
              <w:t>2021</w:t>
            </w:r>
            <w:r>
              <w:rPr>
                <w:rFonts w:ascii="Times New Roman" w:hAnsi="Times New Roman" w:eastAsia="Times New Roman" w:cs="Times New Roman"/>
                <w:spacing w:val="10"/>
                <w:w w:val="101"/>
                <w:sz w:val="24"/>
                <w:szCs w:val="24"/>
              </w:rPr>
              <w:t xml:space="preserve"> </w:t>
            </w:r>
            <w:r>
              <w:rPr>
                <w:rFonts w:ascii="宋体" w:hAnsi="宋体" w:eastAsia="宋体" w:cs="宋体"/>
                <w:spacing w:val="-4"/>
                <w:sz w:val="24"/>
                <w:szCs w:val="24"/>
              </w:rPr>
              <w:t>年版）》，</w:t>
            </w:r>
            <w:r>
              <w:rPr>
                <w:rFonts w:hint="eastAsia" w:ascii="宋体" w:hAnsi="宋体" w:eastAsia="宋体" w:cs="宋体"/>
                <w:spacing w:val="-4"/>
                <w:sz w:val="24"/>
                <w:szCs w:val="24"/>
                <w:lang w:eastAsia="zh-CN"/>
              </w:rPr>
              <w:t>废吸收液</w:t>
            </w:r>
            <w:r>
              <w:rPr>
                <w:rFonts w:ascii="宋体" w:hAnsi="宋体" w:eastAsia="宋体" w:cs="宋体"/>
                <w:spacing w:val="-4"/>
                <w:sz w:val="24"/>
                <w:szCs w:val="24"/>
              </w:rPr>
              <w:t>废物</w:t>
            </w:r>
            <w:r>
              <w:rPr>
                <w:rFonts w:ascii="宋体" w:hAnsi="宋体" w:eastAsia="宋体" w:cs="宋体"/>
                <w:spacing w:val="-7"/>
                <w:sz w:val="24"/>
                <w:szCs w:val="24"/>
              </w:rPr>
              <w:t>类别为</w:t>
            </w:r>
            <w:r>
              <w:rPr>
                <w:rFonts w:ascii="Times New Roman" w:hAnsi="Times New Roman" w:eastAsia="Times New Roman" w:cs="Times New Roman"/>
                <w:spacing w:val="-7"/>
                <w:sz w:val="24"/>
                <w:szCs w:val="24"/>
              </w:rPr>
              <w:t>“HW35</w:t>
            </w:r>
            <w:r>
              <w:rPr>
                <w:rFonts w:ascii="宋体" w:hAnsi="宋体" w:eastAsia="宋体" w:cs="宋体"/>
                <w:spacing w:val="-7"/>
                <w:sz w:val="24"/>
                <w:szCs w:val="24"/>
              </w:rPr>
              <w:t>废碱</w:t>
            </w:r>
            <w:r>
              <w:rPr>
                <w:rFonts w:ascii="Times New Roman" w:hAnsi="Times New Roman" w:eastAsia="Times New Roman" w:cs="Times New Roman"/>
                <w:spacing w:val="-7"/>
                <w:sz w:val="24"/>
                <w:szCs w:val="24"/>
              </w:rPr>
              <w:t>”</w:t>
            </w:r>
            <w:r>
              <w:rPr>
                <w:rFonts w:ascii="宋体" w:hAnsi="宋体" w:eastAsia="宋体" w:cs="宋体"/>
                <w:spacing w:val="-7"/>
                <w:sz w:val="24"/>
                <w:szCs w:val="24"/>
              </w:rPr>
              <w:t>，废物代码为：</w:t>
            </w:r>
            <w:r>
              <w:rPr>
                <w:rFonts w:ascii="Times New Roman" w:hAnsi="Times New Roman" w:eastAsia="Times New Roman" w:cs="Times New Roman"/>
                <w:spacing w:val="-7"/>
                <w:sz w:val="24"/>
                <w:szCs w:val="24"/>
              </w:rPr>
              <w:t>900-399-35</w:t>
            </w:r>
            <w:r>
              <w:rPr>
                <w:rFonts w:ascii="宋体" w:hAnsi="宋体" w:eastAsia="宋体" w:cs="宋体"/>
                <w:spacing w:val="-3"/>
                <w:sz w:val="24"/>
                <w:szCs w:val="24"/>
              </w:rPr>
              <w:t>。废</w:t>
            </w:r>
            <w:r>
              <w:rPr>
                <w:rFonts w:hint="eastAsia" w:ascii="宋体" w:hAnsi="宋体" w:eastAsia="宋体" w:cs="宋体"/>
                <w:spacing w:val="-3"/>
                <w:sz w:val="24"/>
                <w:szCs w:val="24"/>
                <w:lang w:eastAsia="zh-CN"/>
              </w:rPr>
              <w:t>吸收液由</w:t>
            </w:r>
            <w:r>
              <w:rPr>
                <w:rFonts w:ascii="宋体" w:hAnsi="宋体" w:eastAsia="宋体" w:cs="宋体"/>
                <w:spacing w:val="-3"/>
                <w:sz w:val="24"/>
                <w:szCs w:val="24"/>
              </w:rPr>
              <w:t>带盖密闭</w:t>
            </w:r>
            <w:r>
              <w:rPr>
                <w:rFonts w:hint="eastAsia" w:ascii="宋体" w:hAnsi="宋体" w:eastAsia="宋体" w:cs="宋体"/>
                <w:spacing w:val="-3"/>
                <w:sz w:val="24"/>
                <w:szCs w:val="24"/>
                <w:lang w:eastAsia="zh-CN"/>
              </w:rPr>
              <w:t>收集</w:t>
            </w:r>
            <w:r>
              <w:rPr>
                <w:rFonts w:ascii="宋体" w:hAnsi="宋体" w:eastAsia="宋体" w:cs="宋体"/>
                <w:spacing w:val="-3"/>
                <w:sz w:val="24"/>
                <w:szCs w:val="24"/>
              </w:rPr>
              <w:t>桶</w:t>
            </w:r>
            <w:r>
              <w:rPr>
                <w:rFonts w:ascii="宋体" w:hAnsi="宋体" w:eastAsia="宋体" w:cs="宋体"/>
                <w:spacing w:val="-7"/>
                <w:sz w:val="24"/>
                <w:szCs w:val="24"/>
              </w:rPr>
              <w:t>收集</w:t>
            </w:r>
            <w:r>
              <w:rPr>
                <w:rFonts w:hint="eastAsia" w:ascii="宋体" w:hAnsi="宋体" w:eastAsia="宋体" w:cs="宋体"/>
                <w:spacing w:val="-7"/>
                <w:sz w:val="24"/>
                <w:szCs w:val="24"/>
                <w:lang w:eastAsia="zh-CN"/>
              </w:rPr>
              <w:t>并暂存于公司现有危险废物仓库</w:t>
            </w:r>
            <w:r>
              <w:rPr>
                <w:rFonts w:ascii="宋体" w:hAnsi="宋体" w:eastAsia="宋体" w:cs="宋体"/>
                <w:spacing w:val="-7"/>
                <w:sz w:val="24"/>
                <w:szCs w:val="24"/>
              </w:rPr>
              <w:t>，定期交由有资质单位</w:t>
            </w:r>
            <w:r>
              <w:rPr>
                <w:rFonts w:hint="eastAsia" w:ascii="宋体" w:hAnsi="宋体" w:eastAsia="宋体" w:cs="宋体"/>
                <w:spacing w:val="-7"/>
                <w:sz w:val="24"/>
                <w:szCs w:val="24"/>
                <w:lang w:eastAsia="zh-CN"/>
              </w:rPr>
              <w:t>统一</w:t>
            </w:r>
            <w:r>
              <w:rPr>
                <w:rFonts w:ascii="宋体" w:hAnsi="宋体" w:eastAsia="宋体" w:cs="宋体"/>
                <w:spacing w:val="-7"/>
                <w:sz w:val="24"/>
                <w:szCs w:val="24"/>
              </w:rPr>
              <w:t>处置。</w:t>
            </w:r>
          </w:p>
          <w:p>
            <w:pPr>
              <w:pStyle w:val="13"/>
              <w:keepNext w:val="0"/>
              <w:keepLines w:val="0"/>
              <w:pageBreakBefore w:val="0"/>
              <w:widowControl w:val="0"/>
              <w:kinsoku/>
              <w:wordWrap/>
              <w:overflowPunct/>
              <w:topLinePunct w:val="0"/>
              <w:autoSpaceDE/>
              <w:autoSpaceDN/>
              <w:bidi w:val="0"/>
              <w:adjustRightInd/>
              <w:snapToGrid/>
              <w:spacing w:before="0" w:after="0" w:line="240" w:lineRule="auto"/>
              <w:ind w:left="0" w:leftChars="0" w:right="0" w:firstLine="0" w:firstLineChars="0"/>
              <w:jc w:val="center"/>
              <w:textAlignment w:val="auto"/>
              <w:rPr>
                <w:rFonts w:hint="eastAsia" w:ascii="黑体" w:hAnsi="黑体" w:eastAsia="黑体" w:cs="黑体"/>
                <w:kern w:val="2"/>
                <w:sz w:val="24"/>
                <w:szCs w:val="24"/>
                <w:lang w:eastAsia="zh-CN"/>
              </w:rPr>
            </w:pPr>
            <w:r>
              <w:rPr>
                <w:rFonts w:hint="eastAsia" w:ascii="黑体" w:hAnsi="黑体" w:eastAsia="黑体" w:cs="黑体"/>
                <w:kern w:val="2"/>
                <w:sz w:val="24"/>
                <w:szCs w:val="24"/>
                <w:lang w:eastAsia="zh-CN"/>
              </w:rPr>
              <w:t>本项目新增危险废物汇总表</w:t>
            </w:r>
          </w:p>
          <w:tbl>
            <w:tblPr>
              <w:tblStyle w:val="15"/>
              <w:tblW w:w="8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6"/>
              <w:gridCol w:w="781"/>
              <w:gridCol w:w="638"/>
              <w:gridCol w:w="734"/>
              <w:gridCol w:w="686"/>
              <w:gridCol w:w="888"/>
              <w:gridCol w:w="389"/>
              <w:gridCol w:w="792"/>
              <w:gridCol w:w="798"/>
              <w:gridCol w:w="654"/>
              <w:gridCol w:w="644"/>
              <w:gridCol w:w="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2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序号</w:t>
                  </w:r>
                </w:p>
              </w:tc>
              <w:tc>
                <w:tcPr>
                  <w:tcW w:w="7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危险废物名称</w:t>
                  </w:r>
                </w:p>
              </w:tc>
              <w:tc>
                <w:tcPr>
                  <w:tcW w:w="63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危险废物类别</w:t>
                  </w:r>
                </w:p>
              </w:tc>
              <w:tc>
                <w:tcPr>
                  <w:tcW w:w="73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危险废物代码</w:t>
                  </w:r>
                </w:p>
              </w:tc>
              <w:tc>
                <w:tcPr>
                  <w:tcW w:w="68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eastAsia="zh-CN"/>
                    </w:rPr>
                    <w:t>产生量</w:t>
                  </w:r>
                  <w:r>
                    <w:rPr>
                      <w:rFonts w:hint="default" w:ascii="Times New Roman" w:hAnsi="Times New Roman" w:eastAsia="宋体" w:cs="Times New Roman"/>
                      <w:kern w:val="2"/>
                      <w:sz w:val="21"/>
                      <w:szCs w:val="21"/>
                      <w:lang w:val="en-US" w:eastAsia="zh-CN"/>
                    </w:rPr>
                    <w:t>(t/a)</w:t>
                  </w:r>
                </w:p>
              </w:tc>
              <w:tc>
                <w:tcPr>
                  <w:tcW w:w="88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产生工序及装置</w:t>
                  </w:r>
                </w:p>
              </w:tc>
              <w:tc>
                <w:tcPr>
                  <w:tcW w:w="389"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形态</w:t>
                  </w:r>
                </w:p>
              </w:tc>
              <w:tc>
                <w:tcPr>
                  <w:tcW w:w="79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主要成分</w:t>
                  </w:r>
                </w:p>
              </w:tc>
              <w:tc>
                <w:tcPr>
                  <w:tcW w:w="79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有害成分</w:t>
                  </w:r>
                </w:p>
              </w:tc>
              <w:tc>
                <w:tcPr>
                  <w:tcW w:w="65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产废</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周期</w:t>
                  </w:r>
                </w:p>
              </w:tc>
              <w:tc>
                <w:tcPr>
                  <w:tcW w:w="64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lang w:eastAsia="zh-CN"/>
                    </w:rPr>
                  </w:pPr>
                  <w:r>
                    <w:rPr>
                      <w:rFonts w:hint="default" w:ascii="Times New Roman" w:hAnsi="Times New Roman" w:eastAsia="宋体" w:cs="Times New Roman"/>
                      <w:kern w:val="2"/>
                      <w:sz w:val="21"/>
                      <w:szCs w:val="21"/>
                      <w:lang w:eastAsia="zh-CN"/>
                    </w:rPr>
                    <w:t>危险</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特性</w:t>
                  </w:r>
                </w:p>
              </w:tc>
              <w:tc>
                <w:tcPr>
                  <w:tcW w:w="71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污染</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防治</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32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1</w:t>
                  </w:r>
                </w:p>
              </w:tc>
              <w:tc>
                <w:tcPr>
                  <w:tcW w:w="7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电解液</w:t>
                  </w:r>
                </w:p>
              </w:tc>
              <w:tc>
                <w:tcPr>
                  <w:tcW w:w="63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HW</w:t>
                  </w:r>
                  <w:r>
                    <w:rPr>
                      <w:rFonts w:hint="eastAsia" w:ascii="Times New Roman" w:hAnsi="Times New Roman" w:eastAsia="宋体" w:cs="Times New Roman"/>
                      <w:kern w:val="2"/>
                      <w:sz w:val="21"/>
                      <w:szCs w:val="21"/>
                      <w:lang w:val="en-US" w:eastAsia="zh-CN"/>
                    </w:rPr>
                    <w:t>31</w:t>
                  </w:r>
                </w:p>
              </w:tc>
              <w:tc>
                <w:tcPr>
                  <w:tcW w:w="73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900-052-31</w:t>
                  </w:r>
                </w:p>
              </w:tc>
              <w:tc>
                <w:tcPr>
                  <w:tcW w:w="68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3.5</w:t>
                  </w:r>
                </w:p>
              </w:tc>
              <w:tc>
                <w:tcPr>
                  <w:tcW w:w="88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废铅蓄电池破损</w:t>
                  </w:r>
                </w:p>
              </w:tc>
              <w:tc>
                <w:tcPr>
                  <w:tcW w:w="389"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液态</w:t>
                  </w:r>
                </w:p>
              </w:tc>
              <w:tc>
                <w:tcPr>
                  <w:tcW w:w="79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电解液</w:t>
                  </w:r>
                </w:p>
              </w:tc>
              <w:tc>
                <w:tcPr>
                  <w:tcW w:w="79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硫酸、铅</w:t>
                  </w:r>
                </w:p>
              </w:tc>
              <w:tc>
                <w:tcPr>
                  <w:tcW w:w="65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w:t>
                  </w:r>
                </w:p>
              </w:tc>
              <w:tc>
                <w:tcPr>
                  <w:tcW w:w="64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val="en-US" w:eastAsia="zh-CN"/>
                    </w:rPr>
                    <w:t>T</w:t>
                  </w:r>
                </w:p>
              </w:tc>
              <w:tc>
                <w:tcPr>
                  <w:tcW w:w="714" w:type="dxa"/>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由专用容器收集后暂存于公司现有危废仓库，定期交有资质单位统一处置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32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2</w:t>
                  </w:r>
                </w:p>
              </w:tc>
              <w:tc>
                <w:tcPr>
                  <w:tcW w:w="7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废弃沾染物</w:t>
                  </w:r>
                </w:p>
              </w:tc>
              <w:tc>
                <w:tcPr>
                  <w:tcW w:w="63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HW49</w:t>
                  </w:r>
                </w:p>
              </w:tc>
              <w:tc>
                <w:tcPr>
                  <w:tcW w:w="73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900-041-49</w:t>
                  </w:r>
                </w:p>
              </w:tc>
              <w:tc>
                <w:tcPr>
                  <w:tcW w:w="68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1.5</w:t>
                  </w:r>
                </w:p>
              </w:tc>
              <w:tc>
                <w:tcPr>
                  <w:tcW w:w="88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生产</w:t>
                  </w:r>
                </w:p>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过程</w:t>
                  </w:r>
                </w:p>
              </w:tc>
              <w:tc>
                <w:tcPr>
                  <w:tcW w:w="389"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固态</w:t>
                  </w:r>
                </w:p>
              </w:tc>
              <w:tc>
                <w:tcPr>
                  <w:tcW w:w="79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电解液</w:t>
                  </w:r>
                </w:p>
              </w:tc>
              <w:tc>
                <w:tcPr>
                  <w:tcW w:w="79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硫酸、铅</w:t>
                  </w:r>
                </w:p>
              </w:tc>
              <w:tc>
                <w:tcPr>
                  <w:tcW w:w="65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w:t>
                  </w:r>
                </w:p>
              </w:tc>
              <w:tc>
                <w:tcPr>
                  <w:tcW w:w="64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default" w:ascii="Times New Roman" w:hAnsi="Times New Roman" w:eastAsia="宋体" w:cs="Times New Roman"/>
                      <w:kern w:val="2"/>
                      <w:sz w:val="21"/>
                      <w:szCs w:val="21"/>
                      <w:lang w:val="en-US" w:eastAsia="zh-CN"/>
                    </w:rPr>
                    <w:t>T/In</w:t>
                  </w:r>
                </w:p>
              </w:tc>
              <w:tc>
                <w:tcPr>
                  <w:tcW w:w="714"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jc w:val="center"/>
              </w:trPr>
              <w:tc>
                <w:tcPr>
                  <w:tcW w:w="32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3</w:t>
                  </w:r>
                </w:p>
              </w:tc>
              <w:tc>
                <w:tcPr>
                  <w:tcW w:w="7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废吸收液</w:t>
                  </w:r>
                </w:p>
              </w:tc>
              <w:tc>
                <w:tcPr>
                  <w:tcW w:w="63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HW35</w:t>
                  </w:r>
                </w:p>
              </w:tc>
              <w:tc>
                <w:tcPr>
                  <w:tcW w:w="73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900-399-35</w:t>
                  </w:r>
                </w:p>
              </w:tc>
              <w:tc>
                <w:tcPr>
                  <w:tcW w:w="686"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2</w:t>
                  </w:r>
                </w:p>
              </w:tc>
              <w:tc>
                <w:tcPr>
                  <w:tcW w:w="88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酸雾吸收塔</w:t>
                  </w:r>
                </w:p>
              </w:tc>
              <w:tc>
                <w:tcPr>
                  <w:tcW w:w="389"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液态</w:t>
                  </w:r>
                </w:p>
              </w:tc>
              <w:tc>
                <w:tcPr>
                  <w:tcW w:w="79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氢氧化钠、硫酸钠溶液</w:t>
                  </w:r>
                </w:p>
              </w:tc>
              <w:tc>
                <w:tcPr>
                  <w:tcW w:w="79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氢氧化钠</w:t>
                  </w:r>
                </w:p>
              </w:tc>
              <w:tc>
                <w:tcPr>
                  <w:tcW w:w="65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半年</w:t>
                  </w:r>
                </w:p>
              </w:tc>
              <w:tc>
                <w:tcPr>
                  <w:tcW w:w="644"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C</w:t>
                  </w:r>
                </w:p>
              </w:tc>
              <w:tc>
                <w:tcPr>
                  <w:tcW w:w="714"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p>
              </w:tc>
            </w:tr>
          </w:tbl>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b w:val="0"/>
                <w:bCs w:val="0"/>
                <w:sz w:val="24"/>
                <w:szCs w:val="22"/>
                <w:lang w:val="en-US" w:eastAsia="zh-CN"/>
              </w:rPr>
            </w:pPr>
            <w:r>
              <w:rPr>
                <w:rFonts w:hint="eastAsia"/>
                <w:b w:val="0"/>
                <w:bCs w:val="0"/>
                <w:sz w:val="24"/>
                <w:szCs w:val="22"/>
                <w:lang w:val="en-US" w:eastAsia="zh-CN"/>
              </w:rPr>
              <w:t>3.2、危险废物环境影响分析</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default"/>
                <w:b w:val="0"/>
                <w:bCs w:val="0"/>
                <w:sz w:val="24"/>
                <w:szCs w:val="22"/>
                <w:lang w:val="en-US" w:eastAsia="zh-CN"/>
              </w:rPr>
            </w:pPr>
            <w:r>
              <w:rPr>
                <w:rFonts w:hint="eastAsia"/>
                <w:b w:val="0"/>
                <w:bCs w:val="0"/>
                <w:sz w:val="24"/>
                <w:szCs w:val="22"/>
                <w:lang w:val="en-US" w:eastAsia="zh-CN"/>
              </w:rPr>
              <w:t>3.2.1</w:t>
            </w:r>
            <w:r>
              <w:rPr>
                <w:rFonts w:hint="default"/>
                <w:b w:val="0"/>
                <w:bCs w:val="0"/>
                <w:sz w:val="24"/>
                <w:szCs w:val="22"/>
                <w:lang w:val="en-US" w:eastAsia="zh-CN"/>
              </w:rPr>
              <w:t>危险废物贮存场所选址的可行性及贮存能力分析</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eastAsia"/>
                <w:sz w:val="24"/>
                <w:szCs w:val="22"/>
                <w:lang w:val="en-US" w:eastAsia="zh-CN"/>
              </w:rPr>
            </w:pPr>
            <w:r>
              <w:rPr>
                <w:rFonts w:hint="eastAsia"/>
                <w:sz w:val="24"/>
                <w:szCs w:val="22"/>
                <w:lang w:val="en-US" w:eastAsia="zh-CN"/>
              </w:rPr>
              <w:t>a、危险暂存间选址可行性分析</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rFonts w:hint="default"/>
                <w:sz w:val="24"/>
                <w:szCs w:val="22"/>
                <w:highlight w:val="none"/>
                <w:lang w:val="en-US" w:eastAsia="zh-CN"/>
              </w:rPr>
            </w:pPr>
            <w:r>
              <w:rPr>
                <w:rFonts w:hint="eastAsia"/>
                <w:sz w:val="24"/>
                <w:szCs w:val="22"/>
                <w:highlight w:val="none"/>
                <w:lang w:val="en-US" w:eastAsia="zh-CN"/>
              </w:rPr>
              <w:t>本项目产生的新增危险废物依托废铅蓄电池贮存仓库南侧现有危险废物仓库。该仓库地质结构稳定，地震烈度不超过7度，不属于溶洞区或易遭受严重自然灾害的区域。</w:t>
            </w:r>
            <w:r>
              <w:rPr>
                <w:rFonts w:hint="default"/>
                <w:sz w:val="24"/>
                <w:szCs w:val="22"/>
                <w:highlight w:val="none"/>
                <w:lang w:val="en-US" w:eastAsia="zh-CN"/>
              </w:rPr>
              <w:t>本项目建设项目危险废物贮存场所（设施）基本情况见下表。</w:t>
            </w:r>
          </w:p>
          <w:p>
            <w:pPr>
              <w:pStyle w:val="13"/>
              <w:keepNext w:val="0"/>
              <w:keepLines w:val="0"/>
              <w:pageBreakBefore w:val="0"/>
              <w:widowControl/>
              <w:kinsoku/>
              <w:wordWrap/>
              <w:overflowPunct/>
              <w:topLinePunct w:val="0"/>
              <w:autoSpaceDE/>
              <w:autoSpaceDN/>
              <w:bidi w:val="0"/>
              <w:adjustRightInd/>
              <w:snapToGrid w:val="0"/>
              <w:spacing w:before="0" w:after="0" w:line="240" w:lineRule="auto"/>
              <w:ind w:left="0" w:leftChars="0" w:right="0" w:firstLine="0" w:firstLineChars="0"/>
              <w:jc w:val="center"/>
              <w:textAlignment w:val="auto"/>
              <w:rPr>
                <w:rFonts w:hint="eastAsia" w:ascii="黑体" w:hAnsi="黑体" w:eastAsia="黑体" w:cs="黑体"/>
                <w:b w:val="0"/>
                <w:bCs/>
                <w:sz w:val="24"/>
                <w:szCs w:val="24"/>
              </w:rPr>
            </w:pPr>
            <w:r>
              <w:rPr>
                <w:rFonts w:hint="eastAsia" w:ascii="黑体" w:hAnsi="黑体" w:eastAsia="黑体" w:cs="黑体"/>
                <w:b w:val="0"/>
                <w:bCs/>
                <w:sz w:val="24"/>
                <w:szCs w:val="24"/>
              </w:rPr>
              <w:t>危险废物贮存场所（设施）基本情况样表</w:t>
            </w:r>
          </w:p>
          <w:tbl>
            <w:tblPr>
              <w:tblStyle w:val="15"/>
              <w:tblW w:w="79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1"/>
              <w:gridCol w:w="954"/>
              <w:gridCol w:w="893"/>
              <w:gridCol w:w="801"/>
              <w:gridCol w:w="718"/>
              <w:gridCol w:w="657"/>
              <w:gridCol w:w="708"/>
              <w:gridCol w:w="1172"/>
              <w:gridCol w:w="751"/>
              <w:gridCol w:w="8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46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序号</w:t>
                  </w:r>
                </w:p>
              </w:tc>
              <w:tc>
                <w:tcPr>
                  <w:tcW w:w="954" w:type="dxa"/>
                  <w:tcBorders>
                    <w:tl2br w:val="nil"/>
                    <w:tr2bl w:val="nil"/>
                  </w:tcBorders>
                  <w:noWrap w:val="0"/>
                  <w:vAlign w:val="top"/>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贮存场所（设施）</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名称</w:t>
                  </w:r>
                </w:p>
              </w:tc>
              <w:tc>
                <w:tcPr>
                  <w:tcW w:w="893"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危险废物名称</w:t>
                  </w:r>
                </w:p>
              </w:tc>
              <w:tc>
                <w:tcPr>
                  <w:tcW w:w="801" w:type="dxa"/>
                  <w:tcBorders>
                    <w:tl2br w:val="nil"/>
                    <w:tr2bl w:val="nil"/>
                  </w:tcBorders>
                  <w:noWrap w:val="0"/>
                  <w:vAlign w:val="top"/>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危险废物类别</w:t>
                  </w:r>
                </w:p>
              </w:tc>
              <w:tc>
                <w:tcPr>
                  <w:tcW w:w="718" w:type="dxa"/>
                  <w:tcBorders>
                    <w:tl2br w:val="nil"/>
                    <w:tr2bl w:val="nil"/>
                  </w:tcBorders>
                  <w:noWrap w:val="0"/>
                  <w:vAlign w:val="top"/>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危险废物代码</w:t>
                  </w:r>
                </w:p>
              </w:tc>
              <w:tc>
                <w:tcPr>
                  <w:tcW w:w="657"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位置</w:t>
                  </w:r>
                </w:p>
              </w:tc>
              <w:tc>
                <w:tcPr>
                  <w:tcW w:w="70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占地面积</w:t>
                  </w:r>
                </w:p>
              </w:tc>
              <w:tc>
                <w:tcPr>
                  <w:tcW w:w="117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贮存方式</w:t>
                  </w:r>
                </w:p>
              </w:tc>
              <w:tc>
                <w:tcPr>
                  <w:tcW w:w="75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贮存</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能力</w:t>
                  </w:r>
                </w:p>
              </w:tc>
              <w:tc>
                <w:tcPr>
                  <w:tcW w:w="8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贮存</w:t>
                  </w:r>
                </w:p>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46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1</w:t>
                  </w:r>
                </w:p>
              </w:tc>
              <w:tc>
                <w:tcPr>
                  <w:tcW w:w="954" w:type="dxa"/>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危废仓库</w:t>
                  </w:r>
                </w:p>
              </w:tc>
              <w:tc>
                <w:tcPr>
                  <w:tcW w:w="893"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电解液</w:t>
                  </w:r>
                </w:p>
              </w:tc>
              <w:tc>
                <w:tcPr>
                  <w:tcW w:w="80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val="en-US" w:eastAsia="zh-CN"/>
                    </w:rPr>
                    <w:t>HW</w:t>
                  </w:r>
                  <w:r>
                    <w:rPr>
                      <w:rFonts w:hint="eastAsia" w:ascii="Times New Roman" w:hAnsi="Times New Roman" w:eastAsia="宋体" w:cs="Times New Roman"/>
                      <w:kern w:val="2"/>
                      <w:sz w:val="21"/>
                      <w:szCs w:val="21"/>
                      <w:lang w:val="en-US" w:eastAsia="zh-CN"/>
                    </w:rPr>
                    <w:t>31</w:t>
                  </w:r>
                </w:p>
              </w:tc>
              <w:tc>
                <w:tcPr>
                  <w:tcW w:w="71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default"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val="en-US" w:eastAsia="zh-CN"/>
                    </w:rPr>
                    <w:t>900-052-31</w:t>
                  </w:r>
                </w:p>
              </w:tc>
              <w:tc>
                <w:tcPr>
                  <w:tcW w:w="657" w:type="dxa"/>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贮存仓库南侧</w:t>
                  </w:r>
                </w:p>
              </w:tc>
              <w:tc>
                <w:tcPr>
                  <w:tcW w:w="708" w:type="dxa"/>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2400</w:t>
                  </w:r>
                  <w:r>
                    <w:rPr>
                      <w:rFonts w:hint="default" w:ascii="Times New Roman" w:hAnsi="Times New Roman" w:eastAsia="宋体" w:cs="Times New Roman"/>
                      <w:kern w:val="2"/>
                      <w:sz w:val="21"/>
                      <w:szCs w:val="21"/>
                      <w:lang w:val="en-US" w:eastAsia="zh-CN"/>
                    </w:rPr>
                    <w:t>m</w:t>
                  </w:r>
                  <w:r>
                    <w:rPr>
                      <w:rFonts w:hint="default" w:ascii="Times New Roman" w:hAnsi="Times New Roman" w:eastAsia="宋体" w:cs="Times New Roman"/>
                      <w:kern w:val="2"/>
                      <w:sz w:val="21"/>
                      <w:szCs w:val="21"/>
                      <w:vertAlign w:val="superscript"/>
                      <w:lang w:val="en-US" w:eastAsia="zh-CN"/>
                    </w:rPr>
                    <w:t>2</w:t>
                  </w:r>
                </w:p>
              </w:tc>
              <w:tc>
                <w:tcPr>
                  <w:tcW w:w="117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密闭容器</w:t>
                  </w:r>
                </w:p>
              </w:tc>
              <w:tc>
                <w:tcPr>
                  <w:tcW w:w="751" w:type="dxa"/>
                  <w:vMerge w:val="restart"/>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20000t/a</w:t>
                  </w:r>
                </w:p>
              </w:tc>
              <w:tc>
                <w:tcPr>
                  <w:tcW w:w="8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&lt;</w:t>
                  </w:r>
                  <w:r>
                    <w:rPr>
                      <w:rFonts w:hint="default" w:ascii="Times New Roman" w:hAnsi="Times New Roman" w:eastAsia="宋体" w:cs="Times New Roman"/>
                      <w:kern w:val="2"/>
                      <w:sz w:val="21"/>
                      <w:szCs w:val="21"/>
                      <w:lang w:val="en-US" w:eastAsia="zh-CN"/>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46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2</w:t>
                  </w:r>
                </w:p>
              </w:tc>
              <w:tc>
                <w:tcPr>
                  <w:tcW w:w="954"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c>
                <w:tcPr>
                  <w:tcW w:w="893"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废弃沾染物</w:t>
                  </w:r>
                </w:p>
              </w:tc>
              <w:tc>
                <w:tcPr>
                  <w:tcW w:w="80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val="en-US" w:eastAsia="zh-CN"/>
                    </w:rPr>
                    <w:t>HW49</w:t>
                  </w:r>
                </w:p>
              </w:tc>
              <w:tc>
                <w:tcPr>
                  <w:tcW w:w="71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val="en-US" w:eastAsia="zh-CN"/>
                    </w:rPr>
                    <w:t>900-041-49</w:t>
                  </w:r>
                </w:p>
              </w:tc>
              <w:tc>
                <w:tcPr>
                  <w:tcW w:w="657"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c>
                <w:tcPr>
                  <w:tcW w:w="708"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c>
                <w:tcPr>
                  <w:tcW w:w="117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密闭容器</w:t>
                  </w:r>
                </w:p>
              </w:tc>
              <w:tc>
                <w:tcPr>
                  <w:tcW w:w="751"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p>
              </w:tc>
              <w:tc>
                <w:tcPr>
                  <w:tcW w:w="8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&lt;</w:t>
                  </w:r>
                  <w:r>
                    <w:rPr>
                      <w:rFonts w:hint="default" w:ascii="Times New Roman" w:hAnsi="Times New Roman" w:eastAsia="宋体" w:cs="Times New Roman"/>
                      <w:kern w:val="2"/>
                      <w:sz w:val="21"/>
                      <w:szCs w:val="21"/>
                      <w:lang w:val="en-US" w:eastAsia="zh-CN"/>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6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3</w:t>
                  </w:r>
                </w:p>
              </w:tc>
              <w:tc>
                <w:tcPr>
                  <w:tcW w:w="954"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c>
                <w:tcPr>
                  <w:tcW w:w="893"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废吸收液</w:t>
                  </w:r>
                </w:p>
              </w:tc>
              <w:tc>
                <w:tcPr>
                  <w:tcW w:w="80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eastAsia"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HW35</w:t>
                  </w:r>
                </w:p>
              </w:tc>
              <w:tc>
                <w:tcPr>
                  <w:tcW w:w="718"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60" w:lineRule="exact"/>
                    <w:ind w:left="0" w:leftChars="0" w:right="0" w:rightChars="0" w:firstLine="0" w:firstLineChars="0"/>
                    <w:jc w:val="center"/>
                    <w:textAlignment w:val="auto"/>
                    <w:rPr>
                      <w:rFonts w:hint="default"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900-399-35</w:t>
                  </w:r>
                </w:p>
              </w:tc>
              <w:tc>
                <w:tcPr>
                  <w:tcW w:w="657"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c>
                <w:tcPr>
                  <w:tcW w:w="708"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default" w:ascii="Times New Roman" w:hAnsi="Times New Roman" w:eastAsia="宋体" w:cs="Times New Roman"/>
                      <w:kern w:val="2"/>
                      <w:sz w:val="21"/>
                      <w:szCs w:val="21"/>
                      <w:lang w:eastAsia="zh-CN"/>
                    </w:rPr>
                  </w:pPr>
                </w:p>
              </w:tc>
              <w:tc>
                <w:tcPr>
                  <w:tcW w:w="1172"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eastAsia="zh-CN"/>
                    </w:rPr>
                  </w:pPr>
                  <w:r>
                    <w:rPr>
                      <w:rFonts w:hint="eastAsia" w:ascii="Times New Roman" w:hAnsi="Times New Roman" w:eastAsia="宋体" w:cs="Times New Roman"/>
                      <w:kern w:val="2"/>
                      <w:sz w:val="21"/>
                      <w:szCs w:val="21"/>
                      <w:lang w:eastAsia="zh-CN"/>
                    </w:rPr>
                    <w:t>密闭容器</w:t>
                  </w:r>
                </w:p>
              </w:tc>
              <w:tc>
                <w:tcPr>
                  <w:tcW w:w="751" w:type="dxa"/>
                  <w:vMerge w:val="continue"/>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val="en-US" w:eastAsia="zh-CN"/>
                    </w:rPr>
                  </w:pPr>
                </w:p>
              </w:tc>
              <w:tc>
                <w:tcPr>
                  <w:tcW w:w="881" w:type="dxa"/>
                  <w:tcBorders>
                    <w:tl2br w:val="nil"/>
                    <w:tr2bl w:val="nil"/>
                  </w:tcBorders>
                  <w:noWrap w:val="0"/>
                  <w:vAlign w:val="center"/>
                </w:tcPr>
                <w:p>
                  <w:pPr>
                    <w:pStyle w:val="13"/>
                    <w:keepNext w:val="0"/>
                    <w:keepLines w:val="0"/>
                    <w:pageBreakBefore w:val="0"/>
                    <w:widowControl w:val="0"/>
                    <w:kinsoku/>
                    <w:wordWrap/>
                    <w:overflowPunct/>
                    <w:topLinePunct w:val="0"/>
                    <w:autoSpaceDE/>
                    <w:autoSpaceDN/>
                    <w:bidi w:val="0"/>
                    <w:adjustRightInd/>
                    <w:snapToGrid/>
                    <w:spacing w:before="0" w:after="0" w:line="240" w:lineRule="exact"/>
                    <w:ind w:left="0" w:leftChars="0" w:right="0" w:firstLine="0" w:firstLineChars="0"/>
                    <w:jc w:val="center"/>
                    <w:textAlignment w:val="auto"/>
                    <w:rPr>
                      <w:rFonts w:hint="eastAsia" w:ascii="Times New Roman" w:hAnsi="Times New Roman" w:eastAsia="宋体" w:cs="Times New Roman"/>
                      <w:kern w:val="2"/>
                      <w:sz w:val="21"/>
                      <w:szCs w:val="21"/>
                      <w:lang w:val="en-US" w:eastAsia="zh-CN"/>
                    </w:rPr>
                  </w:pPr>
                  <w:r>
                    <w:rPr>
                      <w:rFonts w:hint="eastAsia" w:ascii="Times New Roman" w:hAnsi="Times New Roman" w:eastAsia="宋体" w:cs="Times New Roman"/>
                      <w:kern w:val="2"/>
                      <w:sz w:val="21"/>
                      <w:szCs w:val="21"/>
                      <w:lang w:val="en-US" w:eastAsia="zh-CN"/>
                    </w:rPr>
                    <w:t>&lt;</w:t>
                  </w:r>
                  <w:r>
                    <w:rPr>
                      <w:rFonts w:hint="default" w:ascii="Times New Roman" w:hAnsi="Times New Roman" w:eastAsia="宋体" w:cs="Times New Roman"/>
                      <w:kern w:val="2"/>
                      <w:sz w:val="21"/>
                      <w:szCs w:val="21"/>
                      <w:lang w:val="en-US" w:eastAsia="zh-CN"/>
                    </w:rPr>
                    <w:t>1年</w:t>
                  </w:r>
                </w:p>
              </w:tc>
            </w:tr>
          </w:tbl>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default"/>
                <w:kern w:val="2"/>
                <w:sz w:val="24"/>
                <w:szCs w:val="22"/>
                <w:highlight w:val="none"/>
                <w:lang w:val="en-US" w:eastAsia="zh-CN" w:bidi="ar-SA"/>
              </w:rPr>
            </w:pPr>
            <w:r>
              <w:rPr>
                <w:rFonts w:hint="default"/>
                <w:kern w:val="2"/>
                <w:sz w:val="24"/>
                <w:szCs w:val="22"/>
                <w:highlight w:val="none"/>
                <w:lang w:val="en-US" w:eastAsia="zh-CN" w:bidi="ar-SA"/>
              </w:rPr>
              <w:t>b、危废暂存间的能力分析</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jc w:val="left"/>
              <w:textAlignment w:val="auto"/>
              <w:rPr>
                <w:rFonts w:hint="eastAsia"/>
                <w:b w:val="0"/>
                <w:bCs/>
                <w:sz w:val="24"/>
                <w:u w:val="none"/>
                <w:vertAlign w:val="baseline"/>
                <w:lang w:val="en-US" w:eastAsia="zh-CN"/>
              </w:rPr>
            </w:pPr>
            <w:r>
              <w:rPr>
                <w:rFonts w:hint="eastAsia"/>
                <w:b w:val="0"/>
                <w:bCs/>
                <w:sz w:val="24"/>
                <w:u w:val="none"/>
                <w:lang w:val="en-US" w:eastAsia="zh-CN"/>
              </w:rPr>
              <w:t>企业现有危废仓库共2000</w:t>
            </w:r>
            <w:r>
              <w:rPr>
                <w:rFonts w:hint="default"/>
                <w:b w:val="0"/>
                <w:bCs/>
                <w:sz w:val="24"/>
                <w:u w:val="none"/>
                <w:lang w:val="en-US" w:eastAsia="zh-CN"/>
              </w:rPr>
              <w:t>m</w:t>
            </w:r>
            <w:r>
              <w:rPr>
                <w:rFonts w:hint="default"/>
                <w:b w:val="0"/>
                <w:bCs/>
                <w:sz w:val="24"/>
                <w:u w:val="none"/>
                <w:vertAlign w:val="superscript"/>
                <w:lang w:val="en-US" w:eastAsia="zh-CN"/>
              </w:rPr>
              <w:t>2</w:t>
            </w:r>
            <w:r>
              <w:rPr>
                <w:rFonts w:hint="eastAsia"/>
                <w:b w:val="0"/>
                <w:bCs/>
                <w:sz w:val="24"/>
                <w:u w:val="none"/>
                <w:lang w:val="en-US" w:eastAsia="zh-CN"/>
              </w:rPr>
              <w:t>，最大暂存能力为2000t，全年最大收储能力2万t/a，富裕储存量能够满足现有工程、及本项目需求</w:t>
            </w:r>
            <w:r>
              <w:rPr>
                <w:rFonts w:hint="eastAsia"/>
                <w:b w:val="0"/>
                <w:bCs/>
                <w:sz w:val="24"/>
                <w:u w:val="none"/>
                <w:vertAlign w:val="baseline"/>
                <w:lang w:val="en-US" w:eastAsia="zh-CN"/>
              </w:rPr>
              <w:t>。</w:t>
            </w:r>
          </w:p>
          <w:p>
            <w:pPr>
              <w:keepNext w:val="0"/>
              <w:keepLines w:val="0"/>
              <w:pageBreakBefore w:val="0"/>
              <w:widowControl w:val="0"/>
              <w:kinsoku/>
              <w:wordWrap/>
              <w:overflowPunct/>
              <w:topLinePunct w:val="0"/>
              <w:autoSpaceDE/>
              <w:autoSpaceDN/>
              <w:bidi w:val="0"/>
              <w:adjustRightInd/>
              <w:snapToGrid w:val="0"/>
              <w:spacing w:line="440" w:lineRule="exact"/>
              <w:ind w:firstLine="470" w:firstLineChars="196"/>
              <w:textAlignment w:val="auto"/>
              <w:rPr>
                <w:rFonts w:hint="default"/>
                <w:b w:val="0"/>
                <w:bCs w:val="0"/>
                <w:sz w:val="24"/>
                <w:lang w:val="en-US" w:eastAsia="zh-CN"/>
              </w:rPr>
            </w:pPr>
            <w:r>
              <w:rPr>
                <w:rFonts w:hint="eastAsia"/>
                <w:b w:val="0"/>
                <w:bCs w:val="0"/>
                <w:sz w:val="24"/>
                <w:lang w:val="en-US" w:eastAsia="zh-CN"/>
              </w:rPr>
              <w:t>3.2.2</w:t>
            </w:r>
            <w:r>
              <w:rPr>
                <w:rFonts w:hint="default"/>
                <w:b w:val="0"/>
                <w:bCs w:val="0"/>
                <w:sz w:val="24"/>
                <w:lang w:val="en-US" w:eastAsia="zh-CN"/>
              </w:rPr>
              <w:t>危险废物贮存过程环境影响分析</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kern w:val="2"/>
                <w:sz w:val="24"/>
                <w:szCs w:val="22"/>
                <w:lang w:val="en-US" w:eastAsia="zh-CN" w:bidi="ar-SA"/>
              </w:rPr>
            </w:pPr>
            <w:r>
              <w:rPr>
                <w:rFonts w:hint="eastAsia"/>
                <w:kern w:val="2"/>
                <w:sz w:val="24"/>
                <w:szCs w:val="22"/>
                <w:lang w:val="en-US" w:eastAsia="zh-CN" w:bidi="ar-SA"/>
              </w:rPr>
              <w:t>现有危废仓库已按照《危险废物贮存污染控制标准》（GB18597-2001）的要求进行防渗处理并做到防风、防雨、防晒，防流失。危险废物在危废暂存间暂存，定期委托有资质的单位进行处置。当危险废物在危废暂存间暂存时，</w:t>
            </w:r>
            <w:r>
              <w:rPr>
                <w:rFonts w:hint="eastAsia"/>
                <w:color w:val="auto"/>
                <w:kern w:val="2"/>
                <w:sz w:val="24"/>
                <w:szCs w:val="22"/>
                <w:lang w:val="en-US" w:eastAsia="zh-CN" w:bidi="ar-SA"/>
              </w:rPr>
              <w:t>专用密闭桶如发生破损，及时收集后，再装入备用密闭桶暂存</w:t>
            </w:r>
            <w:r>
              <w:rPr>
                <w:rFonts w:hint="eastAsia"/>
                <w:kern w:val="2"/>
                <w:sz w:val="24"/>
                <w:szCs w:val="22"/>
                <w:lang w:val="en-US" w:eastAsia="zh-CN" w:bidi="ar-SA"/>
              </w:rPr>
              <w:t>，对周围环境空气、地表水、地下水和土壤影响较小。</w:t>
            </w:r>
          </w:p>
          <w:p>
            <w:pPr>
              <w:keepNext w:val="0"/>
              <w:keepLines w:val="0"/>
              <w:pageBreakBefore w:val="0"/>
              <w:widowControl w:val="0"/>
              <w:kinsoku/>
              <w:wordWrap/>
              <w:overflowPunct/>
              <w:topLinePunct w:val="0"/>
              <w:autoSpaceDE/>
              <w:autoSpaceDN/>
              <w:bidi w:val="0"/>
              <w:adjustRightInd/>
              <w:snapToGrid w:val="0"/>
              <w:spacing w:line="440" w:lineRule="exact"/>
              <w:ind w:firstLine="470" w:firstLineChars="196"/>
              <w:textAlignment w:val="auto"/>
              <w:rPr>
                <w:rFonts w:hint="default"/>
                <w:b w:val="0"/>
                <w:bCs w:val="0"/>
                <w:sz w:val="24"/>
                <w:lang w:val="en-US" w:eastAsia="zh-CN"/>
              </w:rPr>
            </w:pPr>
            <w:r>
              <w:rPr>
                <w:rFonts w:hint="eastAsia"/>
                <w:b w:val="0"/>
                <w:bCs w:val="0"/>
                <w:sz w:val="24"/>
                <w:lang w:val="en-US" w:eastAsia="zh-CN"/>
              </w:rPr>
              <w:t>3.2.3</w:t>
            </w:r>
            <w:r>
              <w:rPr>
                <w:rFonts w:hint="default"/>
                <w:b w:val="0"/>
                <w:bCs w:val="0"/>
                <w:sz w:val="24"/>
                <w:lang w:val="en-US" w:eastAsia="zh-CN"/>
              </w:rPr>
              <w:t>运输过程的环境影响分析</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根据《危险废物收集、贮存、运输技术规范》（HJ2025-2012）的要求，危险废物的收集和运输应做好以下工作：</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a、应制定危险废物收集计划，及详细的操作规程；</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b、采用与危险物相容的包装材质，隔断危险废物迁移扩散途径，达到防渗、防漏要求；</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c、包装好的危险废物应设置相应的标签，标签信息应填写完整翔实；</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d、设置相应的危险废物收集作业区域，设置作业界限标志和警示牌，作业区域内设危险废物收集专用通道和人员避险通道，内部转运需确定转运路线，避开办公区和生活区；</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e、收集时应配备必要的收集工具和包装物，内部转运作业应采用专用工具，配备泄漏应急处理设备、材料等（如沙土、蛭石或其它惰性材料）；</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f、收集结束后应清理和恢复收集作业区域，确保作业区域环境整洁安全，内部转运结束后，应对转运路线进行检查和清理，确保无危险废物遗失在转运路线上；</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g、危险废物外部运输应由持有危险废物经营许可证的单位按照其许可证的经营范围组织实施；</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h、危险废物转移过程应按《危险废物转移联单管理办法》执行。</w:t>
            </w:r>
          </w:p>
          <w:p>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sz w:val="24"/>
                <w:szCs w:val="22"/>
                <w:lang w:val="en-US" w:eastAsia="zh-CN"/>
              </w:rPr>
            </w:pPr>
            <w:r>
              <w:rPr>
                <w:rFonts w:hint="eastAsia"/>
                <w:sz w:val="24"/>
                <w:szCs w:val="22"/>
                <w:lang w:val="en-US" w:eastAsia="zh-CN"/>
              </w:rPr>
              <w:t>经采取以上措施后，危险废物在运输过程中发生泄漏，使用应急处理设备和材料对泄漏物料进行处理，集中收集后委托有资质的单位进行无害化处置，对周围环境影响较小。</w:t>
            </w:r>
          </w:p>
          <w:p>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sz w:val="24"/>
                <w:szCs w:val="22"/>
              </w:rPr>
            </w:pPr>
            <w:r>
              <w:rPr>
                <w:sz w:val="24"/>
                <w:szCs w:val="22"/>
              </w:rPr>
              <w:t>综上所述，项目营运期内产生的固体废物均得到妥善处置，不会对周围环境产生</w:t>
            </w:r>
            <w:r>
              <w:rPr>
                <w:rFonts w:hint="eastAsia"/>
                <w:color w:val="auto"/>
                <w:sz w:val="24"/>
                <w:szCs w:val="22"/>
                <w:lang w:eastAsia="zh-CN"/>
              </w:rPr>
              <w:t>明显不利</w:t>
            </w:r>
            <w:r>
              <w:rPr>
                <w:sz w:val="24"/>
                <w:szCs w:val="22"/>
              </w:rPr>
              <w:t>影响。</w:t>
            </w:r>
          </w:p>
          <w:p>
            <w:pPr>
              <w:keepNext w:val="0"/>
              <w:keepLines w:val="0"/>
              <w:pageBreakBefore w:val="0"/>
              <w:widowControl w:val="0"/>
              <w:numPr>
                <w:ilvl w:val="0"/>
                <w:numId w:val="4"/>
              </w:numPr>
              <w:kinsoku/>
              <w:wordWrap/>
              <w:overflowPunct/>
              <w:topLinePunct w:val="0"/>
              <w:autoSpaceDE/>
              <w:autoSpaceDN/>
              <w:bidi w:val="0"/>
              <w:adjustRightInd w:val="0"/>
              <w:snapToGrid w:val="0"/>
              <w:spacing w:line="420" w:lineRule="exact"/>
              <w:ind w:firstLine="442"/>
              <w:textAlignment w:val="auto"/>
              <w:rPr>
                <w:rFonts w:hint="eastAsia" w:ascii="宋体" w:hAnsi="宋体" w:cs="宋体"/>
                <w:b/>
                <w:bCs/>
                <w:spacing w:val="-10"/>
                <w:szCs w:val="21"/>
                <w:highlight w:val="none"/>
                <w:lang w:eastAsia="zh-CN"/>
              </w:rPr>
            </w:pPr>
            <w:r>
              <w:rPr>
                <w:rFonts w:hint="eastAsia" w:ascii="宋体" w:hAnsi="宋体" w:cs="宋体"/>
                <w:b/>
                <w:bCs/>
                <w:spacing w:val="-10"/>
                <w:szCs w:val="21"/>
                <w:highlight w:val="none"/>
                <w:lang w:eastAsia="zh-CN"/>
              </w:rPr>
              <w:t>地下水环境影响分析</w:t>
            </w:r>
          </w:p>
          <w:p>
            <w:pPr>
              <w:keepNext w:val="0"/>
              <w:keepLines w:val="0"/>
              <w:pageBreakBefore w:val="0"/>
              <w:widowControl w:val="0"/>
              <w:kinsoku/>
              <w:wordWrap/>
              <w:overflowPunct/>
              <w:topLinePunct w:val="0"/>
              <w:autoSpaceDE/>
              <w:autoSpaceDN/>
              <w:bidi w:val="0"/>
              <w:adjustRightInd/>
              <w:snapToGrid/>
              <w:spacing w:line="420" w:lineRule="exact"/>
              <w:ind w:right="0"/>
              <w:textAlignment w:val="auto"/>
              <w:rPr>
                <w:rFonts w:ascii="宋体" w:hAnsi="宋体" w:eastAsia="宋体" w:cs="宋体"/>
                <w:sz w:val="24"/>
                <w:szCs w:val="24"/>
              </w:rPr>
            </w:pPr>
            <w:r>
              <w:rPr>
                <w:rFonts w:ascii="宋体" w:hAnsi="宋体" w:eastAsia="宋体" w:cs="宋体"/>
                <w:spacing w:val="1"/>
                <w:sz w:val="24"/>
                <w:szCs w:val="24"/>
              </w:rPr>
              <w:t>项目生产车间地面已全部经过防渗处理，项目在正常工况下，各生产环</w:t>
            </w:r>
            <w:r>
              <w:rPr>
                <w:rFonts w:ascii="宋体" w:hAnsi="宋体" w:eastAsia="宋体" w:cs="宋体"/>
                <w:spacing w:val="29"/>
                <w:sz w:val="24"/>
                <w:szCs w:val="24"/>
              </w:rPr>
              <w:t xml:space="preserve"> </w:t>
            </w:r>
            <w:r>
              <w:rPr>
                <w:rFonts w:ascii="宋体" w:hAnsi="宋体" w:eastAsia="宋体" w:cs="宋体"/>
                <w:spacing w:val="1"/>
                <w:sz w:val="24"/>
                <w:szCs w:val="24"/>
              </w:rPr>
              <w:t>节按照设计参数运行，破损电池渗漏发生意外泄漏直接经过导流槽进行应急</w:t>
            </w:r>
            <w:r>
              <w:rPr>
                <w:rFonts w:ascii="宋体" w:hAnsi="宋体" w:eastAsia="宋体" w:cs="宋体"/>
                <w:spacing w:val="31"/>
                <w:sz w:val="24"/>
                <w:szCs w:val="24"/>
              </w:rPr>
              <w:t xml:space="preserve"> </w:t>
            </w:r>
            <w:r>
              <w:rPr>
                <w:rFonts w:hint="eastAsia" w:ascii="宋体" w:hAnsi="宋体" w:eastAsia="宋体" w:cs="宋体"/>
                <w:spacing w:val="31"/>
                <w:sz w:val="24"/>
                <w:szCs w:val="24"/>
                <w:lang w:eastAsia="zh-CN"/>
              </w:rPr>
              <w:t>事故</w:t>
            </w:r>
            <w:r>
              <w:rPr>
                <w:rFonts w:ascii="宋体" w:hAnsi="宋体" w:eastAsia="宋体" w:cs="宋体"/>
                <w:spacing w:val="-1"/>
                <w:sz w:val="24"/>
                <w:szCs w:val="24"/>
              </w:rPr>
              <w:t>池，不会对地下水环境造成污染。</w:t>
            </w:r>
          </w:p>
          <w:p>
            <w:pPr>
              <w:keepNext w:val="0"/>
              <w:keepLines w:val="0"/>
              <w:pageBreakBefore w:val="0"/>
              <w:widowControl w:val="0"/>
              <w:kinsoku/>
              <w:wordWrap/>
              <w:overflowPunct/>
              <w:topLinePunct w:val="0"/>
              <w:autoSpaceDE/>
              <w:autoSpaceDN/>
              <w:bidi w:val="0"/>
              <w:adjustRightInd/>
              <w:snapToGrid/>
              <w:spacing w:line="420" w:lineRule="exact"/>
              <w:ind w:left="0" w:right="0" w:firstLine="480"/>
              <w:textAlignment w:val="auto"/>
              <w:rPr>
                <w:rFonts w:ascii="宋体" w:hAnsi="宋体" w:eastAsia="宋体" w:cs="宋体"/>
                <w:sz w:val="24"/>
                <w:szCs w:val="24"/>
              </w:rPr>
            </w:pPr>
            <w:r>
              <w:rPr>
                <w:rFonts w:ascii="宋体" w:hAnsi="宋体" w:eastAsia="宋体" w:cs="宋体"/>
                <w:spacing w:val="-2"/>
                <w:sz w:val="24"/>
                <w:szCs w:val="24"/>
              </w:rPr>
              <w:t>在非正常（事故）</w:t>
            </w:r>
            <w:r>
              <w:rPr>
                <w:rFonts w:ascii="宋体" w:hAnsi="宋体" w:eastAsia="宋体" w:cs="宋体"/>
                <w:spacing w:val="7"/>
                <w:sz w:val="24"/>
                <w:szCs w:val="24"/>
              </w:rPr>
              <w:t xml:space="preserve"> </w:t>
            </w:r>
            <w:r>
              <w:rPr>
                <w:rFonts w:ascii="宋体" w:hAnsi="宋体" w:eastAsia="宋体" w:cs="宋体"/>
                <w:spacing w:val="-2"/>
                <w:sz w:val="24"/>
                <w:szCs w:val="24"/>
              </w:rPr>
              <w:t>工况下，本项目泄露的电解液中会对下游的地下水环</w:t>
            </w:r>
            <w:r>
              <w:rPr>
                <w:rFonts w:ascii="宋体" w:hAnsi="宋体" w:eastAsia="宋体" w:cs="宋体"/>
                <w:spacing w:val="1"/>
                <w:sz w:val="24"/>
                <w:szCs w:val="24"/>
              </w:rPr>
              <w:t>境造成影响，企业需做好防渗措施，并定期对地下水水质进行监测，若发现</w:t>
            </w:r>
            <w:r>
              <w:rPr>
                <w:rFonts w:ascii="宋体" w:hAnsi="宋体" w:eastAsia="宋体" w:cs="宋体"/>
                <w:spacing w:val="32"/>
                <w:sz w:val="24"/>
                <w:szCs w:val="24"/>
              </w:rPr>
              <w:t xml:space="preserve"> </w:t>
            </w:r>
            <w:r>
              <w:rPr>
                <w:rFonts w:ascii="宋体" w:hAnsi="宋体" w:eastAsia="宋体" w:cs="宋体"/>
                <w:spacing w:val="-3"/>
                <w:sz w:val="24"/>
                <w:szCs w:val="24"/>
              </w:rPr>
              <w:t>污染物泄漏，应立即采取应急响应，终止污染泄露，同时对地下水进行修复。</w:t>
            </w:r>
            <w:r>
              <w:rPr>
                <w:rFonts w:ascii="宋体" w:hAnsi="宋体" w:eastAsia="宋体" w:cs="宋体"/>
                <w:spacing w:val="15"/>
                <w:sz w:val="24"/>
                <w:szCs w:val="24"/>
              </w:rPr>
              <w:t xml:space="preserve"> </w:t>
            </w:r>
            <w:r>
              <w:rPr>
                <w:rFonts w:ascii="宋体" w:hAnsi="宋体" w:eastAsia="宋体" w:cs="宋体"/>
                <w:spacing w:val="-2"/>
                <w:sz w:val="24"/>
                <w:szCs w:val="24"/>
              </w:rPr>
              <w:t>采取上述措施后，本项目非正常（事故）</w:t>
            </w:r>
            <w:r>
              <w:rPr>
                <w:rFonts w:hint="eastAsia" w:ascii="宋体" w:hAnsi="宋体" w:eastAsia="宋体" w:cs="宋体"/>
                <w:spacing w:val="-2"/>
                <w:sz w:val="24"/>
                <w:szCs w:val="24"/>
                <w:lang w:eastAsia="zh-CN"/>
              </w:rPr>
              <w:t>状态</w:t>
            </w:r>
            <w:r>
              <w:rPr>
                <w:rFonts w:ascii="宋体" w:hAnsi="宋体" w:eastAsia="宋体" w:cs="宋体"/>
                <w:spacing w:val="-2"/>
                <w:sz w:val="24"/>
                <w:szCs w:val="24"/>
              </w:rPr>
              <w:t>下污染物泄露对地下水环境的</w:t>
            </w:r>
            <w:r>
              <w:rPr>
                <w:rFonts w:ascii="宋体" w:hAnsi="宋体" w:eastAsia="宋体" w:cs="宋体"/>
                <w:spacing w:val="-1"/>
                <w:sz w:val="24"/>
                <w:szCs w:val="24"/>
              </w:rPr>
              <w:t>污染可控。地下水污染防治措施：</w:t>
            </w:r>
          </w:p>
          <w:p>
            <w:pPr>
              <w:keepNext w:val="0"/>
              <w:keepLines w:val="0"/>
              <w:pageBreakBefore w:val="0"/>
              <w:widowControl w:val="0"/>
              <w:kinsoku/>
              <w:wordWrap/>
              <w:overflowPunct/>
              <w:topLinePunct w:val="0"/>
              <w:autoSpaceDE/>
              <w:autoSpaceDN/>
              <w:bidi w:val="0"/>
              <w:adjustRightInd/>
              <w:snapToGrid/>
              <w:spacing w:line="420" w:lineRule="exact"/>
              <w:ind w:left="0" w:right="0" w:firstLine="594"/>
              <w:textAlignment w:val="auto"/>
              <w:rPr>
                <w:rFonts w:ascii="宋体" w:hAnsi="宋体" w:eastAsia="宋体" w:cs="宋体"/>
                <w:sz w:val="24"/>
                <w:szCs w:val="24"/>
              </w:rPr>
            </w:pPr>
            <w:r>
              <w:rPr>
                <w:rFonts w:ascii="宋体" w:hAnsi="宋体" w:eastAsia="宋体" w:cs="宋体"/>
                <w:spacing w:val="-2"/>
                <w:sz w:val="24"/>
                <w:szCs w:val="24"/>
              </w:rPr>
              <w:t>（</w:t>
            </w:r>
            <w:r>
              <w:rPr>
                <w:rFonts w:ascii="Times New Roman" w:hAnsi="Times New Roman" w:eastAsia="Times New Roman" w:cs="Times New Roman"/>
                <w:spacing w:val="-2"/>
                <w:sz w:val="24"/>
                <w:szCs w:val="24"/>
              </w:rPr>
              <w:t>1</w:t>
            </w:r>
            <w:r>
              <w:rPr>
                <w:rFonts w:ascii="宋体" w:hAnsi="宋体" w:eastAsia="宋体" w:cs="宋体"/>
                <w:spacing w:val="-2"/>
                <w:sz w:val="24"/>
                <w:szCs w:val="24"/>
              </w:rPr>
              <w:t>）源头控制措施</w:t>
            </w:r>
          </w:p>
          <w:p>
            <w:pPr>
              <w:keepNext w:val="0"/>
              <w:keepLines w:val="0"/>
              <w:pageBreakBefore w:val="0"/>
              <w:widowControl w:val="0"/>
              <w:kinsoku/>
              <w:wordWrap/>
              <w:overflowPunct/>
              <w:topLinePunct w:val="0"/>
              <w:autoSpaceDE/>
              <w:autoSpaceDN/>
              <w:bidi w:val="0"/>
              <w:adjustRightInd/>
              <w:snapToGrid/>
              <w:spacing w:line="420" w:lineRule="exact"/>
              <w:ind w:left="0" w:right="0" w:firstLine="487"/>
              <w:textAlignment w:val="auto"/>
              <w:rPr>
                <w:rFonts w:ascii="宋体" w:hAnsi="宋体" w:eastAsia="宋体" w:cs="宋体"/>
                <w:sz w:val="24"/>
                <w:szCs w:val="24"/>
              </w:rPr>
            </w:pPr>
            <w:r>
              <w:rPr>
                <w:rFonts w:ascii="宋体" w:hAnsi="宋体" w:eastAsia="宋体" w:cs="宋体"/>
                <w:spacing w:val="-3"/>
                <w:sz w:val="24"/>
                <w:szCs w:val="24"/>
              </w:rPr>
              <w:t>定期对防腐防渗措施的性能进行监测，对暂存容器进行定期检查、检修。</w:t>
            </w:r>
            <w:r>
              <w:rPr>
                <w:rFonts w:ascii="宋体" w:hAnsi="宋体" w:eastAsia="宋体" w:cs="宋体"/>
                <w:sz w:val="24"/>
                <w:szCs w:val="24"/>
              </w:rPr>
              <w:t xml:space="preserve"> </w:t>
            </w:r>
            <w:r>
              <w:rPr>
                <w:rFonts w:ascii="宋体" w:hAnsi="宋体" w:eastAsia="宋体" w:cs="宋体"/>
                <w:spacing w:val="2"/>
                <w:sz w:val="24"/>
                <w:szCs w:val="24"/>
              </w:rPr>
              <w:t>破损铅</w:t>
            </w:r>
            <w:r>
              <w:rPr>
                <w:rFonts w:hint="eastAsia" w:ascii="宋体" w:hAnsi="宋体" w:eastAsia="宋体" w:cs="宋体"/>
                <w:spacing w:val="2"/>
                <w:sz w:val="24"/>
                <w:szCs w:val="24"/>
                <w:lang w:eastAsia="zh-CN"/>
              </w:rPr>
              <w:t>蓄电池</w:t>
            </w:r>
            <w:r>
              <w:rPr>
                <w:rFonts w:ascii="宋体" w:hAnsi="宋体" w:eastAsia="宋体" w:cs="宋体"/>
                <w:spacing w:val="2"/>
                <w:sz w:val="24"/>
                <w:szCs w:val="24"/>
              </w:rPr>
              <w:t>在贮存区产生的电解液通过贮存区四周的导流沟收集进入集液</w:t>
            </w:r>
            <w:r>
              <w:rPr>
                <w:rFonts w:ascii="宋体" w:hAnsi="宋体" w:eastAsia="宋体" w:cs="宋体"/>
                <w:spacing w:val="-4"/>
                <w:sz w:val="24"/>
                <w:szCs w:val="24"/>
              </w:rPr>
              <w:t>池</w:t>
            </w:r>
            <w:r>
              <w:rPr>
                <w:rFonts w:hint="eastAsia" w:ascii="宋体" w:hAnsi="宋体" w:eastAsia="宋体" w:cs="宋体"/>
                <w:spacing w:val="-4"/>
                <w:sz w:val="24"/>
                <w:szCs w:val="24"/>
                <w:lang w:eastAsia="zh-CN"/>
              </w:rPr>
              <w:t>应急事故池</w:t>
            </w:r>
            <w:r>
              <w:rPr>
                <w:rFonts w:ascii="宋体" w:hAnsi="宋体" w:eastAsia="宋体" w:cs="宋体"/>
                <w:spacing w:val="-4"/>
                <w:sz w:val="24"/>
                <w:szCs w:val="24"/>
              </w:rPr>
              <w:t>，收集后最终由</w:t>
            </w:r>
            <w:r>
              <w:rPr>
                <w:rFonts w:hint="eastAsia" w:ascii="宋体" w:hAnsi="宋体" w:eastAsia="宋体" w:cs="宋体"/>
                <w:spacing w:val="-4"/>
                <w:sz w:val="24"/>
                <w:szCs w:val="24"/>
                <w:lang w:eastAsia="zh-CN"/>
              </w:rPr>
              <w:t>有</w:t>
            </w:r>
            <w:r>
              <w:rPr>
                <w:rFonts w:ascii="宋体" w:hAnsi="宋体" w:eastAsia="宋体" w:cs="宋体"/>
                <w:spacing w:val="-4"/>
                <w:sz w:val="24"/>
                <w:szCs w:val="24"/>
              </w:rPr>
              <w:t>资质单位</w:t>
            </w:r>
            <w:r>
              <w:rPr>
                <w:rFonts w:hint="eastAsia" w:ascii="宋体" w:hAnsi="宋体" w:eastAsia="宋体" w:cs="宋体"/>
                <w:spacing w:val="-4"/>
                <w:sz w:val="24"/>
                <w:szCs w:val="24"/>
                <w:lang w:eastAsia="zh-CN"/>
              </w:rPr>
              <w:t>统一</w:t>
            </w:r>
            <w:r>
              <w:rPr>
                <w:rFonts w:ascii="宋体" w:hAnsi="宋体" w:eastAsia="宋体" w:cs="宋体"/>
                <w:spacing w:val="-4"/>
                <w:sz w:val="24"/>
                <w:szCs w:val="24"/>
              </w:rPr>
              <w:t>处置；项目的</w:t>
            </w:r>
            <w:r>
              <w:rPr>
                <w:rFonts w:hint="eastAsia" w:ascii="宋体" w:hAnsi="宋体" w:eastAsia="宋体" w:cs="宋体"/>
                <w:spacing w:val="-4"/>
                <w:sz w:val="24"/>
                <w:szCs w:val="24"/>
                <w:lang w:eastAsia="zh-CN"/>
              </w:rPr>
              <w:t>废铅蓄</w:t>
            </w:r>
            <w:r>
              <w:rPr>
                <w:rFonts w:ascii="宋体" w:hAnsi="宋体" w:eastAsia="宋体" w:cs="宋体"/>
                <w:spacing w:val="-4"/>
                <w:sz w:val="24"/>
                <w:szCs w:val="24"/>
              </w:rPr>
              <w:t>电池贮存区、电解液</w:t>
            </w:r>
            <w:r>
              <w:rPr>
                <w:rFonts w:ascii="宋体" w:hAnsi="宋体" w:eastAsia="宋体" w:cs="宋体"/>
                <w:spacing w:val="2"/>
                <w:sz w:val="24"/>
                <w:szCs w:val="24"/>
              </w:rPr>
              <w:t>的导流沟及</w:t>
            </w:r>
            <w:r>
              <w:rPr>
                <w:rFonts w:hint="eastAsia" w:ascii="宋体" w:hAnsi="宋体" w:eastAsia="宋体" w:cs="宋体"/>
                <w:spacing w:val="2"/>
                <w:sz w:val="24"/>
                <w:szCs w:val="24"/>
                <w:lang w:eastAsia="zh-CN"/>
              </w:rPr>
              <w:t>应急事故池</w:t>
            </w:r>
            <w:r>
              <w:rPr>
                <w:rFonts w:ascii="宋体" w:hAnsi="宋体" w:eastAsia="宋体" w:cs="宋体"/>
                <w:spacing w:val="2"/>
                <w:sz w:val="24"/>
                <w:szCs w:val="24"/>
              </w:rPr>
              <w:t>、</w:t>
            </w:r>
            <w:r>
              <w:rPr>
                <w:rFonts w:hint="eastAsia" w:ascii="宋体" w:hAnsi="宋体" w:eastAsia="宋体" w:cs="宋体"/>
                <w:spacing w:val="2"/>
                <w:sz w:val="24"/>
                <w:szCs w:val="24"/>
                <w:lang w:eastAsia="zh-CN"/>
              </w:rPr>
              <w:t>现有危险废物仓库</w:t>
            </w:r>
            <w:r>
              <w:rPr>
                <w:rFonts w:ascii="宋体" w:hAnsi="宋体" w:eastAsia="宋体" w:cs="宋体"/>
                <w:spacing w:val="2"/>
                <w:sz w:val="24"/>
                <w:szCs w:val="24"/>
              </w:rPr>
              <w:t>等均</w:t>
            </w:r>
            <w:r>
              <w:rPr>
                <w:rFonts w:hint="eastAsia" w:ascii="宋体" w:hAnsi="宋体" w:eastAsia="宋体" w:cs="宋体"/>
                <w:spacing w:val="2"/>
                <w:sz w:val="24"/>
                <w:szCs w:val="24"/>
                <w:lang w:eastAsia="zh-CN"/>
              </w:rPr>
              <w:t>应</w:t>
            </w:r>
            <w:r>
              <w:rPr>
                <w:rFonts w:ascii="宋体" w:hAnsi="宋体" w:eastAsia="宋体" w:cs="宋体"/>
                <w:spacing w:val="2"/>
                <w:sz w:val="24"/>
                <w:szCs w:val="24"/>
              </w:rPr>
              <w:t>按照相关规范采取严格的防渗措施，</w:t>
            </w:r>
            <w:r>
              <w:rPr>
                <w:rFonts w:ascii="宋体" w:hAnsi="宋体" w:eastAsia="宋体" w:cs="宋体"/>
                <w:spacing w:val="-1"/>
                <w:sz w:val="24"/>
                <w:szCs w:val="24"/>
              </w:rPr>
              <w:t>避免电解液发生渗漏。</w:t>
            </w:r>
          </w:p>
          <w:p>
            <w:pPr>
              <w:keepNext w:val="0"/>
              <w:keepLines w:val="0"/>
              <w:pageBreakBefore w:val="0"/>
              <w:widowControl w:val="0"/>
              <w:kinsoku/>
              <w:wordWrap/>
              <w:overflowPunct/>
              <w:topLinePunct w:val="0"/>
              <w:autoSpaceDE/>
              <w:autoSpaceDN/>
              <w:bidi w:val="0"/>
              <w:adjustRightInd/>
              <w:snapToGrid/>
              <w:spacing w:line="420" w:lineRule="exact"/>
              <w:ind w:left="0" w:right="0" w:firstLine="594"/>
              <w:textAlignment w:val="auto"/>
              <w:rPr>
                <w:rFonts w:ascii="宋体" w:hAnsi="宋体" w:eastAsia="宋体" w:cs="宋体"/>
                <w:sz w:val="24"/>
                <w:szCs w:val="24"/>
              </w:rPr>
            </w:pPr>
            <w:r>
              <w:rPr>
                <w:rFonts w:ascii="宋体" w:hAnsi="宋体" w:eastAsia="宋体" w:cs="宋体"/>
                <w:spacing w:val="-3"/>
                <w:sz w:val="24"/>
                <w:szCs w:val="24"/>
              </w:rPr>
              <w:t>（</w:t>
            </w:r>
            <w:r>
              <w:rPr>
                <w:rFonts w:ascii="Times New Roman" w:hAnsi="Times New Roman" w:eastAsia="Times New Roman" w:cs="Times New Roman"/>
                <w:spacing w:val="-3"/>
                <w:sz w:val="24"/>
                <w:szCs w:val="24"/>
              </w:rPr>
              <w:t>2</w:t>
            </w:r>
            <w:r>
              <w:rPr>
                <w:rFonts w:ascii="宋体" w:hAnsi="宋体" w:eastAsia="宋体" w:cs="宋体"/>
                <w:spacing w:val="-3"/>
                <w:sz w:val="24"/>
                <w:szCs w:val="24"/>
              </w:rPr>
              <w:t>）防渗措施</w:t>
            </w:r>
          </w:p>
          <w:p>
            <w:pPr>
              <w:keepNext w:val="0"/>
              <w:keepLines w:val="0"/>
              <w:pageBreakBefore w:val="0"/>
              <w:widowControl w:val="0"/>
              <w:kinsoku/>
              <w:wordWrap/>
              <w:overflowPunct/>
              <w:topLinePunct w:val="0"/>
              <w:autoSpaceDE/>
              <w:autoSpaceDN/>
              <w:bidi w:val="0"/>
              <w:adjustRightInd/>
              <w:snapToGrid/>
              <w:spacing w:line="420" w:lineRule="exact"/>
              <w:ind w:left="0" w:right="0" w:firstLine="480"/>
              <w:textAlignment w:val="auto"/>
              <w:rPr>
                <w:rFonts w:ascii="宋体" w:hAnsi="宋体" w:eastAsia="宋体" w:cs="宋体"/>
                <w:sz w:val="24"/>
                <w:szCs w:val="24"/>
              </w:rPr>
            </w:pPr>
            <w:r>
              <w:rPr>
                <w:rFonts w:ascii="宋体" w:hAnsi="宋体" w:eastAsia="宋体" w:cs="宋体"/>
                <w:spacing w:val="2"/>
                <w:sz w:val="24"/>
                <w:szCs w:val="24"/>
              </w:rPr>
              <w:t>本项目属于危险废物贮存项目，应严格按照《危险废物贮存污染控制标</w:t>
            </w:r>
            <w:r>
              <w:rPr>
                <w:rFonts w:ascii="宋体" w:hAnsi="宋体" w:eastAsia="宋体" w:cs="宋体"/>
                <w:spacing w:val="1"/>
                <w:sz w:val="24"/>
                <w:szCs w:val="24"/>
              </w:rPr>
              <w:t xml:space="preserve"> </w:t>
            </w:r>
            <w:r>
              <w:rPr>
                <w:rFonts w:ascii="宋体" w:hAnsi="宋体" w:eastAsia="宋体" w:cs="宋体"/>
                <w:spacing w:val="-2"/>
                <w:sz w:val="24"/>
                <w:szCs w:val="24"/>
              </w:rPr>
              <w:t>准》</w:t>
            </w:r>
            <w:r>
              <w:rPr>
                <w:rFonts w:ascii="宋体" w:hAnsi="宋体" w:eastAsia="宋体" w:cs="宋体"/>
                <w:spacing w:val="20"/>
                <w:sz w:val="24"/>
                <w:szCs w:val="24"/>
              </w:rPr>
              <w:t xml:space="preserve"> </w:t>
            </w:r>
            <w:r>
              <w:rPr>
                <w:rFonts w:ascii="宋体" w:hAnsi="宋体" w:eastAsia="宋体" w:cs="宋体"/>
                <w:spacing w:val="-2"/>
                <w:sz w:val="24"/>
                <w:szCs w:val="24"/>
              </w:rPr>
              <w:t>（</w:t>
            </w:r>
            <w:r>
              <w:rPr>
                <w:rFonts w:ascii="宋体" w:hAnsi="宋体" w:eastAsia="宋体" w:cs="宋体"/>
                <w:spacing w:val="-67"/>
                <w:sz w:val="24"/>
                <w:szCs w:val="24"/>
              </w:rPr>
              <w:t xml:space="preserve"> </w:t>
            </w:r>
            <w:r>
              <w:rPr>
                <w:rFonts w:ascii="Times New Roman" w:hAnsi="Times New Roman" w:eastAsia="Times New Roman" w:cs="Times New Roman"/>
                <w:spacing w:val="-2"/>
                <w:sz w:val="24"/>
                <w:szCs w:val="24"/>
              </w:rPr>
              <w:t>GB18597-2001</w:t>
            </w:r>
            <w:r>
              <w:rPr>
                <w:rFonts w:ascii="宋体" w:hAnsi="宋体" w:eastAsia="宋体" w:cs="宋体"/>
                <w:spacing w:val="-2"/>
                <w:sz w:val="24"/>
                <w:szCs w:val="24"/>
              </w:rPr>
              <w:t>）及</w:t>
            </w:r>
            <w:r>
              <w:rPr>
                <w:rFonts w:ascii="宋体" w:hAnsi="宋体" w:eastAsia="宋体" w:cs="宋体"/>
                <w:spacing w:val="-46"/>
                <w:sz w:val="24"/>
                <w:szCs w:val="24"/>
              </w:rPr>
              <w:t xml:space="preserve"> </w:t>
            </w:r>
            <w:r>
              <w:rPr>
                <w:rFonts w:ascii="Times New Roman" w:hAnsi="Times New Roman" w:eastAsia="Times New Roman" w:cs="Times New Roman"/>
                <w:spacing w:val="-2"/>
                <w:sz w:val="24"/>
                <w:szCs w:val="24"/>
              </w:rPr>
              <w:t>2013</w:t>
            </w:r>
            <w:r>
              <w:rPr>
                <w:rFonts w:ascii="Times New Roman" w:hAnsi="Times New Roman" w:eastAsia="Times New Roman" w:cs="Times New Roman"/>
                <w:spacing w:val="18"/>
                <w:sz w:val="24"/>
                <w:szCs w:val="24"/>
              </w:rPr>
              <w:t xml:space="preserve"> </w:t>
            </w:r>
            <w:r>
              <w:rPr>
                <w:rFonts w:ascii="宋体" w:hAnsi="宋体" w:eastAsia="宋体" w:cs="宋体"/>
                <w:spacing w:val="-2"/>
                <w:sz w:val="24"/>
                <w:szCs w:val="24"/>
              </w:rPr>
              <w:t>年修改单的公告（环保部公告</w:t>
            </w:r>
            <w:r>
              <w:rPr>
                <w:rFonts w:ascii="宋体" w:hAnsi="宋体" w:eastAsia="宋体" w:cs="宋体"/>
                <w:spacing w:val="-48"/>
                <w:sz w:val="24"/>
                <w:szCs w:val="24"/>
              </w:rPr>
              <w:t xml:space="preserve"> </w:t>
            </w:r>
            <w:r>
              <w:rPr>
                <w:rFonts w:ascii="Times New Roman" w:hAnsi="Times New Roman" w:eastAsia="Times New Roman" w:cs="Times New Roman"/>
                <w:spacing w:val="-2"/>
                <w:sz w:val="24"/>
                <w:szCs w:val="24"/>
              </w:rPr>
              <w:t>2013</w:t>
            </w:r>
            <w:r>
              <w:rPr>
                <w:rFonts w:ascii="Times New Roman" w:hAnsi="Times New Roman" w:eastAsia="Times New Roman" w:cs="Times New Roman"/>
                <w:spacing w:val="20"/>
                <w:w w:val="101"/>
                <w:sz w:val="24"/>
                <w:szCs w:val="24"/>
              </w:rPr>
              <w:t xml:space="preserve"> </w:t>
            </w:r>
            <w:r>
              <w:rPr>
                <w:rFonts w:ascii="宋体" w:hAnsi="宋体" w:eastAsia="宋体" w:cs="宋体"/>
                <w:spacing w:val="-2"/>
                <w:sz w:val="24"/>
                <w:szCs w:val="24"/>
              </w:rPr>
              <w:t>年第</w:t>
            </w:r>
            <w:r>
              <w:rPr>
                <w:rFonts w:ascii="宋体" w:hAnsi="宋体" w:eastAsia="宋体" w:cs="宋体"/>
                <w:spacing w:val="-41"/>
                <w:sz w:val="24"/>
                <w:szCs w:val="24"/>
              </w:rPr>
              <w:t xml:space="preserve"> </w:t>
            </w:r>
            <w:r>
              <w:rPr>
                <w:rFonts w:ascii="Times New Roman" w:hAnsi="Times New Roman" w:eastAsia="Times New Roman" w:cs="Times New Roman"/>
                <w:spacing w:val="-2"/>
                <w:sz w:val="24"/>
                <w:szCs w:val="24"/>
              </w:rPr>
              <w:t>36</w:t>
            </w:r>
            <w:r>
              <w:rPr>
                <w:rFonts w:ascii="Times New Roman" w:hAnsi="Times New Roman" w:eastAsia="Times New Roman" w:cs="Times New Roman"/>
                <w:sz w:val="24"/>
                <w:szCs w:val="24"/>
              </w:rPr>
              <w:t xml:space="preserve"> </w:t>
            </w:r>
            <w:r>
              <w:rPr>
                <w:rFonts w:ascii="宋体" w:hAnsi="宋体" w:eastAsia="宋体" w:cs="宋体"/>
                <w:spacing w:val="-3"/>
                <w:sz w:val="24"/>
                <w:szCs w:val="24"/>
              </w:rPr>
              <w:t>号）</w:t>
            </w:r>
            <w:r>
              <w:rPr>
                <w:rFonts w:ascii="宋体" w:hAnsi="宋体" w:eastAsia="宋体" w:cs="宋体"/>
                <w:spacing w:val="42"/>
                <w:sz w:val="24"/>
                <w:szCs w:val="24"/>
              </w:rPr>
              <w:t xml:space="preserve"> </w:t>
            </w:r>
            <w:r>
              <w:rPr>
                <w:rFonts w:ascii="宋体" w:hAnsi="宋体" w:eastAsia="宋体" w:cs="宋体"/>
                <w:spacing w:val="-3"/>
                <w:sz w:val="24"/>
                <w:szCs w:val="24"/>
              </w:rPr>
              <w:t>的要求设计地下水污染防治措施。根据该标准，本项目的防渗区域及防</w:t>
            </w:r>
            <w:r>
              <w:rPr>
                <w:rFonts w:ascii="宋体" w:hAnsi="宋体" w:eastAsia="宋体" w:cs="宋体"/>
                <w:spacing w:val="-2"/>
                <w:sz w:val="24"/>
                <w:szCs w:val="24"/>
              </w:rPr>
              <w:t>渗要求见下表：</w:t>
            </w:r>
          </w:p>
          <w:p>
            <w:pPr>
              <w:pStyle w:val="5"/>
              <w:keepNext w:val="0"/>
              <w:keepLines w:val="0"/>
              <w:pageBreakBefore w:val="0"/>
              <w:widowControl w:val="0"/>
              <w:tabs>
                <w:tab w:val="left" w:pos="339"/>
              </w:tabs>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sz w:val="24"/>
                <w:szCs w:val="24"/>
                <w:lang w:eastAsia="zh-CN"/>
              </w:rPr>
            </w:pPr>
            <w:r>
              <w:rPr>
                <w:rFonts w:hint="eastAsia" w:ascii="黑体" w:hAnsi="黑体" w:eastAsia="黑体" w:cs="黑体"/>
                <w:sz w:val="24"/>
                <w:szCs w:val="24"/>
                <w:lang w:eastAsia="zh-CN"/>
              </w:rPr>
              <w:t>本项目地下水污染防渗分区一览表</w:t>
            </w:r>
          </w:p>
          <w:tbl>
            <w:tblPr>
              <w:tblStyle w:val="16"/>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6"/>
              <w:gridCol w:w="1692"/>
              <w:gridCol w:w="47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546" w:type="dxa"/>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防渗分区</w:t>
                  </w:r>
                </w:p>
              </w:tc>
              <w:tc>
                <w:tcPr>
                  <w:tcW w:w="1692" w:type="dxa"/>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区域</w:t>
                  </w:r>
                </w:p>
              </w:tc>
              <w:tc>
                <w:tcPr>
                  <w:tcW w:w="4708" w:type="dxa"/>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具体防渗要求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546" w:type="dxa"/>
                  <w:vAlign w:val="center"/>
                </w:tcPr>
                <w:p>
                  <w:pPr>
                    <w:keepNext w:val="0"/>
                    <w:keepLines w:val="0"/>
                    <w:pageBreakBefore w:val="0"/>
                    <w:widowControl w:val="0"/>
                    <w:kinsoku/>
                    <w:wordWrap/>
                    <w:overflowPunct/>
                    <w:topLinePunct w:val="0"/>
                    <w:autoSpaceDE/>
                    <w:autoSpaceDN/>
                    <w:bidi w:val="0"/>
                    <w:adjustRightInd/>
                    <w:snapToGrid/>
                    <w:spacing w:line="320" w:lineRule="exact"/>
                    <w:ind w:left="0" w:leftChars="0" w:firstLine="0" w:firstLineChars="0"/>
                    <w:jc w:val="center"/>
                    <w:textAlignment w:val="auto"/>
                    <w:rPr>
                      <w:rFonts w:hint="default" w:ascii="Times New Roman" w:hAnsi="Times New Roman" w:eastAsia="宋体" w:cs="Times New Roman"/>
                      <w:sz w:val="21"/>
                      <w:szCs w:val="21"/>
                      <w:vertAlign w:val="baseline"/>
                      <w:lang w:eastAsia="zh-CN"/>
                    </w:rPr>
                  </w:pPr>
                  <w:r>
                    <w:rPr>
                      <w:rFonts w:hint="default" w:ascii="Times New Roman" w:hAnsi="Times New Roman" w:eastAsia="宋体" w:cs="Times New Roman"/>
                      <w:sz w:val="21"/>
                      <w:szCs w:val="21"/>
                      <w:vertAlign w:val="baseline"/>
                      <w:lang w:eastAsia="zh-CN"/>
                    </w:rPr>
                    <w:t>重点防渗区</w:t>
                  </w:r>
                </w:p>
              </w:tc>
              <w:tc>
                <w:tcPr>
                  <w:tcW w:w="1692" w:type="dxa"/>
                  <w:vAlign w:val="center"/>
                </w:tcPr>
                <w:p>
                  <w:pPr>
                    <w:spacing w:before="179" w:line="250" w:lineRule="auto"/>
                    <w:ind w:left="0" w:leftChars="0" w:firstLine="0" w:firstLineChars="0"/>
                    <w:rPr>
                      <w:rFonts w:hint="eastAsia" w:ascii="Times New Roman" w:hAnsi="Times New Roman" w:eastAsia="宋体" w:cs="Times New Roman"/>
                      <w:sz w:val="21"/>
                      <w:szCs w:val="21"/>
                      <w:vertAlign w:val="baseline"/>
                      <w:lang w:eastAsia="zh-CN"/>
                    </w:rPr>
                  </w:pPr>
                  <w:r>
                    <w:rPr>
                      <w:rFonts w:hint="default" w:ascii="Times New Roman" w:hAnsi="Times New Roman" w:eastAsia="宋体" w:cs="Times New Roman"/>
                      <w:spacing w:val="2"/>
                      <w:sz w:val="21"/>
                      <w:szCs w:val="21"/>
                    </w:rPr>
                    <w:t>废铅酸蓄电池贮存区、</w:t>
                  </w:r>
                  <w:r>
                    <w:rPr>
                      <w:rFonts w:hint="default" w:ascii="Times New Roman" w:hAnsi="Times New Roman" w:eastAsia="宋体" w:cs="Times New Roman"/>
                      <w:spacing w:val="1"/>
                      <w:sz w:val="21"/>
                      <w:szCs w:val="21"/>
                    </w:rPr>
                    <w:t>电解液导流沟、</w:t>
                  </w:r>
                  <w:r>
                    <w:rPr>
                      <w:rFonts w:hint="default" w:ascii="Times New Roman" w:hAnsi="Times New Roman" w:eastAsia="宋体" w:cs="Times New Roman"/>
                      <w:spacing w:val="-9"/>
                      <w:sz w:val="21"/>
                      <w:szCs w:val="21"/>
                    </w:rPr>
                    <w:t>电解液应急</w:t>
                  </w:r>
                  <w:r>
                    <w:rPr>
                      <w:rFonts w:hint="eastAsia" w:ascii="Times New Roman" w:hAnsi="Times New Roman" w:eastAsia="宋体" w:cs="Times New Roman"/>
                      <w:spacing w:val="-9"/>
                      <w:sz w:val="21"/>
                      <w:szCs w:val="21"/>
                      <w:lang w:eastAsia="zh-CN"/>
                    </w:rPr>
                    <w:t>事故池、</w:t>
                  </w:r>
                  <w:r>
                    <w:rPr>
                      <w:rFonts w:hint="eastAsia" w:ascii="Times New Roman" w:hAnsi="Times New Roman" w:eastAsia="宋体" w:cs="Times New Roman"/>
                      <w:spacing w:val="-2"/>
                      <w:sz w:val="21"/>
                      <w:szCs w:val="21"/>
                      <w:lang w:eastAsia="zh-CN"/>
                    </w:rPr>
                    <w:t>现有危险废物仓库</w:t>
                  </w:r>
                </w:p>
              </w:tc>
              <w:tc>
                <w:tcPr>
                  <w:tcW w:w="4708" w:type="dxa"/>
                  <w:vAlign w:val="center"/>
                </w:tcPr>
                <w:p>
                  <w:pPr>
                    <w:spacing w:before="40" w:line="226" w:lineRule="auto"/>
                    <w:ind w:left="0" w:leftChars="0" w:firstLine="0" w:firstLineChars="0"/>
                    <w:rPr>
                      <w:rFonts w:hint="default" w:ascii="Times New Roman" w:hAnsi="Times New Roman" w:eastAsia="宋体" w:cs="Times New Roman"/>
                      <w:sz w:val="21"/>
                      <w:szCs w:val="21"/>
                      <w:vertAlign w:val="baseline"/>
                      <w:lang w:eastAsia="zh-CN"/>
                    </w:rPr>
                  </w:pPr>
                  <w:r>
                    <w:rPr>
                      <w:rFonts w:ascii="宋体" w:hAnsi="宋体" w:eastAsia="宋体" w:cs="宋体"/>
                      <w:spacing w:val="-3"/>
                      <w:sz w:val="21"/>
                      <w:szCs w:val="21"/>
                    </w:rPr>
                    <w:t>地面采用高标号水泥硬化防渗，并敷设不低于</w:t>
                  </w:r>
                  <w:r>
                    <w:rPr>
                      <w:rFonts w:ascii="宋体" w:hAnsi="宋体" w:eastAsia="宋体" w:cs="宋体"/>
                      <w:spacing w:val="-38"/>
                      <w:sz w:val="21"/>
                      <w:szCs w:val="21"/>
                    </w:rPr>
                    <w:t xml:space="preserve"> </w:t>
                  </w:r>
                  <w:r>
                    <w:rPr>
                      <w:rFonts w:ascii="Times New Roman" w:hAnsi="Times New Roman" w:eastAsia="Times New Roman" w:cs="Times New Roman"/>
                      <w:spacing w:val="-3"/>
                      <w:sz w:val="21"/>
                      <w:szCs w:val="21"/>
                    </w:rPr>
                    <w:t>2mm</w:t>
                  </w:r>
                  <w:r>
                    <w:rPr>
                      <w:rFonts w:ascii="Times New Roman" w:hAnsi="Times New Roman" w:eastAsia="Times New Roman" w:cs="Times New Roman"/>
                      <w:spacing w:val="11"/>
                      <w:w w:val="101"/>
                      <w:sz w:val="21"/>
                      <w:szCs w:val="21"/>
                    </w:rPr>
                    <w:t xml:space="preserve"> </w:t>
                  </w:r>
                  <w:r>
                    <w:rPr>
                      <w:rFonts w:ascii="宋体" w:hAnsi="宋体" w:eastAsia="宋体" w:cs="宋体"/>
                      <w:spacing w:val="-3"/>
                      <w:sz w:val="21"/>
                      <w:szCs w:val="21"/>
                    </w:rPr>
                    <w:t>环</w:t>
                  </w:r>
                  <w:r>
                    <w:rPr>
                      <w:rFonts w:ascii="宋体" w:hAnsi="宋体" w:eastAsia="宋体" w:cs="宋体"/>
                      <w:sz w:val="21"/>
                      <w:szCs w:val="21"/>
                    </w:rPr>
                    <w:t>氧树脂防渗层，保证渗透系数</w:t>
                  </w:r>
                  <w:r>
                    <w:rPr>
                      <w:rFonts w:ascii="Times New Roman" w:hAnsi="Times New Roman" w:eastAsia="Times New Roman" w:cs="Times New Roman"/>
                      <w:sz w:val="21"/>
                      <w:szCs w:val="21"/>
                    </w:rPr>
                    <w:t>≤1.0×10</w:t>
                  </w:r>
                  <w:r>
                    <w:rPr>
                      <w:rFonts w:ascii="Times New Roman" w:hAnsi="Times New Roman" w:eastAsia="Times New Roman" w:cs="Times New Roman"/>
                      <w:position w:val="6"/>
                      <w:sz w:val="14"/>
                      <w:szCs w:val="14"/>
                    </w:rPr>
                    <w:t>-10</w:t>
                  </w:r>
                  <w:r>
                    <w:rPr>
                      <w:rFonts w:ascii="Times New Roman" w:hAnsi="Times New Roman" w:eastAsia="Times New Roman" w:cs="Times New Roman"/>
                      <w:sz w:val="21"/>
                      <w:szCs w:val="21"/>
                    </w:rPr>
                    <w:t>cm/s</w:t>
                  </w:r>
                  <w:r>
                    <w:rPr>
                      <w:rFonts w:ascii="宋体" w:hAnsi="宋体" w:eastAsia="宋体" w:cs="宋体"/>
                      <w:sz w:val="21"/>
                      <w:szCs w:val="21"/>
                    </w:rPr>
                    <w:t>；池体采</w:t>
                  </w:r>
                  <w:r>
                    <w:rPr>
                      <w:rFonts w:ascii="宋体" w:hAnsi="宋体" w:eastAsia="宋体" w:cs="宋体"/>
                      <w:spacing w:val="1"/>
                      <w:sz w:val="21"/>
                      <w:szCs w:val="21"/>
                    </w:rPr>
                    <w:t>用埋地砖混结构，采用高标号水泥防渗，并在池底和</w:t>
                  </w:r>
                  <w:r>
                    <w:rPr>
                      <w:rFonts w:ascii="宋体" w:hAnsi="宋体" w:eastAsia="宋体" w:cs="宋体"/>
                      <w:spacing w:val="-3"/>
                      <w:sz w:val="21"/>
                      <w:szCs w:val="21"/>
                    </w:rPr>
                    <w:t>池壁涂覆不低于</w:t>
                  </w:r>
                  <w:r>
                    <w:rPr>
                      <w:rFonts w:ascii="宋体" w:hAnsi="宋体" w:eastAsia="宋体" w:cs="宋体"/>
                      <w:spacing w:val="-38"/>
                      <w:sz w:val="21"/>
                      <w:szCs w:val="21"/>
                    </w:rPr>
                    <w:t xml:space="preserve"> </w:t>
                  </w:r>
                  <w:r>
                    <w:rPr>
                      <w:rFonts w:ascii="Times New Roman" w:hAnsi="Times New Roman" w:eastAsia="Times New Roman" w:cs="Times New Roman"/>
                      <w:spacing w:val="-3"/>
                      <w:sz w:val="21"/>
                      <w:szCs w:val="21"/>
                    </w:rPr>
                    <w:t>2mm</w:t>
                  </w:r>
                  <w:r>
                    <w:rPr>
                      <w:rFonts w:ascii="宋体" w:hAnsi="宋体" w:eastAsia="宋体" w:cs="宋体"/>
                      <w:spacing w:val="-3"/>
                      <w:sz w:val="21"/>
                      <w:szCs w:val="21"/>
                    </w:rPr>
                    <w:t>环氧树脂防渗层，污水管道采用高性能</w:t>
                  </w:r>
                  <w:r>
                    <w:rPr>
                      <w:rFonts w:ascii="宋体" w:hAnsi="宋体" w:eastAsia="宋体" w:cs="宋体"/>
                      <w:spacing w:val="-35"/>
                      <w:sz w:val="21"/>
                      <w:szCs w:val="21"/>
                    </w:rPr>
                    <w:t xml:space="preserve"> </w:t>
                  </w:r>
                  <w:r>
                    <w:rPr>
                      <w:rFonts w:ascii="Times New Roman" w:hAnsi="Times New Roman" w:eastAsia="Times New Roman" w:cs="Times New Roman"/>
                      <w:spacing w:val="-3"/>
                      <w:sz w:val="21"/>
                      <w:szCs w:val="21"/>
                    </w:rPr>
                    <w:t>PE</w:t>
                  </w:r>
                  <w:r>
                    <w:rPr>
                      <w:rFonts w:ascii="宋体" w:hAnsi="宋体" w:eastAsia="宋体" w:cs="宋体"/>
                      <w:spacing w:val="-3"/>
                      <w:sz w:val="21"/>
                      <w:szCs w:val="21"/>
                    </w:rPr>
                    <w:t>管，保证渗透系数</w:t>
                  </w:r>
                  <w:r>
                    <w:rPr>
                      <w:rFonts w:ascii="Times New Roman" w:hAnsi="Times New Roman" w:eastAsia="Times New Roman" w:cs="Times New Roman"/>
                      <w:spacing w:val="-3"/>
                      <w:sz w:val="21"/>
                      <w:szCs w:val="21"/>
                    </w:rPr>
                    <w:t>≤1.0×10</w:t>
                  </w:r>
                  <w:r>
                    <w:rPr>
                      <w:rFonts w:ascii="Times New Roman" w:hAnsi="Times New Roman" w:eastAsia="Times New Roman" w:cs="Times New Roman"/>
                      <w:spacing w:val="-3"/>
                      <w:position w:val="6"/>
                      <w:sz w:val="14"/>
                      <w:szCs w:val="14"/>
                    </w:rPr>
                    <w:t>-10</w:t>
                  </w:r>
                  <w:r>
                    <w:rPr>
                      <w:rFonts w:ascii="Times New Roman" w:hAnsi="Times New Roman" w:eastAsia="Times New Roman" w:cs="Times New Roman"/>
                      <w:spacing w:val="-3"/>
                      <w:sz w:val="21"/>
                      <w:szCs w:val="21"/>
                    </w:rPr>
                    <w:t>cm/s</w:t>
                  </w:r>
                  <w:r>
                    <w:rPr>
                      <w:rFonts w:ascii="Times New Roman" w:hAnsi="Times New Roman" w:eastAsia="Times New Roman" w:cs="Times New Roman"/>
                      <w:spacing w:val="-20"/>
                      <w:sz w:val="21"/>
                      <w:szCs w:val="21"/>
                    </w:rPr>
                    <w:t xml:space="preserve"> </w:t>
                  </w:r>
                  <w:r>
                    <w:rPr>
                      <w:rFonts w:ascii="宋体" w:hAnsi="宋体" w:eastAsia="宋体" w:cs="宋体"/>
                      <w:spacing w:val="-3"/>
                      <w:sz w:val="21"/>
                      <w:szCs w:val="21"/>
                    </w:rPr>
                    <w:t>）。</w:t>
                  </w:r>
                </w:p>
              </w:tc>
            </w:tr>
          </w:tbl>
          <w:p>
            <w:pPr>
              <w:keepNext w:val="0"/>
              <w:keepLines w:val="0"/>
              <w:pageBreakBefore w:val="0"/>
              <w:widowControl w:val="0"/>
              <w:kinsoku/>
              <w:wordWrap/>
              <w:overflowPunct/>
              <w:topLinePunct w:val="0"/>
              <w:autoSpaceDE/>
              <w:autoSpaceDN/>
              <w:bidi w:val="0"/>
              <w:adjustRightInd/>
              <w:snapToGrid/>
              <w:spacing w:line="420" w:lineRule="exact"/>
              <w:ind w:left="0" w:right="0" w:firstLine="594"/>
              <w:textAlignment w:val="auto"/>
              <w:rPr>
                <w:rFonts w:hint="eastAsia" w:ascii="宋体" w:hAnsi="宋体" w:eastAsia="宋体" w:cs="宋体"/>
                <w:sz w:val="24"/>
                <w:szCs w:val="24"/>
                <w:lang w:eastAsia="zh-CN"/>
              </w:rPr>
            </w:pPr>
            <w:r>
              <w:rPr>
                <w:rFonts w:ascii="宋体" w:hAnsi="宋体" w:eastAsia="宋体" w:cs="宋体"/>
                <w:spacing w:val="-3"/>
                <w:sz w:val="24"/>
                <w:szCs w:val="24"/>
              </w:rPr>
              <w:t>（</w:t>
            </w:r>
            <w:r>
              <w:rPr>
                <w:rFonts w:hint="default" w:ascii="Times New Roman" w:hAnsi="Times New Roman" w:eastAsia="宋体" w:cs="Times New Roman"/>
                <w:spacing w:val="-3"/>
                <w:sz w:val="24"/>
                <w:szCs w:val="24"/>
                <w:lang w:val="en-US" w:eastAsia="zh-CN"/>
              </w:rPr>
              <w:t>3</w:t>
            </w:r>
            <w:r>
              <w:rPr>
                <w:rFonts w:ascii="宋体" w:hAnsi="宋体" w:eastAsia="宋体" w:cs="宋体"/>
                <w:spacing w:val="-3"/>
                <w:sz w:val="24"/>
                <w:szCs w:val="24"/>
              </w:rPr>
              <w:t>）</w:t>
            </w:r>
            <w:r>
              <w:rPr>
                <w:rFonts w:hint="eastAsia" w:ascii="宋体" w:hAnsi="宋体" w:eastAsia="宋体" w:cs="宋体"/>
                <w:spacing w:val="-3"/>
                <w:sz w:val="24"/>
                <w:szCs w:val="24"/>
                <w:lang w:eastAsia="zh-CN"/>
              </w:rPr>
              <w:t>污染监测</w:t>
            </w:r>
          </w:p>
          <w:p>
            <w:pPr>
              <w:keepNext w:val="0"/>
              <w:keepLines w:val="0"/>
              <w:pageBreakBefore w:val="0"/>
              <w:widowControl w:val="0"/>
              <w:kinsoku/>
              <w:wordWrap/>
              <w:overflowPunct/>
              <w:topLinePunct w:val="0"/>
              <w:autoSpaceDE/>
              <w:autoSpaceDN/>
              <w:bidi w:val="0"/>
              <w:adjustRightInd/>
              <w:snapToGrid/>
              <w:spacing w:line="420" w:lineRule="exact"/>
              <w:ind w:left="0" w:right="0" w:firstLine="1"/>
              <w:textAlignment w:val="auto"/>
              <w:rPr>
                <w:rFonts w:ascii="宋体" w:hAnsi="宋体" w:eastAsia="宋体" w:cs="宋体"/>
                <w:sz w:val="24"/>
                <w:szCs w:val="24"/>
              </w:rPr>
            </w:pPr>
            <w:r>
              <w:rPr>
                <w:rFonts w:ascii="宋体" w:hAnsi="宋体" w:eastAsia="宋体" w:cs="宋体"/>
                <w:spacing w:val="1"/>
                <w:sz w:val="24"/>
                <w:szCs w:val="24"/>
              </w:rPr>
              <w:t>为了掌握项目周边地下水环境质量状况和地下水体中污染物的动态变化</w:t>
            </w:r>
            <w:r>
              <w:rPr>
                <w:rFonts w:ascii="宋体" w:hAnsi="宋体" w:eastAsia="宋体" w:cs="宋体"/>
                <w:spacing w:val="30"/>
                <w:sz w:val="24"/>
                <w:szCs w:val="24"/>
              </w:rPr>
              <w:t xml:space="preserve"> </w:t>
            </w:r>
            <w:r>
              <w:rPr>
                <w:rFonts w:ascii="宋体" w:hAnsi="宋体" w:eastAsia="宋体" w:cs="宋体"/>
                <w:sz w:val="24"/>
                <w:szCs w:val="24"/>
              </w:rPr>
              <w:t>情况，应对项目所在地及其周边地下水质进行定期监测，并结合周边民井，</w:t>
            </w:r>
            <w:r>
              <w:rPr>
                <w:rFonts w:ascii="宋体" w:hAnsi="宋体" w:eastAsia="宋体" w:cs="宋体"/>
                <w:spacing w:val="1"/>
                <w:sz w:val="24"/>
                <w:szCs w:val="24"/>
              </w:rPr>
              <w:t>建立地下水环境长期监测网络。以便及时准确地反馈地下水水质状况，确保</w:t>
            </w:r>
            <w:r>
              <w:rPr>
                <w:rFonts w:ascii="宋体" w:hAnsi="宋体" w:eastAsia="宋体" w:cs="宋体"/>
                <w:spacing w:val="28"/>
                <w:sz w:val="24"/>
                <w:szCs w:val="24"/>
              </w:rPr>
              <w:t xml:space="preserve"> </w:t>
            </w:r>
            <w:r>
              <w:rPr>
                <w:rFonts w:ascii="宋体" w:hAnsi="宋体" w:eastAsia="宋体" w:cs="宋体"/>
                <w:spacing w:val="1"/>
                <w:sz w:val="24"/>
                <w:szCs w:val="24"/>
              </w:rPr>
              <w:t>周边敏感点地下水环境安全，在发现地下水环境受到污染时能及时采取相应的防治措施控制区域地下水环境持续恶化。在项目场地下游方向布设一个地</w:t>
            </w:r>
            <w:r>
              <w:rPr>
                <w:rFonts w:ascii="宋体" w:hAnsi="宋体" w:eastAsia="宋体" w:cs="宋体"/>
                <w:spacing w:val="-1"/>
                <w:sz w:val="24"/>
                <w:szCs w:val="24"/>
              </w:rPr>
              <w:t>下水监测采样点。本项目地下水自行监测内容见下表：</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lang w:eastAsia="zh-CN"/>
              </w:rPr>
            </w:pPr>
            <w:r>
              <w:rPr>
                <w:rFonts w:hint="eastAsia" w:ascii="黑体" w:hAnsi="黑体" w:eastAsia="黑体" w:cs="黑体"/>
                <w:lang w:eastAsia="zh-CN"/>
              </w:rPr>
              <w:t>地下水环境监测计划一览表</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1986"/>
              <w:gridCol w:w="1987"/>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6"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类别</w:t>
                  </w:r>
                </w:p>
              </w:tc>
              <w:tc>
                <w:tcPr>
                  <w:tcW w:w="1986"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监测点位</w:t>
                  </w:r>
                </w:p>
              </w:tc>
              <w:tc>
                <w:tcPr>
                  <w:tcW w:w="1987"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监测因子</w:t>
                  </w:r>
                </w:p>
              </w:tc>
              <w:tc>
                <w:tcPr>
                  <w:tcW w:w="1987"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监测频次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986"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地下水</w:t>
                  </w:r>
                </w:p>
              </w:tc>
              <w:tc>
                <w:tcPr>
                  <w:tcW w:w="1986"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小佃头村</w:t>
                  </w:r>
                </w:p>
              </w:tc>
              <w:tc>
                <w:tcPr>
                  <w:tcW w:w="1987"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eastAsia"/>
                      <w:sz w:val="21"/>
                      <w:szCs w:val="21"/>
                      <w:vertAlign w:val="baseline"/>
                      <w:lang w:eastAsia="zh-CN"/>
                    </w:rPr>
                  </w:pPr>
                  <w:r>
                    <w:rPr>
                      <w:rFonts w:hint="eastAsia"/>
                      <w:sz w:val="21"/>
                      <w:szCs w:val="21"/>
                      <w:vertAlign w:val="baseline"/>
                      <w:lang w:eastAsia="zh-CN"/>
                    </w:rPr>
                    <w:t>铅</w:t>
                  </w:r>
                </w:p>
              </w:tc>
              <w:tc>
                <w:tcPr>
                  <w:tcW w:w="1987" w:type="dxa"/>
                  <w:vAlign w:val="top"/>
                </w:tcPr>
                <w:p>
                  <w:pPr>
                    <w:pStyle w:val="5"/>
                    <w:keepNext w:val="0"/>
                    <w:keepLines w:val="0"/>
                    <w:pageBreakBefore w:val="0"/>
                    <w:widowControl w:val="0"/>
                    <w:kinsoku/>
                    <w:wordWrap/>
                    <w:overflowPunct/>
                    <w:topLinePunct w:val="0"/>
                    <w:autoSpaceDE/>
                    <w:autoSpaceDN/>
                    <w:bidi w:val="0"/>
                    <w:adjustRightInd/>
                    <w:snapToGrid/>
                    <w:spacing w:line="300" w:lineRule="atLeas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1次/3年</w:t>
                  </w:r>
                </w:p>
              </w:tc>
            </w:tr>
          </w:tbl>
          <w:p>
            <w:pPr>
              <w:keepNext w:val="0"/>
              <w:keepLines w:val="0"/>
              <w:pageBreakBefore w:val="0"/>
              <w:widowControl w:val="0"/>
              <w:numPr>
                <w:ilvl w:val="0"/>
                <w:numId w:val="4"/>
              </w:numPr>
              <w:kinsoku/>
              <w:wordWrap/>
              <w:overflowPunct/>
              <w:topLinePunct w:val="0"/>
              <w:autoSpaceDE/>
              <w:autoSpaceDN/>
              <w:bidi w:val="0"/>
              <w:adjustRightInd w:val="0"/>
              <w:snapToGrid w:val="0"/>
              <w:spacing w:line="420" w:lineRule="exact"/>
              <w:ind w:firstLine="442"/>
              <w:textAlignment w:val="auto"/>
              <w:rPr>
                <w:rFonts w:hint="eastAsia" w:ascii="宋体" w:hAnsi="宋体" w:cs="宋体"/>
                <w:b/>
                <w:bCs/>
                <w:spacing w:val="-10"/>
                <w:szCs w:val="21"/>
                <w:highlight w:val="none"/>
                <w:lang w:eastAsia="zh-CN"/>
              </w:rPr>
            </w:pPr>
            <w:r>
              <w:rPr>
                <w:rFonts w:hint="eastAsia" w:ascii="宋体" w:hAnsi="宋体" w:cs="宋体"/>
                <w:b/>
                <w:bCs/>
                <w:spacing w:val="-10"/>
                <w:szCs w:val="21"/>
                <w:highlight w:val="none"/>
                <w:lang w:eastAsia="zh-CN"/>
              </w:rPr>
              <w:t>土壤环境影响分析</w:t>
            </w:r>
          </w:p>
          <w:p>
            <w:pPr>
              <w:keepNext w:val="0"/>
              <w:keepLines w:val="0"/>
              <w:pageBreakBefore w:val="0"/>
              <w:widowControl w:val="0"/>
              <w:kinsoku/>
              <w:wordWrap/>
              <w:overflowPunct/>
              <w:topLinePunct w:val="0"/>
              <w:autoSpaceDE/>
              <w:autoSpaceDN/>
              <w:bidi w:val="0"/>
              <w:adjustRightInd/>
              <w:snapToGrid/>
              <w:spacing w:line="420" w:lineRule="exact"/>
              <w:ind w:left="0" w:right="0" w:firstLine="1"/>
              <w:textAlignment w:val="auto"/>
              <w:rPr>
                <w:rFonts w:ascii="宋体" w:hAnsi="宋体" w:eastAsia="宋体" w:cs="宋体"/>
                <w:spacing w:val="1"/>
                <w:sz w:val="24"/>
                <w:szCs w:val="24"/>
              </w:rPr>
            </w:pPr>
            <w:r>
              <w:rPr>
                <w:rFonts w:ascii="宋体" w:hAnsi="宋体" w:eastAsia="宋体" w:cs="宋体"/>
                <w:spacing w:val="1"/>
                <w:sz w:val="24"/>
                <w:szCs w:val="24"/>
              </w:rPr>
              <w:t>项目可能对土壤造成污染的途径主要为：破损的废铅蓄电池发生泄漏事故</w:t>
            </w:r>
            <w:r>
              <w:rPr>
                <w:rFonts w:hint="eastAsia" w:ascii="宋体" w:hAnsi="宋体" w:eastAsia="宋体" w:cs="宋体"/>
                <w:spacing w:val="1"/>
                <w:sz w:val="24"/>
                <w:szCs w:val="24"/>
                <w:lang w:eastAsia="zh-CN"/>
              </w:rPr>
              <w:t>时</w:t>
            </w:r>
            <w:r>
              <w:rPr>
                <w:rFonts w:ascii="宋体" w:hAnsi="宋体" w:eastAsia="宋体" w:cs="宋体"/>
                <w:spacing w:val="1"/>
                <w:sz w:val="24"/>
                <w:szCs w:val="24"/>
              </w:rPr>
              <w:t>，</w:t>
            </w:r>
            <w:r>
              <w:rPr>
                <w:rFonts w:hint="eastAsia" w:ascii="宋体" w:hAnsi="宋体" w:eastAsia="宋体" w:cs="宋体"/>
                <w:spacing w:val="1"/>
                <w:sz w:val="24"/>
                <w:szCs w:val="24"/>
                <w:lang w:eastAsia="zh-CN"/>
              </w:rPr>
              <w:t>电解液</w:t>
            </w:r>
            <w:r>
              <w:rPr>
                <w:rFonts w:ascii="宋体" w:hAnsi="宋体" w:eastAsia="宋体" w:cs="宋体"/>
                <w:spacing w:val="1"/>
                <w:sz w:val="24"/>
                <w:szCs w:val="24"/>
              </w:rPr>
              <w:t>中铅等重金属入渗土壤，可能会对土壤产生一定的影响，主要表现为土壤中铅等重金属浓度的升高。项目不涉及</w:t>
            </w:r>
            <w:r>
              <w:rPr>
                <w:rFonts w:hint="eastAsia" w:ascii="宋体" w:hAnsi="宋体" w:eastAsia="宋体" w:cs="宋体"/>
                <w:spacing w:val="1"/>
                <w:sz w:val="24"/>
                <w:szCs w:val="24"/>
                <w:lang w:eastAsia="zh-CN"/>
              </w:rPr>
              <w:t>废铅蓄电池拆解工艺，仅进行废铅蓄电池包装、贮存，</w:t>
            </w:r>
            <w:r>
              <w:rPr>
                <w:rFonts w:ascii="宋体" w:hAnsi="宋体" w:eastAsia="宋体" w:cs="宋体"/>
                <w:spacing w:val="1"/>
                <w:sz w:val="24"/>
                <w:szCs w:val="24"/>
              </w:rPr>
              <w:t>且废铅蓄电池均采用专用贮存设施存放于专业仓库内，</w:t>
            </w:r>
            <w:r>
              <w:rPr>
                <w:rFonts w:hint="eastAsia" w:ascii="宋体" w:hAnsi="宋体" w:eastAsia="宋体" w:cs="宋体"/>
                <w:spacing w:val="1"/>
                <w:sz w:val="24"/>
                <w:szCs w:val="24"/>
                <w:lang w:eastAsia="zh-CN"/>
              </w:rPr>
              <w:t>贮存仓</w:t>
            </w:r>
            <w:r>
              <w:rPr>
                <w:rFonts w:ascii="宋体" w:hAnsi="宋体" w:eastAsia="宋体" w:cs="宋体"/>
                <w:spacing w:val="1"/>
                <w:sz w:val="24"/>
                <w:szCs w:val="24"/>
              </w:rPr>
              <w:t>库地面</w:t>
            </w:r>
            <w:r>
              <w:rPr>
                <w:rFonts w:hint="eastAsia" w:ascii="宋体" w:hAnsi="宋体" w:eastAsia="宋体" w:cs="宋体"/>
                <w:spacing w:val="1"/>
                <w:sz w:val="24"/>
                <w:szCs w:val="24"/>
                <w:lang w:eastAsia="zh-CN"/>
              </w:rPr>
              <w:t>已进行</w:t>
            </w:r>
            <w:r>
              <w:rPr>
                <w:rFonts w:ascii="宋体" w:hAnsi="宋体" w:eastAsia="宋体" w:cs="宋体"/>
                <w:spacing w:val="1"/>
                <w:sz w:val="24"/>
                <w:szCs w:val="24"/>
              </w:rPr>
              <w:t>重点防渗处理，</w:t>
            </w:r>
            <w:r>
              <w:rPr>
                <w:rFonts w:hint="eastAsia" w:ascii="宋体" w:hAnsi="宋体" w:eastAsia="宋体" w:cs="宋体"/>
                <w:spacing w:val="1"/>
                <w:sz w:val="24"/>
                <w:szCs w:val="24"/>
                <w:lang w:eastAsia="zh-CN"/>
              </w:rPr>
              <w:t>能够有效</w:t>
            </w:r>
            <w:r>
              <w:rPr>
                <w:rFonts w:ascii="宋体" w:hAnsi="宋体" w:eastAsia="宋体" w:cs="宋体"/>
                <w:spacing w:val="1"/>
                <w:sz w:val="24"/>
                <w:szCs w:val="24"/>
              </w:rPr>
              <w:t>阻止含重金属废液渗入土壤，对周围土壤的环境影响</w:t>
            </w:r>
            <w:r>
              <w:rPr>
                <w:rFonts w:hint="eastAsia" w:ascii="宋体" w:hAnsi="宋体" w:eastAsia="宋体" w:cs="宋体"/>
                <w:spacing w:val="1"/>
                <w:sz w:val="24"/>
                <w:szCs w:val="24"/>
                <w:lang w:eastAsia="zh-CN"/>
              </w:rPr>
              <w:t>较小</w:t>
            </w:r>
            <w:r>
              <w:rPr>
                <w:rFonts w:ascii="宋体" w:hAnsi="宋体" w:eastAsia="宋体" w:cs="宋体"/>
                <w:spacing w:val="1"/>
                <w:sz w:val="24"/>
                <w:szCs w:val="24"/>
              </w:rPr>
              <w:t>。</w:t>
            </w:r>
          </w:p>
          <w:p>
            <w:pPr>
              <w:keepNext w:val="0"/>
              <w:keepLines w:val="0"/>
              <w:pageBreakBefore w:val="0"/>
              <w:widowControl w:val="0"/>
              <w:kinsoku/>
              <w:wordWrap/>
              <w:overflowPunct/>
              <w:topLinePunct w:val="0"/>
              <w:autoSpaceDE/>
              <w:autoSpaceDN/>
              <w:bidi w:val="0"/>
              <w:adjustRightInd/>
              <w:snapToGrid/>
              <w:spacing w:line="420" w:lineRule="exact"/>
              <w:ind w:left="0" w:right="0" w:firstLine="1"/>
              <w:textAlignment w:val="auto"/>
              <w:rPr>
                <w:rFonts w:ascii="宋体" w:hAnsi="宋体" w:eastAsia="宋体" w:cs="宋体"/>
                <w:spacing w:val="1"/>
                <w:sz w:val="24"/>
                <w:szCs w:val="24"/>
              </w:rPr>
            </w:pPr>
            <w:r>
              <w:rPr>
                <w:rFonts w:ascii="宋体" w:hAnsi="宋体" w:eastAsia="宋体" w:cs="宋体"/>
                <w:spacing w:val="1"/>
                <w:sz w:val="24"/>
                <w:szCs w:val="24"/>
              </w:rPr>
              <w:t>本次环评要求建设单位严格落实</w:t>
            </w:r>
            <w:r>
              <w:rPr>
                <w:rFonts w:hint="eastAsia" w:ascii="宋体" w:hAnsi="宋体" w:eastAsia="宋体" w:cs="宋体"/>
                <w:spacing w:val="1"/>
                <w:sz w:val="24"/>
                <w:szCs w:val="24"/>
                <w:lang w:eastAsia="zh-CN"/>
              </w:rPr>
              <w:t>厂</w:t>
            </w:r>
            <w:r>
              <w:rPr>
                <w:rFonts w:ascii="宋体" w:hAnsi="宋体" w:eastAsia="宋体" w:cs="宋体"/>
                <w:spacing w:val="1"/>
                <w:sz w:val="24"/>
                <w:szCs w:val="24"/>
              </w:rPr>
              <w:t>区内各贮存设施的监管</w:t>
            </w:r>
            <w:r>
              <w:rPr>
                <w:rFonts w:hint="eastAsia" w:ascii="宋体" w:hAnsi="宋体" w:eastAsia="宋体" w:cs="宋体"/>
                <w:spacing w:val="1"/>
                <w:sz w:val="24"/>
                <w:szCs w:val="24"/>
                <w:lang w:eastAsia="zh-CN"/>
              </w:rPr>
              <w:t>及巡查措施</w:t>
            </w:r>
            <w:r>
              <w:rPr>
                <w:rFonts w:ascii="宋体" w:hAnsi="宋体" w:eastAsia="宋体" w:cs="宋体"/>
                <w:spacing w:val="1"/>
                <w:sz w:val="24"/>
                <w:szCs w:val="24"/>
              </w:rPr>
              <w:t>，</w:t>
            </w:r>
            <w:r>
              <w:rPr>
                <w:rFonts w:hint="eastAsia" w:ascii="宋体" w:hAnsi="宋体" w:eastAsia="宋体" w:cs="宋体"/>
                <w:spacing w:val="1"/>
                <w:sz w:val="24"/>
                <w:szCs w:val="24"/>
                <w:lang w:eastAsia="zh-CN"/>
              </w:rPr>
              <w:t>一旦</w:t>
            </w:r>
            <w:r>
              <w:rPr>
                <w:rFonts w:ascii="宋体" w:hAnsi="宋体" w:eastAsia="宋体" w:cs="宋体"/>
                <w:spacing w:val="1"/>
                <w:sz w:val="24"/>
                <w:szCs w:val="24"/>
              </w:rPr>
              <w:t>发现</w:t>
            </w:r>
            <w:r>
              <w:rPr>
                <w:rFonts w:hint="eastAsia" w:ascii="宋体" w:hAnsi="宋体" w:eastAsia="宋体" w:cs="宋体"/>
                <w:spacing w:val="1"/>
                <w:sz w:val="24"/>
                <w:szCs w:val="24"/>
                <w:lang w:eastAsia="zh-CN"/>
              </w:rPr>
              <w:t>电解液</w:t>
            </w:r>
            <w:r>
              <w:rPr>
                <w:rFonts w:ascii="宋体" w:hAnsi="宋体" w:eastAsia="宋体" w:cs="宋体"/>
                <w:spacing w:val="1"/>
                <w:sz w:val="24"/>
                <w:szCs w:val="24"/>
              </w:rPr>
              <w:t>泄漏，及时采取相应</w:t>
            </w:r>
            <w:r>
              <w:rPr>
                <w:rFonts w:hint="eastAsia" w:ascii="宋体" w:hAnsi="宋体" w:eastAsia="宋体" w:cs="宋体"/>
                <w:spacing w:val="1"/>
                <w:sz w:val="24"/>
                <w:szCs w:val="24"/>
                <w:lang w:eastAsia="zh-CN"/>
              </w:rPr>
              <w:t>收集及</w:t>
            </w:r>
            <w:r>
              <w:rPr>
                <w:rFonts w:ascii="宋体" w:hAnsi="宋体" w:eastAsia="宋体" w:cs="宋体"/>
                <w:spacing w:val="1"/>
                <w:sz w:val="24"/>
                <w:szCs w:val="24"/>
              </w:rPr>
              <w:t>治理措施，将废铅蓄电池破损泄漏事故风险降至最低。</w:t>
            </w:r>
          </w:p>
          <w:p>
            <w:pPr>
              <w:keepNext w:val="0"/>
              <w:keepLines w:val="0"/>
              <w:pageBreakBefore w:val="0"/>
              <w:widowControl w:val="0"/>
              <w:kinsoku/>
              <w:wordWrap/>
              <w:overflowPunct/>
              <w:topLinePunct w:val="0"/>
              <w:autoSpaceDE/>
              <w:autoSpaceDN/>
              <w:bidi w:val="0"/>
              <w:adjustRightInd/>
              <w:snapToGrid/>
              <w:spacing w:line="420" w:lineRule="exact"/>
              <w:ind w:left="0" w:right="0" w:firstLine="1"/>
              <w:textAlignment w:val="auto"/>
              <w:rPr>
                <w:rFonts w:ascii="宋体" w:hAnsi="宋体" w:eastAsia="宋体" w:cs="宋体"/>
                <w:spacing w:val="1"/>
                <w:sz w:val="24"/>
                <w:szCs w:val="24"/>
              </w:rPr>
            </w:pPr>
            <w:r>
              <w:rPr>
                <w:rFonts w:hint="eastAsia" w:ascii="宋体" w:hAnsi="宋体" w:eastAsia="宋体" w:cs="宋体"/>
                <w:spacing w:val="1"/>
                <w:sz w:val="24"/>
                <w:szCs w:val="24"/>
                <w:lang w:eastAsia="zh-CN"/>
              </w:rPr>
              <w:t>综上所述</w:t>
            </w:r>
            <w:r>
              <w:rPr>
                <w:rFonts w:ascii="宋体" w:hAnsi="宋体" w:eastAsia="宋体" w:cs="宋体"/>
                <w:spacing w:val="1"/>
                <w:sz w:val="24"/>
                <w:szCs w:val="24"/>
              </w:rPr>
              <w:t>，项目运营期间</w:t>
            </w:r>
            <w:r>
              <w:rPr>
                <w:rFonts w:hint="eastAsia" w:ascii="宋体" w:hAnsi="宋体" w:eastAsia="宋体" w:cs="宋体"/>
                <w:spacing w:val="1"/>
                <w:sz w:val="24"/>
                <w:szCs w:val="24"/>
                <w:lang w:eastAsia="zh-CN"/>
              </w:rPr>
              <w:t>存在一定</w:t>
            </w:r>
            <w:r>
              <w:rPr>
                <w:rFonts w:ascii="宋体" w:hAnsi="宋体" w:eastAsia="宋体" w:cs="宋体"/>
                <w:spacing w:val="1"/>
                <w:sz w:val="24"/>
                <w:szCs w:val="24"/>
              </w:rPr>
              <w:t>土壤环境</w:t>
            </w:r>
            <w:r>
              <w:rPr>
                <w:rFonts w:hint="eastAsia" w:ascii="宋体" w:hAnsi="宋体" w:eastAsia="宋体" w:cs="宋体"/>
                <w:spacing w:val="1"/>
                <w:sz w:val="24"/>
                <w:szCs w:val="24"/>
                <w:lang w:eastAsia="zh-CN"/>
              </w:rPr>
              <w:t>污染风险</w:t>
            </w:r>
            <w:r>
              <w:rPr>
                <w:rFonts w:ascii="宋体" w:hAnsi="宋体" w:eastAsia="宋体" w:cs="宋体"/>
                <w:spacing w:val="1"/>
                <w:sz w:val="24"/>
                <w:szCs w:val="24"/>
              </w:rPr>
              <w:t>，但通过采取防渗措施，同时对破损的铅酸蓄电池采取单独储存，项目运营期间对项目区土壤环境的影响</w:t>
            </w:r>
            <w:r>
              <w:rPr>
                <w:rFonts w:hint="eastAsia" w:ascii="宋体" w:hAnsi="宋体" w:eastAsia="宋体" w:cs="宋体"/>
                <w:spacing w:val="1"/>
                <w:sz w:val="24"/>
                <w:szCs w:val="24"/>
                <w:lang w:eastAsia="zh-CN"/>
              </w:rPr>
              <w:t>较小</w:t>
            </w:r>
            <w:r>
              <w:rPr>
                <w:rFonts w:ascii="宋体" w:hAnsi="宋体" w:eastAsia="宋体" w:cs="宋体"/>
                <w:spacing w:val="1"/>
                <w:sz w:val="24"/>
                <w:szCs w:val="24"/>
              </w:rPr>
              <w:t>。</w:t>
            </w:r>
          </w:p>
          <w:p>
            <w:pPr>
              <w:keepNext w:val="0"/>
              <w:keepLines w:val="0"/>
              <w:pageBreakBefore w:val="0"/>
              <w:widowControl w:val="0"/>
              <w:numPr>
                <w:ilvl w:val="0"/>
                <w:numId w:val="4"/>
              </w:numPr>
              <w:kinsoku/>
              <w:wordWrap/>
              <w:overflowPunct/>
              <w:topLinePunct w:val="0"/>
              <w:autoSpaceDE/>
              <w:autoSpaceDN/>
              <w:bidi w:val="0"/>
              <w:adjustRightInd w:val="0"/>
              <w:snapToGrid w:val="0"/>
              <w:spacing w:line="420" w:lineRule="exact"/>
              <w:ind w:left="0" w:right="0" w:firstLine="442"/>
              <w:textAlignment w:val="auto"/>
              <w:rPr>
                <w:rFonts w:hint="eastAsia" w:ascii="宋体" w:hAnsi="宋体" w:cs="宋体"/>
                <w:b/>
                <w:bCs/>
                <w:spacing w:val="-10"/>
                <w:szCs w:val="21"/>
                <w:highlight w:val="none"/>
                <w:lang w:eastAsia="zh-CN"/>
              </w:rPr>
            </w:pPr>
            <w:r>
              <w:rPr>
                <w:rFonts w:hint="eastAsia" w:ascii="宋体" w:hAnsi="宋体" w:cs="宋体"/>
                <w:b/>
                <w:bCs/>
                <w:spacing w:val="-10"/>
                <w:szCs w:val="21"/>
                <w:highlight w:val="none"/>
                <w:lang w:eastAsia="zh-CN"/>
              </w:rPr>
              <w:t>环境风险分析</w:t>
            </w:r>
          </w:p>
          <w:p>
            <w:pPr>
              <w:keepNext w:val="0"/>
              <w:keepLines w:val="0"/>
              <w:pageBreakBefore w:val="0"/>
              <w:widowControl w:val="0"/>
              <w:kinsoku/>
              <w:wordWrap/>
              <w:overflowPunct/>
              <w:topLinePunct w:val="0"/>
              <w:autoSpaceDE/>
              <w:autoSpaceDN/>
              <w:bidi w:val="0"/>
              <w:adjustRightInd/>
              <w:snapToGrid w:val="0"/>
              <w:spacing w:line="420" w:lineRule="exact"/>
              <w:ind w:left="0" w:right="0" w:firstLine="470" w:firstLineChars="196"/>
              <w:textAlignment w:val="auto"/>
              <w:rPr>
                <w:rFonts w:hint="eastAsia" w:ascii="Times New Roman" w:hAnsi="Times New Roman" w:eastAsia="宋体" w:cs="Times New Roman"/>
                <w:b w:val="0"/>
                <w:bCs w:val="0"/>
                <w:sz w:val="24"/>
                <w:lang w:val="en-US" w:eastAsia="zh-CN"/>
              </w:rPr>
            </w:pPr>
            <w:r>
              <w:rPr>
                <w:rFonts w:hint="eastAsia" w:ascii="Times New Roman" w:hAnsi="Times New Roman" w:eastAsia="宋体" w:cs="Times New Roman"/>
                <w:b w:val="0"/>
                <w:bCs w:val="0"/>
                <w:sz w:val="24"/>
                <w:lang w:val="en-US" w:eastAsia="zh-CN"/>
              </w:rPr>
              <w:t>6.1 评价依据</w:t>
            </w:r>
          </w:p>
          <w:p>
            <w:pPr>
              <w:keepNext w:val="0"/>
              <w:keepLines w:val="0"/>
              <w:pageBreakBefore w:val="0"/>
              <w:widowControl w:val="0"/>
              <w:kinsoku/>
              <w:wordWrap/>
              <w:overflowPunct/>
              <w:topLinePunct w:val="0"/>
              <w:autoSpaceDE/>
              <w:autoSpaceDN/>
              <w:bidi w:val="0"/>
              <w:spacing w:line="420" w:lineRule="exact"/>
              <w:ind w:left="0" w:right="0" w:firstLine="594"/>
              <w:textAlignment w:val="auto"/>
              <w:rPr>
                <w:rFonts w:ascii="宋体" w:hAnsi="宋体" w:eastAsia="宋体" w:cs="宋体"/>
                <w:sz w:val="24"/>
                <w:szCs w:val="24"/>
              </w:rPr>
            </w:pPr>
            <w:r>
              <w:rPr>
                <w:rFonts w:ascii="宋体" w:hAnsi="宋体" w:eastAsia="宋体" w:cs="宋体"/>
                <w:spacing w:val="-3"/>
                <w:sz w:val="24"/>
                <w:szCs w:val="24"/>
              </w:rPr>
              <w:t>（</w:t>
            </w:r>
            <w:r>
              <w:rPr>
                <w:rFonts w:ascii="Times New Roman" w:hAnsi="Times New Roman" w:eastAsia="Times New Roman" w:cs="Times New Roman"/>
                <w:spacing w:val="-3"/>
                <w:sz w:val="24"/>
                <w:szCs w:val="24"/>
              </w:rPr>
              <w:t>1</w:t>
            </w:r>
            <w:r>
              <w:rPr>
                <w:rFonts w:ascii="宋体" w:hAnsi="宋体" w:eastAsia="宋体" w:cs="宋体"/>
                <w:spacing w:val="-3"/>
                <w:sz w:val="24"/>
                <w:szCs w:val="24"/>
              </w:rPr>
              <w:t>）风险调</w:t>
            </w:r>
            <w:r>
              <w:rPr>
                <w:rFonts w:hint="eastAsia" w:ascii="宋体" w:hAnsi="宋体" w:eastAsia="宋体" w:cs="宋体"/>
                <w:spacing w:val="-3"/>
                <w:sz w:val="24"/>
                <w:szCs w:val="24"/>
                <w:lang w:eastAsia="zh-CN"/>
              </w:rPr>
              <w:t>物质</w:t>
            </w:r>
            <w:r>
              <w:rPr>
                <w:rFonts w:ascii="宋体" w:hAnsi="宋体" w:eastAsia="宋体" w:cs="宋体"/>
                <w:spacing w:val="-3"/>
                <w:sz w:val="24"/>
                <w:szCs w:val="24"/>
              </w:rPr>
              <w:t>查</w:t>
            </w:r>
          </w:p>
          <w:p>
            <w:pPr>
              <w:keepNext w:val="0"/>
              <w:keepLines w:val="0"/>
              <w:pageBreakBefore w:val="0"/>
              <w:widowControl w:val="0"/>
              <w:kinsoku/>
              <w:wordWrap/>
              <w:overflowPunct/>
              <w:topLinePunct w:val="0"/>
              <w:autoSpaceDE/>
              <w:autoSpaceDN/>
              <w:bidi w:val="0"/>
              <w:spacing w:line="420" w:lineRule="exact"/>
              <w:ind w:left="0" w:right="0" w:firstLine="480"/>
              <w:textAlignment w:val="auto"/>
              <w:rPr>
                <w:rFonts w:hint="default"/>
                <w:highlight w:val="none"/>
                <w:lang w:val="en-US" w:eastAsia="zh-CN"/>
              </w:rPr>
            </w:pPr>
            <w:r>
              <w:rPr>
                <w:rFonts w:ascii="宋体" w:hAnsi="宋体" w:eastAsia="宋体" w:cs="宋体"/>
                <w:spacing w:val="-2"/>
                <w:sz w:val="24"/>
                <w:szCs w:val="24"/>
              </w:rPr>
              <w:t>根据《建设项目环境风险评价技术导则》（</w:t>
            </w:r>
            <w:r>
              <w:rPr>
                <w:rFonts w:ascii="Times New Roman" w:hAnsi="Times New Roman" w:eastAsia="Times New Roman" w:cs="Times New Roman"/>
                <w:spacing w:val="-2"/>
                <w:sz w:val="24"/>
                <w:szCs w:val="24"/>
              </w:rPr>
              <w:t>HJ169-2018</w:t>
            </w:r>
            <w:r>
              <w:rPr>
                <w:rFonts w:ascii="宋体" w:hAnsi="宋体" w:eastAsia="宋体" w:cs="宋体"/>
                <w:spacing w:val="19"/>
                <w:sz w:val="24"/>
                <w:szCs w:val="24"/>
              </w:rPr>
              <w:t>），</w:t>
            </w:r>
            <w:r>
              <w:rPr>
                <w:rFonts w:ascii="宋体" w:hAnsi="宋体" w:eastAsia="宋体" w:cs="宋体"/>
                <w:spacing w:val="-2"/>
                <w:sz w:val="24"/>
                <w:szCs w:val="24"/>
              </w:rPr>
              <w:t>本项目主要风险</w:t>
            </w:r>
            <w:r>
              <w:rPr>
                <w:rFonts w:hint="eastAsia" w:ascii="宋体" w:hAnsi="宋体" w:eastAsia="宋体" w:cs="宋体"/>
                <w:spacing w:val="-2"/>
                <w:sz w:val="24"/>
                <w:szCs w:val="24"/>
                <w:lang w:eastAsia="zh-CN"/>
              </w:rPr>
              <w:t>物质为电解液中的硫酸</w:t>
            </w:r>
            <w:r>
              <w:rPr>
                <w:rFonts w:ascii="宋体" w:hAnsi="宋体" w:eastAsia="宋体" w:cs="宋体"/>
                <w:spacing w:val="-2"/>
                <w:sz w:val="24"/>
                <w:szCs w:val="24"/>
              </w:rPr>
              <w:t>。</w:t>
            </w:r>
          </w:p>
          <w:p>
            <w:pPr>
              <w:keepNext w:val="0"/>
              <w:keepLines w:val="0"/>
              <w:pageBreakBefore w:val="0"/>
              <w:widowControl w:val="0"/>
              <w:kinsoku/>
              <w:wordWrap/>
              <w:overflowPunct/>
              <w:topLinePunct w:val="0"/>
              <w:autoSpaceDE/>
              <w:autoSpaceDN/>
              <w:bidi w:val="0"/>
              <w:spacing w:line="420" w:lineRule="exact"/>
              <w:ind w:left="0" w:right="0" w:firstLine="594"/>
              <w:textAlignment w:val="auto"/>
              <w:rPr>
                <w:rFonts w:hint="eastAsia" w:ascii="宋体" w:hAnsi="宋体" w:eastAsia="宋体" w:cs="宋体"/>
                <w:sz w:val="24"/>
                <w:szCs w:val="24"/>
                <w:lang w:eastAsia="zh-CN"/>
              </w:rPr>
            </w:pPr>
            <w:r>
              <w:rPr>
                <w:rFonts w:ascii="宋体" w:hAnsi="宋体" w:eastAsia="宋体" w:cs="宋体"/>
                <w:spacing w:val="-2"/>
                <w:sz w:val="24"/>
                <w:szCs w:val="24"/>
              </w:rPr>
              <w:t>（</w:t>
            </w:r>
            <w:r>
              <w:rPr>
                <w:rFonts w:ascii="Times New Roman" w:hAnsi="Times New Roman" w:eastAsia="Times New Roman" w:cs="Times New Roman"/>
                <w:spacing w:val="-2"/>
                <w:sz w:val="24"/>
                <w:szCs w:val="24"/>
              </w:rPr>
              <w:t>2</w:t>
            </w:r>
            <w:r>
              <w:rPr>
                <w:rFonts w:ascii="宋体" w:hAnsi="宋体" w:eastAsia="宋体" w:cs="宋体"/>
                <w:spacing w:val="-2"/>
                <w:sz w:val="24"/>
                <w:szCs w:val="24"/>
              </w:rPr>
              <w:t>）风险评价等级</w:t>
            </w:r>
            <w:r>
              <w:rPr>
                <w:rFonts w:hint="eastAsia" w:ascii="宋体" w:hAnsi="宋体" w:eastAsia="宋体" w:cs="宋体"/>
                <w:spacing w:val="-2"/>
                <w:sz w:val="24"/>
                <w:szCs w:val="24"/>
                <w:lang w:eastAsia="zh-CN"/>
              </w:rPr>
              <w:t>判定</w:t>
            </w:r>
          </w:p>
          <w:p>
            <w:pPr>
              <w:keepNext w:val="0"/>
              <w:keepLines w:val="0"/>
              <w:pageBreakBefore w:val="0"/>
              <w:widowControl w:val="0"/>
              <w:kinsoku/>
              <w:wordWrap/>
              <w:overflowPunct/>
              <w:topLinePunct w:val="0"/>
              <w:autoSpaceDE/>
              <w:autoSpaceDN/>
              <w:bidi w:val="0"/>
              <w:spacing w:line="420" w:lineRule="exact"/>
              <w:ind w:left="0" w:right="0" w:firstLine="480"/>
              <w:textAlignment w:val="auto"/>
              <w:rPr>
                <w:rFonts w:hint="eastAsia" w:ascii="宋体" w:hAnsi="宋体" w:eastAsia="宋体" w:cs="宋体"/>
                <w:sz w:val="24"/>
                <w:szCs w:val="24"/>
                <w:lang w:eastAsia="zh-CN"/>
              </w:rPr>
            </w:pPr>
            <w:r>
              <w:rPr>
                <w:rFonts w:ascii="宋体" w:hAnsi="宋体" w:eastAsia="宋体" w:cs="宋体"/>
                <w:spacing w:val="-2"/>
                <w:sz w:val="24"/>
                <w:szCs w:val="24"/>
              </w:rPr>
              <w:t>根据《建设项目环境风险评价技术导则》（</w:t>
            </w:r>
            <w:r>
              <w:rPr>
                <w:rFonts w:ascii="Times New Roman" w:hAnsi="Times New Roman" w:eastAsia="Times New Roman" w:cs="Times New Roman"/>
                <w:spacing w:val="-2"/>
                <w:sz w:val="24"/>
                <w:szCs w:val="24"/>
              </w:rPr>
              <w:t>HJ169-2018</w:t>
            </w:r>
            <w:r>
              <w:rPr>
                <w:rFonts w:ascii="宋体" w:hAnsi="宋体" w:eastAsia="宋体" w:cs="宋体"/>
                <w:spacing w:val="19"/>
                <w:sz w:val="24"/>
                <w:szCs w:val="24"/>
              </w:rPr>
              <w:t>），</w:t>
            </w:r>
            <w:r>
              <w:rPr>
                <w:rFonts w:ascii="宋体" w:hAnsi="宋体" w:eastAsia="宋体" w:cs="宋体"/>
                <w:spacing w:val="-2"/>
                <w:sz w:val="24"/>
                <w:szCs w:val="24"/>
              </w:rPr>
              <w:t>计算涉及的</w:t>
            </w:r>
            <w:r>
              <w:rPr>
                <w:rFonts w:ascii="宋体" w:hAnsi="宋体" w:eastAsia="宋体" w:cs="宋体"/>
                <w:spacing w:val="-1"/>
                <w:sz w:val="24"/>
                <w:szCs w:val="24"/>
              </w:rPr>
              <w:t>每种危险物质在厂界内的最大存在总量与其在附录</w:t>
            </w:r>
            <w:r>
              <w:rPr>
                <w:rFonts w:ascii="Times New Roman" w:hAnsi="Times New Roman" w:eastAsia="Times New Roman" w:cs="Times New Roman"/>
                <w:spacing w:val="-1"/>
                <w:sz w:val="24"/>
                <w:szCs w:val="24"/>
              </w:rPr>
              <w:t>B</w:t>
            </w:r>
            <w:r>
              <w:rPr>
                <w:rFonts w:ascii="宋体" w:hAnsi="宋体" w:eastAsia="宋体" w:cs="宋体"/>
                <w:spacing w:val="-1"/>
                <w:sz w:val="24"/>
                <w:szCs w:val="24"/>
              </w:rPr>
              <w:t>中对应临界量的比值</w:t>
            </w:r>
            <w:r>
              <w:rPr>
                <w:rFonts w:ascii="Times New Roman" w:hAnsi="Times New Roman" w:eastAsia="Times New Roman" w:cs="Times New Roman"/>
                <w:spacing w:val="-1"/>
                <w:sz w:val="24"/>
                <w:szCs w:val="24"/>
              </w:rPr>
              <w:t>Q</w:t>
            </w:r>
            <w:r>
              <w:rPr>
                <w:rFonts w:ascii="宋体" w:hAnsi="宋体" w:eastAsia="宋体" w:cs="宋体"/>
                <w:spacing w:val="-1"/>
                <w:sz w:val="24"/>
                <w:szCs w:val="24"/>
              </w:rPr>
              <w:t>。</w:t>
            </w:r>
            <w:r>
              <w:rPr>
                <w:rFonts w:ascii="宋体" w:hAnsi="宋体" w:eastAsia="宋体" w:cs="宋体"/>
                <w:sz w:val="24"/>
                <w:szCs w:val="24"/>
              </w:rPr>
              <w:t xml:space="preserve"> </w:t>
            </w:r>
            <w:r>
              <w:rPr>
                <w:rFonts w:ascii="宋体" w:hAnsi="宋体" w:eastAsia="宋体" w:cs="宋体"/>
                <w:spacing w:val="1"/>
                <w:sz w:val="24"/>
                <w:szCs w:val="24"/>
              </w:rPr>
              <w:t>当存在多种危险物质时，则按下式计算危险物质最大存在总量与其临界量的</w:t>
            </w:r>
            <w:r>
              <w:rPr>
                <w:rFonts w:ascii="宋体" w:hAnsi="宋体" w:eastAsia="宋体" w:cs="宋体"/>
                <w:spacing w:val="31"/>
                <w:sz w:val="24"/>
                <w:szCs w:val="24"/>
              </w:rPr>
              <w:t xml:space="preserve"> </w:t>
            </w:r>
            <w:r>
              <w:rPr>
                <w:rFonts w:ascii="宋体" w:hAnsi="宋体" w:eastAsia="宋体" w:cs="宋体"/>
                <w:sz w:val="24"/>
                <w:szCs w:val="24"/>
              </w:rPr>
              <w:t>比值</w:t>
            </w:r>
            <w:r>
              <w:rPr>
                <w:rFonts w:ascii="宋体" w:hAnsi="宋体" w:eastAsia="宋体" w:cs="宋体"/>
                <w:spacing w:val="-21"/>
                <w:sz w:val="24"/>
                <w:szCs w:val="24"/>
              </w:rPr>
              <w:t xml:space="preserve"> </w:t>
            </w:r>
            <w:r>
              <w:rPr>
                <w:rFonts w:ascii="Times New Roman" w:hAnsi="Times New Roman" w:eastAsia="Times New Roman" w:cs="Times New Roman"/>
                <w:sz w:val="24"/>
                <w:szCs w:val="24"/>
              </w:rPr>
              <w:t>Q</w:t>
            </w:r>
            <w:r>
              <w:rPr>
                <w:rFonts w:ascii="Times New Roman" w:hAnsi="Times New Roman" w:eastAsia="Times New Roman" w:cs="Times New Roman"/>
                <w:spacing w:val="-28"/>
                <w:sz w:val="24"/>
                <w:szCs w:val="24"/>
              </w:rPr>
              <w:t xml:space="preserve"> </w:t>
            </w:r>
            <w:r>
              <w:rPr>
                <w:rFonts w:ascii="宋体" w:hAnsi="宋体" w:eastAsia="宋体" w:cs="宋体"/>
                <w:sz w:val="24"/>
                <w:szCs w:val="24"/>
              </w:rPr>
              <w:t>。</w:t>
            </w:r>
            <w:r>
              <w:rPr>
                <w:rFonts w:hint="eastAsia" w:ascii="宋体" w:hAnsi="宋体" w:eastAsia="宋体" w:cs="宋体"/>
                <w:sz w:val="24"/>
                <w:szCs w:val="24"/>
                <w:lang w:eastAsia="zh-CN"/>
              </w:rPr>
              <w:t>计算公式如下：</w:t>
            </w:r>
          </w:p>
          <w:p>
            <w:pPr>
              <w:keepNext w:val="0"/>
              <w:keepLines w:val="0"/>
              <w:pageBreakBefore w:val="0"/>
              <w:widowControl w:val="0"/>
              <w:kinsoku/>
              <w:wordWrap/>
              <w:overflowPunct/>
              <w:topLinePunct w:val="0"/>
              <w:autoSpaceDE/>
              <w:autoSpaceDN/>
              <w:bidi w:val="0"/>
              <w:spacing w:line="420" w:lineRule="exact"/>
              <w:ind w:left="0" w:right="0" w:firstLine="480"/>
              <w:textAlignment w:val="auto"/>
              <w:rPr>
                <w:rFonts w:hint="default" w:ascii="Times New Roman" w:hAnsi="Times New Roman" w:eastAsia="宋体" w:cs="Times New Roman"/>
                <w:spacing w:val="-2"/>
                <w:sz w:val="24"/>
                <w:szCs w:val="24"/>
              </w:rPr>
            </w:pPr>
            <w:r>
              <w:rPr>
                <w:rFonts w:hint="default" w:ascii="Times New Roman" w:hAnsi="Times New Roman" w:eastAsia="宋体" w:cs="Times New Roman"/>
                <w:spacing w:val="-2"/>
                <w:sz w:val="24"/>
                <w:szCs w:val="24"/>
                <w:lang w:val="en-US" w:eastAsia="zh-CN"/>
              </w:rPr>
              <w:drawing>
                <wp:anchor distT="0" distB="0" distL="114300" distR="114300" simplePos="0" relativeHeight="251662336" behindDoc="0" locked="0" layoutInCell="1" allowOverlap="1">
                  <wp:simplePos x="0" y="0"/>
                  <wp:positionH relativeFrom="column">
                    <wp:posOffset>1435100</wp:posOffset>
                  </wp:positionH>
                  <wp:positionV relativeFrom="paragraph">
                    <wp:posOffset>41275</wp:posOffset>
                  </wp:positionV>
                  <wp:extent cx="1914525" cy="415290"/>
                  <wp:effectExtent l="0" t="0" r="9525" b="3810"/>
                  <wp:wrapTopAndBottom/>
                  <wp:docPr id="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pic:cNvPicPr>
                            <a:picLocks noChangeAspect="1"/>
                          </pic:cNvPicPr>
                        </pic:nvPicPr>
                        <pic:blipFill>
                          <a:blip r:embed="rId16"/>
                          <a:stretch>
                            <a:fillRect/>
                          </a:stretch>
                        </pic:blipFill>
                        <pic:spPr>
                          <a:xfrm>
                            <a:off x="0" y="0"/>
                            <a:ext cx="1914525" cy="415290"/>
                          </a:xfrm>
                          <a:prstGeom prst="rect">
                            <a:avLst/>
                          </a:prstGeom>
                          <a:noFill/>
                          <a:ln>
                            <a:noFill/>
                          </a:ln>
                        </pic:spPr>
                      </pic:pic>
                    </a:graphicData>
                  </a:graphic>
                </wp:anchor>
              </w:drawing>
            </w:r>
            <w:r>
              <w:rPr>
                <w:rFonts w:hint="default" w:ascii="Times New Roman" w:hAnsi="Times New Roman" w:eastAsia="宋体" w:cs="Times New Roman"/>
                <w:spacing w:val="-2"/>
                <w:sz w:val="24"/>
                <w:szCs w:val="24"/>
              </w:rPr>
              <w:t>式中： q</w:t>
            </w:r>
            <w:r>
              <w:rPr>
                <w:rFonts w:hint="default" w:ascii="Times New Roman" w:hAnsi="Times New Roman" w:eastAsia="宋体" w:cs="Times New Roman"/>
                <w:spacing w:val="-2"/>
                <w:sz w:val="24"/>
                <w:szCs w:val="24"/>
                <w:vertAlign w:val="subscript"/>
              </w:rPr>
              <w:t>1</w:t>
            </w:r>
            <w:r>
              <w:rPr>
                <w:rFonts w:hint="default" w:ascii="Times New Roman" w:hAnsi="Times New Roman" w:eastAsia="宋体" w:cs="Times New Roman"/>
                <w:spacing w:val="-2"/>
                <w:sz w:val="24"/>
                <w:szCs w:val="24"/>
              </w:rPr>
              <w:t xml:space="preserve"> ，q</w:t>
            </w:r>
            <w:r>
              <w:rPr>
                <w:rFonts w:hint="default" w:ascii="Times New Roman" w:hAnsi="Times New Roman" w:eastAsia="宋体" w:cs="Times New Roman"/>
                <w:spacing w:val="-2"/>
                <w:sz w:val="24"/>
                <w:szCs w:val="24"/>
                <w:vertAlign w:val="subscript"/>
              </w:rPr>
              <w:t>2</w:t>
            </w:r>
            <w:r>
              <w:rPr>
                <w:rFonts w:hint="default" w:ascii="Times New Roman" w:hAnsi="Times New Roman" w:eastAsia="宋体" w:cs="Times New Roman"/>
                <w:spacing w:val="-2"/>
                <w:sz w:val="24"/>
                <w:szCs w:val="24"/>
              </w:rPr>
              <w:t xml:space="preserve"> ，... ，q</w:t>
            </w:r>
            <w:r>
              <w:rPr>
                <w:rFonts w:hint="default" w:ascii="Times New Roman" w:hAnsi="Times New Roman" w:eastAsia="宋体" w:cs="Times New Roman"/>
                <w:spacing w:val="-2"/>
                <w:sz w:val="24"/>
                <w:szCs w:val="24"/>
                <w:vertAlign w:val="subscript"/>
              </w:rPr>
              <w:t>n</w:t>
            </w:r>
            <w:r>
              <w:rPr>
                <w:rFonts w:hint="default" w:ascii="Times New Roman" w:hAnsi="Times New Roman" w:eastAsia="宋体" w:cs="Times New Roman"/>
                <w:spacing w:val="-2"/>
                <w:sz w:val="24"/>
                <w:szCs w:val="24"/>
              </w:rPr>
              <w:t>—每种危险物质最大存在量，t；</w:t>
            </w:r>
          </w:p>
          <w:p>
            <w:pPr>
              <w:keepNext w:val="0"/>
              <w:keepLines w:val="0"/>
              <w:pageBreakBefore w:val="0"/>
              <w:widowControl w:val="0"/>
              <w:kinsoku/>
              <w:wordWrap/>
              <w:overflowPunct/>
              <w:topLinePunct w:val="0"/>
              <w:autoSpaceDE/>
              <w:autoSpaceDN/>
              <w:bidi w:val="0"/>
              <w:spacing w:line="420" w:lineRule="exact"/>
              <w:ind w:left="0" w:right="0" w:firstLine="480"/>
              <w:textAlignment w:val="auto"/>
              <w:rPr>
                <w:rFonts w:hint="default" w:ascii="Times New Roman" w:hAnsi="Times New Roman" w:eastAsia="宋体" w:cs="Times New Roman"/>
                <w:spacing w:val="-2"/>
                <w:sz w:val="24"/>
                <w:szCs w:val="24"/>
              </w:rPr>
            </w:pPr>
            <w:r>
              <w:rPr>
                <w:rFonts w:hint="default" w:ascii="Times New Roman" w:hAnsi="Times New Roman" w:eastAsia="宋体" w:cs="Times New Roman"/>
                <w:spacing w:val="-2"/>
                <w:sz w:val="24"/>
                <w:szCs w:val="24"/>
              </w:rPr>
              <w:t>Q</w:t>
            </w:r>
            <w:r>
              <w:rPr>
                <w:rFonts w:hint="default" w:ascii="Times New Roman" w:hAnsi="Times New Roman" w:eastAsia="宋体" w:cs="Times New Roman"/>
                <w:spacing w:val="-2"/>
                <w:sz w:val="24"/>
                <w:szCs w:val="24"/>
                <w:vertAlign w:val="subscript"/>
              </w:rPr>
              <w:t xml:space="preserve">1 </w:t>
            </w:r>
            <w:r>
              <w:rPr>
                <w:rFonts w:hint="default" w:ascii="Times New Roman" w:hAnsi="Times New Roman" w:eastAsia="宋体" w:cs="Times New Roman"/>
                <w:spacing w:val="-2"/>
                <w:sz w:val="24"/>
                <w:szCs w:val="24"/>
              </w:rPr>
              <w:t>，Q</w:t>
            </w:r>
            <w:r>
              <w:rPr>
                <w:rFonts w:hint="default" w:ascii="Times New Roman" w:hAnsi="Times New Roman" w:eastAsia="宋体" w:cs="Times New Roman"/>
                <w:spacing w:val="-2"/>
                <w:sz w:val="24"/>
                <w:szCs w:val="24"/>
                <w:vertAlign w:val="subscript"/>
              </w:rPr>
              <w:t>2</w:t>
            </w:r>
            <w:r>
              <w:rPr>
                <w:rFonts w:hint="default" w:ascii="Times New Roman" w:hAnsi="Times New Roman" w:eastAsia="宋体" w:cs="Times New Roman"/>
                <w:spacing w:val="-2"/>
                <w:sz w:val="24"/>
                <w:szCs w:val="24"/>
              </w:rPr>
              <w:t xml:space="preserve"> ，... ，Q</w:t>
            </w:r>
            <w:r>
              <w:rPr>
                <w:rFonts w:hint="default" w:ascii="Times New Roman" w:hAnsi="Times New Roman" w:eastAsia="宋体" w:cs="Times New Roman"/>
                <w:spacing w:val="-2"/>
                <w:sz w:val="24"/>
                <w:szCs w:val="24"/>
                <w:vertAlign w:val="subscript"/>
              </w:rPr>
              <w:t>n</w:t>
            </w:r>
            <w:r>
              <w:rPr>
                <w:rFonts w:hint="default" w:ascii="Times New Roman" w:hAnsi="Times New Roman" w:eastAsia="宋体" w:cs="Times New Roman"/>
                <w:spacing w:val="-2"/>
                <w:sz w:val="24"/>
                <w:szCs w:val="24"/>
              </w:rPr>
              <w:t>—每种危险物质临界量，t；</w:t>
            </w:r>
          </w:p>
          <w:p>
            <w:pPr>
              <w:keepNext w:val="0"/>
              <w:keepLines w:val="0"/>
              <w:pageBreakBefore w:val="0"/>
              <w:widowControl w:val="0"/>
              <w:kinsoku/>
              <w:wordWrap/>
              <w:overflowPunct/>
              <w:topLinePunct w:val="0"/>
              <w:autoSpaceDE/>
              <w:autoSpaceDN/>
              <w:bidi w:val="0"/>
              <w:spacing w:line="420" w:lineRule="exact"/>
              <w:ind w:left="0" w:right="0" w:firstLine="480"/>
              <w:textAlignment w:val="auto"/>
              <w:rPr>
                <w:rFonts w:hint="default" w:ascii="Times New Roman" w:hAnsi="Times New Roman" w:eastAsia="宋体" w:cs="Times New Roman"/>
                <w:spacing w:val="-2"/>
                <w:sz w:val="24"/>
                <w:szCs w:val="24"/>
              </w:rPr>
            </w:pPr>
            <w:r>
              <w:rPr>
                <w:rFonts w:hint="default" w:ascii="Times New Roman" w:hAnsi="Times New Roman" w:eastAsia="宋体" w:cs="Times New Roman"/>
                <w:spacing w:val="-2"/>
                <w:sz w:val="24"/>
                <w:szCs w:val="24"/>
              </w:rPr>
              <w:t>当Q＜1 时，该项目环境风险潜势为I。</w:t>
            </w:r>
          </w:p>
          <w:p>
            <w:pPr>
              <w:keepNext w:val="0"/>
              <w:keepLines w:val="0"/>
              <w:pageBreakBefore w:val="0"/>
              <w:widowControl w:val="0"/>
              <w:kinsoku/>
              <w:wordWrap/>
              <w:overflowPunct/>
              <w:topLinePunct w:val="0"/>
              <w:autoSpaceDE/>
              <w:autoSpaceDN/>
              <w:bidi w:val="0"/>
              <w:spacing w:line="420" w:lineRule="exact"/>
              <w:ind w:left="0" w:right="0" w:firstLine="480"/>
              <w:textAlignment w:val="auto"/>
              <w:rPr>
                <w:rFonts w:hint="default" w:ascii="Times New Roman" w:hAnsi="Times New Roman" w:eastAsia="宋体" w:cs="Times New Roman"/>
                <w:spacing w:val="-2"/>
                <w:sz w:val="24"/>
                <w:szCs w:val="24"/>
              </w:rPr>
            </w:pPr>
            <w:r>
              <w:rPr>
                <w:rFonts w:hint="default" w:ascii="Times New Roman" w:hAnsi="Times New Roman" w:eastAsia="宋体" w:cs="Times New Roman"/>
                <w:spacing w:val="-2"/>
                <w:sz w:val="24"/>
                <w:szCs w:val="24"/>
              </w:rPr>
              <w:t>当 Q≥1 时，将Q值划分为：</w:t>
            </w:r>
            <w:r>
              <w:rPr>
                <w:rFonts w:hint="eastAsia" w:ascii="Times New Roman" w:hAnsi="Times New Roman" w:eastAsia="宋体" w:cs="Times New Roman"/>
                <w:spacing w:val="-2"/>
                <w:sz w:val="24"/>
                <w:szCs w:val="24"/>
                <w:lang w:eastAsia="zh-CN"/>
              </w:rPr>
              <w:t>（</w:t>
            </w:r>
            <w:r>
              <w:rPr>
                <w:rFonts w:hint="eastAsia" w:ascii="Times New Roman" w:hAnsi="Times New Roman" w:eastAsia="宋体" w:cs="Times New Roman"/>
                <w:spacing w:val="-2"/>
                <w:sz w:val="24"/>
                <w:szCs w:val="24"/>
                <w:lang w:val="en-US" w:eastAsia="zh-CN"/>
              </w:rPr>
              <w:t>1</w:t>
            </w:r>
            <w:r>
              <w:rPr>
                <w:rFonts w:hint="eastAsia" w:ascii="Times New Roman" w:hAnsi="Times New Roman" w:eastAsia="宋体" w:cs="Times New Roman"/>
                <w:spacing w:val="-2"/>
                <w:sz w:val="24"/>
                <w:szCs w:val="24"/>
                <w:lang w:eastAsia="zh-CN"/>
              </w:rPr>
              <w:t>）</w:t>
            </w:r>
            <w:r>
              <w:rPr>
                <w:rFonts w:hint="default" w:ascii="Times New Roman" w:hAnsi="Times New Roman" w:eastAsia="宋体" w:cs="Times New Roman"/>
                <w:spacing w:val="-2"/>
                <w:sz w:val="24"/>
                <w:szCs w:val="24"/>
              </w:rPr>
              <w:t>1≤Q＜10；（2）10≤Q＜100；（3）Q ≥100。</w:t>
            </w:r>
          </w:p>
          <w:p>
            <w:pPr>
              <w:keepNext w:val="0"/>
              <w:keepLines w:val="0"/>
              <w:pageBreakBefore w:val="0"/>
              <w:widowControl w:val="0"/>
              <w:kinsoku/>
              <w:wordWrap/>
              <w:overflowPunct/>
              <w:topLinePunct w:val="0"/>
              <w:autoSpaceDE/>
              <w:autoSpaceDN/>
              <w:bidi w:val="0"/>
              <w:adjustRightInd/>
              <w:snapToGrid/>
              <w:spacing w:line="420" w:lineRule="exact"/>
              <w:ind w:left="0" w:right="0" w:firstLine="454"/>
              <w:textAlignment w:val="auto"/>
              <w:rPr>
                <w:rFonts w:ascii="宋体" w:hAnsi="宋体" w:eastAsia="宋体" w:cs="宋体"/>
                <w:sz w:val="24"/>
                <w:szCs w:val="24"/>
              </w:rPr>
            </w:pPr>
            <w:r>
              <w:rPr>
                <w:rFonts w:ascii="宋体" w:hAnsi="宋体" w:eastAsia="宋体" w:cs="宋体"/>
                <w:spacing w:val="-5"/>
                <w:sz w:val="24"/>
                <w:szCs w:val="24"/>
              </w:rPr>
              <w:t>针对企业生产过程中使用到的原料、辅料、产品，对照《建设项目环境风</w:t>
            </w:r>
            <w:r>
              <w:rPr>
                <w:rFonts w:ascii="宋体" w:hAnsi="宋体" w:eastAsia="宋体" w:cs="宋体"/>
                <w:spacing w:val="-9"/>
                <w:sz w:val="24"/>
                <w:szCs w:val="24"/>
              </w:rPr>
              <w:t>险评价技术导则》（</w:t>
            </w:r>
            <w:r>
              <w:rPr>
                <w:rFonts w:ascii="Times New Roman" w:hAnsi="Times New Roman" w:eastAsia="Times New Roman" w:cs="Times New Roman"/>
                <w:spacing w:val="-9"/>
                <w:sz w:val="24"/>
                <w:szCs w:val="24"/>
              </w:rPr>
              <w:t>HJ169-2018</w:t>
            </w:r>
            <w:r>
              <w:rPr>
                <w:rFonts w:ascii="宋体" w:hAnsi="宋体" w:eastAsia="宋体" w:cs="宋体"/>
                <w:spacing w:val="-9"/>
                <w:sz w:val="24"/>
                <w:szCs w:val="24"/>
              </w:rPr>
              <w:t>）附录</w:t>
            </w:r>
            <w:r>
              <w:rPr>
                <w:rFonts w:ascii="宋体" w:hAnsi="宋体" w:eastAsia="宋体" w:cs="宋体"/>
                <w:spacing w:val="-64"/>
                <w:sz w:val="24"/>
                <w:szCs w:val="24"/>
              </w:rPr>
              <w:t xml:space="preserve"> </w:t>
            </w:r>
            <w:r>
              <w:rPr>
                <w:rFonts w:ascii="Times New Roman" w:hAnsi="Times New Roman" w:eastAsia="Times New Roman" w:cs="Times New Roman"/>
                <w:spacing w:val="-9"/>
                <w:sz w:val="24"/>
                <w:szCs w:val="24"/>
              </w:rPr>
              <w:t>B</w:t>
            </w:r>
            <w:r>
              <w:rPr>
                <w:rFonts w:ascii="宋体" w:hAnsi="宋体" w:eastAsia="宋体" w:cs="宋体"/>
                <w:spacing w:val="-9"/>
                <w:sz w:val="24"/>
                <w:szCs w:val="24"/>
              </w:rPr>
              <w:t>重点关注的危险物质及临界量，</w:t>
            </w:r>
            <w:r>
              <w:rPr>
                <w:rFonts w:ascii="宋体" w:hAnsi="宋体" w:eastAsia="宋体" w:cs="宋体"/>
                <w:spacing w:val="-6"/>
                <w:sz w:val="24"/>
                <w:szCs w:val="24"/>
              </w:rPr>
              <w:t>本项目废旧铅酸蓄电池最大贮存量为</w:t>
            </w:r>
            <w:r>
              <w:rPr>
                <w:rFonts w:ascii="宋体" w:hAnsi="宋体" w:eastAsia="宋体" w:cs="宋体"/>
                <w:spacing w:val="-42"/>
                <w:sz w:val="24"/>
                <w:szCs w:val="24"/>
              </w:rPr>
              <w:t xml:space="preserve"> </w:t>
            </w:r>
            <w:r>
              <w:rPr>
                <w:rFonts w:hint="eastAsia" w:ascii="Times New Roman" w:hAnsi="Times New Roman" w:eastAsia="宋体" w:cs="Times New Roman"/>
                <w:spacing w:val="-6"/>
                <w:sz w:val="24"/>
                <w:szCs w:val="24"/>
                <w:lang w:val="en-US" w:eastAsia="zh-CN"/>
              </w:rPr>
              <w:t>350</w:t>
            </w:r>
            <w:r>
              <w:rPr>
                <w:rFonts w:ascii="Times New Roman" w:hAnsi="Times New Roman" w:eastAsia="Times New Roman" w:cs="Times New Roman"/>
                <w:spacing w:val="-6"/>
                <w:sz w:val="24"/>
                <w:szCs w:val="24"/>
              </w:rPr>
              <w:t>t</w:t>
            </w:r>
            <w:r>
              <w:rPr>
                <w:rFonts w:ascii="Times New Roman" w:hAnsi="Times New Roman" w:eastAsia="Times New Roman" w:cs="Times New Roman"/>
                <w:spacing w:val="-36"/>
                <w:sz w:val="24"/>
                <w:szCs w:val="24"/>
              </w:rPr>
              <w:t xml:space="preserve"> </w:t>
            </w:r>
            <w:r>
              <w:rPr>
                <w:rFonts w:ascii="宋体" w:hAnsi="宋体" w:eastAsia="宋体" w:cs="宋体"/>
                <w:spacing w:val="-6"/>
                <w:sz w:val="24"/>
                <w:szCs w:val="24"/>
              </w:rPr>
              <w:t>，根据铅酸蓄电池成分组成表，</w:t>
            </w:r>
            <w:r>
              <w:rPr>
                <w:rFonts w:ascii="宋体" w:hAnsi="宋体" w:eastAsia="宋体" w:cs="宋体"/>
                <w:spacing w:val="-5"/>
                <w:sz w:val="24"/>
                <w:szCs w:val="24"/>
              </w:rPr>
              <w:t>电解液占比为</w:t>
            </w:r>
            <w:r>
              <w:rPr>
                <w:rFonts w:ascii="宋体" w:hAnsi="宋体" w:eastAsia="宋体" w:cs="宋体"/>
                <w:spacing w:val="-52"/>
                <w:sz w:val="24"/>
                <w:szCs w:val="24"/>
              </w:rPr>
              <w:t xml:space="preserve"> </w:t>
            </w:r>
            <w:r>
              <w:rPr>
                <w:rFonts w:ascii="Times New Roman" w:hAnsi="Times New Roman" w:eastAsia="Times New Roman" w:cs="Times New Roman"/>
                <w:spacing w:val="-5"/>
                <w:sz w:val="24"/>
                <w:szCs w:val="24"/>
              </w:rPr>
              <w:t>7%</w:t>
            </w:r>
            <w:r>
              <w:rPr>
                <w:rFonts w:hint="eastAsia" w:ascii="宋体" w:hAnsi="宋体" w:eastAsia="宋体" w:cs="宋体"/>
                <w:spacing w:val="-5"/>
                <w:sz w:val="24"/>
                <w:szCs w:val="24"/>
                <w:lang w:eastAsia="zh-CN"/>
              </w:rPr>
              <w:t>（</w:t>
            </w:r>
            <w:r>
              <w:rPr>
                <w:rFonts w:hint="eastAsia" w:ascii="Times New Roman" w:hAnsi="Times New Roman" w:eastAsia="宋体" w:cs="Times New Roman"/>
                <w:spacing w:val="-5"/>
                <w:sz w:val="24"/>
                <w:szCs w:val="24"/>
                <w:lang w:val="en-US" w:eastAsia="zh-CN"/>
              </w:rPr>
              <w:t>24.5</w:t>
            </w:r>
            <w:r>
              <w:rPr>
                <w:rFonts w:hint="default" w:ascii="Times New Roman" w:hAnsi="Times New Roman" w:eastAsia="宋体" w:cs="Times New Roman"/>
                <w:spacing w:val="-5"/>
                <w:sz w:val="24"/>
                <w:szCs w:val="24"/>
                <w:lang w:val="en-US" w:eastAsia="zh-CN"/>
              </w:rPr>
              <w:t>t</w:t>
            </w:r>
            <w:r>
              <w:rPr>
                <w:rFonts w:hint="eastAsia" w:ascii="宋体" w:hAnsi="宋体" w:eastAsia="宋体" w:cs="宋体"/>
                <w:spacing w:val="-5"/>
                <w:sz w:val="24"/>
                <w:szCs w:val="24"/>
                <w:lang w:eastAsia="zh-CN"/>
              </w:rPr>
              <w:t>）</w:t>
            </w:r>
            <w:r>
              <w:rPr>
                <w:rFonts w:ascii="宋体" w:hAnsi="宋体" w:eastAsia="宋体" w:cs="宋体"/>
                <w:spacing w:val="24"/>
                <w:sz w:val="24"/>
                <w:szCs w:val="24"/>
              </w:rPr>
              <w:t>，</w:t>
            </w:r>
            <w:r>
              <w:rPr>
                <w:rFonts w:ascii="宋体" w:hAnsi="宋体" w:eastAsia="宋体" w:cs="宋体"/>
                <w:spacing w:val="-5"/>
                <w:sz w:val="24"/>
                <w:szCs w:val="24"/>
              </w:rPr>
              <w:t>电解液中硫酸浓度约为</w:t>
            </w:r>
            <w:r>
              <w:rPr>
                <w:rFonts w:ascii="宋体" w:hAnsi="宋体" w:eastAsia="宋体" w:cs="宋体"/>
                <w:spacing w:val="-59"/>
                <w:sz w:val="24"/>
                <w:szCs w:val="24"/>
              </w:rPr>
              <w:t xml:space="preserve"> </w:t>
            </w:r>
            <w:r>
              <w:rPr>
                <w:rFonts w:ascii="Times New Roman" w:hAnsi="Times New Roman" w:eastAsia="Times New Roman" w:cs="Times New Roman"/>
                <w:spacing w:val="-5"/>
                <w:sz w:val="24"/>
                <w:szCs w:val="24"/>
              </w:rPr>
              <w:t>40%</w:t>
            </w:r>
            <w:r>
              <w:rPr>
                <w:rFonts w:ascii="Times New Roman" w:hAnsi="Times New Roman" w:eastAsia="Times New Roman" w:cs="Times New Roman"/>
                <w:spacing w:val="-31"/>
                <w:sz w:val="24"/>
                <w:szCs w:val="24"/>
              </w:rPr>
              <w:t xml:space="preserve"> </w:t>
            </w:r>
            <w:r>
              <w:rPr>
                <w:rFonts w:ascii="宋体" w:hAnsi="宋体" w:eastAsia="宋体" w:cs="宋体"/>
                <w:spacing w:val="-5"/>
                <w:sz w:val="24"/>
                <w:szCs w:val="24"/>
              </w:rPr>
              <w:t>，</w:t>
            </w:r>
            <w:r>
              <w:rPr>
                <w:rFonts w:hint="eastAsia" w:ascii="宋体" w:hAnsi="宋体" w:eastAsia="宋体" w:cs="宋体"/>
                <w:spacing w:val="-5"/>
                <w:sz w:val="24"/>
                <w:szCs w:val="24"/>
                <w:lang w:eastAsia="zh-CN"/>
              </w:rPr>
              <w:t>则</w:t>
            </w:r>
            <w:r>
              <w:rPr>
                <w:rFonts w:ascii="宋体" w:hAnsi="宋体" w:eastAsia="宋体" w:cs="宋体"/>
                <w:spacing w:val="-5"/>
                <w:sz w:val="24"/>
                <w:szCs w:val="24"/>
              </w:rPr>
              <w:t>项目</w:t>
            </w:r>
            <w:r>
              <w:rPr>
                <w:rFonts w:ascii="宋体" w:hAnsi="宋体" w:eastAsia="宋体" w:cs="宋体"/>
                <w:spacing w:val="-8"/>
                <w:sz w:val="24"/>
                <w:szCs w:val="24"/>
              </w:rPr>
              <w:t>硫酸</w:t>
            </w:r>
            <w:r>
              <w:rPr>
                <w:rFonts w:ascii="宋体" w:hAnsi="宋体" w:eastAsia="宋体" w:cs="宋体"/>
                <w:spacing w:val="-5"/>
                <w:sz w:val="24"/>
                <w:szCs w:val="24"/>
              </w:rPr>
              <w:t>最</w:t>
            </w:r>
            <w:r>
              <w:rPr>
                <w:rFonts w:ascii="宋体" w:hAnsi="宋体" w:eastAsia="宋体" w:cs="宋体"/>
                <w:spacing w:val="-8"/>
                <w:sz w:val="24"/>
                <w:szCs w:val="24"/>
              </w:rPr>
              <w:t>大贮存量为</w:t>
            </w:r>
            <w:r>
              <w:rPr>
                <w:rFonts w:hint="eastAsia" w:ascii="Times New Roman" w:hAnsi="Times New Roman" w:eastAsia="宋体" w:cs="Times New Roman"/>
                <w:spacing w:val="-8"/>
                <w:sz w:val="24"/>
                <w:szCs w:val="24"/>
                <w:lang w:val="en-US" w:eastAsia="zh-CN"/>
              </w:rPr>
              <w:t>9.8t</w:t>
            </w:r>
            <w:r>
              <w:rPr>
                <w:rFonts w:ascii="宋体" w:hAnsi="宋体" w:eastAsia="宋体" w:cs="宋体"/>
                <w:spacing w:val="-8"/>
                <w:sz w:val="24"/>
                <w:szCs w:val="24"/>
              </w:rPr>
              <w:t>，则项目环境风险物质存在量与其临界量比值</w:t>
            </w:r>
            <w:r>
              <w:rPr>
                <w:rFonts w:ascii="宋体" w:hAnsi="宋体" w:eastAsia="宋体" w:cs="宋体"/>
                <w:spacing w:val="-56"/>
                <w:sz w:val="24"/>
                <w:szCs w:val="24"/>
              </w:rPr>
              <w:t xml:space="preserve"> </w:t>
            </w:r>
            <w:r>
              <w:rPr>
                <w:rFonts w:hint="default" w:ascii="Times New Roman" w:hAnsi="Times New Roman" w:eastAsia="宋体" w:cs="Times New Roman"/>
                <w:spacing w:val="-56"/>
                <w:sz w:val="24"/>
                <w:szCs w:val="24"/>
                <w:lang w:val="en-US" w:eastAsia="zh-CN"/>
              </w:rPr>
              <w:t>Q</w:t>
            </w:r>
            <w:r>
              <w:rPr>
                <w:rFonts w:ascii="宋体" w:hAnsi="宋体" w:eastAsia="宋体" w:cs="宋体"/>
                <w:spacing w:val="-8"/>
                <w:sz w:val="24"/>
                <w:szCs w:val="24"/>
              </w:rPr>
              <w:t>计</w:t>
            </w:r>
            <w:r>
              <w:rPr>
                <w:rFonts w:ascii="宋体" w:hAnsi="宋体" w:eastAsia="宋体" w:cs="宋体"/>
                <w:spacing w:val="-6"/>
                <w:sz w:val="24"/>
                <w:szCs w:val="24"/>
              </w:rPr>
              <w:t>算结果见下表：</w:t>
            </w:r>
          </w:p>
          <w:p>
            <w:pPr>
              <w:keepNext w:val="0"/>
              <w:keepLines w:val="0"/>
              <w:pageBreakBefore w:val="0"/>
              <w:widowControl w:val="0"/>
              <w:kinsoku/>
              <w:wordWrap/>
              <w:overflowPunct/>
              <w:topLinePunct w:val="0"/>
              <w:autoSpaceDE/>
              <w:autoSpaceDN/>
              <w:bidi w:val="0"/>
              <w:adjustRightInd/>
              <w:snapToGrid/>
              <w:spacing w:line="420" w:lineRule="exact"/>
              <w:ind w:left="0" w:leftChars="0" w:firstLine="0" w:firstLineChars="0"/>
              <w:jc w:val="center"/>
              <w:textAlignment w:val="auto"/>
              <w:rPr>
                <w:rFonts w:hint="eastAsia" w:ascii="黑体" w:hAnsi="黑体" w:eastAsia="黑体" w:cs="黑体"/>
                <w:lang w:val="en-US" w:eastAsia="zh-CN"/>
              </w:rPr>
            </w:pPr>
            <w:r>
              <w:rPr>
                <w:rFonts w:hint="eastAsia" w:ascii="黑体" w:hAnsi="黑体" w:eastAsia="黑体" w:cs="黑体"/>
                <w:lang w:val="en-US" w:eastAsia="zh-CN"/>
              </w:rPr>
              <w:t>项目环境风险物质存在量与临界量比值Q计算结果一览表</w:t>
            </w:r>
          </w:p>
          <w:tbl>
            <w:tblPr>
              <w:tblStyle w:val="1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9"/>
              <w:gridCol w:w="1589"/>
              <w:gridCol w:w="1589"/>
              <w:gridCol w:w="1589"/>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r>
                    <w:rPr>
                      <w:rFonts w:hint="eastAsia"/>
                      <w:sz w:val="21"/>
                      <w:szCs w:val="21"/>
                      <w:vertAlign w:val="baseline"/>
                      <w:lang w:val="en-US" w:eastAsia="zh-CN"/>
                    </w:rPr>
                    <w:t>环境风险物质</w:t>
                  </w:r>
                </w:p>
              </w:tc>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r>
                    <w:rPr>
                      <w:rFonts w:hint="eastAsia"/>
                      <w:sz w:val="21"/>
                      <w:szCs w:val="21"/>
                      <w:vertAlign w:val="baseline"/>
                      <w:lang w:val="en-US" w:eastAsia="zh-CN"/>
                    </w:rPr>
                    <w:t>CAS号</w:t>
                  </w:r>
                </w:p>
              </w:tc>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r>
                    <w:rPr>
                      <w:rFonts w:hint="eastAsia"/>
                      <w:sz w:val="21"/>
                      <w:szCs w:val="21"/>
                      <w:vertAlign w:val="baseline"/>
                      <w:lang w:val="en-US" w:eastAsia="zh-CN"/>
                    </w:rPr>
                    <w:t>最大存在量</w:t>
                  </w:r>
                </w:p>
              </w:tc>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临界量</w:t>
                  </w:r>
                </w:p>
              </w:tc>
              <w:tc>
                <w:tcPr>
                  <w:tcW w:w="1590"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Q值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trPr>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sz w:val="21"/>
                      <w:szCs w:val="21"/>
                      <w:vertAlign w:val="baseline"/>
                      <w:lang w:val="en-US" w:eastAsia="zh-CN"/>
                    </w:rPr>
                  </w:pPr>
                  <w:r>
                    <w:rPr>
                      <w:rFonts w:hint="eastAsia"/>
                      <w:sz w:val="21"/>
                      <w:szCs w:val="21"/>
                      <w:vertAlign w:val="baseline"/>
                      <w:lang w:val="en-US" w:eastAsia="zh-CN"/>
                    </w:rPr>
                    <w:t>硫酸</w:t>
                  </w:r>
                </w:p>
              </w:tc>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7664-93-9</w:t>
                  </w:r>
                </w:p>
              </w:tc>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9.8t</w:t>
                  </w:r>
                </w:p>
              </w:tc>
              <w:tc>
                <w:tcPr>
                  <w:tcW w:w="1589"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10t</w:t>
                  </w:r>
                </w:p>
              </w:tc>
              <w:tc>
                <w:tcPr>
                  <w:tcW w:w="1590" w:type="dxa"/>
                  <w:vAlign w:val="top"/>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default"/>
                      <w:sz w:val="21"/>
                      <w:szCs w:val="21"/>
                      <w:vertAlign w:val="baseline"/>
                      <w:lang w:val="en-US" w:eastAsia="zh-CN"/>
                    </w:rPr>
                  </w:pPr>
                  <w:r>
                    <w:rPr>
                      <w:rFonts w:hint="eastAsia"/>
                      <w:sz w:val="21"/>
                      <w:szCs w:val="21"/>
                      <w:vertAlign w:val="baseline"/>
                      <w:lang w:val="en-US" w:eastAsia="zh-CN"/>
                    </w:rPr>
                    <w:t>0.98</w:t>
                  </w:r>
                </w:p>
              </w:tc>
            </w:tr>
          </w:tbl>
          <w:p>
            <w:pPr>
              <w:pStyle w:val="5"/>
              <w:keepNext w:val="0"/>
              <w:keepLines w:val="0"/>
              <w:pageBreakBefore w:val="0"/>
              <w:widowControl w:val="0"/>
              <w:kinsoku/>
              <w:wordWrap/>
              <w:overflowPunct/>
              <w:topLinePunct w:val="0"/>
              <w:autoSpaceDE/>
              <w:autoSpaceDN/>
              <w:bidi w:val="0"/>
              <w:adjustRightInd/>
              <w:snapToGrid/>
              <w:spacing w:line="420" w:lineRule="atLeast"/>
              <w:ind w:left="0" w:leftChars="0" w:firstLine="460" w:firstLineChars="200"/>
              <w:textAlignment w:val="auto"/>
              <w:rPr>
                <w:rFonts w:hint="default" w:eastAsia="宋体"/>
                <w:lang w:val="en-US" w:eastAsia="zh-CN"/>
              </w:rPr>
            </w:pPr>
            <w:r>
              <w:rPr>
                <w:rFonts w:hint="eastAsia" w:ascii="宋体" w:hAnsi="宋体" w:eastAsia="宋体" w:cs="宋体"/>
                <w:spacing w:val="-5"/>
                <w:kern w:val="2"/>
                <w:sz w:val="24"/>
                <w:szCs w:val="24"/>
                <w:lang w:val="en-US" w:eastAsia="zh-CN" w:bidi="ar-SA"/>
              </w:rPr>
              <w:t>由上表可知，项目风险物质最大存在量与临界量比值Q</w:t>
            </w:r>
            <w:r>
              <w:rPr>
                <w:rFonts w:hint="default" w:ascii="宋体" w:hAnsi="宋体" w:eastAsia="宋体" w:cs="宋体"/>
                <w:spacing w:val="-5"/>
                <w:kern w:val="2"/>
                <w:sz w:val="24"/>
                <w:szCs w:val="24"/>
                <w:lang w:val="en-US" w:eastAsia="zh-CN" w:bidi="ar-SA"/>
              </w:rPr>
              <w:t>＜</w:t>
            </w:r>
            <w:r>
              <w:rPr>
                <w:rFonts w:hint="eastAsia" w:ascii="宋体" w:hAnsi="宋体" w:eastAsia="宋体" w:cs="宋体"/>
                <w:spacing w:val="-5"/>
                <w:kern w:val="2"/>
                <w:sz w:val="24"/>
                <w:szCs w:val="24"/>
                <w:lang w:val="en-US" w:eastAsia="zh-CN" w:bidi="ar-SA"/>
              </w:rPr>
              <w:t>1</w:t>
            </w:r>
            <w:r>
              <w:rPr>
                <w:rFonts w:hint="eastAsia" w:ascii="Times New Roman" w:hAnsi="Times New Roman" w:eastAsia="宋体" w:cs="Times New Roman"/>
                <w:spacing w:val="-2"/>
                <w:sz w:val="24"/>
                <w:szCs w:val="24"/>
                <w:lang w:val="en-US" w:eastAsia="zh-CN"/>
              </w:rPr>
              <w:t>，项目环境风险潜势为</w:t>
            </w:r>
            <w:r>
              <w:rPr>
                <w:rFonts w:hint="default" w:ascii="Times New Roman" w:hAnsi="Times New Roman" w:eastAsia="宋体" w:cs="Times New Roman"/>
                <w:spacing w:val="-2"/>
                <w:sz w:val="24"/>
                <w:szCs w:val="24"/>
              </w:rPr>
              <w:t>I</w:t>
            </w:r>
            <w:r>
              <w:rPr>
                <w:rFonts w:hint="eastAsia" w:ascii="Times New Roman" w:hAnsi="Times New Roman" w:eastAsia="宋体" w:cs="Times New Roman"/>
                <w:spacing w:val="-2"/>
                <w:sz w:val="24"/>
                <w:szCs w:val="24"/>
                <w:lang w:eastAsia="zh-CN"/>
              </w:rPr>
              <w:t>。根据《建设项目环境风险评价技术导则》（</w:t>
            </w:r>
            <w:r>
              <w:rPr>
                <w:rFonts w:hint="eastAsia" w:ascii="Times New Roman" w:hAnsi="Times New Roman" w:eastAsia="宋体" w:cs="Times New Roman"/>
                <w:spacing w:val="-2"/>
                <w:sz w:val="24"/>
                <w:szCs w:val="24"/>
                <w:lang w:val="en-US" w:eastAsia="zh-CN"/>
              </w:rPr>
              <w:t>HJ169-2018</w:t>
            </w:r>
            <w:r>
              <w:rPr>
                <w:rFonts w:hint="eastAsia" w:ascii="Times New Roman" w:hAnsi="Times New Roman" w:eastAsia="宋体" w:cs="Times New Roman"/>
                <w:spacing w:val="-2"/>
                <w:sz w:val="24"/>
                <w:szCs w:val="24"/>
                <w:lang w:eastAsia="zh-CN"/>
              </w:rPr>
              <w:t>），项目环境风险评价等级划分如下：</w:t>
            </w:r>
          </w:p>
          <w:p>
            <w:pPr>
              <w:pStyle w:val="6"/>
              <w:keepNext w:val="0"/>
              <w:keepLines w:val="0"/>
              <w:pageBreakBefore w:val="0"/>
              <w:numPr>
                <w:ilvl w:val="0"/>
                <w:numId w:val="0"/>
              </w:numPr>
              <w:kinsoku/>
              <w:wordWrap/>
              <w:overflowPunct/>
              <w:topLinePunct w:val="0"/>
              <w:autoSpaceDE/>
              <w:autoSpaceDN/>
              <w:bidi w:val="0"/>
              <w:adjustRightInd/>
              <w:spacing w:before="0" w:after="0" w:line="240" w:lineRule="auto"/>
              <w:ind w:right="113" w:rightChars="0"/>
              <w:jc w:val="center"/>
              <w:textAlignment w:val="auto"/>
              <w:rPr>
                <w:rFonts w:hint="eastAsia" w:ascii="黑体" w:hAnsi="黑体" w:eastAsia="黑体" w:cs="黑体"/>
                <w:b w:val="0"/>
                <w:bCs/>
                <w:sz w:val="24"/>
                <w:lang w:val="en-US" w:eastAsia="zh-CN"/>
              </w:rPr>
            </w:pPr>
            <w:r>
              <w:rPr>
                <w:rFonts w:hint="eastAsia" w:ascii="黑体" w:hAnsi="黑体" w:eastAsia="黑体" w:cs="黑体"/>
                <w:b w:val="0"/>
                <w:bCs/>
                <w:sz w:val="24"/>
                <w:lang w:val="en-US" w:eastAsia="zh-CN"/>
              </w:rPr>
              <w:t>建设项目环境风险评价工作等级划分表</w:t>
            </w:r>
          </w:p>
          <w:tbl>
            <w:tblPr>
              <w:tblStyle w:val="16"/>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9"/>
              <w:gridCol w:w="1589"/>
              <w:gridCol w:w="1589"/>
              <w:gridCol w:w="1589"/>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环境风险潜势</w:t>
                  </w:r>
                </w:p>
              </w:tc>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Times New Roman" w:hAnsi="Times New Roman" w:eastAsia="Times New Roman" w:cs="Times New Roman"/>
                      <w:spacing w:val="-6"/>
                      <w:position w:val="-2"/>
                      <w:sz w:val="21"/>
                      <w:szCs w:val="21"/>
                    </w:rPr>
                    <w:t>IV</w:t>
                  </w:r>
                  <w:r>
                    <w:rPr>
                      <w:rFonts w:ascii="Times New Roman" w:hAnsi="Times New Roman" w:eastAsia="Times New Roman" w:cs="Times New Roman"/>
                      <w:spacing w:val="-24"/>
                      <w:position w:val="-2"/>
                      <w:sz w:val="21"/>
                      <w:szCs w:val="21"/>
                    </w:rPr>
                    <w:t xml:space="preserve"> </w:t>
                  </w:r>
                  <w:r>
                    <w:rPr>
                      <w:rFonts w:ascii="宋体" w:hAnsi="宋体" w:eastAsia="宋体" w:cs="宋体"/>
                      <w:spacing w:val="-6"/>
                      <w:position w:val="-2"/>
                      <w:sz w:val="21"/>
                      <w:szCs w:val="21"/>
                    </w:rPr>
                    <w:t>、</w:t>
                  </w:r>
                  <w:r>
                    <w:rPr>
                      <w:rFonts w:ascii="Times New Roman" w:hAnsi="Times New Roman" w:eastAsia="Times New Roman" w:cs="Times New Roman"/>
                      <w:spacing w:val="-6"/>
                      <w:position w:val="1"/>
                      <w:sz w:val="21"/>
                      <w:szCs w:val="21"/>
                    </w:rPr>
                    <w:t>IV</w:t>
                  </w:r>
                  <w:r>
                    <w:rPr>
                      <w:rFonts w:ascii="Times New Roman" w:hAnsi="Times New Roman" w:eastAsia="Times New Roman" w:cs="Times New Roman"/>
                      <w:spacing w:val="-6"/>
                      <w:position w:val="1"/>
                      <w:sz w:val="14"/>
                      <w:szCs w:val="14"/>
                    </w:rPr>
                    <w:t>+</w:t>
                  </w:r>
                </w:p>
              </w:tc>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Times New Roman" w:hAnsi="Times New Roman" w:eastAsia="Times New Roman" w:cs="Times New Roman"/>
                      <w:spacing w:val="-2"/>
                      <w:sz w:val="21"/>
                      <w:szCs w:val="21"/>
                    </w:rPr>
                    <w:t>III</w:t>
                  </w:r>
                </w:p>
              </w:tc>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Times New Roman" w:hAnsi="Times New Roman" w:eastAsia="Times New Roman" w:cs="Times New Roman"/>
                      <w:spacing w:val="-3"/>
                      <w:sz w:val="21"/>
                      <w:szCs w:val="21"/>
                    </w:rPr>
                    <w:t>II</w:t>
                  </w:r>
                </w:p>
              </w:tc>
              <w:tc>
                <w:tcPr>
                  <w:tcW w:w="1590"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Times New Roman" w:hAnsi="Times New Roman" w:eastAsia="Times New Roman" w:cs="Times New Roman"/>
                      <w:sz w:val="21"/>
                      <w:szCs w:val="21"/>
                    </w:rPr>
                    <w:t>I</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宋体" w:hAnsi="宋体" w:eastAsia="宋体" w:cs="宋体"/>
                      <w:spacing w:val="-2"/>
                      <w:sz w:val="21"/>
                      <w:szCs w:val="21"/>
                    </w:rPr>
                    <w:t>评价工作等级</w:t>
                  </w:r>
                </w:p>
              </w:tc>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宋体" w:hAnsi="宋体" w:eastAsia="宋体" w:cs="宋体"/>
                      <w:spacing w:val="30"/>
                      <w:w w:val="167"/>
                      <w:sz w:val="10"/>
                      <w:szCs w:val="10"/>
                    </w:rPr>
                    <w:t>一</w:t>
                  </w:r>
                </w:p>
              </w:tc>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宋体" w:hAnsi="宋体" w:eastAsia="宋体" w:cs="宋体"/>
                      <w:sz w:val="21"/>
                      <w:szCs w:val="21"/>
                    </w:rPr>
                    <w:t>二</w:t>
                  </w:r>
                </w:p>
              </w:tc>
              <w:tc>
                <w:tcPr>
                  <w:tcW w:w="1589"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宋体" w:hAnsi="宋体" w:eastAsia="宋体" w:cs="宋体"/>
                      <w:sz w:val="21"/>
                      <w:szCs w:val="21"/>
                    </w:rPr>
                    <w:t>三</w:t>
                  </w:r>
                </w:p>
              </w:tc>
              <w:tc>
                <w:tcPr>
                  <w:tcW w:w="1590" w:type="dxa"/>
                </w:tcPr>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center"/>
                    <w:textAlignment w:val="auto"/>
                    <w:rPr>
                      <w:rFonts w:hint="eastAsia" w:ascii="Times New Roman" w:hAnsi="Times New Roman" w:eastAsia="宋体" w:cs="Times New Roman"/>
                      <w:sz w:val="21"/>
                      <w:szCs w:val="21"/>
                      <w:vertAlign w:val="baseline"/>
                      <w:lang w:val="en-US" w:eastAsia="zh-CN"/>
                    </w:rPr>
                  </w:pPr>
                  <w:r>
                    <w:rPr>
                      <w:rFonts w:ascii="宋体" w:hAnsi="宋体" w:eastAsia="宋体" w:cs="宋体"/>
                      <w:spacing w:val="-3"/>
                      <w:sz w:val="21"/>
                      <w:szCs w:val="21"/>
                    </w:rPr>
                    <w:t>简单分析</w:t>
                  </w:r>
                  <w:r>
                    <w:rPr>
                      <w:rFonts w:ascii="宋体" w:hAnsi="宋体" w:eastAsia="宋体" w:cs="宋体"/>
                      <w:spacing w:val="-45"/>
                      <w:sz w:val="21"/>
                      <w:szCs w:val="21"/>
                    </w:rPr>
                    <w:t xml:space="preserve"> </w:t>
                  </w:r>
                  <w:r>
                    <w:rPr>
                      <w:rFonts w:ascii="Times New Roman" w:hAnsi="Times New Roman" w:eastAsia="Times New Roman" w:cs="Times New Roman"/>
                      <w:spacing w:val="-3"/>
                      <w:position w:val="6"/>
                      <w:sz w:val="14"/>
                      <w:szCs w:val="14"/>
                    </w:rPr>
                    <w: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946" w:type="dxa"/>
                  <w:gridSpan w:val="5"/>
                </w:tcPr>
                <w:p>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ascii="宋体" w:hAnsi="宋体" w:eastAsia="宋体" w:cs="宋体"/>
                      <w:sz w:val="21"/>
                      <w:szCs w:val="21"/>
                    </w:rPr>
                  </w:pPr>
                  <w:r>
                    <w:rPr>
                      <w:rFonts w:ascii="Times New Roman" w:hAnsi="Times New Roman" w:eastAsia="Times New Roman" w:cs="Times New Roman"/>
                      <w:spacing w:val="-1"/>
                      <w:position w:val="6"/>
                      <w:sz w:val="14"/>
                      <w:szCs w:val="14"/>
                    </w:rPr>
                    <w:t>a</w:t>
                  </w:r>
                  <w:r>
                    <w:rPr>
                      <w:rFonts w:ascii="Times New Roman" w:hAnsi="Times New Roman" w:eastAsia="Times New Roman" w:cs="Times New Roman"/>
                      <w:spacing w:val="29"/>
                      <w:position w:val="6"/>
                      <w:sz w:val="14"/>
                      <w:szCs w:val="14"/>
                    </w:rPr>
                    <w:t xml:space="preserve"> </w:t>
                  </w:r>
                  <w:r>
                    <w:rPr>
                      <w:rFonts w:ascii="宋体" w:hAnsi="宋体" w:eastAsia="宋体" w:cs="宋体"/>
                      <w:spacing w:val="-1"/>
                      <w:sz w:val="21"/>
                      <w:szCs w:val="21"/>
                    </w:rPr>
                    <w:t>是相对于详细评价工作内容而言，在描述危险物质、环境影响途径、环境危害后果、</w:t>
                  </w:r>
                </w:p>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jc w:val="left"/>
                    <w:textAlignment w:val="auto"/>
                    <w:rPr>
                      <w:rFonts w:ascii="宋体" w:hAnsi="宋体" w:eastAsia="宋体" w:cs="宋体"/>
                      <w:spacing w:val="-3"/>
                      <w:sz w:val="21"/>
                      <w:szCs w:val="21"/>
                    </w:rPr>
                  </w:pPr>
                  <w:r>
                    <w:rPr>
                      <w:rFonts w:ascii="宋体" w:hAnsi="宋体" w:eastAsia="宋体" w:cs="宋体"/>
                      <w:spacing w:val="-1"/>
                      <w:sz w:val="21"/>
                      <w:szCs w:val="21"/>
                    </w:rPr>
                    <w:t>风险防范措施等方面给出定性的说明。</w:t>
                  </w:r>
                </w:p>
              </w:tc>
            </w:tr>
          </w:tbl>
          <w:p>
            <w:pPr>
              <w:pStyle w:val="6"/>
              <w:keepNext w:val="0"/>
              <w:keepLines w:val="0"/>
              <w:pageBreakBefore w:val="0"/>
              <w:widowControl/>
              <w:numPr>
                <w:ilvl w:val="0"/>
                <w:numId w:val="0"/>
              </w:numPr>
              <w:kinsoku/>
              <w:wordWrap/>
              <w:overflowPunct/>
              <w:topLinePunct w:val="0"/>
              <w:autoSpaceDE/>
              <w:autoSpaceDN/>
              <w:bidi w:val="0"/>
              <w:adjustRightInd/>
              <w:snapToGrid w:val="0"/>
              <w:spacing w:before="0" w:after="0" w:line="420" w:lineRule="exact"/>
              <w:ind w:leftChars="0" w:right="113" w:rightChars="0" w:firstLine="480" w:firstLineChars="200"/>
              <w:jc w:val="both"/>
              <w:textAlignment w:val="auto"/>
              <w:rPr>
                <w:rFonts w:hint="default" w:ascii="Times New Roman" w:hAnsi="Times New Roman" w:eastAsia="宋体" w:cs="Times New Roman"/>
                <w:b w:val="0"/>
                <w:bCs/>
                <w:sz w:val="24"/>
                <w:lang w:val="en-US" w:eastAsia="zh-CN"/>
              </w:rPr>
            </w:pPr>
            <w:r>
              <w:rPr>
                <w:rFonts w:hint="eastAsia" w:cs="Times New Roman"/>
                <w:b w:val="0"/>
                <w:bCs/>
                <w:sz w:val="24"/>
                <w:lang w:val="en-US" w:eastAsia="zh-CN"/>
              </w:rPr>
              <w:t>6.2 环境风险分析</w:t>
            </w:r>
          </w:p>
          <w:p>
            <w:pPr>
              <w:pStyle w:val="6"/>
              <w:keepNext w:val="0"/>
              <w:keepLines w:val="0"/>
              <w:pageBreakBefore w:val="0"/>
              <w:widowControl/>
              <w:numPr>
                <w:ilvl w:val="0"/>
                <w:numId w:val="0"/>
              </w:numPr>
              <w:kinsoku/>
              <w:wordWrap/>
              <w:overflowPunct/>
              <w:topLinePunct w:val="0"/>
              <w:autoSpaceDE/>
              <w:autoSpaceDN/>
              <w:bidi w:val="0"/>
              <w:adjustRightInd/>
              <w:snapToGrid w:val="0"/>
              <w:spacing w:before="0" w:after="0" w:line="420" w:lineRule="exact"/>
              <w:ind w:leftChars="0" w:right="113" w:rightChars="0" w:firstLine="480" w:firstLineChars="200"/>
              <w:jc w:val="both"/>
              <w:textAlignment w:val="auto"/>
              <w:rPr>
                <w:rFonts w:hint="eastAsia" w:ascii="Times New Roman" w:hAnsi="Times New Roman" w:eastAsia="宋体" w:cs="Times New Roman"/>
                <w:b w:val="0"/>
                <w:bCs/>
                <w:sz w:val="24"/>
                <w:lang w:val="en-US" w:eastAsia="zh-CN"/>
              </w:rPr>
            </w:pPr>
            <w:r>
              <w:rPr>
                <w:rFonts w:hint="eastAsia" w:cs="Times New Roman"/>
                <w:b w:val="0"/>
                <w:bCs/>
                <w:sz w:val="24"/>
                <w:lang w:val="en-US" w:eastAsia="zh-CN"/>
              </w:rPr>
              <w:t>（1）环境影响途径</w:t>
            </w:r>
          </w:p>
          <w:p>
            <w:pPr>
              <w:pStyle w:val="6"/>
              <w:keepNext w:val="0"/>
              <w:keepLines w:val="0"/>
              <w:pageBreakBefore w:val="0"/>
              <w:widowControl/>
              <w:numPr>
                <w:ilvl w:val="0"/>
                <w:numId w:val="0"/>
              </w:numPr>
              <w:kinsoku/>
              <w:wordWrap/>
              <w:overflowPunct/>
              <w:topLinePunct w:val="0"/>
              <w:autoSpaceDE/>
              <w:autoSpaceDN/>
              <w:bidi w:val="0"/>
              <w:adjustRightInd/>
              <w:snapToGrid w:val="0"/>
              <w:spacing w:before="0" w:after="0" w:line="420" w:lineRule="exact"/>
              <w:ind w:leftChars="0" w:right="113" w:rightChars="0" w:firstLine="460" w:firstLineChars="200"/>
              <w:jc w:val="both"/>
              <w:textAlignment w:val="auto"/>
              <w:rPr>
                <w:rFonts w:hint="eastAsia" w:ascii="宋体" w:hAnsi="宋体" w:eastAsia="宋体" w:cs="宋体"/>
                <w:spacing w:val="-5"/>
                <w:kern w:val="2"/>
                <w:sz w:val="24"/>
                <w:szCs w:val="24"/>
                <w:lang w:val="en-US" w:eastAsia="zh-CN" w:bidi="ar-SA"/>
              </w:rPr>
            </w:pPr>
            <w:r>
              <w:rPr>
                <w:rFonts w:hint="eastAsia" w:ascii="宋体" w:hAnsi="宋体" w:eastAsia="宋体" w:cs="宋体"/>
                <w:spacing w:val="-5"/>
                <w:kern w:val="2"/>
                <w:sz w:val="24"/>
                <w:szCs w:val="24"/>
                <w:lang w:val="en-US" w:eastAsia="zh-CN" w:bidi="ar-SA"/>
              </w:rPr>
              <w:t>本项目环境影响途径主要为：</w:t>
            </w:r>
            <w:r>
              <w:rPr>
                <w:rFonts w:hint="default" w:ascii="宋体" w:hAnsi="宋体" w:eastAsia="宋体" w:cs="宋体"/>
                <w:spacing w:val="-5"/>
                <w:kern w:val="2"/>
                <w:sz w:val="24"/>
                <w:szCs w:val="24"/>
                <w:lang w:val="en-US" w:eastAsia="zh-CN" w:bidi="ar-SA"/>
              </w:rPr>
              <w:t>①</w:t>
            </w:r>
            <w:r>
              <w:rPr>
                <w:rFonts w:hint="eastAsia" w:ascii="宋体" w:hAnsi="宋体" w:eastAsia="宋体" w:cs="宋体"/>
                <w:spacing w:val="-5"/>
                <w:kern w:val="2"/>
                <w:sz w:val="24"/>
                <w:szCs w:val="24"/>
                <w:lang w:val="en-US" w:eastAsia="zh-CN" w:bidi="ar-SA"/>
              </w:rPr>
              <w:t>废铅蓄电池包装、贮存过程中收外力压迫导致破损后电解液流出并深入土壤造成项目所在区域土壤及地下水污染；</w:t>
            </w:r>
            <w:r>
              <w:rPr>
                <w:rFonts w:hint="default" w:ascii="宋体" w:hAnsi="宋体" w:eastAsia="宋体" w:cs="宋体"/>
                <w:spacing w:val="-5"/>
                <w:kern w:val="2"/>
                <w:sz w:val="24"/>
                <w:szCs w:val="24"/>
                <w:lang w:val="en-US" w:eastAsia="zh-CN" w:bidi="ar-SA"/>
              </w:rPr>
              <w:t>②</w:t>
            </w:r>
            <w:r>
              <w:rPr>
                <w:rFonts w:hint="eastAsia" w:ascii="宋体" w:hAnsi="宋体" w:eastAsia="宋体" w:cs="宋体"/>
                <w:spacing w:val="-5"/>
                <w:kern w:val="2"/>
                <w:sz w:val="24"/>
                <w:szCs w:val="24"/>
                <w:lang w:val="en-US" w:eastAsia="zh-CN" w:bidi="ar-SA"/>
              </w:rPr>
              <w:t>电池贮存过程中因电池未放电完全，同时发生短路引发火灾、爆炸并产生有毒有害气体引发周围环境空气污染。</w:t>
            </w:r>
          </w:p>
          <w:p>
            <w:pPr>
              <w:pStyle w:val="6"/>
              <w:keepNext w:val="0"/>
              <w:keepLines w:val="0"/>
              <w:pageBreakBefore w:val="0"/>
              <w:widowControl/>
              <w:numPr>
                <w:ilvl w:val="0"/>
                <w:numId w:val="0"/>
              </w:numPr>
              <w:kinsoku/>
              <w:wordWrap/>
              <w:overflowPunct/>
              <w:topLinePunct w:val="0"/>
              <w:autoSpaceDE/>
              <w:autoSpaceDN/>
              <w:bidi w:val="0"/>
              <w:adjustRightInd/>
              <w:snapToGrid w:val="0"/>
              <w:spacing w:before="0" w:after="0" w:line="420" w:lineRule="exact"/>
              <w:ind w:left="0" w:leftChars="0" w:right="0" w:rightChars="0" w:firstLine="480" w:firstLineChars="200"/>
              <w:jc w:val="both"/>
              <w:textAlignment w:val="auto"/>
              <w:rPr>
                <w:rFonts w:hint="eastAsia" w:ascii="Times New Roman" w:hAnsi="Times New Roman" w:eastAsia="宋体" w:cs="Times New Roman"/>
                <w:b w:val="0"/>
                <w:bCs/>
                <w:sz w:val="24"/>
                <w:lang w:val="en-US" w:eastAsia="zh-CN"/>
              </w:rPr>
            </w:pPr>
            <w:r>
              <w:rPr>
                <w:rFonts w:hint="eastAsia" w:ascii="Times New Roman" w:hAnsi="Times New Roman" w:eastAsia="宋体" w:cs="Times New Roman"/>
                <w:b w:val="0"/>
                <w:bCs/>
                <w:sz w:val="24"/>
                <w:lang w:val="en-US" w:eastAsia="zh-CN"/>
              </w:rPr>
              <w:t>（2）风险防范措施</w:t>
            </w:r>
          </w:p>
          <w:p>
            <w:pPr>
              <w:keepNext w:val="0"/>
              <w:keepLines w:val="0"/>
              <w:pageBreakBefore w:val="0"/>
              <w:kinsoku/>
              <w:wordWrap/>
              <w:overflowPunct/>
              <w:topLinePunct w:val="0"/>
              <w:autoSpaceDE/>
              <w:autoSpaceDN/>
              <w:bidi w:val="0"/>
              <w:adjustRightInd/>
              <w:spacing w:line="420" w:lineRule="exact"/>
              <w:ind w:left="0" w:right="0" w:firstLine="582"/>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kern w:val="2"/>
                <w:sz w:val="24"/>
                <w:szCs w:val="24"/>
                <w:lang w:val="en-US" w:eastAsia="zh-CN" w:bidi="ar-SA"/>
              </w:rPr>
              <w:t>①</w:t>
            </w:r>
            <w:r>
              <w:rPr>
                <w:rFonts w:hint="default" w:ascii="Times New Roman" w:hAnsi="Times New Roman" w:eastAsia="宋体" w:cs="Times New Roman"/>
                <w:spacing w:val="-7"/>
                <w:sz w:val="24"/>
                <w:szCs w:val="24"/>
              </w:rPr>
              <w:t>总平面布置和建筑安全防范措施</w:t>
            </w:r>
          </w:p>
          <w:p>
            <w:pPr>
              <w:keepNext w:val="0"/>
              <w:keepLines w:val="0"/>
              <w:pageBreakBefore w:val="0"/>
              <w:kinsoku/>
              <w:wordWrap/>
              <w:overflowPunct/>
              <w:topLinePunct w:val="0"/>
              <w:autoSpaceDE/>
              <w:autoSpaceDN/>
              <w:bidi w:val="0"/>
              <w:adjustRightInd/>
              <w:spacing w:line="420" w:lineRule="exact"/>
              <w:ind w:left="0" w:right="0" w:firstLine="471"/>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10"/>
                <w:sz w:val="24"/>
                <w:szCs w:val="24"/>
              </w:rPr>
              <w:t>项目贮存区装置及建筑物间均要求按照《建筑设计防火规范》</w:t>
            </w:r>
            <w:r>
              <w:rPr>
                <w:rFonts w:hint="default" w:ascii="Times New Roman" w:hAnsi="Times New Roman" w:eastAsia="宋体" w:cs="Times New Roman"/>
                <w:spacing w:val="37"/>
                <w:sz w:val="24"/>
                <w:szCs w:val="24"/>
              </w:rPr>
              <w:t xml:space="preserve"> </w:t>
            </w:r>
            <w:r>
              <w:rPr>
                <w:rFonts w:hint="default" w:ascii="Times New Roman" w:hAnsi="Times New Roman" w:eastAsia="宋体" w:cs="Times New Roman"/>
                <w:spacing w:val="-10"/>
                <w:sz w:val="24"/>
                <w:szCs w:val="24"/>
              </w:rPr>
              <w:t>的有关规定</w:t>
            </w:r>
            <w:r>
              <w:rPr>
                <w:rFonts w:hint="default" w:ascii="Times New Roman" w:hAnsi="Times New Roman" w:eastAsia="宋体" w:cs="Times New Roman"/>
                <w:sz w:val="24"/>
                <w:szCs w:val="24"/>
              </w:rPr>
              <w:t xml:space="preserve"> </w:t>
            </w:r>
            <w:r>
              <w:rPr>
                <w:rFonts w:hint="default" w:ascii="Times New Roman" w:hAnsi="Times New Roman" w:eastAsia="宋体" w:cs="Times New Roman"/>
                <w:spacing w:val="-9"/>
                <w:sz w:val="24"/>
                <w:szCs w:val="24"/>
              </w:rPr>
              <w:t>设置足够的防火安全距离，并按照《建筑灭火器配置设计规范》</w:t>
            </w:r>
            <w:r>
              <w:rPr>
                <w:rFonts w:hint="default" w:ascii="Times New Roman" w:hAnsi="Times New Roman" w:eastAsia="宋体" w:cs="Times New Roman"/>
                <w:spacing w:val="15"/>
                <w:sz w:val="24"/>
                <w:szCs w:val="24"/>
              </w:rPr>
              <w:t xml:space="preserve"> </w:t>
            </w:r>
            <w:r>
              <w:rPr>
                <w:rFonts w:hint="default" w:ascii="Times New Roman" w:hAnsi="Times New Roman" w:eastAsia="宋体" w:cs="Times New Roman"/>
                <w:spacing w:val="-9"/>
                <w:sz w:val="24"/>
                <w:szCs w:val="24"/>
              </w:rPr>
              <w:t>等要求配置相</w:t>
            </w:r>
            <w:r>
              <w:rPr>
                <w:rFonts w:hint="default" w:ascii="Times New Roman" w:hAnsi="Times New Roman" w:eastAsia="宋体" w:cs="Times New Roman"/>
                <w:sz w:val="24"/>
                <w:szCs w:val="24"/>
              </w:rPr>
              <w:t xml:space="preserve"> </w:t>
            </w:r>
            <w:r>
              <w:rPr>
                <w:rFonts w:hint="default" w:ascii="Times New Roman" w:hAnsi="Times New Roman" w:eastAsia="宋体" w:cs="Times New Roman"/>
                <w:spacing w:val="-6"/>
                <w:sz w:val="24"/>
                <w:szCs w:val="24"/>
              </w:rPr>
              <w:t>应的消防器材。</w:t>
            </w:r>
          </w:p>
          <w:p>
            <w:pPr>
              <w:keepNext w:val="0"/>
              <w:keepLines w:val="0"/>
              <w:pageBreakBefore w:val="0"/>
              <w:kinsoku/>
              <w:wordWrap/>
              <w:overflowPunct/>
              <w:topLinePunct w:val="0"/>
              <w:autoSpaceDE/>
              <w:autoSpaceDN/>
              <w:bidi w:val="0"/>
              <w:adjustRightInd/>
              <w:spacing w:line="420" w:lineRule="exact"/>
              <w:ind w:left="0" w:right="0" w:firstLine="582"/>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7"/>
                <w:sz w:val="24"/>
                <w:szCs w:val="24"/>
              </w:rPr>
              <w:t>②贮运过程中采取的防范措施</w:t>
            </w:r>
          </w:p>
          <w:p>
            <w:pPr>
              <w:keepNext w:val="0"/>
              <w:keepLines w:val="0"/>
              <w:pageBreakBefore w:val="0"/>
              <w:kinsoku/>
              <w:wordWrap/>
              <w:overflowPunct/>
              <w:topLinePunct w:val="0"/>
              <w:autoSpaceDE/>
              <w:autoSpaceDN/>
              <w:bidi w:val="0"/>
              <w:adjustRightInd/>
              <w:spacing w:line="420" w:lineRule="exact"/>
              <w:ind w:left="0" w:right="0" w:firstLine="468"/>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rPr>
              <w:t>贮存过程事故风险主要因设备泄漏而造成的火灾、水质污染等事故，是安</w:t>
            </w:r>
            <w:r>
              <w:rPr>
                <w:rFonts w:hint="default" w:ascii="Times New Roman" w:hAnsi="Times New Roman" w:eastAsia="宋体" w:cs="Times New Roman"/>
                <w:spacing w:val="3"/>
                <w:sz w:val="24"/>
                <w:szCs w:val="24"/>
              </w:rPr>
              <w:t xml:space="preserve"> </w:t>
            </w:r>
            <w:r>
              <w:rPr>
                <w:rFonts w:hint="default" w:ascii="Times New Roman" w:hAnsi="Times New Roman" w:eastAsia="宋体" w:cs="Times New Roman"/>
                <w:spacing w:val="-6"/>
                <w:sz w:val="24"/>
                <w:szCs w:val="24"/>
              </w:rPr>
              <w:t>全生产的重要方面。废铅酸蓄电池必须按规定设置警示标志，分类管理，分类</w:t>
            </w:r>
            <w:r>
              <w:rPr>
                <w:rFonts w:hint="default" w:ascii="Times New Roman" w:hAnsi="Times New Roman" w:eastAsia="宋体" w:cs="Times New Roman"/>
                <w:spacing w:val="-5"/>
                <w:sz w:val="24"/>
                <w:szCs w:val="24"/>
              </w:rPr>
              <w:t>存放配备必要的危险事故防范和应急技术装备。根据消防部门的要求配置消防</w:t>
            </w:r>
            <w:r>
              <w:rPr>
                <w:rFonts w:hint="default" w:ascii="Times New Roman" w:hAnsi="Times New Roman" w:eastAsia="宋体" w:cs="Times New Roman"/>
                <w:spacing w:val="-6"/>
                <w:sz w:val="24"/>
                <w:szCs w:val="24"/>
              </w:rPr>
              <w:t>设施。加强工作人员危险品贮存、使用防范事故的常识教育，明确各岗位的职</w:t>
            </w:r>
            <w:r>
              <w:rPr>
                <w:rFonts w:hint="default" w:ascii="Times New Roman" w:hAnsi="Times New Roman" w:eastAsia="宋体" w:cs="Times New Roman"/>
                <w:spacing w:val="-7"/>
                <w:sz w:val="24"/>
                <w:szCs w:val="24"/>
              </w:rPr>
              <w:t>责，施行事故防范岗位的责任制。</w:t>
            </w:r>
          </w:p>
          <w:p>
            <w:pPr>
              <w:keepNext w:val="0"/>
              <w:keepLines w:val="0"/>
              <w:pageBreakBefore w:val="0"/>
              <w:kinsoku/>
              <w:wordWrap/>
              <w:overflowPunct/>
              <w:topLinePunct w:val="0"/>
              <w:autoSpaceDE/>
              <w:autoSpaceDN/>
              <w:bidi w:val="0"/>
              <w:adjustRightInd/>
              <w:spacing w:line="420" w:lineRule="exact"/>
              <w:ind w:left="0" w:right="0" w:firstLine="467"/>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10"/>
                <w:sz w:val="24"/>
                <w:szCs w:val="24"/>
              </w:rPr>
              <w:t>根据《危险废物收集、贮存、运输技术规范》</w:t>
            </w:r>
            <w:r>
              <w:rPr>
                <w:rFonts w:hint="default" w:ascii="Times New Roman" w:hAnsi="Times New Roman" w:eastAsia="宋体" w:cs="Times New Roman"/>
                <w:spacing w:val="2"/>
                <w:sz w:val="24"/>
                <w:szCs w:val="24"/>
              </w:rPr>
              <w:t xml:space="preserve"> </w:t>
            </w:r>
            <w:r>
              <w:rPr>
                <w:rFonts w:hint="default" w:ascii="Times New Roman" w:hAnsi="Times New Roman" w:eastAsia="宋体" w:cs="Times New Roman"/>
                <w:spacing w:val="-10"/>
                <w:sz w:val="24"/>
                <w:szCs w:val="24"/>
              </w:rPr>
              <w:t>（</w:t>
            </w:r>
            <w:r>
              <w:rPr>
                <w:rFonts w:hint="default" w:ascii="Times New Roman" w:hAnsi="Times New Roman" w:eastAsia="Times New Roman" w:cs="Times New Roman"/>
                <w:spacing w:val="-10"/>
                <w:sz w:val="24"/>
                <w:szCs w:val="24"/>
              </w:rPr>
              <w:t>HJ2025-2012</w:t>
            </w:r>
            <w:r>
              <w:rPr>
                <w:rFonts w:hint="default" w:ascii="Times New Roman" w:hAnsi="Times New Roman" w:eastAsia="宋体" w:cs="Times New Roman"/>
                <w:spacing w:val="-10"/>
                <w:sz w:val="24"/>
                <w:szCs w:val="24"/>
              </w:rPr>
              <w:t>）和《危险废</w:t>
            </w:r>
            <w:r>
              <w:rPr>
                <w:rFonts w:hint="default" w:ascii="Times New Roman" w:hAnsi="Times New Roman" w:eastAsia="宋体" w:cs="Times New Roman"/>
                <w:spacing w:val="-6"/>
                <w:sz w:val="24"/>
                <w:szCs w:val="24"/>
              </w:rPr>
              <w:t>物贮存污染控制标准》（</w:t>
            </w:r>
            <w:r>
              <w:rPr>
                <w:rFonts w:hint="default" w:ascii="Times New Roman" w:hAnsi="Times New Roman" w:eastAsia="Times New Roman" w:cs="Times New Roman"/>
                <w:spacing w:val="-6"/>
                <w:sz w:val="24"/>
                <w:szCs w:val="24"/>
              </w:rPr>
              <w:t>GB18597-2001</w:t>
            </w:r>
            <w:r>
              <w:rPr>
                <w:rFonts w:hint="default" w:ascii="Times New Roman" w:hAnsi="Times New Roman" w:eastAsia="宋体" w:cs="Times New Roman"/>
                <w:spacing w:val="-6"/>
                <w:sz w:val="24"/>
                <w:szCs w:val="24"/>
              </w:rPr>
              <w:t>）及其</w:t>
            </w:r>
            <w:r>
              <w:rPr>
                <w:rFonts w:hint="default" w:ascii="Times New Roman" w:hAnsi="Times New Roman" w:eastAsia="宋体" w:cs="Times New Roman"/>
                <w:spacing w:val="-57"/>
                <w:sz w:val="24"/>
                <w:szCs w:val="24"/>
              </w:rPr>
              <w:t xml:space="preserve"> </w:t>
            </w:r>
            <w:r>
              <w:rPr>
                <w:rFonts w:hint="default" w:ascii="Times New Roman" w:hAnsi="Times New Roman" w:eastAsia="Times New Roman" w:cs="Times New Roman"/>
                <w:spacing w:val="-6"/>
                <w:sz w:val="24"/>
                <w:szCs w:val="24"/>
              </w:rPr>
              <w:t>2013</w:t>
            </w:r>
            <w:r>
              <w:rPr>
                <w:rFonts w:hint="default" w:ascii="Times New Roman" w:hAnsi="Times New Roman" w:eastAsia="Times New Roman" w:cs="Times New Roman"/>
                <w:spacing w:val="8"/>
                <w:sz w:val="24"/>
                <w:szCs w:val="24"/>
              </w:rPr>
              <w:t xml:space="preserve"> </w:t>
            </w:r>
            <w:r>
              <w:rPr>
                <w:rFonts w:hint="default" w:ascii="Times New Roman" w:hAnsi="Times New Roman" w:eastAsia="宋体" w:cs="Times New Roman"/>
                <w:spacing w:val="-6"/>
                <w:sz w:val="24"/>
                <w:szCs w:val="24"/>
              </w:rPr>
              <w:t>年修改单，危险废物贮存主要要求如下：</w:t>
            </w:r>
          </w:p>
          <w:p>
            <w:pPr>
              <w:keepNext w:val="0"/>
              <w:keepLines w:val="0"/>
              <w:pageBreakBefore w:val="0"/>
              <w:kinsoku/>
              <w:wordWrap/>
              <w:overflowPunct/>
              <w:topLinePunct w:val="0"/>
              <w:autoSpaceDE/>
              <w:autoSpaceDN/>
              <w:bidi w:val="0"/>
              <w:adjustRightInd/>
              <w:spacing w:line="420" w:lineRule="exact"/>
              <w:ind w:left="0" w:right="0" w:firstLine="107"/>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9"/>
                <w:sz w:val="24"/>
                <w:szCs w:val="24"/>
                <w:lang w:val="en-US" w:eastAsia="zh-CN"/>
              </w:rPr>
              <w:t>a</w:t>
            </w:r>
            <w:r>
              <w:rPr>
                <w:rFonts w:hint="default" w:ascii="Times New Roman" w:hAnsi="Times New Roman" w:eastAsia="宋体" w:cs="Times New Roman"/>
                <w:spacing w:val="-9"/>
                <w:sz w:val="24"/>
                <w:szCs w:val="24"/>
                <w:lang w:eastAsia="zh-CN"/>
              </w:rPr>
              <w:t>、</w:t>
            </w:r>
            <w:r>
              <w:rPr>
                <w:rFonts w:hint="default" w:ascii="Times New Roman" w:hAnsi="Times New Roman" w:eastAsia="宋体" w:cs="Times New Roman"/>
                <w:spacing w:val="-9"/>
                <w:sz w:val="24"/>
                <w:szCs w:val="24"/>
              </w:rPr>
              <w:t>项目仓库地面采用高标号水泥硬化防渗，并敷设不低于</w:t>
            </w:r>
            <w:r>
              <w:rPr>
                <w:rFonts w:hint="default" w:ascii="Times New Roman" w:hAnsi="Times New Roman" w:eastAsia="宋体" w:cs="Times New Roman"/>
                <w:spacing w:val="-55"/>
                <w:sz w:val="24"/>
                <w:szCs w:val="24"/>
              </w:rPr>
              <w:t xml:space="preserve"> </w:t>
            </w:r>
            <w:r>
              <w:rPr>
                <w:rFonts w:hint="default" w:ascii="Times New Roman" w:hAnsi="Times New Roman" w:eastAsia="Times New Roman" w:cs="Times New Roman"/>
                <w:spacing w:val="-9"/>
                <w:sz w:val="24"/>
                <w:szCs w:val="24"/>
              </w:rPr>
              <w:t>2mm</w:t>
            </w:r>
            <w:r>
              <w:rPr>
                <w:rFonts w:hint="default" w:ascii="Times New Roman" w:hAnsi="Times New Roman" w:eastAsia="Times New Roman" w:cs="Times New Roman"/>
                <w:spacing w:val="3"/>
                <w:w w:val="101"/>
                <w:sz w:val="24"/>
                <w:szCs w:val="24"/>
              </w:rPr>
              <w:t xml:space="preserve"> </w:t>
            </w:r>
            <w:r>
              <w:rPr>
                <w:rFonts w:hint="default" w:ascii="Times New Roman" w:hAnsi="Times New Roman" w:eastAsia="宋体" w:cs="Times New Roman"/>
                <w:spacing w:val="-9"/>
                <w:sz w:val="24"/>
                <w:szCs w:val="24"/>
              </w:rPr>
              <w:t>环氧树脂防</w:t>
            </w:r>
            <w:r>
              <w:rPr>
                <w:rFonts w:hint="default" w:ascii="Times New Roman" w:hAnsi="Times New Roman" w:eastAsia="宋体" w:cs="Times New Roman"/>
                <w:sz w:val="24"/>
                <w:szCs w:val="24"/>
              </w:rPr>
              <w:t xml:space="preserve"> </w:t>
            </w:r>
            <w:r>
              <w:rPr>
                <w:rFonts w:hint="default" w:ascii="Times New Roman" w:hAnsi="Times New Roman" w:eastAsia="宋体" w:cs="Times New Roman"/>
                <w:spacing w:val="-6"/>
                <w:sz w:val="24"/>
                <w:szCs w:val="24"/>
              </w:rPr>
              <w:t>渗层，使渗透系数不大于</w:t>
            </w:r>
            <w:r>
              <w:rPr>
                <w:rFonts w:hint="default" w:ascii="Times New Roman" w:hAnsi="Times New Roman" w:eastAsia="宋体" w:cs="Times New Roman"/>
                <w:spacing w:val="-22"/>
                <w:sz w:val="24"/>
                <w:szCs w:val="24"/>
              </w:rPr>
              <w:t xml:space="preserve"> </w:t>
            </w:r>
            <w:r>
              <w:rPr>
                <w:rFonts w:hint="default" w:ascii="Times New Roman" w:hAnsi="Times New Roman" w:eastAsia="Times New Roman" w:cs="Times New Roman"/>
                <w:spacing w:val="-6"/>
                <w:sz w:val="24"/>
                <w:szCs w:val="24"/>
              </w:rPr>
              <w:t>10</w:t>
            </w:r>
            <w:r>
              <w:rPr>
                <w:rFonts w:hint="default" w:ascii="Times New Roman" w:hAnsi="Times New Roman" w:eastAsia="Times New Roman" w:cs="Times New Roman"/>
                <w:spacing w:val="-6"/>
                <w:position w:val="8"/>
                <w:sz w:val="24"/>
                <w:szCs w:val="24"/>
              </w:rPr>
              <w:t>-10</w:t>
            </w:r>
            <w:r>
              <w:rPr>
                <w:rFonts w:hint="default" w:ascii="Times New Roman" w:hAnsi="Times New Roman" w:eastAsia="Times New Roman" w:cs="Times New Roman"/>
                <w:spacing w:val="-6"/>
                <w:sz w:val="24"/>
                <w:szCs w:val="24"/>
              </w:rPr>
              <w:t>cm/s</w:t>
            </w:r>
            <w:r>
              <w:rPr>
                <w:rFonts w:hint="default" w:ascii="Times New Roman" w:hAnsi="Times New Roman" w:eastAsia="Times New Roman" w:cs="Times New Roman"/>
                <w:spacing w:val="-35"/>
                <w:sz w:val="24"/>
                <w:szCs w:val="24"/>
              </w:rPr>
              <w:t xml:space="preserve"> </w:t>
            </w:r>
            <w:r>
              <w:rPr>
                <w:rFonts w:hint="default" w:ascii="Times New Roman" w:hAnsi="Times New Roman" w:eastAsia="宋体" w:cs="Times New Roman"/>
                <w:spacing w:val="-6"/>
                <w:sz w:val="24"/>
                <w:szCs w:val="24"/>
              </w:rPr>
              <w:t>，车间窗户全部采用密闭不开启式窗，维持微负压状态，设置通风系统和排气系统。</w:t>
            </w:r>
          </w:p>
          <w:p>
            <w:pPr>
              <w:keepNext w:val="0"/>
              <w:keepLines w:val="0"/>
              <w:pageBreakBefore w:val="0"/>
              <w:kinsoku/>
              <w:wordWrap/>
              <w:overflowPunct/>
              <w:topLinePunct w:val="0"/>
              <w:autoSpaceDE/>
              <w:autoSpaceDN/>
              <w:bidi w:val="0"/>
              <w:adjustRightInd/>
              <w:spacing w:line="420" w:lineRule="exact"/>
              <w:ind w:left="0" w:right="0" w:firstLine="464"/>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b</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②必须有泄漏液体收集装置，项目泄露的废电解液经仓库地面导流沟引流</w:t>
            </w:r>
            <w:r>
              <w:rPr>
                <w:rFonts w:hint="default" w:ascii="Times New Roman" w:hAnsi="Times New Roman" w:eastAsia="宋体" w:cs="Times New Roman"/>
                <w:spacing w:val="3"/>
                <w:sz w:val="24"/>
                <w:szCs w:val="24"/>
              </w:rPr>
              <w:t xml:space="preserve"> </w:t>
            </w:r>
            <w:r>
              <w:rPr>
                <w:rFonts w:hint="default" w:ascii="Times New Roman" w:hAnsi="Times New Roman" w:eastAsia="宋体" w:cs="Times New Roman"/>
                <w:spacing w:val="-6"/>
                <w:sz w:val="24"/>
                <w:szCs w:val="24"/>
              </w:rPr>
              <w:t>至废电解液集液池。用以存放装载液体、半固体危险废物容器的地方，必须有</w:t>
            </w:r>
            <w:r>
              <w:rPr>
                <w:rFonts w:hint="default" w:ascii="Times New Roman" w:hAnsi="Times New Roman" w:eastAsia="宋体" w:cs="Times New Roman"/>
                <w:spacing w:val="-7"/>
                <w:sz w:val="24"/>
                <w:szCs w:val="24"/>
              </w:rPr>
              <w:t>耐腐蚀的硬化地面且表面无裂隙。</w:t>
            </w:r>
          </w:p>
          <w:p>
            <w:pPr>
              <w:keepNext w:val="0"/>
              <w:keepLines w:val="0"/>
              <w:pageBreakBefore w:val="0"/>
              <w:kinsoku/>
              <w:wordWrap/>
              <w:overflowPunct/>
              <w:topLinePunct w:val="0"/>
              <w:autoSpaceDE/>
              <w:autoSpaceDN/>
              <w:bidi w:val="0"/>
              <w:adjustRightInd/>
              <w:spacing w:line="420" w:lineRule="exact"/>
              <w:ind w:left="0" w:right="0" w:firstLine="463"/>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c</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仓库管理人员，必须经过专业知识培训，熟悉贮存物品的特性、事故处</w:t>
            </w:r>
            <w:r>
              <w:rPr>
                <w:rFonts w:hint="default" w:ascii="Times New Roman" w:hAnsi="Times New Roman" w:eastAsia="宋体" w:cs="Times New Roman"/>
                <w:spacing w:val="-7"/>
                <w:sz w:val="24"/>
                <w:szCs w:val="24"/>
              </w:rPr>
              <w:t>理办法和防护知识，持证上岗，同时必须配备有关的个人防护用品。</w:t>
            </w:r>
          </w:p>
          <w:p>
            <w:pPr>
              <w:keepNext w:val="0"/>
              <w:keepLines w:val="0"/>
              <w:pageBreakBefore w:val="0"/>
              <w:kinsoku/>
              <w:wordWrap/>
              <w:overflowPunct/>
              <w:topLinePunct w:val="0"/>
              <w:autoSpaceDE/>
              <w:autoSpaceDN/>
              <w:bidi w:val="0"/>
              <w:adjustRightInd/>
              <w:spacing w:line="420" w:lineRule="exact"/>
              <w:ind w:left="0" w:right="0" w:firstLine="464"/>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d</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④盛装废铅酸蓄电池的容器上必须粘贴相应危险废物标志。危险废物贮存</w:t>
            </w:r>
            <w:r>
              <w:rPr>
                <w:rFonts w:hint="default" w:ascii="Times New Roman" w:hAnsi="Times New Roman" w:eastAsia="宋体" w:cs="Times New Roman"/>
                <w:spacing w:val="3"/>
                <w:sz w:val="24"/>
                <w:szCs w:val="24"/>
              </w:rPr>
              <w:t xml:space="preserve"> </w:t>
            </w:r>
            <w:r>
              <w:rPr>
                <w:rFonts w:hint="default" w:ascii="Times New Roman" w:hAnsi="Times New Roman" w:eastAsia="宋体" w:cs="Times New Roman"/>
                <w:spacing w:val="-12"/>
                <w:sz w:val="24"/>
                <w:szCs w:val="24"/>
              </w:rPr>
              <w:t>设施都必须按环境保护图形标志《固体废物贮存（处置）场》（</w:t>
            </w:r>
            <w:r>
              <w:rPr>
                <w:rFonts w:hint="default" w:ascii="Times New Roman" w:hAnsi="Times New Roman" w:eastAsia="Times New Roman" w:cs="Times New Roman"/>
                <w:spacing w:val="-12"/>
                <w:sz w:val="24"/>
                <w:szCs w:val="24"/>
              </w:rPr>
              <w:t>GB15562.2-</w:t>
            </w:r>
            <w:r>
              <w:rPr>
                <w:rFonts w:hint="default" w:ascii="Times New Roman" w:hAnsi="Times New Roman" w:eastAsia="Times New Roman" w:cs="Times New Roman"/>
                <w:spacing w:val="-35"/>
                <w:sz w:val="24"/>
                <w:szCs w:val="24"/>
              </w:rPr>
              <w:t xml:space="preserve"> </w:t>
            </w:r>
            <w:r>
              <w:rPr>
                <w:rFonts w:hint="default" w:ascii="Times New Roman" w:hAnsi="Times New Roman" w:eastAsia="Times New Roman" w:cs="Times New Roman"/>
                <w:spacing w:val="-12"/>
                <w:sz w:val="24"/>
                <w:szCs w:val="24"/>
              </w:rPr>
              <w:t>1995</w:t>
            </w:r>
            <w:r>
              <w:rPr>
                <w:rFonts w:hint="default" w:ascii="Times New Roman" w:hAnsi="Times New Roman" w:eastAsia="宋体" w:cs="Times New Roman"/>
                <w:spacing w:val="-6"/>
                <w:sz w:val="24"/>
                <w:szCs w:val="24"/>
              </w:rPr>
              <w:t>）的规定设置警示标志。库房、场所的消防设施、用电设施、防雷防静电设施</w:t>
            </w:r>
            <w:r>
              <w:rPr>
                <w:rFonts w:hint="default" w:ascii="Times New Roman" w:hAnsi="Times New Roman" w:eastAsia="宋体" w:cs="Times New Roman"/>
                <w:spacing w:val="-7"/>
                <w:sz w:val="24"/>
                <w:szCs w:val="24"/>
              </w:rPr>
              <w:t>等必须符合国家规定的安全要求。</w:t>
            </w:r>
          </w:p>
          <w:p>
            <w:pPr>
              <w:keepNext w:val="0"/>
              <w:keepLines w:val="0"/>
              <w:pageBreakBefore w:val="0"/>
              <w:kinsoku/>
              <w:wordWrap/>
              <w:overflowPunct/>
              <w:topLinePunct w:val="0"/>
              <w:autoSpaceDE/>
              <w:autoSpaceDN/>
              <w:bidi w:val="0"/>
              <w:adjustRightInd/>
              <w:spacing w:line="420" w:lineRule="exact"/>
              <w:ind w:left="0" w:right="0" w:firstLine="466"/>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e</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如实记载每批废铅酸蓄电池的名称、来源、数量、特性和包装容器的类</w:t>
            </w:r>
            <w:r>
              <w:rPr>
                <w:rFonts w:hint="default" w:ascii="Times New Roman" w:hAnsi="Times New Roman" w:eastAsia="宋体" w:cs="Times New Roman"/>
                <w:spacing w:val="3"/>
                <w:sz w:val="24"/>
                <w:szCs w:val="24"/>
              </w:rPr>
              <w:t xml:space="preserve"> </w:t>
            </w:r>
            <w:r>
              <w:rPr>
                <w:rFonts w:hint="default" w:ascii="Times New Roman" w:hAnsi="Times New Roman" w:eastAsia="宋体" w:cs="Times New Roman"/>
                <w:spacing w:val="-6"/>
                <w:sz w:val="24"/>
                <w:szCs w:val="24"/>
              </w:rPr>
              <w:t>别、入库日期、存放库位、废物出库日期及接收单位名称。该记录在危险废物转运后应继续保留三年。出入库必须检查验收登记，贮存期间定期养护，控制</w:t>
            </w:r>
            <w:r>
              <w:rPr>
                <w:rFonts w:hint="default" w:ascii="Times New Roman" w:hAnsi="Times New Roman" w:eastAsia="宋体" w:cs="Times New Roman"/>
                <w:spacing w:val="-11"/>
                <w:sz w:val="24"/>
                <w:szCs w:val="24"/>
              </w:rPr>
              <w:t>好贮存场所的温度和湿度；装卸、搬运时应轻装轻卸，注意自我防护。定期对</w:t>
            </w:r>
            <w:r>
              <w:rPr>
                <w:rFonts w:hint="default" w:ascii="Times New Roman" w:hAnsi="Times New Roman" w:eastAsia="宋体" w:cs="Times New Roman"/>
                <w:spacing w:val="-6"/>
                <w:sz w:val="24"/>
                <w:szCs w:val="24"/>
              </w:rPr>
              <w:t>所暂存的废铅酸蓄电池容器及暂存设施进行检查，发现破损，及时采取措施清理更换。</w:t>
            </w:r>
          </w:p>
          <w:p>
            <w:pPr>
              <w:keepNext w:val="0"/>
              <w:keepLines w:val="0"/>
              <w:pageBreakBefore w:val="0"/>
              <w:kinsoku/>
              <w:wordWrap/>
              <w:overflowPunct/>
              <w:topLinePunct w:val="0"/>
              <w:autoSpaceDE/>
              <w:autoSpaceDN/>
              <w:bidi w:val="0"/>
              <w:adjustRightInd/>
              <w:spacing w:line="420" w:lineRule="exact"/>
              <w:ind w:left="0" w:right="0" w:firstLine="449"/>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6"/>
                <w:sz w:val="24"/>
                <w:szCs w:val="24"/>
                <w:lang w:val="en-US" w:eastAsia="zh-CN"/>
              </w:rPr>
              <w:t>f</w:t>
            </w:r>
            <w:r>
              <w:rPr>
                <w:rFonts w:hint="default"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要严格遵守有关贮存的安全规定，具体包括《仓库防火安全管理规则》</w:t>
            </w:r>
            <w:r>
              <w:rPr>
                <w:rFonts w:hint="default" w:ascii="Times New Roman" w:hAnsi="Times New Roman" w:eastAsia="宋体" w:cs="Times New Roman"/>
                <w:spacing w:val="-16"/>
                <w:sz w:val="24"/>
                <w:szCs w:val="24"/>
              </w:rPr>
              <w:t>、《建筑设计防火规范》等。</w:t>
            </w:r>
          </w:p>
          <w:p>
            <w:pPr>
              <w:keepNext w:val="0"/>
              <w:keepLines w:val="0"/>
              <w:pageBreakBefore w:val="0"/>
              <w:kinsoku/>
              <w:wordWrap/>
              <w:overflowPunct/>
              <w:topLinePunct w:val="0"/>
              <w:autoSpaceDE/>
              <w:autoSpaceDN/>
              <w:bidi w:val="0"/>
              <w:adjustRightInd/>
              <w:spacing w:line="420" w:lineRule="exact"/>
              <w:ind w:left="0" w:right="0" w:firstLine="466"/>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g</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仓库内配备足够数量的消防设备、干粉灭火器等，值班人员</w:t>
            </w:r>
            <w:r>
              <w:rPr>
                <w:rFonts w:hint="default" w:ascii="Times New Roman" w:hAnsi="Times New Roman" w:eastAsia="宋体" w:cs="Times New Roman"/>
                <w:spacing w:val="-6"/>
                <w:sz w:val="24"/>
                <w:szCs w:val="24"/>
              </w:rPr>
              <w:t>应经过培训，除了具有一般消防知识之外，还应熟悉废铅酸蓄电池的种类、特性、贮存地点、事故的处理程序及方法。力争将火灾隐患消灭在</w:t>
            </w:r>
            <w:r>
              <w:rPr>
                <w:rFonts w:hint="default" w:ascii="Times New Roman" w:hAnsi="Times New Roman" w:eastAsia="宋体" w:cs="Times New Roman"/>
                <w:spacing w:val="-6"/>
                <w:sz w:val="24"/>
                <w:szCs w:val="24"/>
                <w:lang w:eastAsia="zh-CN"/>
              </w:rPr>
              <w:t>初始阶段</w:t>
            </w:r>
            <w:r>
              <w:rPr>
                <w:rFonts w:hint="default" w:ascii="Times New Roman" w:hAnsi="Times New Roman" w:eastAsia="宋体" w:cs="Times New Roman"/>
                <w:spacing w:val="-6"/>
                <w:sz w:val="24"/>
                <w:szCs w:val="24"/>
              </w:rPr>
              <w:t>。</w:t>
            </w:r>
          </w:p>
          <w:p>
            <w:pPr>
              <w:keepNext w:val="0"/>
              <w:keepLines w:val="0"/>
              <w:pageBreakBefore w:val="0"/>
              <w:kinsoku/>
              <w:wordWrap/>
              <w:overflowPunct/>
              <w:topLinePunct w:val="0"/>
              <w:autoSpaceDE/>
              <w:autoSpaceDN/>
              <w:bidi w:val="0"/>
              <w:adjustRightInd/>
              <w:spacing w:line="420" w:lineRule="exact"/>
              <w:ind w:left="0" w:right="0" w:firstLine="582"/>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7"/>
                <w:sz w:val="24"/>
                <w:szCs w:val="24"/>
              </w:rPr>
              <w:t>（</w:t>
            </w:r>
            <w:r>
              <w:rPr>
                <w:rFonts w:hint="default" w:ascii="Times New Roman" w:hAnsi="Times New Roman" w:eastAsia="Times New Roman" w:cs="Times New Roman"/>
                <w:spacing w:val="-7"/>
                <w:sz w:val="24"/>
                <w:szCs w:val="24"/>
              </w:rPr>
              <w:t>3</w:t>
            </w:r>
            <w:r>
              <w:rPr>
                <w:rFonts w:hint="default" w:ascii="Times New Roman" w:hAnsi="Times New Roman" w:eastAsia="宋体" w:cs="Times New Roman"/>
                <w:spacing w:val="-7"/>
                <w:sz w:val="24"/>
                <w:szCs w:val="24"/>
              </w:rPr>
              <w:t>）安全防范措施与监测措施：</w:t>
            </w:r>
          </w:p>
          <w:p>
            <w:pPr>
              <w:keepNext w:val="0"/>
              <w:keepLines w:val="0"/>
              <w:pageBreakBefore w:val="0"/>
              <w:kinsoku/>
              <w:wordWrap/>
              <w:overflowPunct/>
              <w:topLinePunct w:val="0"/>
              <w:autoSpaceDE/>
              <w:autoSpaceDN/>
              <w:bidi w:val="0"/>
              <w:adjustRightInd/>
              <w:spacing w:line="420" w:lineRule="exact"/>
              <w:ind w:left="0" w:right="0" w:firstLine="574"/>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6"/>
                <w:sz w:val="24"/>
                <w:szCs w:val="24"/>
                <w:lang w:val="en-US" w:eastAsia="zh-CN"/>
              </w:rPr>
              <w:t>a、</w:t>
            </w:r>
            <w:r>
              <w:rPr>
                <w:rFonts w:hint="default" w:ascii="Times New Roman" w:hAnsi="Times New Roman" w:eastAsia="宋体" w:cs="Times New Roman"/>
                <w:spacing w:val="-6"/>
                <w:sz w:val="24"/>
                <w:szCs w:val="24"/>
              </w:rPr>
              <w:t>暂存设施都必须按</w:t>
            </w:r>
            <w:r>
              <w:rPr>
                <w:rFonts w:hint="default" w:ascii="Times New Roman" w:hAnsi="Times New Roman" w:eastAsia="宋体" w:cs="Times New Roman"/>
                <w:spacing w:val="-52"/>
                <w:sz w:val="24"/>
                <w:szCs w:val="24"/>
              </w:rPr>
              <w:t xml:space="preserve"> </w:t>
            </w:r>
            <w:r>
              <w:rPr>
                <w:rFonts w:hint="default" w:ascii="Times New Roman" w:hAnsi="Times New Roman" w:eastAsia="Times New Roman" w:cs="Times New Roman"/>
                <w:spacing w:val="-6"/>
                <w:sz w:val="24"/>
                <w:szCs w:val="24"/>
              </w:rPr>
              <w:t>GB15562.2</w:t>
            </w:r>
            <w:r>
              <w:rPr>
                <w:rFonts w:hint="default" w:ascii="Times New Roman" w:hAnsi="Times New Roman" w:eastAsia="宋体" w:cs="Times New Roman"/>
                <w:spacing w:val="-6"/>
                <w:sz w:val="24"/>
                <w:szCs w:val="24"/>
              </w:rPr>
              <w:t>的规定设置警示标志。</w:t>
            </w:r>
          </w:p>
          <w:p>
            <w:pPr>
              <w:keepNext w:val="0"/>
              <w:keepLines w:val="0"/>
              <w:pageBreakBefore w:val="0"/>
              <w:shd w:val="clear"/>
              <w:kinsoku/>
              <w:wordWrap/>
              <w:overflowPunct/>
              <w:topLinePunct w:val="0"/>
              <w:autoSpaceDE/>
              <w:autoSpaceDN/>
              <w:bidi w:val="0"/>
              <w:adjustRightInd/>
              <w:spacing w:line="420" w:lineRule="atLeast"/>
              <w:ind w:left="0" w:right="0" w:firstLine="573"/>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6"/>
                <w:sz w:val="24"/>
                <w:szCs w:val="24"/>
                <w:lang w:val="en-US" w:eastAsia="zh-CN"/>
              </w:rPr>
              <w:t>b</w:t>
            </w:r>
            <w:r>
              <w:rPr>
                <w:rFonts w:hint="default"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暂存设施周围设置围墙或其他防护栅栏。</w:t>
            </w:r>
          </w:p>
          <w:p>
            <w:pPr>
              <w:keepNext w:val="0"/>
              <w:keepLines w:val="0"/>
              <w:pageBreakBefore w:val="0"/>
              <w:shd w:val="clear"/>
              <w:kinsoku/>
              <w:wordWrap/>
              <w:overflowPunct/>
              <w:topLinePunct w:val="0"/>
              <w:autoSpaceDE/>
              <w:autoSpaceDN/>
              <w:bidi w:val="0"/>
              <w:adjustRightInd/>
              <w:spacing w:line="420" w:lineRule="atLeast"/>
              <w:ind w:left="0" w:right="0"/>
              <w:textAlignment w:val="auto"/>
              <w:rPr>
                <w:rFonts w:hint="default" w:ascii="Times New Roman" w:hAnsi="Times New Roman" w:eastAsia="宋体" w:cs="Times New Roman"/>
                <w:spacing w:val="27"/>
                <w:sz w:val="24"/>
                <w:szCs w:val="24"/>
              </w:rPr>
            </w:pPr>
            <w:r>
              <w:rPr>
                <w:rFonts w:hint="default" w:ascii="Times New Roman" w:hAnsi="Times New Roman" w:eastAsia="宋体" w:cs="Times New Roman"/>
                <w:spacing w:val="-8"/>
                <w:sz w:val="24"/>
                <w:szCs w:val="24"/>
                <w:lang w:val="en-US" w:eastAsia="zh-CN"/>
              </w:rPr>
              <w:t>c、</w:t>
            </w:r>
            <w:r>
              <w:rPr>
                <w:rFonts w:hint="default" w:ascii="Times New Roman" w:hAnsi="Times New Roman" w:eastAsia="宋体" w:cs="Times New Roman"/>
                <w:spacing w:val="-8"/>
                <w:sz w:val="24"/>
                <w:szCs w:val="24"/>
              </w:rPr>
              <w:t>暂存仓库的温度、湿度应严格控制，发现变化及时检查储存状况。</w:t>
            </w:r>
            <w:r>
              <w:rPr>
                <w:rFonts w:hint="default" w:ascii="Times New Roman" w:hAnsi="Times New Roman" w:eastAsia="宋体" w:cs="Times New Roman"/>
                <w:spacing w:val="27"/>
                <w:sz w:val="24"/>
                <w:szCs w:val="24"/>
              </w:rPr>
              <w:t xml:space="preserve"> </w:t>
            </w:r>
          </w:p>
          <w:p>
            <w:pPr>
              <w:keepNext w:val="0"/>
              <w:keepLines w:val="0"/>
              <w:pageBreakBefore w:val="0"/>
              <w:shd w:val="clear"/>
              <w:kinsoku/>
              <w:wordWrap/>
              <w:overflowPunct/>
              <w:topLinePunct w:val="0"/>
              <w:autoSpaceDE/>
              <w:autoSpaceDN/>
              <w:bidi w:val="0"/>
              <w:adjustRightInd/>
              <w:spacing w:line="420" w:lineRule="atLeast"/>
              <w:ind w:left="0" w:right="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d</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按国家污染源管理要求对贮存设施进行监测。</w:t>
            </w:r>
            <w:r>
              <w:rPr>
                <w:rFonts w:hint="default" w:ascii="Times New Roman" w:hAnsi="Times New Roman" w:eastAsia="宋体" w:cs="Times New Roman"/>
                <w:sz w:val="24"/>
                <w:szCs w:val="24"/>
              </w:rPr>
              <w:t xml:space="preserve">                  </w:t>
            </w:r>
          </w:p>
          <w:p>
            <w:pPr>
              <w:keepNext w:val="0"/>
              <w:keepLines w:val="0"/>
              <w:pageBreakBefore w:val="0"/>
              <w:shd w:val="clear"/>
              <w:kinsoku/>
              <w:wordWrap/>
              <w:overflowPunct/>
              <w:topLinePunct w:val="0"/>
              <w:autoSpaceDE/>
              <w:autoSpaceDN/>
              <w:bidi w:val="0"/>
              <w:adjustRightInd/>
              <w:spacing w:line="420" w:lineRule="atLeast"/>
              <w:ind w:left="0" w:right="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e、</w:t>
            </w:r>
            <w:r>
              <w:rPr>
                <w:rFonts w:hint="default" w:ascii="Times New Roman" w:hAnsi="Times New Roman" w:eastAsia="宋体" w:cs="Times New Roman"/>
                <w:spacing w:val="-8"/>
                <w:sz w:val="24"/>
                <w:szCs w:val="24"/>
              </w:rPr>
              <w:t>暂存设施应定期进行检查，发现破损，应及时采取措施清理更换。</w:t>
            </w:r>
          </w:p>
          <w:p>
            <w:pPr>
              <w:keepNext w:val="0"/>
              <w:keepLines w:val="0"/>
              <w:pageBreakBefore w:val="0"/>
              <w:shd w:val="clear"/>
              <w:kinsoku/>
              <w:wordWrap/>
              <w:overflowPunct/>
              <w:topLinePunct w:val="0"/>
              <w:autoSpaceDE/>
              <w:autoSpaceDN/>
              <w:bidi w:val="0"/>
              <w:adjustRightInd/>
              <w:spacing w:line="420" w:lineRule="atLeast"/>
              <w:ind w:left="0" w:right="0" w:firstLine="110"/>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f</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暂存场地应配备通讯设备、照明设施、安全视察窗口、安全防护服装及</w:t>
            </w:r>
            <w:r>
              <w:rPr>
                <w:rFonts w:hint="default" w:ascii="Times New Roman" w:hAnsi="Times New Roman" w:eastAsia="宋体" w:cs="Times New Roman"/>
                <w:spacing w:val="-7"/>
                <w:sz w:val="24"/>
                <w:szCs w:val="24"/>
              </w:rPr>
              <w:t>工具，并设有应急防护设施。</w:t>
            </w:r>
          </w:p>
          <w:p>
            <w:pPr>
              <w:keepNext w:val="0"/>
              <w:keepLines w:val="0"/>
              <w:pageBreakBefore w:val="0"/>
              <w:shd w:val="clear"/>
              <w:kinsoku/>
              <w:wordWrap/>
              <w:overflowPunct/>
              <w:topLinePunct w:val="0"/>
              <w:autoSpaceDE/>
              <w:autoSpaceDN/>
              <w:bidi w:val="0"/>
              <w:adjustRightInd/>
              <w:spacing w:line="420" w:lineRule="atLeast"/>
              <w:ind w:left="0" w:right="0" w:firstLine="466"/>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5"/>
                <w:sz w:val="24"/>
                <w:szCs w:val="24"/>
                <w:lang w:val="en-US" w:eastAsia="zh-CN"/>
              </w:rPr>
              <w:t>g</w:t>
            </w:r>
            <w:r>
              <w:rPr>
                <w:rFonts w:hint="default" w:ascii="Times New Roman" w:hAnsi="Times New Roman" w:eastAsia="宋体" w:cs="Times New Roman"/>
                <w:spacing w:val="-5"/>
                <w:sz w:val="24"/>
                <w:szCs w:val="24"/>
                <w:lang w:eastAsia="zh-CN"/>
              </w:rPr>
              <w:t>、</w:t>
            </w:r>
            <w:r>
              <w:rPr>
                <w:rFonts w:hint="default" w:ascii="Times New Roman" w:hAnsi="Times New Roman" w:eastAsia="宋体" w:cs="Times New Roman"/>
                <w:spacing w:val="-5"/>
                <w:sz w:val="24"/>
                <w:szCs w:val="24"/>
              </w:rPr>
              <w:t>值班人员应熟练掌握废铅酸蓄电池发生火灾的扑救常识，学会使用灭火</w:t>
            </w:r>
            <w:r>
              <w:rPr>
                <w:rFonts w:hint="default" w:ascii="Times New Roman" w:hAnsi="Times New Roman" w:eastAsia="宋体" w:cs="Times New Roman"/>
                <w:spacing w:val="6"/>
                <w:sz w:val="24"/>
                <w:szCs w:val="24"/>
              </w:rPr>
              <w:t xml:space="preserve"> </w:t>
            </w:r>
            <w:r>
              <w:rPr>
                <w:rFonts w:hint="default" w:ascii="Times New Roman" w:hAnsi="Times New Roman" w:eastAsia="宋体" w:cs="Times New Roman"/>
                <w:spacing w:val="-6"/>
                <w:sz w:val="24"/>
                <w:szCs w:val="24"/>
              </w:rPr>
              <w:t>器材。</w:t>
            </w:r>
          </w:p>
          <w:p>
            <w:pPr>
              <w:keepNext w:val="0"/>
              <w:keepLines w:val="0"/>
              <w:pageBreakBefore w:val="0"/>
              <w:shd w:val="clear"/>
              <w:kinsoku/>
              <w:wordWrap/>
              <w:overflowPunct/>
              <w:topLinePunct w:val="0"/>
              <w:autoSpaceDE/>
              <w:autoSpaceDN/>
              <w:bidi w:val="0"/>
              <w:adjustRightInd/>
              <w:spacing w:line="420" w:lineRule="atLeast"/>
              <w:ind w:left="0" w:right="0" w:firstLine="466"/>
              <w:textAlignment w:val="auto"/>
              <w:rPr>
                <w:rFonts w:hint="default" w:ascii="Times New Roman" w:hAnsi="Times New Roman" w:eastAsia="宋体" w:cs="Times New Roman"/>
                <w:sz w:val="24"/>
                <w:szCs w:val="24"/>
              </w:rPr>
            </w:pPr>
            <w:r>
              <w:rPr>
                <w:rFonts w:hint="default" w:ascii="Times New Roman" w:hAnsi="Times New Roman" w:eastAsia="宋体" w:cs="Times New Roman"/>
                <w:spacing w:val="-6"/>
                <w:sz w:val="24"/>
                <w:szCs w:val="24"/>
                <w:lang w:val="en-US" w:eastAsia="zh-CN"/>
              </w:rPr>
              <w:t>h</w:t>
            </w:r>
            <w:r>
              <w:rPr>
                <w:rFonts w:hint="default" w:ascii="Times New Roman" w:hAnsi="Times New Roman" w:eastAsia="宋体" w:cs="Times New Roman"/>
                <w:spacing w:val="-6"/>
                <w:sz w:val="24"/>
                <w:szCs w:val="24"/>
                <w:lang w:eastAsia="zh-CN"/>
              </w:rPr>
              <w:t>、</w:t>
            </w:r>
            <w:r>
              <w:rPr>
                <w:rFonts w:hint="default" w:ascii="Times New Roman" w:hAnsi="Times New Roman" w:eastAsia="宋体" w:cs="Times New Roman"/>
                <w:spacing w:val="-6"/>
                <w:sz w:val="24"/>
                <w:szCs w:val="24"/>
              </w:rPr>
              <w:t>根据《危险废物贮存污染控制标准》（</w:t>
            </w:r>
            <w:r>
              <w:rPr>
                <w:rFonts w:hint="default" w:ascii="Times New Roman" w:hAnsi="Times New Roman" w:eastAsia="Times New Roman" w:cs="Times New Roman"/>
                <w:spacing w:val="-6"/>
                <w:sz w:val="24"/>
                <w:szCs w:val="24"/>
              </w:rPr>
              <w:t>GB18597-2001</w:t>
            </w:r>
            <w:r>
              <w:rPr>
                <w:rFonts w:hint="default" w:ascii="Times New Roman" w:hAnsi="Times New Roman" w:eastAsia="宋体" w:cs="Times New Roman"/>
                <w:spacing w:val="-6"/>
                <w:sz w:val="24"/>
                <w:szCs w:val="24"/>
              </w:rPr>
              <w:t>）及其</w:t>
            </w:r>
            <w:r>
              <w:rPr>
                <w:rFonts w:hint="default" w:ascii="Times New Roman" w:hAnsi="Times New Roman" w:eastAsia="宋体" w:cs="Times New Roman"/>
                <w:spacing w:val="-60"/>
                <w:sz w:val="24"/>
                <w:szCs w:val="24"/>
              </w:rPr>
              <w:t xml:space="preserve"> </w:t>
            </w:r>
            <w:r>
              <w:rPr>
                <w:rFonts w:hint="default" w:ascii="Times New Roman" w:hAnsi="Times New Roman" w:eastAsia="Times New Roman" w:cs="Times New Roman"/>
                <w:spacing w:val="-6"/>
                <w:sz w:val="24"/>
                <w:szCs w:val="24"/>
              </w:rPr>
              <w:t>2013</w:t>
            </w:r>
            <w:r>
              <w:rPr>
                <w:rFonts w:hint="default" w:ascii="Times New Roman" w:hAnsi="Times New Roman" w:eastAsia="宋体" w:cs="Times New Roman"/>
                <w:spacing w:val="-6"/>
                <w:sz w:val="24"/>
                <w:szCs w:val="24"/>
              </w:rPr>
              <w:t>年修</w:t>
            </w:r>
            <w:r>
              <w:rPr>
                <w:rFonts w:hint="default" w:ascii="Times New Roman" w:hAnsi="Times New Roman" w:eastAsia="宋体" w:cs="Times New Roman"/>
                <w:spacing w:val="-7"/>
                <w:sz w:val="24"/>
                <w:szCs w:val="24"/>
              </w:rPr>
              <w:t>改单和《废铅酸蓄电池处理污染控制技术规范》（</w:t>
            </w:r>
            <w:r>
              <w:rPr>
                <w:rFonts w:hint="default" w:ascii="Times New Roman" w:hAnsi="Times New Roman" w:eastAsia="Times New Roman" w:cs="Times New Roman"/>
                <w:spacing w:val="-7"/>
                <w:sz w:val="24"/>
                <w:szCs w:val="24"/>
              </w:rPr>
              <w:t>HJ519-2020</w:t>
            </w:r>
            <w:r>
              <w:rPr>
                <w:rFonts w:hint="default" w:ascii="Times New Roman" w:hAnsi="Times New Roman" w:eastAsia="宋体" w:cs="Times New Roman"/>
                <w:spacing w:val="-7"/>
                <w:sz w:val="24"/>
                <w:szCs w:val="24"/>
              </w:rPr>
              <w:t>）的相关规定对</w:t>
            </w:r>
            <w:r>
              <w:rPr>
                <w:rFonts w:hint="default" w:ascii="Times New Roman" w:hAnsi="Times New Roman" w:eastAsia="宋体" w:cs="Times New Roman"/>
                <w:spacing w:val="-6"/>
                <w:sz w:val="24"/>
                <w:szCs w:val="24"/>
              </w:rPr>
              <w:t>地面采取防渗措施，贮存区四周应设置导流沟，设置应急事故池。</w:t>
            </w:r>
          </w:p>
          <w:p>
            <w:pPr>
              <w:keepNext w:val="0"/>
              <w:keepLines w:val="0"/>
              <w:pageBreakBefore w:val="0"/>
              <w:shd w:val="clear"/>
              <w:kinsoku/>
              <w:wordWrap/>
              <w:overflowPunct/>
              <w:topLinePunct w:val="0"/>
              <w:autoSpaceDE/>
              <w:autoSpaceDN/>
              <w:bidi w:val="0"/>
              <w:adjustRightInd/>
              <w:spacing w:line="420" w:lineRule="atLeast"/>
              <w:ind w:left="0" w:right="0" w:firstLine="457"/>
              <w:textAlignment w:val="auto"/>
              <w:rPr>
                <w:rFonts w:ascii="宋体" w:hAnsi="宋体" w:eastAsia="宋体" w:cs="宋体"/>
                <w:sz w:val="24"/>
                <w:szCs w:val="24"/>
              </w:rPr>
            </w:pPr>
            <w:r>
              <w:rPr>
                <w:rFonts w:hint="default" w:ascii="Times New Roman" w:hAnsi="Times New Roman" w:eastAsia="宋体" w:cs="Times New Roman"/>
                <w:spacing w:val="-6"/>
                <w:sz w:val="24"/>
                <w:szCs w:val="24"/>
                <w:lang w:val="en-US" w:eastAsia="zh-CN"/>
              </w:rPr>
              <w:t>j</w:t>
            </w:r>
            <w:r>
              <w:rPr>
                <w:rFonts w:hint="default" w:ascii="Times New Roman" w:hAnsi="Times New Roman" w:eastAsia="宋体" w:cs="Times New Roman"/>
                <w:spacing w:val="-6"/>
                <w:sz w:val="24"/>
                <w:szCs w:val="24"/>
                <w:lang w:eastAsia="zh-CN"/>
              </w:rPr>
              <w:t>、</w:t>
            </w:r>
            <w:r>
              <w:rPr>
                <w:rFonts w:ascii="宋体" w:hAnsi="宋体" w:eastAsia="宋体" w:cs="宋体"/>
                <w:spacing w:val="-6"/>
                <w:sz w:val="24"/>
                <w:szCs w:val="24"/>
              </w:rPr>
              <w:t>根据《危险废物贮存污染控制标准》（</w:t>
            </w:r>
            <w:r>
              <w:rPr>
                <w:rFonts w:ascii="Times New Roman" w:hAnsi="Times New Roman" w:eastAsia="Times New Roman" w:cs="Times New Roman"/>
                <w:spacing w:val="-6"/>
                <w:sz w:val="24"/>
                <w:szCs w:val="24"/>
              </w:rPr>
              <w:t>GB18597-2001</w:t>
            </w:r>
            <w:r>
              <w:rPr>
                <w:rFonts w:ascii="宋体" w:hAnsi="宋体" w:eastAsia="宋体" w:cs="宋体"/>
                <w:spacing w:val="-6"/>
                <w:sz w:val="24"/>
                <w:szCs w:val="24"/>
              </w:rPr>
              <w:t>）及其</w:t>
            </w:r>
            <w:r>
              <w:rPr>
                <w:rFonts w:ascii="宋体" w:hAnsi="宋体" w:eastAsia="宋体" w:cs="宋体"/>
                <w:spacing w:val="-60"/>
                <w:sz w:val="24"/>
                <w:szCs w:val="24"/>
              </w:rPr>
              <w:t xml:space="preserve"> </w:t>
            </w:r>
            <w:r>
              <w:rPr>
                <w:rFonts w:ascii="Times New Roman" w:hAnsi="Times New Roman" w:eastAsia="Times New Roman" w:cs="Times New Roman"/>
                <w:spacing w:val="-6"/>
                <w:sz w:val="24"/>
                <w:szCs w:val="24"/>
              </w:rPr>
              <w:t>2013</w:t>
            </w:r>
            <w:r>
              <w:rPr>
                <w:rFonts w:ascii="宋体" w:hAnsi="宋体" w:eastAsia="宋体" w:cs="宋体"/>
                <w:spacing w:val="-6"/>
                <w:sz w:val="24"/>
                <w:szCs w:val="24"/>
              </w:rPr>
              <w:t>年修改单规定，从事危险废物贮存的单位，必须得到处置公司出具的该危险废物样</w:t>
            </w:r>
            <w:r>
              <w:rPr>
                <w:rFonts w:ascii="宋体" w:hAnsi="宋体" w:eastAsia="宋体" w:cs="宋体"/>
                <w:spacing w:val="-7"/>
                <w:sz w:val="24"/>
                <w:szCs w:val="24"/>
              </w:rPr>
              <w:t>品物理和化学性质的分析报告，认定可以贮存后，方可接收。</w:t>
            </w:r>
          </w:p>
          <w:p>
            <w:pPr>
              <w:keepNext w:val="0"/>
              <w:keepLines w:val="0"/>
              <w:pageBreakBefore w:val="0"/>
              <w:shd w:val="clear"/>
              <w:kinsoku/>
              <w:wordWrap/>
              <w:overflowPunct/>
              <w:topLinePunct w:val="0"/>
              <w:autoSpaceDE/>
              <w:autoSpaceDN/>
              <w:bidi w:val="0"/>
              <w:adjustRightInd/>
              <w:spacing w:line="420" w:lineRule="atLeast"/>
              <w:ind w:left="0" w:right="0" w:firstLine="582"/>
              <w:textAlignment w:val="auto"/>
              <w:rPr>
                <w:rFonts w:ascii="宋体" w:hAnsi="宋体" w:eastAsia="宋体" w:cs="宋体"/>
                <w:sz w:val="24"/>
                <w:szCs w:val="24"/>
              </w:rPr>
            </w:pPr>
            <w:r>
              <w:rPr>
                <w:rFonts w:ascii="宋体" w:hAnsi="宋体" w:eastAsia="宋体" w:cs="宋体"/>
                <w:spacing w:val="-7"/>
                <w:sz w:val="24"/>
                <w:szCs w:val="24"/>
              </w:rPr>
              <w:t>（</w:t>
            </w:r>
            <w:r>
              <w:rPr>
                <w:rFonts w:ascii="Times New Roman" w:hAnsi="Times New Roman" w:eastAsia="Times New Roman" w:cs="Times New Roman"/>
                <w:spacing w:val="-7"/>
                <w:sz w:val="24"/>
                <w:szCs w:val="24"/>
              </w:rPr>
              <w:t>4</w:t>
            </w:r>
            <w:r>
              <w:rPr>
                <w:rFonts w:ascii="宋体" w:hAnsi="宋体" w:eastAsia="宋体" w:cs="宋体"/>
                <w:spacing w:val="-7"/>
                <w:sz w:val="24"/>
                <w:szCs w:val="24"/>
              </w:rPr>
              <w:t>）电气电讯安全防范措施</w:t>
            </w:r>
          </w:p>
          <w:p>
            <w:pPr>
              <w:keepNext w:val="0"/>
              <w:keepLines w:val="0"/>
              <w:pageBreakBefore w:val="0"/>
              <w:shd w:val="clear"/>
              <w:kinsoku/>
              <w:wordWrap/>
              <w:overflowPunct/>
              <w:topLinePunct w:val="0"/>
              <w:autoSpaceDE/>
              <w:autoSpaceDN/>
              <w:bidi w:val="0"/>
              <w:adjustRightInd/>
              <w:spacing w:line="420" w:lineRule="atLeast"/>
              <w:ind w:left="0" w:right="0" w:firstLine="575"/>
              <w:textAlignment w:val="auto"/>
              <w:rPr>
                <w:rFonts w:hint="default" w:ascii="Times New Roman" w:hAnsi="Times New Roman" w:eastAsia="宋体" w:cs="Times New Roman"/>
                <w:sz w:val="24"/>
                <w:szCs w:val="24"/>
              </w:rPr>
            </w:pPr>
            <w:r>
              <w:rPr>
                <w:rFonts w:hint="default" w:ascii="Times New Roman" w:hAnsi="Times New Roman" w:eastAsia="Times New Roman" w:cs="Times New Roman"/>
                <w:spacing w:val="-6"/>
                <w:sz w:val="24"/>
                <w:szCs w:val="24"/>
              </w:rPr>
              <w:t>a</w:t>
            </w:r>
            <w:r>
              <w:rPr>
                <w:rFonts w:hint="default" w:ascii="Times New Roman" w:hAnsi="Times New Roman" w:eastAsia="宋体" w:cs="Times New Roman"/>
                <w:spacing w:val="-6"/>
                <w:sz w:val="24"/>
                <w:szCs w:val="24"/>
              </w:rPr>
              <w:t>、购买的电气设备必须是具有国家安全认证标志的产品。</w:t>
            </w:r>
          </w:p>
          <w:p>
            <w:pPr>
              <w:keepNext w:val="0"/>
              <w:keepLines w:val="0"/>
              <w:pageBreakBefore w:val="0"/>
              <w:shd w:val="clear"/>
              <w:kinsoku/>
              <w:wordWrap/>
              <w:overflowPunct/>
              <w:topLinePunct w:val="0"/>
              <w:autoSpaceDE/>
              <w:autoSpaceDN/>
              <w:bidi w:val="0"/>
              <w:adjustRightInd/>
              <w:spacing w:line="420" w:lineRule="atLeast"/>
              <w:ind w:left="0" w:right="0" w:firstLine="566"/>
              <w:textAlignment w:val="auto"/>
              <w:rPr>
                <w:rFonts w:hint="default" w:ascii="Times New Roman" w:hAnsi="Times New Roman" w:eastAsia="宋体" w:cs="Times New Roman"/>
                <w:sz w:val="24"/>
                <w:szCs w:val="24"/>
              </w:rPr>
            </w:pPr>
            <w:r>
              <w:rPr>
                <w:rFonts w:hint="default" w:ascii="Times New Roman" w:hAnsi="Times New Roman" w:eastAsia="Times New Roman" w:cs="Times New Roman"/>
                <w:spacing w:val="-6"/>
                <w:position w:val="1"/>
                <w:sz w:val="24"/>
                <w:szCs w:val="24"/>
              </w:rPr>
              <w:t>b</w:t>
            </w:r>
            <w:r>
              <w:rPr>
                <w:rFonts w:hint="default" w:ascii="Times New Roman" w:hAnsi="Times New Roman" w:eastAsia="宋体" w:cs="Times New Roman"/>
                <w:spacing w:val="-6"/>
                <w:position w:val="1"/>
                <w:sz w:val="24"/>
                <w:szCs w:val="24"/>
              </w:rPr>
              <w:t>、贮存区根据介质、防爆等级要求选择防爆电气设备。</w:t>
            </w:r>
          </w:p>
          <w:p>
            <w:pPr>
              <w:keepNext w:val="0"/>
              <w:keepLines w:val="0"/>
              <w:pageBreakBefore w:val="0"/>
              <w:shd w:val="clear"/>
              <w:kinsoku/>
              <w:wordWrap/>
              <w:overflowPunct/>
              <w:topLinePunct w:val="0"/>
              <w:autoSpaceDE/>
              <w:autoSpaceDN/>
              <w:bidi w:val="0"/>
              <w:adjustRightInd/>
              <w:spacing w:line="420" w:lineRule="atLeast"/>
              <w:ind w:left="0" w:right="0" w:firstLine="462"/>
              <w:textAlignment w:val="auto"/>
              <w:rPr>
                <w:rFonts w:hint="default" w:ascii="Times New Roman" w:hAnsi="Times New Roman" w:eastAsia="宋体" w:cs="Times New Roman"/>
                <w:sz w:val="24"/>
                <w:szCs w:val="24"/>
              </w:rPr>
            </w:pPr>
            <w:r>
              <w:rPr>
                <w:rFonts w:hint="default" w:ascii="Times New Roman" w:hAnsi="Times New Roman" w:eastAsia="Times New Roman" w:cs="Times New Roman"/>
                <w:spacing w:val="-6"/>
                <w:position w:val="1"/>
                <w:sz w:val="24"/>
                <w:szCs w:val="24"/>
              </w:rPr>
              <w:t>c、</w:t>
            </w:r>
            <w:r>
              <w:rPr>
                <w:rFonts w:hint="default" w:ascii="Times New Roman" w:hAnsi="Times New Roman" w:eastAsia="宋体" w:cs="Times New Roman"/>
                <w:spacing w:val="-6"/>
                <w:position w:val="1"/>
                <w:sz w:val="24"/>
                <w:szCs w:val="24"/>
              </w:rPr>
              <w:t>在电气和电讯设备设计中，供电采用双回路电源；消防设施采用单独的</w:t>
            </w:r>
            <w:r>
              <w:rPr>
                <w:rFonts w:hint="default" w:ascii="Times New Roman" w:hAnsi="Times New Roman" w:eastAsia="宋体" w:cs="Times New Roman"/>
                <w:spacing w:val="-6"/>
                <w:sz w:val="24"/>
                <w:szCs w:val="24"/>
              </w:rPr>
              <w:t>回路供电，配电线路采用非延燃性电缆，明敷时置于配线桥架内或直接埋地敷</w:t>
            </w:r>
            <w:r>
              <w:rPr>
                <w:rFonts w:hint="default" w:ascii="Times New Roman" w:hAnsi="Times New Roman" w:eastAsia="宋体" w:cs="Times New Roman"/>
                <w:spacing w:val="-7"/>
                <w:sz w:val="24"/>
                <w:szCs w:val="24"/>
              </w:rPr>
              <w:t>设，当发生切断生产、生活用电时，仍能保证消防用电。</w:t>
            </w:r>
          </w:p>
          <w:p>
            <w:pPr>
              <w:keepNext w:val="0"/>
              <w:keepLines w:val="0"/>
              <w:pageBreakBefore w:val="0"/>
              <w:shd w:val="clear"/>
              <w:kinsoku/>
              <w:wordWrap/>
              <w:overflowPunct/>
              <w:topLinePunct w:val="0"/>
              <w:autoSpaceDE/>
              <w:autoSpaceDN/>
              <w:bidi w:val="0"/>
              <w:adjustRightInd/>
              <w:spacing w:line="420" w:lineRule="atLeast"/>
              <w:ind w:left="0" w:right="0" w:firstLine="460"/>
              <w:textAlignment w:val="auto"/>
              <w:rPr>
                <w:rFonts w:hint="default" w:ascii="Times New Roman" w:hAnsi="Times New Roman" w:eastAsia="宋体" w:cs="Times New Roman"/>
                <w:sz w:val="24"/>
                <w:szCs w:val="24"/>
              </w:rPr>
            </w:pPr>
            <w:r>
              <w:rPr>
                <w:rFonts w:hint="default" w:ascii="Times New Roman" w:hAnsi="Times New Roman" w:eastAsia="Times New Roman" w:cs="Times New Roman"/>
                <w:spacing w:val="-9"/>
                <w:sz w:val="24"/>
                <w:szCs w:val="24"/>
              </w:rPr>
              <w:t>d</w:t>
            </w:r>
            <w:r>
              <w:rPr>
                <w:rFonts w:hint="default" w:ascii="Times New Roman" w:hAnsi="Times New Roman" w:eastAsia="宋体" w:cs="Times New Roman"/>
                <w:spacing w:val="-9"/>
                <w:sz w:val="24"/>
                <w:szCs w:val="24"/>
              </w:rPr>
              <w:t>、贮存处要严格按照环境风险类别或区域配置相应的电气设备和灯具，避</w:t>
            </w:r>
            <w:r>
              <w:rPr>
                <w:rFonts w:hint="default" w:ascii="Times New Roman" w:hAnsi="Times New Roman" w:eastAsia="宋体" w:cs="Times New Roman"/>
                <w:spacing w:val="-7"/>
                <w:sz w:val="24"/>
                <w:szCs w:val="24"/>
              </w:rPr>
              <w:t>免出现事故。</w:t>
            </w:r>
          </w:p>
          <w:p>
            <w:pPr>
              <w:keepNext w:val="0"/>
              <w:keepLines w:val="0"/>
              <w:pageBreakBefore w:val="0"/>
              <w:shd w:val="clear"/>
              <w:kinsoku/>
              <w:wordWrap/>
              <w:overflowPunct/>
              <w:topLinePunct w:val="0"/>
              <w:autoSpaceDE/>
              <w:autoSpaceDN/>
              <w:bidi w:val="0"/>
              <w:adjustRightInd/>
              <w:spacing w:line="420" w:lineRule="atLeast"/>
              <w:ind w:left="0" w:right="0" w:firstLine="575"/>
              <w:textAlignment w:val="auto"/>
              <w:rPr>
                <w:rFonts w:ascii="宋体" w:hAnsi="宋体" w:eastAsia="宋体" w:cs="宋体"/>
                <w:sz w:val="24"/>
                <w:szCs w:val="24"/>
              </w:rPr>
            </w:pPr>
            <w:r>
              <w:rPr>
                <w:rFonts w:hint="default" w:ascii="Times New Roman" w:hAnsi="Times New Roman" w:eastAsia="Times New Roman" w:cs="Times New Roman"/>
                <w:spacing w:val="-9"/>
                <w:sz w:val="24"/>
                <w:szCs w:val="24"/>
              </w:rPr>
              <w:t>e、</w:t>
            </w:r>
            <w:r>
              <w:rPr>
                <w:rFonts w:ascii="宋体" w:hAnsi="宋体" w:eastAsia="宋体" w:cs="宋体"/>
                <w:spacing w:val="-6"/>
                <w:sz w:val="24"/>
                <w:szCs w:val="24"/>
              </w:rPr>
              <w:t>废气处理设施配备备用电源，保障废气处理设施正常运行。</w:t>
            </w:r>
          </w:p>
          <w:p>
            <w:pPr>
              <w:keepNext w:val="0"/>
              <w:keepLines w:val="0"/>
              <w:pageBreakBefore w:val="0"/>
              <w:shd w:val="clear"/>
              <w:kinsoku/>
              <w:wordWrap/>
              <w:overflowPunct/>
              <w:topLinePunct w:val="0"/>
              <w:autoSpaceDE/>
              <w:autoSpaceDN/>
              <w:bidi w:val="0"/>
              <w:adjustRightInd/>
              <w:spacing w:line="420" w:lineRule="atLeast"/>
              <w:ind w:left="0" w:right="0" w:firstLine="582"/>
              <w:textAlignment w:val="auto"/>
              <w:rPr>
                <w:rFonts w:ascii="宋体" w:hAnsi="宋体" w:eastAsia="宋体" w:cs="宋体"/>
                <w:sz w:val="24"/>
                <w:szCs w:val="24"/>
              </w:rPr>
            </w:pPr>
            <w:r>
              <w:rPr>
                <w:rFonts w:ascii="宋体" w:hAnsi="宋体" w:eastAsia="宋体" w:cs="宋体"/>
                <w:spacing w:val="-7"/>
                <w:sz w:val="24"/>
                <w:szCs w:val="24"/>
              </w:rPr>
              <w:t>（</w:t>
            </w:r>
            <w:r>
              <w:rPr>
                <w:rFonts w:ascii="Times New Roman" w:hAnsi="Times New Roman" w:eastAsia="Times New Roman" w:cs="Times New Roman"/>
                <w:spacing w:val="-7"/>
                <w:sz w:val="24"/>
                <w:szCs w:val="24"/>
              </w:rPr>
              <w:t>5</w:t>
            </w:r>
            <w:r>
              <w:rPr>
                <w:rFonts w:ascii="宋体" w:hAnsi="宋体" w:eastAsia="宋体" w:cs="宋体"/>
                <w:spacing w:val="-7"/>
                <w:sz w:val="24"/>
                <w:szCs w:val="24"/>
              </w:rPr>
              <w:t>）消防安全防范措施</w:t>
            </w:r>
          </w:p>
          <w:p>
            <w:pPr>
              <w:keepNext w:val="0"/>
              <w:keepLines w:val="0"/>
              <w:pageBreakBefore w:val="0"/>
              <w:shd w:val="clear"/>
              <w:kinsoku/>
              <w:wordWrap/>
              <w:overflowPunct/>
              <w:topLinePunct w:val="0"/>
              <w:autoSpaceDE/>
              <w:autoSpaceDN/>
              <w:bidi w:val="0"/>
              <w:adjustRightInd/>
              <w:spacing w:line="420" w:lineRule="atLeast"/>
              <w:ind w:left="0" w:right="0" w:firstLine="467"/>
              <w:textAlignment w:val="auto"/>
              <w:rPr>
                <w:rFonts w:ascii="宋体" w:hAnsi="宋体" w:eastAsia="宋体" w:cs="宋体"/>
                <w:sz w:val="24"/>
                <w:szCs w:val="24"/>
              </w:rPr>
            </w:pPr>
            <w:r>
              <w:rPr>
                <w:rFonts w:ascii="Times New Roman" w:hAnsi="Times New Roman" w:eastAsia="Times New Roman" w:cs="Times New Roman"/>
                <w:spacing w:val="-8"/>
                <w:sz w:val="24"/>
                <w:szCs w:val="24"/>
              </w:rPr>
              <w:t>a</w:t>
            </w:r>
            <w:r>
              <w:rPr>
                <w:rFonts w:ascii="宋体" w:hAnsi="宋体" w:eastAsia="宋体" w:cs="宋体"/>
                <w:spacing w:val="-8"/>
                <w:sz w:val="24"/>
                <w:szCs w:val="24"/>
              </w:rPr>
              <w:t>、工程设计应按照有关规范对贮存区设置消防系统，防止铅酸蓄电池在储</w:t>
            </w:r>
            <w:r>
              <w:rPr>
                <w:rFonts w:ascii="宋体" w:hAnsi="宋体" w:eastAsia="宋体" w:cs="宋体"/>
                <w:spacing w:val="-11"/>
                <w:sz w:val="24"/>
                <w:szCs w:val="24"/>
              </w:rPr>
              <w:t>运过程发生泄漏、着火等事故；同时，配备检漏、防漏和堵漏装备和工具器材</w:t>
            </w:r>
            <w:r>
              <w:rPr>
                <w:rFonts w:ascii="宋体" w:hAnsi="宋体" w:eastAsia="宋体" w:cs="宋体"/>
                <w:spacing w:val="-6"/>
                <w:sz w:val="24"/>
                <w:szCs w:val="24"/>
              </w:rPr>
              <w:t>，泄漏报警时，可及时控制泄漏。根据废旧铅蓄电池的种类和性质，配备相应的个体防护用品，泄漏时用布应急防护。贮存区必须设置物料的应急排放设备或场所，以备应急使用的耐酸泵，耐酸桶及集液池等。</w:t>
            </w:r>
          </w:p>
          <w:p>
            <w:pPr>
              <w:keepNext w:val="0"/>
              <w:keepLines w:val="0"/>
              <w:pageBreakBefore w:val="0"/>
              <w:shd w:val="clear"/>
              <w:kinsoku/>
              <w:wordWrap/>
              <w:overflowPunct/>
              <w:topLinePunct w:val="0"/>
              <w:autoSpaceDE/>
              <w:autoSpaceDN/>
              <w:bidi w:val="0"/>
              <w:adjustRightInd/>
              <w:spacing w:line="420" w:lineRule="atLeast"/>
              <w:ind w:left="0" w:right="0" w:firstLine="456"/>
              <w:textAlignment w:val="auto"/>
              <w:rPr>
                <w:rFonts w:ascii="宋体" w:hAnsi="宋体" w:eastAsia="宋体" w:cs="宋体"/>
                <w:sz w:val="24"/>
                <w:szCs w:val="24"/>
              </w:rPr>
            </w:pPr>
            <w:r>
              <w:rPr>
                <w:rFonts w:ascii="Times New Roman" w:hAnsi="Times New Roman" w:eastAsia="Times New Roman" w:cs="Times New Roman"/>
                <w:spacing w:val="-8"/>
                <w:sz w:val="24"/>
                <w:szCs w:val="24"/>
              </w:rPr>
              <w:t>b</w:t>
            </w:r>
            <w:r>
              <w:rPr>
                <w:rFonts w:ascii="宋体" w:hAnsi="宋体" w:eastAsia="宋体" w:cs="宋体"/>
                <w:spacing w:val="-8"/>
                <w:sz w:val="24"/>
                <w:szCs w:val="24"/>
              </w:rPr>
              <w:t>、在消防设计方面，严格执行“以防为主，防消结合”的原则，严格执行</w:t>
            </w:r>
            <w:r>
              <w:rPr>
                <w:rFonts w:ascii="宋体" w:hAnsi="宋体" w:eastAsia="宋体" w:cs="宋体"/>
                <w:spacing w:val="-6"/>
                <w:sz w:val="24"/>
                <w:szCs w:val="24"/>
              </w:rPr>
              <w:t>国家颁布的消防法规，完善厂区的消防管理体系和消防人员的建制，配置并完</w:t>
            </w:r>
            <w:r>
              <w:rPr>
                <w:rFonts w:ascii="宋体" w:hAnsi="宋体" w:eastAsia="宋体" w:cs="宋体"/>
                <w:spacing w:val="-7"/>
                <w:sz w:val="24"/>
                <w:szCs w:val="24"/>
              </w:rPr>
              <w:t>善对外联络的通讯设备。</w:t>
            </w:r>
          </w:p>
          <w:p>
            <w:pPr>
              <w:keepNext w:val="0"/>
              <w:keepLines w:val="0"/>
              <w:pageBreakBefore w:val="0"/>
              <w:shd w:val="clear"/>
              <w:kinsoku/>
              <w:wordWrap/>
              <w:overflowPunct/>
              <w:topLinePunct w:val="0"/>
              <w:autoSpaceDE/>
              <w:autoSpaceDN/>
              <w:bidi w:val="0"/>
              <w:adjustRightInd/>
              <w:spacing w:line="420" w:lineRule="atLeast"/>
              <w:ind w:left="0" w:right="0" w:firstLine="107"/>
              <w:textAlignment w:val="auto"/>
              <w:rPr>
                <w:rFonts w:ascii="宋体" w:hAnsi="宋体" w:eastAsia="宋体" w:cs="宋体"/>
                <w:sz w:val="24"/>
                <w:szCs w:val="24"/>
              </w:rPr>
            </w:pPr>
            <w:r>
              <w:rPr>
                <w:rFonts w:ascii="Times New Roman" w:hAnsi="Times New Roman" w:eastAsia="Times New Roman" w:cs="Times New Roman"/>
                <w:spacing w:val="-6"/>
                <w:sz w:val="24"/>
                <w:szCs w:val="24"/>
              </w:rPr>
              <w:t>c</w:t>
            </w:r>
            <w:r>
              <w:rPr>
                <w:rFonts w:ascii="宋体" w:hAnsi="宋体" w:eastAsia="宋体" w:cs="宋体"/>
                <w:spacing w:val="-6"/>
                <w:sz w:val="24"/>
                <w:szCs w:val="24"/>
              </w:rPr>
              <w:t>、在贮存区设立消防器材、设施和防火设施，应设置相适应的消防设施，供专职消防人员和岗位操作人员使用。</w:t>
            </w:r>
          </w:p>
          <w:p>
            <w:pPr>
              <w:keepNext w:val="0"/>
              <w:keepLines w:val="0"/>
              <w:pageBreakBefore w:val="0"/>
              <w:shd w:val="clear"/>
              <w:kinsoku/>
              <w:wordWrap/>
              <w:overflowPunct/>
              <w:topLinePunct w:val="0"/>
              <w:autoSpaceDE/>
              <w:autoSpaceDN/>
              <w:bidi w:val="0"/>
              <w:adjustRightInd/>
              <w:spacing w:line="420" w:lineRule="atLeast"/>
              <w:ind w:left="0" w:right="0" w:firstLine="582"/>
              <w:textAlignment w:val="auto"/>
              <w:rPr>
                <w:rFonts w:hint="eastAsia" w:ascii="宋体" w:hAnsi="宋体" w:eastAsia="宋体" w:cs="宋体"/>
                <w:sz w:val="24"/>
                <w:szCs w:val="24"/>
                <w:lang w:eastAsia="zh-CN"/>
              </w:rPr>
            </w:pPr>
            <w:r>
              <w:rPr>
                <w:rFonts w:ascii="宋体" w:hAnsi="宋体" w:eastAsia="宋体" w:cs="宋体"/>
                <w:spacing w:val="-6"/>
                <w:sz w:val="24"/>
                <w:szCs w:val="24"/>
              </w:rPr>
              <w:t>（</w:t>
            </w:r>
            <w:r>
              <w:rPr>
                <w:rFonts w:ascii="Times New Roman" w:hAnsi="Times New Roman" w:eastAsia="Times New Roman" w:cs="Times New Roman"/>
                <w:spacing w:val="-6"/>
                <w:sz w:val="24"/>
                <w:szCs w:val="24"/>
              </w:rPr>
              <w:t>6</w:t>
            </w:r>
            <w:r>
              <w:rPr>
                <w:rFonts w:ascii="宋体" w:hAnsi="宋体" w:eastAsia="宋体" w:cs="宋体"/>
                <w:spacing w:val="-6"/>
                <w:sz w:val="24"/>
                <w:szCs w:val="24"/>
              </w:rPr>
              <w:t>）设置</w:t>
            </w:r>
            <w:r>
              <w:rPr>
                <w:rFonts w:hint="eastAsia" w:ascii="宋体" w:hAnsi="宋体" w:eastAsia="宋体" w:cs="宋体"/>
                <w:spacing w:val="-6"/>
                <w:sz w:val="24"/>
                <w:szCs w:val="24"/>
                <w:lang w:eastAsia="zh-CN"/>
              </w:rPr>
              <w:t>应急事故池</w:t>
            </w:r>
          </w:p>
          <w:p>
            <w:pPr>
              <w:keepNext w:val="0"/>
              <w:keepLines w:val="0"/>
              <w:pageBreakBefore w:val="0"/>
              <w:shd w:val="clear"/>
              <w:kinsoku/>
              <w:wordWrap/>
              <w:overflowPunct/>
              <w:topLinePunct w:val="0"/>
              <w:autoSpaceDE/>
              <w:autoSpaceDN/>
              <w:bidi w:val="0"/>
              <w:adjustRightInd/>
              <w:spacing w:line="420" w:lineRule="atLeast"/>
              <w:ind w:left="0" w:right="0" w:firstLine="473"/>
              <w:textAlignment w:val="auto"/>
              <w:rPr>
                <w:rFonts w:ascii="宋体" w:hAnsi="宋体" w:eastAsia="宋体" w:cs="宋体"/>
                <w:sz w:val="24"/>
                <w:szCs w:val="24"/>
              </w:rPr>
            </w:pPr>
            <w:r>
              <w:rPr>
                <w:rFonts w:ascii="宋体" w:hAnsi="宋体" w:eastAsia="宋体" w:cs="宋体"/>
                <w:spacing w:val="-6"/>
                <w:sz w:val="24"/>
                <w:szCs w:val="24"/>
              </w:rPr>
              <w:t>正常工况下破损电池泄露的电解液均在耐酸、耐腐蚀的容器中。事故工况</w:t>
            </w:r>
            <w:r>
              <w:rPr>
                <w:rFonts w:ascii="宋体" w:hAnsi="宋体" w:eastAsia="宋体" w:cs="宋体"/>
                <w:spacing w:val="-5"/>
                <w:sz w:val="24"/>
                <w:szCs w:val="24"/>
              </w:rPr>
              <w:t>下存放破损电池的容器发生破裂，泄漏的电解液</w:t>
            </w:r>
            <w:r>
              <w:rPr>
                <w:rFonts w:hint="eastAsia" w:ascii="宋体" w:hAnsi="宋体" w:eastAsia="宋体" w:cs="宋体"/>
                <w:spacing w:val="-5"/>
                <w:sz w:val="24"/>
                <w:szCs w:val="24"/>
                <w:lang w:eastAsia="zh-CN"/>
              </w:rPr>
              <w:t>将</w:t>
            </w:r>
            <w:r>
              <w:rPr>
                <w:rFonts w:ascii="宋体" w:hAnsi="宋体" w:eastAsia="宋体" w:cs="宋体"/>
                <w:spacing w:val="-5"/>
                <w:sz w:val="24"/>
                <w:szCs w:val="24"/>
              </w:rPr>
              <w:t>通过容器流出导致电解液进入</w:t>
            </w:r>
            <w:r>
              <w:rPr>
                <w:rFonts w:ascii="宋体" w:hAnsi="宋体" w:eastAsia="宋体" w:cs="宋体"/>
                <w:spacing w:val="-6"/>
                <w:sz w:val="24"/>
                <w:szCs w:val="24"/>
              </w:rPr>
              <w:t>仓库地面。</w:t>
            </w:r>
          </w:p>
          <w:p>
            <w:pPr>
              <w:keepNext w:val="0"/>
              <w:keepLines w:val="0"/>
              <w:pageBreakBefore w:val="0"/>
              <w:shd w:val="clear"/>
              <w:kinsoku/>
              <w:wordWrap/>
              <w:overflowPunct/>
              <w:topLinePunct w:val="0"/>
              <w:autoSpaceDE/>
              <w:autoSpaceDN/>
              <w:bidi w:val="0"/>
              <w:adjustRightInd/>
              <w:spacing w:line="420" w:lineRule="atLeast"/>
              <w:ind w:left="0" w:right="0" w:firstLine="473"/>
              <w:textAlignment w:val="auto"/>
              <w:rPr>
                <w:rFonts w:hint="default" w:ascii="Times New Roman" w:hAnsi="Times New Roman" w:eastAsia="宋体" w:cs="Times New Roman"/>
                <w:spacing w:val="-6"/>
                <w:sz w:val="24"/>
                <w:szCs w:val="24"/>
              </w:rPr>
            </w:pPr>
            <w:r>
              <w:rPr>
                <w:rFonts w:hint="default" w:ascii="Times New Roman" w:hAnsi="Times New Roman" w:eastAsia="宋体" w:cs="Times New Roman"/>
                <w:spacing w:val="-6"/>
                <w:sz w:val="24"/>
                <w:szCs w:val="24"/>
              </w:rPr>
              <w:t>本项目</w:t>
            </w:r>
            <w:r>
              <w:rPr>
                <w:rFonts w:hint="default" w:ascii="Times New Roman" w:hAnsi="Times New Roman" w:eastAsia="宋体" w:cs="Times New Roman"/>
                <w:spacing w:val="-6"/>
                <w:sz w:val="24"/>
                <w:szCs w:val="24"/>
                <w:lang w:eastAsia="zh-CN"/>
              </w:rPr>
              <w:t>废铅蓄电池贮存仓库内四周地面</w:t>
            </w:r>
            <w:r>
              <w:rPr>
                <w:rFonts w:hint="default" w:ascii="Times New Roman" w:hAnsi="Times New Roman" w:eastAsia="宋体" w:cs="Times New Roman"/>
                <w:spacing w:val="-6"/>
                <w:sz w:val="24"/>
                <w:szCs w:val="24"/>
              </w:rPr>
              <w:t xml:space="preserve">设置导流沟、1个约 </w:t>
            </w:r>
            <w:r>
              <w:rPr>
                <w:rFonts w:hint="default" w:ascii="Times New Roman" w:hAnsi="Times New Roman" w:eastAsia="宋体" w:cs="Times New Roman"/>
                <w:spacing w:val="-6"/>
                <w:sz w:val="24"/>
                <w:szCs w:val="24"/>
                <w:lang w:val="en-US" w:eastAsia="zh-CN"/>
              </w:rPr>
              <w:t>10</w:t>
            </w:r>
            <w:r>
              <w:rPr>
                <w:rFonts w:hint="default" w:ascii="Times New Roman" w:hAnsi="Times New Roman" w:eastAsia="宋体" w:cs="Times New Roman"/>
                <w:spacing w:val="-6"/>
                <w:sz w:val="24"/>
                <w:szCs w:val="24"/>
              </w:rPr>
              <w:t xml:space="preserve">m3 </w:t>
            </w:r>
            <w:r>
              <w:rPr>
                <w:rFonts w:hint="default" w:ascii="Times New Roman" w:hAnsi="Times New Roman" w:eastAsia="宋体" w:cs="Times New Roman"/>
                <w:spacing w:val="-6"/>
                <w:sz w:val="24"/>
                <w:szCs w:val="24"/>
                <w:lang w:eastAsia="zh-CN"/>
              </w:rPr>
              <w:t>应急事故池</w:t>
            </w:r>
            <w:r>
              <w:rPr>
                <w:rFonts w:hint="default" w:ascii="Times New Roman" w:hAnsi="Times New Roman" w:eastAsia="宋体" w:cs="Times New Roman"/>
                <w:spacing w:val="-6"/>
                <w:sz w:val="24"/>
                <w:szCs w:val="24"/>
              </w:rPr>
              <w:t>并防腐防渗处理，一旦发生 电解液泄漏时，及时收集废液，杜绝事故</w:t>
            </w:r>
            <w:r>
              <w:rPr>
                <w:rFonts w:hint="default" w:ascii="Times New Roman" w:hAnsi="Times New Roman" w:eastAsia="宋体" w:cs="Times New Roman"/>
                <w:spacing w:val="-6"/>
                <w:sz w:val="24"/>
                <w:szCs w:val="24"/>
                <w:lang w:eastAsia="zh-CN"/>
              </w:rPr>
              <w:t>排放</w:t>
            </w:r>
            <w:r>
              <w:rPr>
                <w:rFonts w:hint="default" w:ascii="Times New Roman" w:hAnsi="Times New Roman" w:eastAsia="宋体" w:cs="Times New Roman"/>
                <w:spacing w:val="-6"/>
                <w:sz w:val="24"/>
                <w:szCs w:val="24"/>
              </w:rPr>
              <w:t>。若发生泄漏风险事故，应按程序报告，进行止漏并将泄漏电解液通过导流沟引至</w:t>
            </w:r>
            <w:r>
              <w:rPr>
                <w:rFonts w:hint="default" w:ascii="Times New Roman" w:hAnsi="Times New Roman" w:eastAsia="宋体" w:cs="Times New Roman"/>
                <w:spacing w:val="-6"/>
                <w:sz w:val="24"/>
                <w:szCs w:val="24"/>
                <w:lang w:eastAsia="zh-CN"/>
              </w:rPr>
              <w:t>应急事故池</w:t>
            </w:r>
            <w:r>
              <w:rPr>
                <w:rFonts w:hint="default" w:ascii="Times New Roman" w:hAnsi="Times New Roman" w:eastAsia="宋体" w:cs="Times New Roman"/>
                <w:spacing w:val="-6"/>
                <w:sz w:val="24"/>
                <w:szCs w:val="24"/>
              </w:rPr>
              <w:t>，因泄漏的废酸液及其冲洗水含铅，事故池收集废水不能直接外排，必须妥善转入专用容器中交由有资质的单位处理，企业不得自行处理。一般铅酸电池用的是 1. 18</w:t>
            </w:r>
            <w:r>
              <w:rPr>
                <w:rFonts w:hint="eastAsia" w:ascii="Times New Roman" w:hAnsi="Times New Roman" w:eastAsia="宋体" w:cs="Times New Roman"/>
                <w:spacing w:val="-6"/>
                <w:sz w:val="24"/>
                <w:szCs w:val="24"/>
                <w:lang w:val="en-US" w:eastAsia="zh-CN"/>
              </w:rPr>
              <w:t>~</w:t>
            </w:r>
            <w:r>
              <w:rPr>
                <w:rFonts w:hint="default" w:ascii="Times New Roman" w:hAnsi="Times New Roman" w:eastAsia="宋体" w:cs="Times New Roman"/>
                <w:spacing w:val="-6"/>
                <w:sz w:val="24"/>
                <w:szCs w:val="24"/>
              </w:rPr>
              <w:t xml:space="preserve"> 1.2g/cm</w:t>
            </w:r>
            <w:r>
              <w:rPr>
                <w:rFonts w:hint="default" w:ascii="Times New Roman" w:hAnsi="Times New Roman" w:eastAsia="宋体" w:cs="Times New Roman"/>
                <w:spacing w:val="-6"/>
                <w:sz w:val="24"/>
                <w:szCs w:val="24"/>
                <w:vertAlign w:val="superscript"/>
              </w:rPr>
              <w:t>3</w:t>
            </w:r>
            <w:r>
              <w:rPr>
                <w:rFonts w:hint="default" w:ascii="Times New Roman" w:hAnsi="Times New Roman" w:eastAsia="宋体" w:cs="Times New Roman"/>
                <w:spacing w:val="-6"/>
                <w:sz w:val="24"/>
                <w:szCs w:val="24"/>
              </w:rPr>
              <w:t xml:space="preserve"> 浓度的稀硫酸，挥发性不强，要求企业加强管理，严格按照《危险废物贮存污染控制标准》 （GB18597-2001）及 2013年修改单的公告（环保部公告 2013年第36号） 和</w:t>
            </w:r>
            <w:r>
              <w:rPr>
                <w:rFonts w:hint="default" w:ascii="Times New Roman" w:hAnsi="Times New Roman" w:eastAsia="宋体" w:cs="Times New Roman"/>
                <w:spacing w:val="-6"/>
                <w:sz w:val="24"/>
                <w:szCs w:val="24"/>
                <w:lang w:val="en-US" w:eastAsia="zh-CN"/>
              </w:rPr>
              <w:t xml:space="preserve"> </w:t>
            </w:r>
            <w:r>
              <w:rPr>
                <w:rFonts w:hint="default" w:ascii="Times New Roman" w:hAnsi="Times New Roman" w:eastAsia="宋体" w:cs="Times New Roman"/>
                <w:spacing w:val="-6"/>
                <w:sz w:val="24"/>
                <w:szCs w:val="24"/>
              </w:rPr>
              <w:t>《废铅酸蓄电池处理污染控制技术规范》 （HJ519-2020）的相关规定进行建设、管理营运。</w:t>
            </w:r>
          </w:p>
          <w:p>
            <w:pPr>
              <w:keepNext w:val="0"/>
              <w:keepLines w:val="0"/>
              <w:pageBreakBefore w:val="0"/>
              <w:shd w:val="clear"/>
              <w:kinsoku/>
              <w:wordWrap/>
              <w:overflowPunct/>
              <w:topLinePunct w:val="0"/>
              <w:autoSpaceDE/>
              <w:autoSpaceDN/>
              <w:bidi w:val="0"/>
              <w:adjustRightInd/>
              <w:spacing w:line="420" w:lineRule="atLeast"/>
              <w:ind w:left="0" w:right="0" w:firstLine="582"/>
              <w:textAlignment w:val="auto"/>
              <w:rPr>
                <w:rFonts w:ascii="宋体" w:hAnsi="宋体" w:eastAsia="宋体" w:cs="宋体"/>
                <w:sz w:val="24"/>
                <w:szCs w:val="24"/>
              </w:rPr>
            </w:pPr>
            <w:r>
              <w:rPr>
                <w:rFonts w:ascii="宋体" w:hAnsi="宋体" w:eastAsia="宋体" w:cs="宋体"/>
                <w:spacing w:val="-7"/>
                <w:sz w:val="24"/>
                <w:szCs w:val="24"/>
              </w:rPr>
              <w:t>（</w:t>
            </w:r>
            <w:r>
              <w:rPr>
                <w:rFonts w:ascii="Times New Roman" w:hAnsi="Times New Roman" w:eastAsia="Times New Roman" w:cs="Times New Roman"/>
                <w:spacing w:val="-7"/>
                <w:sz w:val="24"/>
                <w:szCs w:val="24"/>
              </w:rPr>
              <w:t>7</w:t>
            </w:r>
            <w:r>
              <w:rPr>
                <w:rFonts w:ascii="宋体" w:hAnsi="宋体" w:eastAsia="宋体" w:cs="宋体"/>
                <w:spacing w:val="-7"/>
                <w:sz w:val="24"/>
                <w:szCs w:val="24"/>
              </w:rPr>
              <w:t>）编制突发环境事件应急预案</w:t>
            </w:r>
          </w:p>
          <w:p>
            <w:pPr>
              <w:keepNext w:val="0"/>
              <w:keepLines w:val="0"/>
              <w:pageBreakBefore w:val="0"/>
              <w:shd w:val="clear"/>
              <w:kinsoku/>
              <w:wordWrap/>
              <w:overflowPunct/>
              <w:topLinePunct w:val="0"/>
              <w:autoSpaceDE/>
              <w:autoSpaceDN/>
              <w:bidi w:val="0"/>
              <w:adjustRightInd/>
              <w:spacing w:line="420" w:lineRule="atLeast"/>
              <w:ind w:left="0" w:right="0" w:firstLine="466"/>
              <w:textAlignment w:val="auto"/>
              <w:rPr>
                <w:rFonts w:ascii="宋体" w:hAnsi="宋体" w:eastAsia="宋体" w:cs="宋体"/>
                <w:sz w:val="24"/>
                <w:szCs w:val="24"/>
              </w:rPr>
            </w:pPr>
            <w:r>
              <w:rPr>
                <w:rFonts w:ascii="宋体" w:hAnsi="宋体" w:eastAsia="宋体" w:cs="宋体"/>
                <w:spacing w:val="-5"/>
                <w:sz w:val="24"/>
                <w:szCs w:val="24"/>
              </w:rPr>
              <w:t>根据国家颁布的有关环境保护法律法规和建设项目突发环境事件应急预案</w:t>
            </w:r>
            <w:r>
              <w:rPr>
                <w:rFonts w:ascii="宋体" w:hAnsi="宋体" w:eastAsia="宋体" w:cs="宋体"/>
                <w:spacing w:val="1"/>
                <w:sz w:val="24"/>
                <w:szCs w:val="24"/>
              </w:rPr>
              <w:t xml:space="preserve"> </w:t>
            </w:r>
            <w:r>
              <w:rPr>
                <w:rFonts w:ascii="宋体" w:hAnsi="宋体" w:eastAsia="宋体" w:cs="宋体"/>
                <w:spacing w:val="-7"/>
                <w:sz w:val="24"/>
                <w:szCs w:val="24"/>
              </w:rPr>
              <w:t>编制导则等要求，企业应编制突发环境事件应急预案并定期演练。</w:t>
            </w:r>
          </w:p>
          <w:p>
            <w:pPr>
              <w:keepNext w:val="0"/>
              <w:keepLines w:val="0"/>
              <w:pageBreakBefore w:val="0"/>
              <w:shd w:val="clear"/>
              <w:kinsoku/>
              <w:wordWrap/>
              <w:overflowPunct/>
              <w:topLinePunct w:val="0"/>
              <w:autoSpaceDE/>
              <w:autoSpaceDN/>
              <w:bidi w:val="0"/>
              <w:adjustRightInd/>
              <w:spacing w:line="420" w:lineRule="atLeast"/>
              <w:ind w:left="0" w:right="0" w:firstLine="466"/>
              <w:textAlignment w:val="auto"/>
              <w:rPr>
                <w:rFonts w:hint="default" w:ascii="Times New Roman" w:hAnsi="Times New Roman" w:eastAsia="宋体" w:cs="Times New Roman"/>
                <w:spacing w:val="-5"/>
                <w:sz w:val="24"/>
                <w:szCs w:val="24"/>
              </w:rPr>
            </w:pPr>
            <w:r>
              <w:rPr>
                <w:rFonts w:hint="default" w:ascii="Times New Roman" w:hAnsi="Times New Roman" w:eastAsia="宋体" w:cs="Times New Roman"/>
                <w:spacing w:val="-5"/>
                <w:sz w:val="24"/>
                <w:szCs w:val="24"/>
                <w:lang w:val="en-US" w:eastAsia="zh-CN"/>
              </w:rPr>
              <w:t>6.3</w:t>
            </w:r>
            <w:r>
              <w:rPr>
                <w:rFonts w:hint="default" w:ascii="Times New Roman" w:hAnsi="Times New Roman" w:eastAsia="宋体" w:cs="Times New Roman"/>
                <w:spacing w:val="-5"/>
                <w:sz w:val="24"/>
                <w:szCs w:val="24"/>
              </w:rPr>
              <w:t xml:space="preserve"> </w:t>
            </w:r>
            <w:r>
              <w:rPr>
                <w:rFonts w:hint="default" w:ascii="Times New Roman" w:hAnsi="Times New Roman" w:eastAsia="宋体" w:cs="Times New Roman"/>
                <w:spacing w:val="-5"/>
                <w:sz w:val="24"/>
                <w:szCs w:val="24"/>
                <w:lang w:eastAsia="zh-CN"/>
              </w:rPr>
              <w:t>环境风向评价</w:t>
            </w:r>
            <w:r>
              <w:rPr>
                <w:rFonts w:hint="default" w:ascii="Times New Roman" w:hAnsi="Times New Roman" w:eastAsia="宋体" w:cs="Times New Roman"/>
                <w:spacing w:val="-5"/>
                <w:sz w:val="24"/>
                <w:szCs w:val="24"/>
              </w:rPr>
              <w:t>结论</w:t>
            </w:r>
          </w:p>
          <w:p>
            <w:pPr>
              <w:keepNext w:val="0"/>
              <w:keepLines w:val="0"/>
              <w:pageBreakBefore w:val="0"/>
              <w:shd w:val="clear"/>
              <w:kinsoku/>
              <w:wordWrap/>
              <w:overflowPunct/>
              <w:topLinePunct w:val="0"/>
              <w:autoSpaceDE/>
              <w:autoSpaceDN/>
              <w:bidi w:val="0"/>
              <w:adjustRightInd/>
              <w:spacing w:line="420" w:lineRule="atLeast"/>
              <w:ind w:left="0" w:right="0" w:firstLine="472"/>
              <w:textAlignment w:val="auto"/>
              <w:rPr>
                <w:rFonts w:ascii="宋体" w:hAnsi="宋体" w:eastAsia="宋体" w:cs="宋体"/>
                <w:sz w:val="24"/>
                <w:szCs w:val="24"/>
              </w:rPr>
            </w:pPr>
            <w:r>
              <w:rPr>
                <w:rFonts w:ascii="宋体" w:hAnsi="宋体" w:eastAsia="宋体" w:cs="宋体"/>
                <w:spacing w:val="-6"/>
                <w:sz w:val="24"/>
                <w:szCs w:val="24"/>
              </w:rPr>
              <w:t>项目风险事故为废铅酸蓄电池破损导致电解液泄露的风险以及储存仓库发</w:t>
            </w:r>
            <w:r>
              <w:rPr>
                <w:rFonts w:ascii="宋体" w:hAnsi="宋体" w:eastAsia="宋体" w:cs="宋体"/>
                <w:spacing w:val="29"/>
                <w:sz w:val="24"/>
                <w:szCs w:val="24"/>
              </w:rPr>
              <w:t xml:space="preserve"> </w:t>
            </w:r>
            <w:r>
              <w:rPr>
                <w:rFonts w:ascii="宋体" w:hAnsi="宋体" w:eastAsia="宋体" w:cs="宋体"/>
                <w:spacing w:val="-5"/>
                <w:sz w:val="24"/>
                <w:szCs w:val="24"/>
              </w:rPr>
              <w:t>生火灾的风险，对环境造成一定的影响。项目通过制定风险防范措施，制定安全生产规范，加强员工的安全、环保知识和风险事故安全教育，提高职工风险意识，掌握本职工作所需的安全知识和技能，严格遵守安全规章制度和操作规程，了解其作业场所和工作存在的风险有害因素以及企业所采取的防范措施和环境突发事故应急措施，以减少风险发生的概率。因此，建设项目通过落实风</w:t>
            </w:r>
            <w:r>
              <w:rPr>
                <w:rFonts w:ascii="宋体" w:hAnsi="宋体" w:eastAsia="宋体" w:cs="宋体"/>
                <w:spacing w:val="-6"/>
                <w:sz w:val="24"/>
                <w:szCs w:val="24"/>
              </w:rPr>
              <w:t>险防范措施，使风险发生概率可进一步降低，影响可以进一步减轻。</w:t>
            </w:r>
          </w:p>
          <w:p>
            <w:pPr>
              <w:keepNext w:val="0"/>
              <w:keepLines w:val="0"/>
              <w:pageBreakBefore w:val="0"/>
              <w:shd w:val="clear"/>
              <w:kinsoku/>
              <w:wordWrap/>
              <w:overflowPunct/>
              <w:topLinePunct w:val="0"/>
              <w:autoSpaceDE/>
              <w:autoSpaceDN/>
              <w:bidi w:val="0"/>
              <w:adjustRightInd/>
              <w:spacing w:line="420" w:lineRule="atLeast"/>
              <w:ind w:left="0" w:right="0" w:firstLine="578"/>
              <w:textAlignment w:val="auto"/>
              <w:rPr>
                <w:rFonts w:ascii="宋体" w:hAnsi="宋体" w:eastAsia="宋体" w:cs="宋体"/>
                <w:sz w:val="24"/>
                <w:szCs w:val="24"/>
              </w:rPr>
            </w:pPr>
            <w:r>
              <w:rPr>
                <w:rFonts w:ascii="宋体" w:hAnsi="宋体" w:eastAsia="宋体" w:cs="宋体"/>
                <w:spacing w:val="-7"/>
                <w:sz w:val="24"/>
                <w:szCs w:val="24"/>
              </w:rPr>
              <w:t>综上，项目环境风险</w:t>
            </w:r>
            <w:r>
              <w:rPr>
                <w:rFonts w:hint="eastAsia" w:ascii="宋体" w:hAnsi="宋体" w:eastAsia="宋体" w:cs="宋体"/>
                <w:spacing w:val="-7"/>
                <w:sz w:val="24"/>
                <w:szCs w:val="24"/>
                <w:lang w:eastAsia="zh-CN"/>
              </w:rPr>
              <w:t>可控</w:t>
            </w:r>
            <w:r>
              <w:rPr>
                <w:rFonts w:ascii="宋体" w:hAnsi="宋体" w:eastAsia="宋体" w:cs="宋体"/>
                <w:spacing w:val="-7"/>
                <w:sz w:val="24"/>
                <w:szCs w:val="24"/>
              </w:rPr>
              <w:t>。</w:t>
            </w:r>
          </w:p>
          <w:p>
            <w:pPr>
              <w:pStyle w:val="6"/>
              <w:keepNext w:val="0"/>
              <w:keepLines w:val="0"/>
              <w:pageBreakBefore w:val="0"/>
              <w:numPr>
                <w:ilvl w:val="0"/>
                <w:numId w:val="0"/>
              </w:numPr>
              <w:shd w:val="clear"/>
              <w:kinsoku/>
              <w:wordWrap/>
              <w:overflowPunct/>
              <w:topLinePunct w:val="0"/>
              <w:autoSpaceDE/>
              <w:autoSpaceDN/>
              <w:bidi w:val="0"/>
              <w:adjustRightInd/>
              <w:spacing w:before="0" w:after="0" w:line="420" w:lineRule="atLeast"/>
              <w:ind w:leftChars="0" w:right="0" w:rightChars="0" w:firstLine="482" w:firstLineChars="200"/>
              <w:jc w:val="both"/>
              <w:textAlignment w:val="auto"/>
              <w:rPr>
                <w:rFonts w:hint="eastAsia" w:ascii="Times New Roman" w:hAnsi="Times New Roman" w:eastAsia="宋体" w:cs="Times New Roman"/>
                <w:b/>
                <w:sz w:val="24"/>
                <w:lang w:val="en-US" w:eastAsia="zh-CN"/>
              </w:rPr>
            </w:pPr>
            <w:r>
              <w:rPr>
                <w:rFonts w:hint="eastAsia" w:ascii="Times New Roman" w:hAnsi="Times New Roman" w:eastAsia="宋体" w:cs="Times New Roman"/>
                <w:b/>
                <w:sz w:val="24"/>
                <w:lang w:val="en-US" w:eastAsia="zh-CN"/>
              </w:rPr>
              <w:t>7、营运期环境管理要求</w:t>
            </w:r>
          </w:p>
          <w:p>
            <w:pPr>
              <w:pStyle w:val="6"/>
              <w:keepNext w:val="0"/>
              <w:keepLines w:val="0"/>
              <w:pageBreakBefore w:val="0"/>
              <w:widowControl/>
              <w:shd w:val="clear"/>
              <w:kinsoku/>
              <w:wordWrap/>
              <w:overflowPunct/>
              <w:topLinePunct w:val="0"/>
              <w:autoSpaceDE/>
              <w:autoSpaceDN/>
              <w:bidi w:val="0"/>
              <w:adjustRightInd/>
              <w:snapToGrid w:val="0"/>
              <w:spacing w:before="0" w:after="0" w:line="420" w:lineRule="atLeast"/>
              <w:ind w:right="0" w:firstLine="480" w:firstLineChars="200"/>
              <w:jc w:val="left"/>
              <w:textAlignment w:val="auto"/>
              <w:rPr>
                <w:rFonts w:hint="default" w:ascii="Times New Roman" w:hAnsi="Times New Roman" w:eastAsia="宋体" w:cs="宋体"/>
                <w:sz w:val="24"/>
                <w:lang w:val="en-US" w:eastAsia="zh-CN"/>
              </w:rPr>
            </w:pPr>
            <w:r>
              <w:rPr>
                <w:rFonts w:hint="eastAsia" w:ascii="Times New Roman" w:hAnsi="Times New Roman" w:eastAsia="宋体" w:cs="宋体"/>
                <w:sz w:val="24"/>
                <w:lang w:val="en-US" w:eastAsia="zh-CN"/>
              </w:rPr>
              <w:t>参照《河南省企业环境规范化管理指南》中要求，环评建议企业在营运期规范以下环境管理。</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default" w:ascii="Times New Roman" w:hAnsi="Times New Roman" w:eastAsia="宋体" w:cs="Times New Roman"/>
                <w:b w:val="0"/>
                <w:bCs w:val="0"/>
                <w:sz w:val="24"/>
                <w:lang w:val="en-US" w:eastAsia="zh-CN"/>
              </w:rPr>
            </w:pPr>
            <w:r>
              <w:rPr>
                <w:rFonts w:hint="eastAsia" w:ascii="Times New Roman" w:hAnsi="Times New Roman" w:eastAsia="宋体" w:cs="Times New Roman"/>
                <w:b w:val="0"/>
                <w:bCs w:val="0"/>
                <w:sz w:val="24"/>
                <w:lang w:val="en-US" w:eastAsia="zh-CN"/>
              </w:rPr>
              <w:t>7.1 固体废物管理</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Times New Roman" w:hAnsi="Times New Roman" w:eastAsia="宋体" w:cs="Times New Roman"/>
                <w:sz w:val="24"/>
                <w:lang w:val="en-US" w:eastAsia="zh-CN"/>
              </w:rPr>
            </w:pPr>
            <w:r>
              <w:rPr>
                <w:sz w:val="24"/>
                <w:szCs w:val="24"/>
              </w:rPr>
              <w:t>根据《中华人民共和国固体废物污染环境防治法》，</w:t>
            </w:r>
            <w:r>
              <w:rPr>
                <w:rFonts w:hint="eastAsia"/>
                <w:sz w:val="24"/>
                <w:szCs w:val="24"/>
              </w:rPr>
              <w:t>建设单位</w:t>
            </w:r>
            <w:r>
              <w:rPr>
                <w:sz w:val="24"/>
                <w:szCs w:val="24"/>
              </w:rPr>
              <w:t>应建立健全营运过程中固体废物产生、收集、贮存、运输、利用、处置全过程的污染环境防治责任制度，建立固体废物管理台账，如实记录产生工业固体废物的种类、数量、流向、贮存、利用、处置等信息，实现固体废物可追溯、可查询，并采取防治固体废物污染环</w:t>
            </w:r>
            <w:r>
              <w:rPr>
                <w:rFonts w:hint="eastAsia"/>
                <w:sz w:val="24"/>
                <w:szCs w:val="24"/>
              </w:rPr>
              <w:t>境的措施。本次环评已在环评报告中要求建设单位落实完善相关环保管理制度，固废规范处置，完善台账记录，加强员工培训，并由专人负责监督项目环保设施运行情况，岗位责任制，设备操作规程执行情况，运行记录填报情况，保障各项污染治理措施正常运行及各类污染物稳定达标排放。</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Times New Roman" w:hAnsi="Times New Roman" w:eastAsia="宋体" w:cs="Times New Roman"/>
                <w:b w:val="0"/>
                <w:bCs w:val="0"/>
                <w:sz w:val="24"/>
                <w:lang w:val="en-US" w:eastAsia="zh-CN"/>
              </w:rPr>
            </w:pPr>
            <w:r>
              <w:rPr>
                <w:rFonts w:hint="eastAsia" w:ascii="Times New Roman" w:hAnsi="Times New Roman" w:eastAsia="宋体" w:cs="Times New Roman"/>
                <w:b w:val="0"/>
                <w:bCs w:val="0"/>
                <w:sz w:val="24"/>
                <w:lang w:val="en-US" w:eastAsia="zh-CN"/>
              </w:rPr>
              <w:t>7.2“三同时”制度</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根据《建设项目环境保护管理条例》，建设项目需配套建设的环保设施，必须与主体工程同时设计、同时施工、同时投产使用。本项目配套建设的环保设施经验收合格后，方可投入生产或使用。建设单位作为建设项目竣工环境保护验收的责任主体，应在项目竣工后按照《建设项目竣工环境保护验收技术指南 污染影响类》规定的程序和标准，组织对配套建设的环保设施进行验收，编制验收报告，公开相关信息，接受社会监督，确保建设项目需配套建设的环保设施与主体工程同时投产或使用，并对验收内容、结论和所公开信息的真实性、准确性和完整性负责，不得在验收过程中弄虚作假。</w:t>
            </w:r>
          </w:p>
          <w:p>
            <w:pPr>
              <w:pStyle w:val="23"/>
              <w:keepNext w:val="0"/>
              <w:keepLines w:val="0"/>
              <w:pageBreakBefore w:val="0"/>
              <w:widowControl w:val="0"/>
              <w:kinsoku/>
              <w:wordWrap/>
              <w:overflowPunct/>
              <w:topLinePunct w:val="0"/>
              <w:autoSpaceDE/>
              <w:autoSpaceDN/>
              <w:bidi w:val="0"/>
              <w:adjustRightInd/>
              <w:snapToGrid/>
              <w:spacing w:line="420" w:lineRule="exact"/>
              <w:ind w:left="0" w:firstLine="435"/>
              <w:jc w:val="left"/>
              <w:textAlignment w:val="auto"/>
              <w:rPr>
                <w:rFonts w:hint="default" w:ascii="Times New Roman" w:hAnsi="Times New Roman" w:cs="Times New Roman"/>
                <w:b w:val="0"/>
                <w:bCs w:val="0"/>
                <w:color w:val="000000"/>
                <w:sz w:val="24"/>
                <w:szCs w:val="24"/>
                <w:lang w:eastAsia="zh-CN"/>
              </w:rPr>
            </w:pPr>
            <w:r>
              <w:rPr>
                <w:rFonts w:hint="eastAsia" w:ascii="Times New Roman" w:hAnsi="Times New Roman" w:eastAsia="宋体" w:cs="Times New Roman"/>
                <w:b w:val="0"/>
                <w:bCs w:val="0"/>
                <w:sz w:val="24"/>
                <w:lang w:val="en-US" w:eastAsia="zh-CN"/>
              </w:rPr>
              <w:t>7.3</w:t>
            </w:r>
            <w:r>
              <w:rPr>
                <w:rFonts w:hint="default" w:ascii="Times New Roman" w:hAnsi="Times New Roman" w:cs="Times New Roman"/>
                <w:b w:val="0"/>
                <w:bCs w:val="0"/>
                <w:color w:val="000000"/>
                <w:sz w:val="24"/>
                <w:szCs w:val="24"/>
                <w:lang w:val="en-US" w:eastAsia="zh-CN"/>
              </w:rPr>
              <w:t>、</w:t>
            </w:r>
            <w:r>
              <w:rPr>
                <w:rFonts w:hint="default" w:ascii="Times New Roman" w:hAnsi="Times New Roman" w:cs="Times New Roman"/>
                <w:b w:val="0"/>
                <w:bCs w:val="0"/>
                <w:color w:val="000000"/>
                <w:sz w:val="24"/>
                <w:szCs w:val="24"/>
                <w:lang w:eastAsia="zh-CN"/>
              </w:rPr>
              <w:t>排放口规范化管理</w:t>
            </w:r>
          </w:p>
          <w:p>
            <w:pPr>
              <w:keepNext w:val="0"/>
              <w:keepLines w:val="0"/>
              <w:pageBreakBefore w:val="0"/>
              <w:widowControl w:val="0"/>
              <w:kinsoku/>
              <w:wordWrap/>
              <w:overflowPunct/>
              <w:topLinePunct w:val="0"/>
              <w:autoSpaceDE/>
              <w:autoSpaceDN/>
              <w:bidi w:val="0"/>
              <w:adjustRightInd/>
              <w:snapToGrid/>
              <w:spacing w:line="420" w:lineRule="exact"/>
              <w:ind w:left="0" w:firstLine="480" w:firstLineChars="200"/>
              <w:textAlignment w:val="auto"/>
              <w:rPr>
                <w:rFonts w:hint="default" w:ascii="Times New Roman" w:hAnsi="Times New Roman" w:eastAsia="宋体" w:cs="Times New Roman"/>
                <w:color w:val="000000"/>
                <w:sz w:val="24"/>
                <w:szCs w:val="24"/>
                <w:lang w:val="en-US" w:eastAsia="zh-CN"/>
              </w:rPr>
            </w:pPr>
            <w:r>
              <w:rPr>
                <w:rFonts w:hint="default" w:ascii="Times New Roman" w:hAnsi="Times New Roman" w:eastAsia="宋体" w:cs="Times New Roman"/>
                <w:color w:val="000000"/>
                <w:sz w:val="24"/>
                <w:szCs w:val="24"/>
                <w:lang w:val="en-US" w:eastAsia="zh-CN"/>
              </w:rPr>
              <w:t>根据《环境保护图形标志－排放口（源）》（GB15562.1-1995）《环境保护图形标志 固体废物贮存（处置）场》（GB 15562.2-1995）标准要求，本项目应在污水排放口、固废贮存场所分别设置环境保护图形标志牌，便于污染源监督管理及常规监测工作的进行，具体如下。</w:t>
            </w: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color w:val="000000"/>
                <w:kern w:val="2"/>
                <w:sz w:val="24"/>
                <w:szCs w:val="24"/>
                <w:lang w:val="en-US" w:eastAsia="zh-CN" w:bidi="ar-SA"/>
              </w:rPr>
            </w:pPr>
          </w:p>
          <w:p>
            <w:pPr>
              <w:pStyle w:val="23"/>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黑体" w:hAnsi="黑体" w:eastAsia="黑体" w:cs="黑体"/>
                <w:b w:val="0"/>
                <w:bCs w:val="0"/>
                <w:sz w:val="24"/>
                <w:szCs w:val="24"/>
                <w:lang w:val="en-US" w:eastAsia="zh-CN"/>
              </w:rPr>
            </w:pPr>
            <w:r>
              <w:rPr>
                <w:rFonts w:hint="eastAsia" w:ascii="黑体" w:hAnsi="黑体" w:eastAsia="黑体" w:cs="黑体"/>
                <w:b w:val="0"/>
                <w:bCs w:val="0"/>
                <w:color w:val="000000"/>
                <w:kern w:val="2"/>
                <w:sz w:val="24"/>
                <w:szCs w:val="24"/>
                <w:lang w:val="en-US" w:eastAsia="zh-CN" w:bidi="ar-SA"/>
              </w:rPr>
              <w:t>排污口图形标志一览表</w:t>
            </w:r>
          </w:p>
          <w:tbl>
            <w:tblPr>
              <w:tblStyle w:val="1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389"/>
              <w:gridCol w:w="2902"/>
              <w:gridCol w:w="28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序号</w:t>
                  </w:r>
                </w:p>
              </w:tc>
              <w:tc>
                <w:tcPr>
                  <w:tcW w:w="8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要求</w:t>
                  </w:r>
                </w:p>
              </w:tc>
              <w:tc>
                <w:tcPr>
                  <w:tcW w:w="362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排放部位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1</w:t>
                  </w:r>
                </w:p>
              </w:tc>
              <w:tc>
                <w:tcPr>
                  <w:tcW w:w="875" w:type="pct"/>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both"/>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图形符号</w:t>
                  </w:r>
                </w:p>
              </w:tc>
              <w:tc>
                <w:tcPr>
                  <w:tcW w:w="362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eastAsia" w:ascii="Times New Roman" w:hAnsi="Times New Roman" w:cs="Times New Roman"/>
                      <w:kern w:val="2"/>
                      <w:sz w:val="24"/>
                      <w:szCs w:val="24"/>
                      <w:vertAlign w:val="baseline"/>
                      <w:lang w:val="en-US" w:eastAsia="zh-CN" w:bidi="ar-SA"/>
                    </w:rPr>
                    <w:t>废气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default" w:ascii="Times New Roman" w:hAnsi="Times New Roman" w:cs="Times New Roman"/>
                      <w:kern w:val="2"/>
                      <w:sz w:val="24"/>
                      <w:szCs w:val="24"/>
                      <w:vertAlign w:val="baseline"/>
                      <w:lang w:val="en-US" w:eastAsia="zh-CN" w:bidi="ar-SA"/>
                    </w:rPr>
                  </w:pPr>
                </w:p>
              </w:tc>
              <w:tc>
                <w:tcPr>
                  <w:tcW w:w="87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default" w:ascii="Times New Roman" w:hAnsi="Times New Roman" w:cs="Times New Roman"/>
                      <w:kern w:val="2"/>
                      <w:sz w:val="24"/>
                      <w:szCs w:val="24"/>
                      <w:vertAlign w:val="baseline"/>
                      <w:lang w:val="en-US" w:eastAsia="zh-CN" w:bidi="ar-SA"/>
                    </w:rPr>
                  </w:pPr>
                </w:p>
              </w:tc>
              <w:tc>
                <w:tcPr>
                  <w:tcW w:w="362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sz w:val="24"/>
                      <w:szCs w:val="24"/>
                    </w:rPr>
                  </w:pPr>
                  <w:r>
                    <w:rPr>
                      <w:rFonts w:hint="default" w:ascii="Times New Roman" w:hAnsi="Times New Roman" w:cs="Times New Roman"/>
                      <w:color w:val="auto"/>
                      <w:kern w:val="0"/>
                      <w:sz w:val="21"/>
                      <w:szCs w:val="21"/>
                    </w:rPr>
                    <w:drawing>
                      <wp:inline distT="0" distB="0" distL="114300" distR="114300">
                        <wp:extent cx="1343660" cy="810260"/>
                        <wp:effectExtent l="0" t="0" r="8890" b="8890"/>
                        <wp:docPr id="2" name="图片 4" descr="C:\Users\kong\AppData\Local\Temp\ksohtml\wps91C0.tm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C:\Users\kong\AppData\Local\Temp\ksohtml\wps91C0.tmp.png"/>
                                <pic:cNvPicPr>
                                  <a:picLocks noChangeAspect="1"/>
                                </pic:cNvPicPr>
                              </pic:nvPicPr>
                              <pic:blipFill>
                                <a:blip r:embed="rId17"/>
                                <a:stretch>
                                  <a:fillRect/>
                                </a:stretch>
                              </pic:blipFill>
                              <pic:spPr>
                                <a:xfrm>
                                  <a:off x="0" y="0"/>
                                  <a:ext cx="1343660" cy="810260"/>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default" w:ascii="Times New Roman" w:hAnsi="Times New Roman" w:cs="Times New Roman"/>
                      <w:kern w:val="2"/>
                      <w:sz w:val="24"/>
                      <w:szCs w:val="24"/>
                      <w:vertAlign w:val="baseline"/>
                      <w:lang w:val="en-US" w:eastAsia="zh-CN" w:bidi="ar-SA"/>
                    </w:rPr>
                  </w:pPr>
                </w:p>
              </w:tc>
              <w:tc>
                <w:tcPr>
                  <w:tcW w:w="87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default" w:ascii="Times New Roman" w:hAnsi="Times New Roman" w:cs="Times New Roman"/>
                      <w:kern w:val="2"/>
                      <w:sz w:val="24"/>
                      <w:szCs w:val="24"/>
                      <w:vertAlign w:val="baseline"/>
                      <w:lang w:val="en-US" w:eastAsia="zh-CN" w:bidi="ar-SA"/>
                    </w:rPr>
                  </w:pPr>
                </w:p>
              </w:tc>
              <w:tc>
                <w:tcPr>
                  <w:tcW w:w="18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eastAsia="宋体" w:cs="Times New Roman"/>
                      <w:sz w:val="24"/>
                      <w:szCs w:val="24"/>
                      <w:lang w:eastAsia="zh-CN"/>
                    </w:rPr>
                  </w:pPr>
                  <w:r>
                    <w:rPr>
                      <w:rFonts w:hint="default" w:ascii="Times New Roman" w:hAnsi="Times New Roman" w:cs="Times New Roman"/>
                      <w:sz w:val="24"/>
                      <w:szCs w:val="24"/>
                      <w:lang w:eastAsia="zh-CN"/>
                    </w:rPr>
                    <w:t>噪声</w:t>
                  </w:r>
                </w:p>
              </w:tc>
              <w:tc>
                <w:tcPr>
                  <w:tcW w:w="1791"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eastAsia="宋体" w:cs="Times New Roman"/>
                      <w:sz w:val="24"/>
                      <w:szCs w:val="24"/>
                      <w:lang w:eastAsia="zh-CN"/>
                    </w:rPr>
                  </w:pPr>
                  <w:r>
                    <w:rPr>
                      <w:rFonts w:hint="default" w:ascii="Times New Roman" w:hAnsi="Times New Roman" w:cs="Times New Roman"/>
                      <w:sz w:val="24"/>
                      <w:szCs w:val="24"/>
                      <w:lang w:eastAsia="zh-CN"/>
                    </w:rPr>
                    <w:t>固废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default" w:ascii="Times New Roman" w:hAnsi="Times New Roman" w:cs="Times New Roman"/>
                      <w:kern w:val="2"/>
                      <w:sz w:val="24"/>
                      <w:szCs w:val="24"/>
                      <w:vertAlign w:val="baseline"/>
                      <w:lang w:val="en-US" w:eastAsia="zh-CN" w:bidi="ar-SA"/>
                    </w:rPr>
                  </w:pPr>
                </w:p>
              </w:tc>
              <w:tc>
                <w:tcPr>
                  <w:tcW w:w="875" w:type="pct"/>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jc w:val="center"/>
                    <w:textAlignment w:val="auto"/>
                    <w:rPr>
                      <w:rFonts w:hint="default" w:ascii="Times New Roman" w:hAnsi="Times New Roman" w:cs="Times New Roman"/>
                      <w:kern w:val="2"/>
                      <w:sz w:val="24"/>
                      <w:szCs w:val="24"/>
                      <w:vertAlign w:val="baseline"/>
                      <w:lang w:val="en-US" w:eastAsia="zh-CN" w:bidi="ar-SA"/>
                    </w:rPr>
                  </w:pPr>
                </w:p>
              </w:tc>
              <w:tc>
                <w:tcPr>
                  <w:tcW w:w="1828"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sz w:val="24"/>
                      <w:szCs w:val="24"/>
                    </w:rPr>
                    <w:drawing>
                      <wp:inline distT="0" distB="0" distL="114300" distR="114300">
                        <wp:extent cx="1412240" cy="902335"/>
                        <wp:effectExtent l="0" t="0" r="16510" b="12065"/>
                        <wp:docPr id="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6"/>
                                <pic:cNvPicPr>
                                  <a:picLocks noChangeAspect="1"/>
                                </pic:cNvPicPr>
                              </pic:nvPicPr>
                              <pic:blipFill>
                                <a:blip r:embed="rId18"/>
                                <a:stretch>
                                  <a:fillRect/>
                                </a:stretch>
                              </pic:blipFill>
                              <pic:spPr>
                                <a:xfrm>
                                  <a:off x="0" y="0"/>
                                  <a:ext cx="1412240" cy="902335"/>
                                </a:xfrm>
                                <a:prstGeom prst="rect">
                                  <a:avLst/>
                                </a:prstGeom>
                                <a:noFill/>
                                <a:ln>
                                  <a:noFill/>
                                </a:ln>
                              </pic:spPr>
                            </pic:pic>
                          </a:graphicData>
                        </a:graphic>
                      </wp:inline>
                    </w:drawing>
                  </w:r>
                </w:p>
              </w:tc>
              <w:tc>
                <w:tcPr>
                  <w:tcW w:w="1791"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sz w:val="24"/>
                      <w:szCs w:val="24"/>
                    </w:rPr>
                    <w:drawing>
                      <wp:inline distT="0" distB="0" distL="114300" distR="114300">
                        <wp:extent cx="1296670" cy="879475"/>
                        <wp:effectExtent l="0" t="0" r="17780" b="15875"/>
                        <wp:docPr id="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pic:cNvPicPr>
                                  <a:picLocks noChangeAspect="1"/>
                                </pic:cNvPicPr>
                              </pic:nvPicPr>
                              <pic:blipFill>
                                <a:blip r:embed="rId19"/>
                                <a:stretch>
                                  <a:fillRect/>
                                </a:stretch>
                              </pic:blipFill>
                              <pic:spPr>
                                <a:xfrm>
                                  <a:off x="0" y="0"/>
                                  <a:ext cx="1296670" cy="879475"/>
                                </a:xfrm>
                                <a:prstGeom prst="rect">
                                  <a:avLst/>
                                </a:prstGeom>
                                <a:noFill/>
                                <a:ln>
                                  <a:noFill/>
                                </a:ln>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2</w:t>
                  </w:r>
                </w:p>
              </w:tc>
              <w:tc>
                <w:tcPr>
                  <w:tcW w:w="8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背景颜色</w:t>
                  </w:r>
                </w:p>
              </w:tc>
              <w:tc>
                <w:tcPr>
                  <w:tcW w:w="362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eastAsia="宋体" w:cs="Times New Roman"/>
                      <w:sz w:val="24"/>
                      <w:szCs w:val="24"/>
                      <w:lang w:eastAsia="zh-CN"/>
                    </w:rPr>
                  </w:pPr>
                  <w:r>
                    <w:rPr>
                      <w:rFonts w:hint="default" w:ascii="Times New Roman" w:hAnsi="Times New Roman" w:cs="Times New Roman"/>
                      <w:sz w:val="24"/>
                      <w:szCs w:val="24"/>
                      <w:lang w:eastAsia="zh-CN"/>
                    </w:rPr>
                    <w:t>绿色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504"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3</w:t>
                  </w:r>
                </w:p>
              </w:tc>
              <w:tc>
                <w:tcPr>
                  <w:tcW w:w="875" w:type="pct"/>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kern w:val="2"/>
                      <w:sz w:val="24"/>
                      <w:szCs w:val="24"/>
                      <w:vertAlign w:val="baseline"/>
                      <w:lang w:val="en-US" w:eastAsia="zh-CN" w:bidi="ar-SA"/>
                    </w:rPr>
                  </w:pPr>
                  <w:r>
                    <w:rPr>
                      <w:rFonts w:hint="default" w:ascii="Times New Roman" w:hAnsi="Times New Roman" w:cs="Times New Roman"/>
                      <w:kern w:val="2"/>
                      <w:sz w:val="24"/>
                      <w:szCs w:val="24"/>
                      <w:vertAlign w:val="baseline"/>
                      <w:lang w:val="en-US" w:eastAsia="zh-CN" w:bidi="ar-SA"/>
                    </w:rPr>
                    <w:t>图形颜色</w:t>
                  </w:r>
                </w:p>
              </w:tc>
              <w:tc>
                <w:tcPr>
                  <w:tcW w:w="3620" w:type="pct"/>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spacing w:line="240" w:lineRule="auto"/>
                    <w:ind w:left="0" w:leftChars="0" w:firstLine="0" w:firstLineChars="0"/>
                    <w:jc w:val="center"/>
                    <w:textAlignment w:val="auto"/>
                    <w:rPr>
                      <w:rFonts w:hint="default" w:ascii="Times New Roman" w:hAnsi="Times New Roman" w:cs="Times New Roman"/>
                      <w:sz w:val="24"/>
                      <w:szCs w:val="24"/>
                      <w:lang w:eastAsia="zh-CN"/>
                    </w:rPr>
                  </w:pPr>
                  <w:r>
                    <w:rPr>
                      <w:rFonts w:hint="default" w:ascii="Times New Roman" w:hAnsi="Times New Roman" w:cs="Times New Roman"/>
                      <w:sz w:val="24"/>
                      <w:szCs w:val="24"/>
                      <w:lang w:eastAsia="zh-CN"/>
                    </w:rPr>
                    <w:t>白色</w:t>
                  </w:r>
                </w:p>
              </w:tc>
            </w:tr>
          </w:tbl>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b w:val="0"/>
                <w:bCs w:val="0"/>
                <w:sz w:val="24"/>
                <w:lang w:val="en-US" w:eastAsia="zh-CN"/>
              </w:rPr>
            </w:pPr>
            <w:r>
              <w:rPr>
                <w:rFonts w:hint="eastAsia" w:ascii="Times New Roman" w:hAnsi="Times New Roman" w:eastAsia="宋体" w:cs="Times New Roman"/>
                <w:b w:val="0"/>
                <w:bCs w:val="0"/>
                <w:sz w:val="24"/>
                <w:lang w:val="en-US" w:eastAsia="zh-CN"/>
              </w:rPr>
              <w:t>7.4排污许可证制度</w:t>
            </w: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建设单位应当在项目投入生产或使用并产生实际排污行为之前申请变更排污许可证。依法按照排污许可证申请与核发技术规范提交排污许可申请，申报排放污染物种类、排放浓度，测算并申报污染物排放量。建设单位应当严格执行排污许可证的规定，禁止无证排污或不按证排污。</w:t>
            </w: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b w:val="0"/>
                <w:bCs w:val="0"/>
                <w:sz w:val="24"/>
                <w:lang w:val="en-US" w:eastAsia="zh-CN"/>
              </w:rPr>
            </w:pPr>
            <w:r>
              <w:rPr>
                <w:rFonts w:hint="eastAsia" w:ascii="Times New Roman" w:hAnsi="Times New Roman" w:eastAsia="宋体" w:cs="Times New Roman"/>
                <w:b w:val="0"/>
                <w:bCs w:val="0"/>
                <w:sz w:val="24"/>
                <w:lang w:val="en-US" w:eastAsia="zh-CN"/>
              </w:rPr>
              <w:t>7.5建立环境保护管理制度</w:t>
            </w: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r>
              <w:rPr>
                <w:rFonts w:hint="eastAsia" w:ascii="Times New Roman" w:hAnsi="Times New Roman" w:eastAsia="宋体" w:cs="Times New Roman"/>
                <w:sz w:val="24"/>
                <w:lang w:val="en-US" w:eastAsia="zh-CN"/>
              </w:rPr>
              <w:t>项目投运后，企业应制定环境保护管理制度，明确项目环保管理责任人，明确环保岗位责任制，制定污染防治设施操作规程，建立污染治理设施运行台账，并妥善保存所有记录、台账及污染排放监测资料、环境管理档案资料等</w:t>
            </w:r>
            <w:r>
              <w:rPr>
                <w:rFonts w:hint="eastAsia" w:cs="Times New Roman"/>
                <w:sz w:val="24"/>
                <w:lang w:val="en-US" w:eastAsia="zh-CN"/>
              </w:rPr>
              <w:t>。</w:t>
            </w: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ascii="Times New Roman" w:hAnsi="Times New Roman" w:eastAsia="宋体" w:cs="Times New Roman"/>
                <w:sz w:val="24"/>
                <w:lang w:val="en-US" w:eastAsia="zh-CN"/>
              </w:rPr>
            </w:pPr>
          </w:p>
          <w:p>
            <w:pPr>
              <w:keepNext w:val="0"/>
              <w:keepLines w:val="0"/>
              <w:pageBreakBefore w:val="0"/>
              <w:widowControl w:val="0"/>
              <w:kinsoku/>
              <w:wordWrap/>
              <w:overflowPunct/>
              <w:topLinePunct w:val="0"/>
              <w:autoSpaceDE/>
              <w:autoSpaceDN/>
              <w:bidi w:val="0"/>
              <w:adjustRightInd w:val="0"/>
              <w:snapToGrid w:val="0"/>
              <w:spacing w:line="420" w:lineRule="atLeast"/>
              <w:ind w:firstLine="480" w:firstLineChars="200"/>
              <w:textAlignment w:val="auto"/>
              <w:rPr>
                <w:rFonts w:hint="eastAsia"/>
                <w:highlight w:val="yellow"/>
              </w:rPr>
            </w:pPr>
          </w:p>
        </w:tc>
      </w:tr>
    </w:tbl>
    <w:p>
      <w:pPr>
        <w:adjustRightInd w:val="0"/>
        <w:snapToGrid w:val="0"/>
        <w:ind w:firstLine="562"/>
        <w:rPr>
          <w:rFonts w:hint="eastAsia" w:ascii="宋体" w:cs="宋体"/>
          <w:b/>
          <w:kern w:val="0"/>
          <w:sz w:val="28"/>
          <w:szCs w:val="28"/>
          <w:highlight w:val="yellow"/>
        </w:rPr>
        <w:sectPr>
          <w:pgSz w:w="11907" w:h="16840"/>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2"/>
        <w:keepNext w:val="0"/>
        <w:keepLines w:val="0"/>
        <w:pageBreakBefore w:val="0"/>
        <w:widowControl/>
        <w:kinsoku/>
        <w:wordWrap/>
        <w:overflowPunct/>
        <w:topLinePunct w:val="0"/>
        <w:autoSpaceDE/>
        <w:autoSpaceDN/>
        <w:bidi w:val="0"/>
        <w:adjustRightInd/>
        <w:snapToGrid/>
        <w:spacing w:before="0" w:beforeAutospacing="0" w:after="0" w:afterAutospacing="0" w:line="240" w:lineRule="auto"/>
        <w:ind w:firstLine="0" w:firstLineChars="0"/>
        <w:jc w:val="center"/>
        <w:textAlignment w:val="auto"/>
        <w:outlineLvl w:val="0"/>
        <w:rPr>
          <w:rFonts w:ascii="黑体" w:hAnsi="黑体" w:eastAsia="黑体"/>
          <w:snapToGrid w:val="0"/>
          <w:sz w:val="30"/>
          <w:szCs w:val="30"/>
          <w:highlight w:val="none"/>
        </w:rPr>
      </w:pPr>
      <w:r>
        <w:rPr>
          <w:rFonts w:hint="eastAsia" w:ascii="黑体" w:hAnsi="黑体" w:eastAsia="黑体"/>
          <w:snapToGrid w:val="0"/>
          <w:sz w:val="30"/>
          <w:szCs w:val="30"/>
          <w:highlight w:val="none"/>
        </w:rPr>
        <w:t>五、</w:t>
      </w:r>
      <w:bookmarkStart w:id="2" w:name="_Hlk54167917"/>
      <w:r>
        <w:rPr>
          <w:rFonts w:hint="eastAsia" w:ascii="黑体" w:hAnsi="黑体" w:eastAsia="黑体"/>
          <w:snapToGrid w:val="0"/>
          <w:sz w:val="30"/>
          <w:szCs w:val="30"/>
          <w:highlight w:val="none"/>
        </w:rPr>
        <w:t>环境保护措施监督检查清单</w:t>
      </w:r>
      <w:bookmarkEnd w:id="2"/>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64"/>
        <w:gridCol w:w="1816"/>
        <w:gridCol w:w="1418"/>
        <w:gridCol w:w="1559"/>
        <w:gridCol w:w="244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64" w:type="dxa"/>
            <w:tcBorders>
              <w:tl2br w:val="single" w:color="auto" w:sz="4" w:space="0"/>
            </w:tcBorders>
            <w:noWrap w:val="0"/>
            <w:vAlign w:val="top"/>
          </w:tcPr>
          <w:p>
            <w:pPr>
              <w:pStyle w:val="23"/>
              <w:rPr>
                <w:rFonts w:hint="eastAsia"/>
                <w:highlight w:val="none"/>
                <w:lang w:val="en-US" w:eastAsia="zh-CN"/>
              </w:rPr>
            </w:pPr>
            <w:r>
              <w:rPr>
                <w:rFonts w:hint="eastAsia"/>
                <w:highlight w:val="none"/>
                <w:lang w:val="en-US" w:eastAsia="zh-CN"/>
              </w:rPr>
              <w:t xml:space="preserve">       内容</w:t>
            </w:r>
          </w:p>
          <w:p>
            <w:pPr>
              <w:pStyle w:val="23"/>
              <w:ind w:firstLine="105" w:firstLineChars="50"/>
              <w:jc w:val="both"/>
              <w:rPr>
                <w:rFonts w:hint="eastAsia"/>
                <w:highlight w:val="none"/>
                <w:lang w:val="en-US" w:eastAsia="zh-CN"/>
              </w:rPr>
            </w:pPr>
            <w:r>
              <w:rPr>
                <w:rFonts w:hint="eastAsia"/>
                <w:highlight w:val="none"/>
                <w:lang w:val="en-US" w:eastAsia="zh-CN"/>
              </w:rPr>
              <w:t>要素</w:t>
            </w:r>
          </w:p>
        </w:tc>
        <w:tc>
          <w:tcPr>
            <w:tcW w:w="1816" w:type="dxa"/>
            <w:noWrap w:val="0"/>
            <w:vAlign w:val="center"/>
          </w:tcPr>
          <w:p>
            <w:pPr>
              <w:pStyle w:val="23"/>
              <w:rPr>
                <w:rFonts w:hint="eastAsia"/>
                <w:highlight w:val="none"/>
                <w:lang w:val="en-US" w:eastAsia="zh-CN"/>
              </w:rPr>
            </w:pPr>
            <w:r>
              <w:rPr>
                <w:rFonts w:hint="eastAsia"/>
                <w:highlight w:val="none"/>
                <w:lang w:val="en-US" w:eastAsia="zh-CN"/>
              </w:rPr>
              <w:t>排放口(编号、</w:t>
            </w:r>
          </w:p>
          <w:p>
            <w:pPr>
              <w:pStyle w:val="23"/>
              <w:rPr>
                <w:rFonts w:hint="eastAsia"/>
                <w:highlight w:val="none"/>
                <w:lang w:val="en-US" w:eastAsia="zh-CN"/>
              </w:rPr>
            </w:pPr>
            <w:r>
              <w:rPr>
                <w:rFonts w:hint="eastAsia"/>
                <w:highlight w:val="none"/>
                <w:lang w:val="en-US" w:eastAsia="zh-CN"/>
              </w:rPr>
              <w:t>名称)/污染源</w:t>
            </w:r>
          </w:p>
        </w:tc>
        <w:tc>
          <w:tcPr>
            <w:tcW w:w="1418" w:type="dxa"/>
            <w:noWrap w:val="0"/>
            <w:vAlign w:val="center"/>
          </w:tcPr>
          <w:p>
            <w:pPr>
              <w:pStyle w:val="23"/>
              <w:rPr>
                <w:rFonts w:hint="eastAsia"/>
                <w:highlight w:val="none"/>
                <w:lang w:val="en-US" w:eastAsia="zh-CN"/>
              </w:rPr>
            </w:pPr>
            <w:r>
              <w:rPr>
                <w:rFonts w:hint="eastAsia"/>
                <w:highlight w:val="none"/>
                <w:lang w:val="en-US" w:eastAsia="zh-CN"/>
              </w:rPr>
              <w:t>污染物项目</w:t>
            </w:r>
          </w:p>
        </w:tc>
        <w:tc>
          <w:tcPr>
            <w:tcW w:w="1559" w:type="dxa"/>
            <w:noWrap w:val="0"/>
            <w:vAlign w:val="center"/>
          </w:tcPr>
          <w:p>
            <w:pPr>
              <w:pStyle w:val="23"/>
              <w:rPr>
                <w:rFonts w:hint="eastAsia"/>
                <w:highlight w:val="none"/>
                <w:lang w:val="en-US" w:eastAsia="zh-CN"/>
              </w:rPr>
            </w:pPr>
            <w:r>
              <w:rPr>
                <w:rFonts w:hint="eastAsia"/>
                <w:highlight w:val="none"/>
                <w:lang w:val="en-US" w:eastAsia="zh-CN"/>
              </w:rPr>
              <w:t>环境保护措施</w:t>
            </w:r>
          </w:p>
        </w:tc>
        <w:tc>
          <w:tcPr>
            <w:tcW w:w="2443" w:type="dxa"/>
            <w:noWrap w:val="0"/>
            <w:vAlign w:val="center"/>
          </w:tcPr>
          <w:p>
            <w:pPr>
              <w:pStyle w:val="23"/>
              <w:rPr>
                <w:rFonts w:hint="eastAsia"/>
                <w:highlight w:val="none"/>
                <w:lang w:val="en-US" w:eastAsia="zh-CN"/>
              </w:rPr>
            </w:pPr>
            <w:r>
              <w:rPr>
                <w:rFonts w:hint="eastAsia"/>
                <w:highlight w:val="none"/>
                <w:lang w:val="en-US" w:eastAsia="zh-CN"/>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64" w:type="dxa"/>
            <w:vMerge w:val="restart"/>
            <w:noWrap w:val="0"/>
            <w:vAlign w:val="center"/>
          </w:tcPr>
          <w:p>
            <w:pPr>
              <w:pStyle w:val="23"/>
              <w:rPr>
                <w:rFonts w:hint="eastAsia"/>
                <w:highlight w:val="none"/>
                <w:lang w:val="en-US" w:eastAsia="zh-CN"/>
              </w:rPr>
            </w:pPr>
            <w:r>
              <w:rPr>
                <w:rFonts w:hint="eastAsia"/>
                <w:highlight w:val="none"/>
                <w:lang w:val="en-US" w:eastAsia="zh-CN"/>
              </w:rPr>
              <w:t>大气环境</w:t>
            </w:r>
          </w:p>
        </w:tc>
        <w:tc>
          <w:tcPr>
            <w:tcW w:w="1816" w:type="dxa"/>
            <w:noWrap w:val="0"/>
            <w:vAlign w:val="center"/>
          </w:tcPr>
          <w:p>
            <w:pPr>
              <w:pStyle w:val="23"/>
              <w:rPr>
                <w:rFonts w:hint="eastAsia"/>
                <w:highlight w:val="none"/>
                <w:lang w:val="en-US" w:eastAsia="zh-CN"/>
              </w:rPr>
            </w:pPr>
            <w:r>
              <w:rPr>
                <w:rFonts w:hint="eastAsia"/>
                <w:highlight w:val="none"/>
                <w:lang w:val="en-US" w:eastAsia="zh-CN"/>
              </w:rPr>
              <w:t>酸性废气排放口</w:t>
            </w:r>
          </w:p>
          <w:p>
            <w:pPr>
              <w:pStyle w:val="23"/>
              <w:rPr>
                <w:rFonts w:hint="default"/>
                <w:highlight w:val="none"/>
                <w:lang w:val="en-US" w:eastAsia="zh-CN"/>
              </w:rPr>
            </w:pPr>
            <w:r>
              <w:rPr>
                <w:rFonts w:hint="eastAsia"/>
                <w:highlight w:val="none"/>
                <w:lang w:val="en-US" w:eastAsia="zh-CN"/>
              </w:rPr>
              <w:t>DA001</w:t>
            </w:r>
          </w:p>
        </w:tc>
        <w:tc>
          <w:tcPr>
            <w:tcW w:w="1418" w:type="dxa"/>
            <w:noWrap w:val="0"/>
            <w:vAlign w:val="center"/>
          </w:tcPr>
          <w:p>
            <w:pPr>
              <w:pStyle w:val="23"/>
              <w:rPr>
                <w:rFonts w:hint="eastAsia"/>
                <w:highlight w:val="none"/>
                <w:lang w:val="en-US" w:eastAsia="zh-CN"/>
              </w:rPr>
            </w:pPr>
            <w:r>
              <w:rPr>
                <w:rFonts w:hint="eastAsia"/>
                <w:highlight w:val="none"/>
                <w:lang w:val="en-US" w:eastAsia="zh-CN"/>
              </w:rPr>
              <w:t>硫酸雾</w:t>
            </w:r>
          </w:p>
        </w:tc>
        <w:tc>
          <w:tcPr>
            <w:tcW w:w="1559" w:type="dxa"/>
            <w:noWrap w:val="0"/>
            <w:vAlign w:val="center"/>
          </w:tcPr>
          <w:p>
            <w:pPr>
              <w:pStyle w:val="23"/>
              <w:rPr>
                <w:rFonts w:hint="default"/>
                <w:highlight w:val="none"/>
                <w:lang w:val="en-US" w:eastAsia="zh-CN"/>
              </w:rPr>
            </w:pPr>
            <w:r>
              <w:rPr>
                <w:rFonts w:hint="eastAsia"/>
                <w:highlight w:val="none"/>
                <w:lang w:val="en-US" w:eastAsia="zh-CN"/>
              </w:rPr>
              <w:t>负压收集+酸雾吸收塔+15m高排气筒</w:t>
            </w:r>
          </w:p>
        </w:tc>
        <w:tc>
          <w:tcPr>
            <w:tcW w:w="2443" w:type="dxa"/>
            <w:vMerge w:val="restart"/>
            <w:noWrap w:val="0"/>
            <w:vAlign w:val="center"/>
          </w:tcPr>
          <w:p>
            <w:pPr>
              <w:pStyle w:val="23"/>
              <w:rPr>
                <w:rFonts w:hint="eastAsia"/>
                <w:highlight w:val="none"/>
                <w:lang w:val="en-US" w:eastAsia="zh-CN"/>
              </w:rPr>
            </w:pPr>
            <w:r>
              <w:rPr>
                <w:rFonts w:hint="eastAsia"/>
                <w:highlight w:val="none"/>
                <w:lang w:val="en-US" w:eastAsia="zh-CN"/>
              </w:rPr>
              <w:t>《大气污染物综合排放标准》（GB16297-1996）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64" w:type="dxa"/>
            <w:vMerge w:val="continue"/>
            <w:noWrap w:val="0"/>
            <w:vAlign w:val="center"/>
          </w:tcPr>
          <w:p>
            <w:pPr>
              <w:pStyle w:val="23"/>
              <w:rPr>
                <w:rFonts w:hint="eastAsia"/>
                <w:highlight w:val="none"/>
                <w:lang w:val="en-US" w:eastAsia="zh-CN"/>
              </w:rPr>
            </w:pPr>
          </w:p>
        </w:tc>
        <w:tc>
          <w:tcPr>
            <w:tcW w:w="1816" w:type="dxa"/>
            <w:noWrap w:val="0"/>
            <w:vAlign w:val="center"/>
          </w:tcPr>
          <w:p>
            <w:pPr>
              <w:pStyle w:val="23"/>
              <w:rPr>
                <w:rFonts w:hint="eastAsia"/>
                <w:highlight w:val="none"/>
                <w:lang w:val="en-US" w:eastAsia="zh-CN"/>
              </w:rPr>
            </w:pPr>
            <w:r>
              <w:rPr>
                <w:rFonts w:hint="eastAsia"/>
                <w:highlight w:val="none"/>
                <w:lang w:val="en-US" w:eastAsia="zh-CN"/>
              </w:rPr>
              <w:t>生产车间</w:t>
            </w:r>
          </w:p>
        </w:tc>
        <w:tc>
          <w:tcPr>
            <w:tcW w:w="1418" w:type="dxa"/>
            <w:noWrap w:val="0"/>
            <w:vAlign w:val="center"/>
          </w:tcPr>
          <w:p>
            <w:pPr>
              <w:pStyle w:val="23"/>
              <w:rPr>
                <w:rFonts w:hint="eastAsia"/>
                <w:highlight w:val="none"/>
                <w:lang w:val="en-US" w:eastAsia="zh-CN"/>
              </w:rPr>
            </w:pPr>
            <w:r>
              <w:rPr>
                <w:rFonts w:hint="eastAsia"/>
                <w:highlight w:val="none"/>
                <w:lang w:val="en-US" w:eastAsia="zh-CN"/>
              </w:rPr>
              <w:t>硫酸雾</w:t>
            </w:r>
          </w:p>
          <w:p>
            <w:pPr>
              <w:pStyle w:val="23"/>
              <w:rPr>
                <w:rFonts w:hint="eastAsia"/>
                <w:highlight w:val="none"/>
                <w:lang w:val="en-US" w:eastAsia="zh-CN"/>
              </w:rPr>
            </w:pPr>
            <w:r>
              <w:rPr>
                <w:rFonts w:hint="eastAsia"/>
                <w:highlight w:val="none"/>
                <w:lang w:val="en-US" w:eastAsia="zh-CN"/>
              </w:rPr>
              <w:t>（无组织）</w:t>
            </w:r>
          </w:p>
        </w:tc>
        <w:tc>
          <w:tcPr>
            <w:tcW w:w="1559" w:type="dxa"/>
            <w:noWrap w:val="0"/>
            <w:vAlign w:val="center"/>
          </w:tcPr>
          <w:p>
            <w:pPr>
              <w:pStyle w:val="23"/>
              <w:rPr>
                <w:rFonts w:hint="default"/>
                <w:highlight w:val="none"/>
                <w:lang w:val="en-US" w:eastAsia="zh-CN"/>
              </w:rPr>
            </w:pPr>
            <w:r>
              <w:rPr>
                <w:rFonts w:hint="eastAsia"/>
                <w:highlight w:val="none"/>
                <w:lang w:val="en-US" w:eastAsia="zh-CN"/>
              </w:rPr>
              <w:t>/</w:t>
            </w:r>
          </w:p>
        </w:tc>
        <w:tc>
          <w:tcPr>
            <w:tcW w:w="2443" w:type="dxa"/>
            <w:vMerge w:val="continue"/>
            <w:noWrap w:val="0"/>
            <w:vAlign w:val="center"/>
          </w:tcPr>
          <w:p>
            <w:pPr>
              <w:pStyle w:val="23"/>
              <w:rPr>
                <w:kern w:val="0"/>
                <w:sz w:val="21"/>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64" w:type="dxa"/>
            <w:noWrap w:val="0"/>
            <w:vAlign w:val="center"/>
          </w:tcPr>
          <w:p>
            <w:pPr>
              <w:pStyle w:val="23"/>
              <w:rPr>
                <w:rFonts w:hint="eastAsia"/>
                <w:highlight w:val="none"/>
                <w:lang w:val="en-US" w:eastAsia="zh-CN"/>
              </w:rPr>
            </w:pPr>
            <w:r>
              <w:rPr>
                <w:rFonts w:hint="eastAsia"/>
                <w:highlight w:val="none"/>
                <w:lang w:val="en-US" w:eastAsia="zh-CN"/>
              </w:rPr>
              <w:t>声环境</w:t>
            </w:r>
          </w:p>
        </w:tc>
        <w:tc>
          <w:tcPr>
            <w:tcW w:w="1816" w:type="dxa"/>
            <w:noWrap w:val="0"/>
            <w:vAlign w:val="center"/>
          </w:tcPr>
          <w:p>
            <w:pPr>
              <w:pStyle w:val="23"/>
              <w:rPr>
                <w:rFonts w:hint="eastAsia"/>
                <w:highlight w:val="none"/>
                <w:lang w:val="en-US" w:eastAsia="zh-CN"/>
              </w:rPr>
            </w:pPr>
            <w:r>
              <w:rPr>
                <w:rFonts w:hint="eastAsia"/>
                <w:highlight w:val="none"/>
                <w:lang w:val="en-US" w:eastAsia="zh-CN"/>
              </w:rPr>
              <w:t>生产设备</w:t>
            </w:r>
          </w:p>
        </w:tc>
        <w:tc>
          <w:tcPr>
            <w:tcW w:w="1418" w:type="dxa"/>
            <w:noWrap w:val="0"/>
            <w:vAlign w:val="center"/>
          </w:tcPr>
          <w:p>
            <w:pPr>
              <w:pStyle w:val="23"/>
              <w:rPr>
                <w:rFonts w:hint="eastAsia"/>
                <w:highlight w:val="none"/>
                <w:lang w:val="en-US" w:eastAsia="zh-CN"/>
              </w:rPr>
            </w:pPr>
            <w:r>
              <w:rPr>
                <w:rFonts w:hint="eastAsia"/>
                <w:highlight w:val="none"/>
                <w:lang w:val="en-US" w:eastAsia="zh-CN"/>
              </w:rPr>
              <w:t>设备运行</w:t>
            </w:r>
            <w:r>
              <w:rPr>
                <w:highlight w:val="none"/>
                <w:lang w:val="en-US" w:eastAsia="zh-CN"/>
              </w:rPr>
              <w:t>噪声</w:t>
            </w:r>
          </w:p>
        </w:tc>
        <w:tc>
          <w:tcPr>
            <w:tcW w:w="1559" w:type="dxa"/>
            <w:noWrap w:val="0"/>
            <w:vAlign w:val="center"/>
          </w:tcPr>
          <w:p>
            <w:pPr>
              <w:pStyle w:val="23"/>
              <w:rPr>
                <w:rFonts w:hint="eastAsia"/>
                <w:highlight w:val="none"/>
                <w:lang w:val="en-US" w:eastAsia="zh-CN"/>
              </w:rPr>
            </w:pPr>
            <w:r>
              <w:rPr>
                <w:highlight w:val="none"/>
                <w:lang w:val="en-US" w:eastAsia="zh-CN"/>
              </w:rPr>
              <w:t>厂房隔声、减振等措施</w:t>
            </w:r>
          </w:p>
        </w:tc>
        <w:tc>
          <w:tcPr>
            <w:tcW w:w="2443" w:type="dxa"/>
            <w:noWrap w:val="0"/>
            <w:vAlign w:val="center"/>
          </w:tcPr>
          <w:p>
            <w:pPr>
              <w:spacing w:line="240" w:lineRule="auto"/>
              <w:ind w:firstLine="0" w:firstLineChars="0"/>
              <w:jc w:val="center"/>
              <w:rPr>
                <w:sz w:val="21"/>
                <w:highlight w:val="none"/>
              </w:rPr>
            </w:pPr>
            <w:r>
              <w:rPr>
                <w:sz w:val="21"/>
                <w:highlight w:val="none"/>
              </w:rPr>
              <w:t>《工业企业厂界环境噪声排放标准》</w:t>
            </w:r>
            <w:r>
              <w:rPr>
                <w:rFonts w:hint="eastAsia"/>
                <w:sz w:val="21"/>
                <w:highlight w:val="none"/>
              </w:rPr>
              <w:t>（</w:t>
            </w:r>
            <w:r>
              <w:rPr>
                <w:sz w:val="21"/>
                <w:highlight w:val="none"/>
              </w:rPr>
              <w:t>GB12348-</w:t>
            </w:r>
          </w:p>
          <w:p>
            <w:pPr>
              <w:spacing w:line="240" w:lineRule="auto"/>
              <w:ind w:firstLine="0" w:firstLineChars="0"/>
              <w:jc w:val="center"/>
              <w:rPr>
                <w:rFonts w:hint="eastAsia"/>
                <w:sz w:val="21"/>
                <w:highlight w:val="none"/>
              </w:rPr>
            </w:pPr>
            <w:r>
              <w:rPr>
                <w:sz w:val="21"/>
                <w:highlight w:val="none"/>
              </w:rPr>
              <w:t>2008</w:t>
            </w:r>
            <w:r>
              <w:rPr>
                <w:rFonts w:hint="eastAsia"/>
                <w:sz w:val="21"/>
                <w:highlight w:val="none"/>
              </w:rPr>
              <w:t>）</w:t>
            </w:r>
            <w:r>
              <w:rPr>
                <w:sz w:val="21"/>
                <w:highlight w:val="none"/>
              </w:rPr>
              <w:t>3类标准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564" w:type="dxa"/>
            <w:noWrap w:val="0"/>
            <w:vAlign w:val="center"/>
          </w:tcPr>
          <w:p>
            <w:pPr>
              <w:pStyle w:val="23"/>
              <w:rPr>
                <w:rFonts w:hint="eastAsia"/>
                <w:highlight w:val="none"/>
                <w:lang w:val="en-US" w:eastAsia="zh-CN"/>
              </w:rPr>
            </w:pPr>
            <w:r>
              <w:rPr>
                <w:rFonts w:hint="eastAsia"/>
                <w:highlight w:val="none"/>
                <w:lang w:val="en-US" w:eastAsia="zh-CN"/>
              </w:rPr>
              <w:t>电磁辐射</w:t>
            </w:r>
          </w:p>
        </w:tc>
        <w:tc>
          <w:tcPr>
            <w:tcW w:w="1816" w:type="dxa"/>
            <w:noWrap w:val="0"/>
            <w:vAlign w:val="center"/>
          </w:tcPr>
          <w:p>
            <w:pPr>
              <w:pStyle w:val="23"/>
              <w:rPr>
                <w:rFonts w:hint="eastAsia"/>
                <w:highlight w:val="none"/>
                <w:lang w:val="en-US" w:eastAsia="zh-CN"/>
              </w:rPr>
            </w:pPr>
            <w:r>
              <w:rPr>
                <w:rFonts w:hint="eastAsia"/>
                <w:highlight w:val="none"/>
                <w:lang w:val="en-US" w:eastAsia="zh-CN"/>
              </w:rPr>
              <w:t>/</w:t>
            </w:r>
          </w:p>
        </w:tc>
        <w:tc>
          <w:tcPr>
            <w:tcW w:w="1418" w:type="dxa"/>
            <w:noWrap w:val="0"/>
            <w:vAlign w:val="center"/>
          </w:tcPr>
          <w:p>
            <w:pPr>
              <w:pStyle w:val="23"/>
              <w:rPr>
                <w:rFonts w:hint="eastAsia"/>
                <w:highlight w:val="none"/>
                <w:lang w:val="en-US" w:eastAsia="zh-CN"/>
              </w:rPr>
            </w:pPr>
            <w:r>
              <w:rPr>
                <w:rFonts w:hint="eastAsia"/>
                <w:highlight w:val="none"/>
                <w:lang w:val="en-US" w:eastAsia="zh-CN"/>
              </w:rPr>
              <w:t>/</w:t>
            </w:r>
          </w:p>
        </w:tc>
        <w:tc>
          <w:tcPr>
            <w:tcW w:w="1559" w:type="dxa"/>
            <w:noWrap w:val="0"/>
            <w:vAlign w:val="center"/>
          </w:tcPr>
          <w:p>
            <w:pPr>
              <w:pStyle w:val="23"/>
              <w:rPr>
                <w:rFonts w:hint="eastAsia"/>
                <w:highlight w:val="none"/>
                <w:lang w:val="en-US" w:eastAsia="zh-CN"/>
              </w:rPr>
            </w:pPr>
            <w:r>
              <w:rPr>
                <w:rFonts w:hint="eastAsia"/>
                <w:highlight w:val="none"/>
                <w:lang w:val="en-US" w:eastAsia="zh-CN"/>
              </w:rPr>
              <w:t>/</w:t>
            </w:r>
          </w:p>
        </w:tc>
        <w:tc>
          <w:tcPr>
            <w:tcW w:w="2443" w:type="dxa"/>
            <w:noWrap w:val="0"/>
            <w:vAlign w:val="center"/>
          </w:tcPr>
          <w:p>
            <w:pPr>
              <w:pStyle w:val="23"/>
              <w:rPr>
                <w:rFonts w:hint="eastAsia"/>
                <w:highlight w:val="none"/>
                <w:lang w:val="en-US" w:eastAsia="zh-CN"/>
              </w:rPr>
            </w:pPr>
            <w:r>
              <w:rPr>
                <w:rFonts w:hint="eastAsia"/>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564" w:type="dxa"/>
            <w:noWrap w:val="0"/>
            <w:vAlign w:val="center"/>
          </w:tcPr>
          <w:p>
            <w:pPr>
              <w:pStyle w:val="23"/>
              <w:rPr>
                <w:rFonts w:hint="eastAsia"/>
                <w:highlight w:val="yellow"/>
                <w:lang w:val="en-US" w:eastAsia="zh-CN"/>
              </w:rPr>
            </w:pPr>
            <w:r>
              <w:rPr>
                <w:rFonts w:hint="eastAsia"/>
                <w:highlight w:val="none"/>
                <w:lang w:val="en-US" w:eastAsia="zh-CN"/>
              </w:rPr>
              <w:t>固体废物</w:t>
            </w:r>
          </w:p>
        </w:tc>
        <w:tc>
          <w:tcPr>
            <w:tcW w:w="7236" w:type="dxa"/>
            <w:gridSpan w:val="4"/>
            <w:noWrap w:val="0"/>
            <w:vAlign w:val="center"/>
          </w:tcPr>
          <w:p>
            <w:pPr>
              <w:keepNext w:val="0"/>
              <w:keepLines w:val="0"/>
              <w:pageBreakBefore w:val="0"/>
              <w:widowControl w:val="0"/>
              <w:kinsoku/>
              <w:wordWrap/>
              <w:overflowPunct/>
              <w:topLinePunct w:val="0"/>
              <w:autoSpaceDE/>
              <w:autoSpaceDN/>
              <w:bidi w:val="0"/>
              <w:adjustRightInd w:val="0"/>
              <w:snapToGrid w:val="0"/>
              <w:spacing w:line="280" w:lineRule="exact"/>
              <w:ind w:firstLine="480"/>
              <w:textAlignment w:val="auto"/>
              <w:rPr>
                <w:rFonts w:hint="default"/>
                <w:highlight w:val="yellow"/>
                <w:lang w:val="en-US" w:eastAsia="zh-CN"/>
              </w:rPr>
            </w:pPr>
            <w:r>
              <w:rPr>
                <w:rFonts w:hint="eastAsia" w:cs="Times New Roman"/>
                <w:kern w:val="2"/>
                <w:sz w:val="21"/>
                <w:szCs w:val="24"/>
                <w:highlight w:val="none"/>
                <w:lang w:val="en-US" w:eastAsia="zh-CN" w:bidi="ar-SA"/>
              </w:rPr>
              <w:t>项目固体废物主要为事故状态下产生的电解液、生产过程中产生的废弃沾染物及酸雾吸收塔更换下的废吸收液；3类废物产生后由专用容器收集并暂存于公司现有危险废物仓库，定期交有资质单位统一处置。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1564" w:type="dxa"/>
            <w:noWrap w:val="0"/>
            <w:vAlign w:val="center"/>
          </w:tcPr>
          <w:p>
            <w:pPr>
              <w:pStyle w:val="23"/>
              <w:rPr>
                <w:rFonts w:hint="eastAsia"/>
                <w:highlight w:val="none"/>
                <w:lang w:val="en-US" w:eastAsia="zh-CN"/>
              </w:rPr>
            </w:pPr>
            <w:r>
              <w:rPr>
                <w:rFonts w:hint="eastAsia"/>
                <w:highlight w:val="none"/>
                <w:lang w:val="en-US" w:eastAsia="zh-CN"/>
              </w:rPr>
              <w:t>土壤及地下水</w:t>
            </w:r>
          </w:p>
          <w:p>
            <w:pPr>
              <w:pStyle w:val="23"/>
              <w:rPr>
                <w:rFonts w:hint="eastAsia"/>
                <w:highlight w:val="none"/>
                <w:lang w:val="en-US" w:eastAsia="zh-CN"/>
              </w:rPr>
            </w:pPr>
            <w:r>
              <w:rPr>
                <w:rFonts w:hint="eastAsia"/>
                <w:highlight w:val="none"/>
                <w:lang w:val="en-US" w:eastAsia="zh-CN"/>
              </w:rPr>
              <w:t>污染防治措施</w:t>
            </w:r>
          </w:p>
        </w:tc>
        <w:tc>
          <w:tcPr>
            <w:tcW w:w="7236" w:type="dxa"/>
            <w:gridSpan w:val="4"/>
            <w:noWrap w:val="0"/>
            <w:vAlign w:val="center"/>
          </w:tcPr>
          <w:p>
            <w:pPr>
              <w:pStyle w:val="23"/>
              <w:keepNext w:val="0"/>
              <w:keepLines w:val="0"/>
              <w:pageBreakBefore w:val="0"/>
              <w:widowControl w:val="0"/>
              <w:kinsoku/>
              <w:wordWrap/>
              <w:overflowPunct/>
              <w:topLinePunct w:val="0"/>
              <w:autoSpaceDE/>
              <w:autoSpaceDN/>
              <w:bidi w:val="0"/>
              <w:adjustRightInd/>
              <w:snapToGrid/>
              <w:spacing w:line="300" w:lineRule="exact"/>
              <w:ind w:firstLine="416" w:firstLineChars="200"/>
              <w:jc w:val="left"/>
              <w:textAlignment w:val="auto"/>
              <w:rPr>
                <w:rFonts w:hint="eastAsia"/>
                <w:highlight w:val="none"/>
                <w:lang w:val="en-US" w:eastAsia="zh-CN"/>
              </w:rPr>
            </w:pPr>
            <w:r>
              <w:rPr>
                <w:rFonts w:ascii="宋体" w:hAnsi="宋体" w:eastAsia="宋体" w:cs="宋体"/>
                <w:spacing w:val="-1"/>
                <w:sz w:val="21"/>
                <w:szCs w:val="21"/>
              </w:rPr>
              <w:t>对防腐防渗措施的性能定期进行监测，废铅蓄电池存放均采用专用贮存</w:t>
            </w:r>
            <w:r>
              <w:rPr>
                <w:rFonts w:ascii="宋体" w:hAnsi="宋体" w:eastAsia="宋体" w:cs="宋体"/>
                <w:spacing w:val="-6"/>
                <w:sz w:val="21"/>
                <w:szCs w:val="21"/>
              </w:rPr>
              <w:t>设施，对暂存容器进行定期检查、检修；在废旧铅酸蓄电池贮存区周边设置</w:t>
            </w:r>
            <w:r>
              <w:rPr>
                <w:rFonts w:ascii="宋体" w:hAnsi="宋体" w:eastAsia="宋体" w:cs="宋体"/>
                <w:spacing w:val="-10"/>
                <w:sz w:val="21"/>
                <w:szCs w:val="21"/>
              </w:rPr>
              <w:t>导流沟，同时在破损储存区内设置应急</w:t>
            </w:r>
            <w:r>
              <w:rPr>
                <w:rFonts w:hint="eastAsia" w:ascii="宋体" w:hAnsi="宋体" w:eastAsia="宋体" w:cs="宋体"/>
                <w:spacing w:val="-10"/>
                <w:sz w:val="21"/>
                <w:szCs w:val="21"/>
                <w:lang w:eastAsia="zh-CN"/>
              </w:rPr>
              <w:t>事故</w:t>
            </w:r>
            <w:r>
              <w:rPr>
                <w:rFonts w:ascii="宋体" w:hAnsi="宋体" w:eastAsia="宋体" w:cs="宋体"/>
                <w:spacing w:val="-10"/>
                <w:sz w:val="21"/>
                <w:szCs w:val="21"/>
              </w:rPr>
              <w:t>池；贮存库重点防渗；定期对地下水</w:t>
            </w:r>
            <w:r>
              <w:rPr>
                <w:rFonts w:ascii="宋体" w:hAnsi="宋体" w:eastAsia="宋体" w:cs="宋体"/>
                <w:spacing w:val="-1"/>
                <w:sz w:val="21"/>
                <w:szCs w:val="21"/>
              </w:rPr>
              <w:t>进行监测，防止污染物下渗造成</w:t>
            </w:r>
            <w:r>
              <w:rPr>
                <w:rFonts w:hint="eastAsia" w:ascii="宋体" w:hAnsi="宋体" w:eastAsia="宋体" w:cs="宋体"/>
                <w:spacing w:val="-1"/>
                <w:sz w:val="21"/>
                <w:szCs w:val="21"/>
                <w:lang w:eastAsia="zh-CN"/>
              </w:rPr>
              <w:t>土壤及</w:t>
            </w:r>
            <w:r>
              <w:rPr>
                <w:rFonts w:ascii="宋体" w:hAnsi="宋体" w:eastAsia="宋体" w:cs="宋体"/>
                <w:spacing w:val="-1"/>
                <w:sz w:val="21"/>
                <w:szCs w:val="21"/>
              </w:rPr>
              <w:t>地下水污染。</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564" w:type="dxa"/>
            <w:noWrap w:val="0"/>
            <w:vAlign w:val="center"/>
          </w:tcPr>
          <w:p>
            <w:pPr>
              <w:pStyle w:val="23"/>
              <w:rPr>
                <w:rFonts w:hint="eastAsia"/>
                <w:highlight w:val="none"/>
                <w:lang w:val="en-US" w:eastAsia="zh-CN"/>
              </w:rPr>
            </w:pPr>
            <w:r>
              <w:rPr>
                <w:rFonts w:hint="eastAsia"/>
                <w:highlight w:val="none"/>
                <w:lang w:val="en-US" w:eastAsia="zh-CN"/>
              </w:rPr>
              <w:t>生态保护措施</w:t>
            </w:r>
          </w:p>
        </w:tc>
        <w:tc>
          <w:tcPr>
            <w:tcW w:w="7236" w:type="dxa"/>
            <w:gridSpan w:val="4"/>
            <w:noWrap w:val="0"/>
            <w:vAlign w:val="center"/>
          </w:tcPr>
          <w:p>
            <w:pPr>
              <w:pStyle w:val="23"/>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highlight w:val="none"/>
                <w:lang w:val="en-US" w:eastAsia="zh-CN"/>
              </w:rPr>
            </w:pPr>
            <w:r>
              <w:rPr>
                <w:rFonts w:hint="eastAsia"/>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1564" w:type="dxa"/>
            <w:noWrap w:val="0"/>
            <w:vAlign w:val="center"/>
          </w:tcPr>
          <w:p>
            <w:pPr>
              <w:pStyle w:val="23"/>
              <w:rPr>
                <w:rFonts w:hint="eastAsia"/>
                <w:spacing w:val="-8"/>
                <w:highlight w:val="none"/>
                <w:lang w:val="en-US" w:eastAsia="zh-CN"/>
              </w:rPr>
            </w:pPr>
            <w:r>
              <w:rPr>
                <w:rFonts w:hint="eastAsia"/>
                <w:spacing w:val="-8"/>
                <w:highlight w:val="none"/>
                <w:lang w:val="en-US" w:eastAsia="zh-CN"/>
              </w:rPr>
              <w:t>环境风险防范措施</w:t>
            </w:r>
          </w:p>
        </w:tc>
        <w:tc>
          <w:tcPr>
            <w:tcW w:w="7236" w:type="dxa"/>
            <w:gridSpan w:val="4"/>
            <w:noWrap w:val="0"/>
            <w:vAlign w:val="center"/>
          </w:tcPr>
          <w:p>
            <w:pPr>
              <w:pStyle w:val="23"/>
              <w:keepNext w:val="0"/>
              <w:keepLines w:val="0"/>
              <w:pageBreakBefore w:val="0"/>
              <w:widowControl w:val="0"/>
              <w:kinsoku/>
              <w:wordWrap/>
              <w:overflowPunct/>
              <w:topLinePunct w:val="0"/>
              <w:autoSpaceDE/>
              <w:autoSpaceDN/>
              <w:bidi w:val="0"/>
              <w:adjustRightInd/>
              <w:snapToGrid/>
              <w:spacing w:line="300" w:lineRule="exact"/>
              <w:ind w:firstLine="484" w:firstLineChars="200"/>
              <w:jc w:val="both"/>
              <w:textAlignment w:val="auto"/>
              <w:rPr>
                <w:rFonts w:hint="eastAsia"/>
                <w:highlight w:val="none"/>
                <w:lang w:val="en-US" w:eastAsia="zh-CN"/>
              </w:rPr>
            </w:pPr>
            <w:r>
              <w:rPr>
                <w:rFonts w:ascii="宋体" w:hAnsi="宋体" w:eastAsia="宋体" w:cs="宋体"/>
                <w:spacing w:val="16"/>
                <w:sz w:val="21"/>
                <w:szCs w:val="21"/>
              </w:rPr>
              <w:t>收集</w:t>
            </w:r>
            <w:r>
              <w:rPr>
                <w:rFonts w:ascii="宋体" w:hAnsi="宋体" w:eastAsia="宋体" w:cs="宋体"/>
                <w:spacing w:val="-53"/>
                <w:sz w:val="21"/>
                <w:szCs w:val="21"/>
              </w:rPr>
              <w:t xml:space="preserve"> </w:t>
            </w:r>
            <w:r>
              <w:rPr>
                <w:rFonts w:ascii="宋体" w:hAnsi="宋体" w:eastAsia="宋体" w:cs="宋体"/>
                <w:spacing w:val="16"/>
                <w:sz w:val="21"/>
                <w:szCs w:val="21"/>
              </w:rPr>
              <w:t>、转运过程中根据《危险废物收集</w:t>
            </w:r>
            <w:r>
              <w:rPr>
                <w:rFonts w:ascii="宋体" w:hAnsi="宋体" w:eastAsia="宋体" w:cs="宋体"/>
                <w:spacing w:val="-58"/>
                <w:sz w:val="21"/>
                <w:szCs w:val="21"/>
              </w:rPr>
              <w:t xml:space="preserve"> </w:t>
            </w:r>
            <w:r>
              <w:rPr>
                <w:rFonts w:ascii="宋体" w:hAnsi="宋体" w:eastAsia="宋体" w:cs="宋体"/>
                <w:spacing w:val="16"/>
                <w:sz w:val="21"/>
                <w:szCs w:val="21"/>
              </w:rPr>
              <w:t>、贮存</w:t>
            </w:r>
            <w:r>
              <w:rPr>
                <w:rFonts w:ascii="宋体" w:hAnsi="宋体" w:eastAsia="宋体" w:cs="宋体"/>
                <w:spacing w:val="-59"/>
                <w:sz w:val="21"/>
                <w:szCs w:val="21"/>
              </w:rPr>
              <w:t xml:space="preserve"> </w:t>
            </w:r>
            <w:r>
              <w:rPr>
                <w:rFonts w:ascii="宋体" w:hAnsi="宋体" w:eastAsia="宋体" w:cs="宋体"/>
                <w:spacing w:val="16"/>
                <w:sz w:val="21"/>
                <w:szCs w:val="21"/>
              </w:rPr>
              <w:t>、运输技术规范》</w:t>
            </w:r>
            <w:r>
              <w:rPr>
                <w:rFonts w:ascii="宋体" w:hAnsi="宋体" w:eastAsia="宋体" w:cs="宋体"/>
                <w:sz w:val="21"/>
                <w:szCs w:val="21"/>
              </w:rPr>
              <w:t xml:space="preserve"> </w:t>
            </w:r>
            <w:r>
              <w:rPr>
                <w:rFonts w:ascii="宋体" w:hAnsi="宋体" w:eastAsia="宋体" w:cs="宋体"/>
                <w:spacing w:val="-1"/>
                <w:sz w:val="21"/>
                <w:szCs w:val="21"/>
              </w:rPr>
              <w:t>（</w:t>
            </w:r>
            <w:r>
              <w:rPr>
                <w:rFonts w:ascii="Times New Roman" w:hAnsi="Times New Roman" w:eastAsia="Times New Roman" w:cs="Times New Roman"/>
                <w:spacing w:val="-1"/>
                <w:sz w:val="21"/>
                <w:szCs w:val="21"/>
              </w:rPr>
              <w:t>HJ2025-2012</w:t>
            </w:r>
            <w:r>
              <w:rPr>
                <w:rFonts w:ascii="宋体" w:hAnsi="宋体" w:eastAsia="宋体" w:cs="宋体"/>
                <w:spacing w:val="-1"/>
                <w:sz w:val="21"/>
                <w:szCs w:val="21"/>
              </w:rPr>
              <w:t>）和《危险废物贮存污染控制标准》（</w:t>
            </w:r>
            <w:r>
              <w:rPr>
                <w:rFonts w:ascii="Times New Roman" w:hAnsi="Times New Roman" w:eastAsia="Times New Roman" w:cs="Times New Roman"/>
                <w:spacing w:val="-1"/>
                <w:sz w:val="21"/>
                <w:szCs w:val="21"/>
              </w:rPr>
              <w:t>GB18597-2001</w:t>
            </w:r>
            <w:r>
              <w:rPr>
                <w:rFonts w:ascii="宋体" w:hAnsi="宋体" w:eastAsia="宋体" w:cs="宋体"/>
                <w:spacing w:val="-1"/>
                <w:sz w:val="21"/>
                <w:szCs w:val="21"/>
              </w:rPr>
              <w:t>）及其</w:t>
            </w:r>
            <w:r>
              <w:rPr>
                <w:rFonts w:ascii="Times New Roman" w:hAnsi="Times New Roman" w:eastAsia="Times New Roman" w:cs="Times New Roman"/>
                <w:spacing w:val="-3"/>
                <w:sz w:val="21"/>
                <w:szCs w:val="21"/>
              </w:rPr>
              <w:t>2013</w:t>
            </w:r>
            <w:r>
              <w:rPr>
                <w:rFonts w:ascii="宋体" w:hAnsi="宋体" w:eastAsia="宋体" w:cs="宋体"/>
                <w:spacing w:val="-3"/>
                <w:sz w:val="21"/>
                <w:szCs w:val="21"/>
              </w:rPr>
              <w:t>年修改单进行运输及存贮，建立应急事故池，配备消防器材，项目投运</w:t>
            </w:r>
            <w:r>
              <w:rPr>
                <w:rFonts w:ascii="宋体" w:hAnsi="宋体" w:eastAsia="宋体" w:cs="宋体"/>
                <w:spacing w:val="-1"/>
                <w:sz w:val="21"/>
                <w:szCs w:val="21"/>
              </w:rPr>
              <w:t>前编制突发环境事件风险应急预案。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83" w:hRule="atLeast"/>
          <w:jc w:val="center"/>
        </w:trPr>
        <w:tc>
          <w:tcPr>
            <w:tcW w:w="1564" w:type="dxa"/>
            <w:noWrap w:val="0"/>
            <w:vAlign w:val="center"/>
          </w:tcPr>
          <w:p>
            <w:pPr>
              <w:pStyle w:val="23"/>
              <w:rPr>
                <w:spacing w:val="-8"/>
                <w:lang w:val="en-US" w:eastAsia="zh-CN"/>
              </w:rPr>
            </w:pPr>
            <w:r>
              <w:rPr>
                <w:rFonts w:hint="eastAsia"/>
                <w:spacing w:val="-8"/>
                <w:lang w:val="en-US" w:eastAsia="zh-CN"/>
              </w:rPr>
              <w:t>其他环境</w:t>
            </w:r>
          </w:p>
          <w:p>
            <w:pPr>
              <w:pStyle w:val="23"/>
              <w:rPr>
                <w:rFonts w:hint="eastAsia"/>
                <w:spacing w:val="-8"/>
                <w:lang w:val="en-US" w:eastAsia="zh-CN"/>
              </w:rPr>
            </w:pPr>
            <w:r>
              <w:rPr>
                <w:rFonts w:hint="eastAsia"/>
                <w:spacing w:val="-8"/>
                <w:lang w:val="en-US" w:eastAsia="zh-CN"/>
              </w:rPr>
              <w:t>管理要求</w:t>
            </w:r>
          </w:p>
        </w:tc>
        <w:tc>
          <w:tcPr>
            <w:tcW w:w="7236" w:type="dxa"/>
            <w:gridSpan w:val="4"/>
            <w:noWrap w:val="0"/>
            <w:vAlign w:val="center"/>
          </w:tcPr>
          <w:p>
            <w:pPr>
              <w:keepNext w:val="0"/>
              <w:keepLines w:val="0"/>
              <w:pageBreakBefore w:val="0"/>
              <w:widowControl w:val="0"/>
              <w:numPr>
                <w:ilvl w:val="0"/>
                <w:numId w:val="5"/>
              </w:numPr>
              <w:kinsoku/>
              <w:wordWrap/>
              <w:overflowPunct/>
              <w:topLinePunct w:val="0"/>
              <w:autoSpaceDE/>
              <w:autoSpaceDN/>
              <w:bidi w:val="0"/>
              <w:snapToGrid/>
              <w:spacing w:line="300" w:lineRule="exact"/>
              <w:ind w:left="0" w:leftChars="0" w:right="0" w:firstLine="416" w:firstLineChars="200"/>
              <w:textAlignment w:val="auto"/>
              <w:rPr>
                <w:rFonts w:ascii="宋体" w:hAnsi="宋体" w:eastAsia="宋体" w:cs="宋体"/>
                <w:spacing w:val="-1"/>
                <w:sz w:val="21"/>
                <w:szCs w:val="21"/>
              </w:rPr>
            </w:pPr>
            <w:r>
              <w:rPr>
                <w:rFonts w:ascii="宋体" w:hAnsi="宋体" w:eastAsia="宋体" w:cs="宋体"/>
                <w:spacing w:val="-1"/>
                <w:sz w:val="21"/>
                <w:szCs w:val="21"/>
              </w:rPr>
              <w:t>项目试运行前</w:t>
            </w:r>
            <w:r>
              <w:rPr>
                <w:rFonts w:hint="eastAsia" w:ascii="宋体" w:hAnsi="宋体" w:eastAsia="宋体" w:cs="宋体"/>
                <w:spacing w:val="-1"/>
                <w:sz w:val="21"/>
                <w:szCs w:val="21"/>
                <w:lang w:eastAsia="zh-CN"/>
              </w:rPr>
              <w:t>变更</w:t>
            </w:r>
            <w:r>
              <w:rPr>
                <w:rFonts w:ascii="宋体" w:hAnsi="宋体" w:eastAsia="宋体" w:cs="宋体"/>
                <w:spacing w:val="-1"/>
                <w:sz w:val="21"/>
                <w:szCs w:val="21"/>
              </w:rPr>
              <w:t>排污许可</w:t>
            </w:r>
            <w:r>
              <w:rPr>
                <w:rFonts w:hint="eastAsia" w:ascii="宋体" w:hAnsi="宋体" w:eastAsia="宋体" w:cs="宋体"/>
                <w:spacing w:val="-1"/>
                <w:sz w:val="21"/>
                <w:szCs w:val="21"/>
                <w:lang w:eastAsia="zh-CN"/>
              </w:rPr>
              <w:t>证</w:t>
            </w:r>
            <w:r>
              <w:rPr>
                <w:rFonts w:ascii="宋体" w:hAnsi="宋体" w:eastAsia="宋体" w:cs="宋体"/>
                <w:spacing w:val="-1"/>
                <w:sz w:val="21"/>
                <w:szCs w:val="21"/>
              </w:rPr>
              <w:t>；</w:t>
            </w:r>
          </w:p>
          <w:p>
            <w:pPr>
              <w:pStyle w:val="2"/>
              <w:keepNext w:val="0"/>
              <w:keepLines w:val="0"/>
              <w:pageBreakBefore w:val="0"/>
              <w:widowControl w:val="0"/>
              <w:numPr>
                <w:ilvl w:val="0"/>
                <w:numId w:val="0"/>
              </w:numPr>
              <w:kinsoku/>
              <w:wordWrap/>
              <w:overflowPunct/>
              <w:topLinePunct w:val="0"/>
              <w:bidi w:val="0"/>
              <w:snapToGrid/>
              <w:spacing w:before="0" w:line="300" w:lineRule="exact"/>
              <w:ind w:right="0" w:rightChars="0" w:firstLine="416" w:firstLineChars="200"/>
              <w:textAlignment w:val="auto"/>
              <w:rPr>
                <w:rFonts w:hint="eastAsia" w:ascii="宋体" w:hAnsi="宋体" w:eastAsia="宋体" w:cs="宋体"/>
                <w:spacing w:val="-1"/>
                <w:kern w:val="2"/>
                <w:sz w:val="21"/>
                <w:szCs w:val="21"/>
                <w:lang w:val="en-US" w:eastAsia="zh-CN" w:bidi="ar-SA"/>
              </w:rPr>
            </w:pPr>
            <w:r>
              <w:rPr>
                <w:rFonts w:hint="eastAsia" w:ascii="宋体" w:hAnsi="宋体" w:eastAsia="宋体" w:cs="宋体"/>
                <w:spacing w:val="-1"/>
                <w:kern w:val="2"/>
                <w:sz w:val="21"/>
                <w:szCs w:val="21"/>
                <w:lang w:val="en-US" w:eastAsia="zh-CN" w:bidi="ar-SA"/>
              </w:rPr>
              <w:t>2、项目正式投运前开展建设项目“三同时”验收及危废经营许可证申领工作；</w:t>
            </w:r>
          </w:p>
          <w:p>
            <w:pPr>
              <w:keepNext w:val="0"/>
              <w:keepLines w:val="0"/>
              <w:pageBreakBefore w:val="0"/>
              <w:widowControl w:val="0"/>
              <w:kinsoku/>
              <w:wordWrap/>
              <w:overflowPunct/>
              <w:topLinePunct w:val="0"/>
              <w:autoSpaceDE/>
              <w:autoSpaceDN/>
              <w:bidi w:val="0"/>
              <w:snapToGrid/>
              <w:spacing w:line="300" w:lineRule="exact"/>
              <w:ind w:left="0" w:leftChars="0" w:right="0" w:firstLine="416" w:firstLineChars="200"/>
              <w:textAlignment w:val="auto"/>
              <w:rPr>
                <w:rFonts w:hint="eastAsia" w:ascii="宋体" w:hAnsi="宋体" w:eastAsia="宋体" w:cs="宋体"/>
                <w:sz w:val="21"/>
                <w:szCs w:val="21"/>
                <w:lang w:eastAsia="zh-CN"/>
              </w:rPr>
            </w:pPr>
            <w:r>
              <w:rPr>
                <w:rFonts w:hint="eastAsia" w:ascii="宋体" w:hAnsi="宋体" w:eastAsia="宋体" w:cs="宋体"/>
                <w:spacing w:val="-1"/>
                <w:sz w:val="21"/>
                <w:szCs w:val="21"/>
                <w:lang w:val="en-US" w:eastAsia="zh-CN"/>
              </w:rPr>
              <w:t>3、</w:t>
            </w:r>
            <w:r>
              <w:rPr>
                <w:rFonts w:ascii="宋体" w:hAnsi="宋体" w:eastAsia="宋体" w:cs="宋体"/>
                <w:spacing w:val="-1"/>
                <w:sz w:val="21"/>
                <w:szCs w:val="21"/>
              </w:rPr>
              <w:t>项目投运后，企业应制定环境保护管理制度，明确环保管理责任人，明确环保岗位责任制，制定污染防治设施操作规程，建立污染治理设施运行台账，并妥善保存所有记录、台账及污染物排放监测资料、环境管理档案资</w:t>
            </w:r>
            <w:r>
              <w:rPr>
                <w:rFonts w:ascii="宋体" w:hAnsi="宋体" w:eastAsia="宋体" w:cs="宋体"/>
                <w:spacing w:val="-3"/>
                <w:sz w:val="21"/>
                <w:szCs w:val="21"/>
              </w:rPr>
              <w:t>料等</w:t>
            </w:r>
            <w:r>
              <w:rPr>
                <w:rFonts w:hint="eastAsia" w:ascii="宋体" w:hAnsi="宋体" w:eastAsia="宋体" w:cs="宋体"/>
                <w:spacing w:val="-3"/>
                <w:sz w:val="21"/>
                <w:szCs w:val="21"/>
                <w:lang w:eastAsia="zh-CN"/>
              </w:rPr>
              <w:t>；</w:t>
            </w:r>
          </w:p>
          <w:p>
            <w:pPr>
              <w:keepNext w:val="0"/>
              <w:keepLines w:val="0"/>
              <w:pageBreakBefore w:val="0"/>
              <w:widowControl w:val="0"/>
              <w:kinsoku/>
              <w:wordWrap/>
              <w:overflowPunct/>
              <w:topLinePunct w:val="0"/>
              <w:autoSpaceDE/>
              <w:autoSpaceDN/>
              <w:bidi w:val="0"/>
              <w:snapToGrid/>
              <w:spacing w:line="300" w:lineRule="exact"/>
              <w:ind w:left="0" w:leftChars="0" w:right="0" w:firstLine="416" w:firstLineChars="200"/>
              <w:textAlignment w:val="auto"/>
              <w:rPr>
                <w:rFonts w:hint="eastAsia"/>
                <w:highlight w:val="yellow"/>
                <w:lang w:val="en-US" w:eastAsia="zh-CN"/>
              </w:rPr>
            </w:pPr>
            <w:r>
              <w:rPr>
                <w:rFonts w:hint="eastAsia" w:ascii="宋体" w:hAnsi="宋体" w:eastAsia="宋体" w:cs="宋体"/>
                <w:spacing w:val="-1"/>
                <w:sz w:val="21"/>
                <w:szCs w:val="21"/>
                <w:lang w:val="en-US" w:eastAsia="zh-CN"/>
              </w:rPr>
              <w:t>4</w:t>
            </w:r>
            <w:r>
              <w:rPr>
                <w:rFonts w:hint="eastAsia" w:ascii="宋体" w:hAnsi="宋体" w:eastAsia="宋体" w:cs="宋体"/>
                <w:spacing w:val="-1"/>
                <w:sz w:val="21"/>
                <w:szCs w:val="21"/>
                <w:lang w:eastAsia="zh-CN"/>
              </w:rPr>
              <w:t>、</w:t>
            </w:r>
            <w:r>
              <w:rPr>
                <w:rFonts w:ascii="宋体" w:hAnsi="宋体" w:eastAsia="宋体" w:cs="宋体"/>
                <w:spacing w:val="-1"/>
                <w:sz w:val="21"/>
                <w:szCs w:val="21"/>
              </w:rPr>
              <w:t>认真落实重污染天气应急管控减排措施。</w:t>
            </w:r>
          </w:p>
        </w:tc>
      </w:tr>
    </w:tbl>
    <w:p>
      <w:pPr>
        <w:pStyle w:val="12"/>
        <w:ind w:firstLine="0" w:firstLineChars="0"/>
        <w:jc w:val="center"/>
        <w:outlineLvl w:val="0"/>
        <w:rPr>
          <w:rFonts w:ascii="黑体" w:hAnsi="黑体" w:eastAsia="黑体"/>
          <w:snapToGrid w:val="0"/>
          <w:sz w:val="30"/>
          <w:szCs w:val="30"/>
        </w:rPr>
      </w:pPr>
      <w:r>
        <w:rPr>
          <w:snapToGrid w:val="0"/>
          <w:highlight w:val="yellow"/>
        </w:rPr>
        <w:br w:type="page"/>
      </w:r>
      <w:r>
        <w:rPr>
          <w:rFonts w:hint="eastAsia" w:ascii="黑体" w:hAnsi="黑体" w:eastAsia="黑体"/>
          <w:snapToGrid w:val="0"/>
          <w:sz w:val="30"/>
          <w:szCs w:val="30"/>
        </w:rPr>
        <w:t>六、结论</w:t>
      </w:r>
    </w:p>
    <w:tbl>
      <w:tblPr>
        <w:tblStyle w:val="15"/>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noWrap w:val="0"/>
            <w:vAlign w:val="top"/>
          </w:tcPr>
          <w:p>
            <w:pPr>
              <w:spacing w:line="520" w:lineRule="exact"/>
              <w:ind w:firstLine="0" w:firstLineChars="0"/>
              <w:rPr>
                <w:bCs/>
              </w:rPr>
            </w:pPr>
            <w:r>
              <w:rPr>
                <w:rFonts w:hint="eastAsia"/>
                <w:bCs/>
              </w:rPr>
              <w:t xml:space="preserve">    </w:t>
            </w:r>
            <w:r>
              <w:rPr>
                <w:rFonts w:hint="eastAsia" w:ascii="宋体" w:hAnsi="宋体" w:cs="宋体"/>
                <w:sz w:val="24"/>
                <w:lang w:eastAsia="zh-CN"/>
              </w:rPr>
              <w:t>济源市源清环保科技有限公司废铅蓄电池收集与贮存项目</w:t>
            </w:r>
            <w:r>
              <w:rPr>
                <w:rFonts w:hint="eastAsia" w:ascii="宋体" w:hAnsi="宋体" w:cs="宋体"/>
                <w:sz w:val="24"/>
              </w:rPr>
              <w:t>符合相关环保政策及规划，总图布置合理、选址合理。在营运阶段要提高环保意识，加强环境管理，确保各类污染物稳定达标排放，使其对周围环境的影响降到最小。综上所述，从环境保护角度考虑，按照本评价结论和建议进行，该项目的建设是可行的。</w:t>
            </w:r>
          </w:p>
          <w:p>
            <w:pPr>
              <w:ind w:firstLine="480"/>
              <w:jc w:val="center"/>
              <w:rPr>
                <w:rFonts w:ascii="宋体" w:cs="宋体"/>
              </w:rPr>
            </w:pPr>
          </w:p>
        </w:tc>
      </w:tr>
    </w:tbl>
    <w:p>
      <w:pPr>
        <w:ind w:firstLine="480"/>
        <w:rPr>
          <w:rFonts w:ascii="宋体"/>
          <w:highlight w:val="yellow"/>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2"/>
        <w:adjustRightInd w:val="0"/>
        <w:snapToGrid w:val="0"/>
        <w:spacing w:before="0" w:beforeAutospacing="0" w:after="0" w:afterAutospacing="0" w:line="240" w:lineRule="auto"/>
        <w:ind w:firstLine="640"/>
        <w:outlineLvl w:val="0"/>
        <w:rPr>
          <w:rFonts w:ascii="黑体" w:hAnsi="黑体" w:eastAsia="黑体"/>
          <w:snapToGrid w:val="0"/>
          <w:sz w:val="32"/>
          <w:szCs w:val="32"/>
          <w:highlight w:val="none"/>
        </w:rPr>
      </w:pPr>
      <w:r>
        <w:rPr>
          <w:rFonts w:hint="eastAsia" w:ascii="黑体" w:hAnsi="黑体" w:eastAsia="黑体"/>
          <w:snapToGrid w:val="0"/>
          <w:sz w:val="32"/>
          <w:szCs w:val="32"/>
          <w:highlight w:val="none"/>
        </w:rPr>
        <w:t>附表</w:t>
      </w:r>
    </w:p>
    <w:p>
      <w:pPr>
        <w:pStyle w:val="12"/>
        <w:adjustRightInd w:val="0"/>
        <w:snapToGrid w:val="0"/>
        <w:spacing w:before="0" w:beforeAutospacing="0" w:after="0" w:afterAutospacing="0"/>
        <w:ind w:firstLine="0" w:firstLineChars="0"/>
        <w:jc w:val="center"/>
        <w:outlineLvl w:val="0"/>
        <w:rPr>
          <w:rFonts w:hint="eastAsia" w:ascii="方正小标宋_GBK" w:hAnsi="黑体" w:eastAsia="方正小标宋_GBK"/>
          <w:snapToGrid w:val="0"/>
          <w:sz w:val="38"/>
          <w:szCs w:val="38"/>
          <w:highlight w:val="none"/>
        </w:rPr>
      </w:pPr>
      <w:r>
        <w:rPr>
          <w:rFonts w:hint="eastAsia" w:ascii="方正小标宋_GBK" w:hAnsi="黑体" w:eastAsia="方正小标宋_GBK"/>
          <w:snapToGrid w:val="0"/>
          <w:sz w:val="38"/>
          <w:szCs w:val="38"/>
          <w:highlight w:val="none"/>
        </w:rPr>
        <w:t>建设项目污染物排放量汇总表</w:t>
      </w:r>
    </w:p>
    <w:tbl>
      <w:tblPr>
        <w:tblStyle w:val="15"/>
        <w:tblW w:w="1403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18"/>
        <w:gridCol w:w="1442"/>
        <w:gridCol w:w="1731"/>
        <w:gridCol w:w="1299"/>
        <w:gridCol w:w="1731"/>
        <w:gridCol w:w="1587"/>
        <w:gridCol w:w="1661"/>
        <w:gridCol w:w="1665"/>
        <w:gridCol w:w="129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1618" w:type="dxa"/>
            <w:tcBorders>
              <w:tl2br w:val="single" w:color="auto" w:sz="4" w:space="0"/>
            </w:tcBorders>
            <w:noWrap w:val="0"/>
            <w:tcMar>
              <w:left w:w="28" w:type="dxa"/>
              <w:right w:w="28" w:type="dxa"/>
            </w:tcMar>
            <w:vAlign w:val="center"/>
          </w:tcPr>
          <w:p>
            <w:pPr>
              <w:pStyle w:val="26"/>
              <w:spacing w:beforeLines="0" w:afterLines="0" w:line="240" w:lineRule="auto"/>
              <w:ind w:firstLine="0" w:firstLineChars="0"/>
              <w:rPr>
                <w:rFonts w:ascii="黑体" w:hAnsi="黑体" w:eastAsia="黑体" w:cs="宋体"/>
                <w:snapToGrid w:val="0"/>
                <w:color w:val="000000"/>
                <w:spacing w:val="-6"/>
                <w:kern w:val="21"/>
                <w:sz w:val="24"/>
                <w:szCs w:val="21"/>
                <w:highlight w:val="none"/>
                <w:lang w:val="en-US" w:eastAsia="zh-CN"/>
              </w:rPr>
            </w:pPr>
            <w:r>
              <w:rPr>
                <w:rFonts w:hint="eastAsia" w:ascii="黑体" w:hAnsi="黑体" w:eastAsia="黑体" w:cs="宋体"/>
                <w:snapToGrid w:val="0"/>
                <w:color w:val="000000"/>
                <w:spacing w:val="-6"/>
                <w:kern w:val="21"/>
                <w:sz w:val="24"/>
                <w:szCs w:val="21"/>
                <w:highlight w:val="none"/>
                <w:lang w:val="en-US" w:eastAsia="zh-CN"/>
              </w:rPr>
              <w:t xml:space="preserve">  项目</w:t>
            </w:r>
          </w:p>
          <w:p>
            <w:pPr>
              <w:ind w:firstLine="0" w:firstLineChars="0"/>
              <w:jc w:val="center"/>
              <w:rPr>
                <w:rFonts w:hint="eastAsia"/>
                <w:highlight w:val="none"/>
              </w:rPr>
            </w:pPr>
          </w:p>
          <w:p>
            <w:pPr>
              <w:pStyle w:val="26"/>
              <w:spacing w:beforeLines="0" w:afterLines="0" w:line="240" w:lineRule="auto"/>
              <w:ind w:firstLine="228" w:firstLineChars="100"/>
              <w:jc w:val="both"/>
              <w:rPr>
                <w:rFonts w:hint="eastAsia" w:ascii="黑体" w:hAnsi="黑体" w:eastAsia="黑体" w:cs="宋体"/>
                <w:snapToGrid w:val="0"/>
                <w:color w:val="000000"/>
                <w:spacing w:val="-6"/>
                <w:kern w:val="21"/>
                <w:sz w:val="24"/>
                <w:szCs w:val="21"/>
                <w:highlight w:val="none"/>
                <w:lang w:val="en-US" w:eastAsia="zh-CN"/>
              </w:rPr>
            </w:pPr>
            <w:r>
              <w:rPr>
                <w:rFonts w:hint="eastAsia" w:ascii="黑体" w:hAnsi="黑体" w:eastAsia="黑体" w:cs="宋体"/>
                <w:snapToGrid w:val="0"/>
                <w:color w:val="000000"/>
                <w:spacing w:val="-6"/>
                <w:kern w:val="21"/>
                <w:sz w:val="24"/>
                <w:szCs w:val="21"/>
                <w:highlight w:val="none"/>
                <w:lang w:val="en-US" w:eastAsia="zh-CN"/>
              </w:rPr>
              <w:t>分类</w:t>
            </w:r>
          </w:p>
        </w:tc>
        <w:tc>
          <w:tcPr>
            <w:tcW w:w="1442" w:type="dxa"/>
            <w:noWrap w:val="0"/>
            <w:tcMar>
              <w:left w:w="28" w:type="dxa"/>
              <w:right w:w="28" w:type="dxa"/>
            </w:tcMar>
            <w:vAlign w:val="center"/>
          </w:tcPr>
          <w:p>
            <w:pPr>
              <w:pStyle w:val="26"/>
              <w:spacing w:beforeLines="0" w:afterLines="0" w:line="240" w:lineRule="auto"/>
              <w:ind w:firstLine="0" w:firstLineChars="0"/>
              <w:rPr>
                <w:rFonts w:hint="eastAsia" w:ascii="黑体" w:hAnsi="黑体" w:eastAsia="黑体" w:cs="宋体"/>
                <w:snapToGrid w:val="0"/>
                <w:color w:val="000000"/>
                <w:spacing w:val="-6"/>
                <w:kern w:val="21"/>
                <w:sz w:val="24"/>
                <w:szCs w:val="21"/>
                <w:highlight w:val="none"/>
                <w:lang w:val="en-US" w:eastAsia="zh-CN"/>
              </w:rPr>
            </w:pPr>
            <w:r>
              <w:rPr>
                <w:rFonts w:hint="eastAsia" w:ascii="黑体" w:hAnsi="黑体" w:eastAsia="黑体" w:cs="宋体"/>
                <w:snapToGrid w:val="0"/>
                <w:color w:val="000000"/>
                <w:spacing w:val="-6"/>
                <w:kern w:val="21"/>
                <w:sz w:val="24"/>
                <w:szCs w:val="21"/>
                <w:highlight w:val="none"/>
                <w:lang w:val="en-US" w:eastAsia="zh-CN"/>
              </w:rPr>
              <w:t>污染物名称</w:t>
            </w:r>
          </w:p>
        </w:tc>
        <w:tc>
          <w:tcPr>
            <w:tcW w:w="1731" w:type="dxa"/>
            <w:noWrap w:val="0"/>
            <w:tcMar>
              <w:left w:w="28" w:type="dxa"/>
              <w:right w:w="28" w:type="dxa"/>
            </w:tcMar>
            <w:vAlign w:val="center"/>
          </w:tcPr>
          <w:p>
            <w:pPr>
              <w:pStyle w:val="26"/>
              <w:spacing w:beforeLines="0" w:afterLines="0" w:line="240" w:lineRule="auto"/>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t>现有工程排放量（固</w:t>
            </w:r>
            <w:r>
              <w:rPr>
                <w:rFonts w:hint="eastAsia" w:ascii="黑体" w:hAnsi="黑体" w:eastAsia="黑体"/>
                <w:snapToGrid w:val="0"/>
                <w:color w:val="000000"/>
                <w:spacing w:val="-6"/>
                <w:kern w:val="21"/>
                <w:sz w:val="24"/>
                <w:szCs w:val="21"/>
                <w:highlight w:val="none"/>
                <w:lang w:val="en-US" w:eastAsia="zh-CN"/>
              </w:rPr>
              <w:t>体</w:t>
            </w:r>
            <w:r>
              <w:rPr>
                <w:rFonts w:ascii="黑体" w:hAnsi="黑体" w:eastAsia="黑体"/>
                <w:snapToGrid w:val="0"/>
                <w:color w:val="000000"/>
                <w:spacing w:val="-6"/>
                <w:kern w:val="21"/>
                <w:sz w:val="24"/>
                <w:szCs w:val="21"/>
                <w:highlight w:val="none"/>
                <w:lang w:val="en-US" w:eastAsia="zh-CN"/>
              </w:rPr>
              <w:t>废</w:t>
            </w:r>
            <w:r>
              <w:rPr>
                <w:rFonts w:hint="eastAsia" w:ascii="黑体" w:hAnsi="黑体" w:eastAsia="黑体"/>
                <w:snapToGrid w:val="0"/>
                <w:color w:val="000000"/>
                <w:spacing w:val="-6"/>
                <w:kern w:val="21"/>
                <w:sz w:val="24"/>
                <w:szCs w:val="21"/>
                <w:highlight w:val="none"/>
                <w:lang w:val="en-US" w:eastAsia="zh-CN"/>
              </w:rPr>
              <w:t>物</w:t>
            </w:r>
            <w:r>
              <w:rPr>
                <w:rFonts w:ascii="黑体" w:hAnsi="黑体" w:eastAsia="黑体"/>
                <w:snapToGrid w:val="0"/>
                <w:color w:val="000000"/>
                <w:spacing w:val="-6"/>
                <w:kern w:val="21"/>
                <w:sz w:val="24"/>
                <w:szCs w:val="21"/>
                <w:highlight w:val="none"/>
                <w:lang w:val="en-US" w:eastAsia="zh-CN"/>
              </w:rPr>
              <w:t>产生量）</w:t>
            </w:r>
            <w:r>
              <w:rPr>
                <w:rFonts w:ascii="黑体" w:hAnsi="黑体" w:eastAsia="黑体"/>
                <w:snapToGrid w:val="0"/>
                <w:color w:val="000000"/>
                <w:spacing w:val="-6"/>
                <w:kern w:val="21"/>
                <w:sz w:val="24"/>
                <w:szCs w:val="21"/>
                <w:highlight w:val="none"/>
                <w:lang w:val="en-US" w:eastAsia="zh-CN"/>
              </w:rPr>
              <w:fldChar w:fldCharType="begin"/>
            </w:r>
            <w:r>
              <w:rPr>
                <w:rFonts w:ascii="黑体" w:hAnsi="黑体" w:eastAsia="黑体"/>
                <w:snapToGrid w:val="0"/>
                <w:color w:val="000000"/>
                <w:spacing w:val="-6"/>
                <w:kern w:val="21"/>
                <w:sz w:val="24"/>
                <w:szCs w:val="21"/>
                <w:highlight w:val="none"/>
                <w:lang w:val="en-US" w:eastAsia="zh-CN"/>
              </w:rPr>
              <w:instrText xml:space="preserve"> = 1 \* GB3 \* MERGEFORMAT </w:instrText>
            </w:r>
            <w:r>
              <w:rPr>
                <w:rFonts w:ascii="黑体" w:hAnsi="黑体" w:eastAsia="黑体"/>
                <w:snapToGrid w:val="0"/>
                <w:color w:val="000000"/>
                <w:spacing w:val="-6"/>
                <w:kern w:val="21"/>
                <w:sz w:val="24"/>
                <w:szCs w:val="21"/>
                <w:highlight w:val="none"/>
                <w:lang w:val="en-US" w:eastAsia="zh-CN"/>
              </w:rPr>
              <w:fldChar w:fldCharType="separate"/>
            </w:r>
            <w:r>
              <w:rPr>
                <w:rFonts w:ascii="黑体" w:hAnsi="黑体" w:eastAsia="黑体" w:cs="宋体"/>
                <w:kern w:val="2"/>
                <w:sz w:val="24"/>
                <w:szCs w:val="21"/>
                <w:highlight w:val="none"/>
              </w:rPr>
              <w:t>①</w:t>
            </w:r>
            <w:r>
              <w:rPr>
                <w:rFonts w:ascii="黑体" w:hAnsi="黑体" w:eastAsia="黑体"/>
                <w:snapToGrid w:val="0"/>
                <w:color w:val="000000"/>
                <w:spacing w:val="-6"/>
                <w:kern w:val="21"/>
                <w:sz w:val="24"/>
                <w:szCs w:val="21"/>
                <w:highlight w:val="none"/>
                <w:lang w:val="en-US" w:eastAsia="zh-CN"/>
              </w:rPr>
              <w:fldChar w:fldCharType="end"/>
            </w:r>
          </w:p>
        </w:tc>
        <w:tc>
          <w:tcPr>
            <w:tcW w:w="1299" w:type="dxa"/>
            <w:noWrap w:val="0"/>
            <w:tcMar>
              <w:left w:w="28" w:type="dxa"/>
              <w:right w:w="28" w:type="dxa"/>
            </w:tcMar>
            <w:vAlign w:val="center"/>
          </w:tcPr>
          <w:p>
            <w:pPr>
              <w:pStyle w:val="26"/>
              <w:spacing w:beforeLines="0" w:afterLines="0" w:line="240" w:lineRule="auto"/>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t>现有工程许可排放量</w:t>
            </w:r>
          </w:p>
          <w:p>
            <w:pPr>
              <w:pStyle w:val="26"/>
              <w:spacing w:beforeLines="0" w:afterLines="0"/>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fldChar w:fldCharType="begin"/>
            </w:r>
            <w:r>
              <w:rPr>
                <w:rFonts w:ascii="黑体" w:hAnsi="黑体" w:eastAsia="黑体"/>
                <w:snapToGrid w:val="0"/>
                <w:color w:val="000000"/>
                <w:spacing w:val="-6"/>
                <w:kern w:val="21"/>
                <w:sz w:val="24"/>
                <w:szCs w:val="21"/>
                <w:highlight w:val="none"/>
                <w:lang w:val="en-US" w:eastAsia="zh-CN"/>
              </w:rPr>
              <w:instrText xml:space="preserve"> = 2 \* GB3 \* MERGEFORMAT </w:instrText>
            </w:r>
            <w:r>
              <w:rPr>
                <w:rFonts w:ascii="黑体" w:hAnsi="黑体" w:eastAsia="黑体"/>
                <w:snapToGrid w:val="0"/>
                <w:color w:val="000000"/>
                <w:spacing w:val="-6"/>
                <w:kern w:val="21"/>
                <w:sz w:val="24"/>
                <w:szCs w:val="21"/>
                <w:highlight w:val="none"/>
                <w:lang w:val="en-US" w:eastAsia="zh-CN"/>
              </w:rPr>
              <w:fldChar w:fldCharType="separate"/>
            </w:r>
            <w:r>
              <w:rPr>
                <w:rFonts w:ascii="黑体" w:hAnsi="黑体" w:eastAsia="黑体" w:cs="宋体"/>
                <w:snapToGrid w:val="0"/>
                <w:color w:val="000000"/>
                <w:spacing w:val="-6"/>
                <w:kern w:val="21"/>
                <w:sz w:val="24"/>
                <w:szCs w:val="21"/>
                <w:highlight w:val="none"/>
              </w:rPr>
              <w:t>②</w:t>
            </w:r>
            <w:r>
              <w:rPr>
                <w:rFonts w:ascii="黑体" w:hAnsi="黑体" w:eastAsia="黑体"/>
                <w:snapToGrid w:val="0"/>
                <w:color w:val="000000"/>
                <w:spacing w:val="-6"/>
                <w:kern w:val="21"/>
                <w:sz w:val="24"/>
                <w:szCs w:val="21"/>
                <w:highlight w:val="none"/>
                <w:lang w:val="en-US" w:eastAsia="zh-CN"/>
              </w:rPr>
              <w:fldChar w:fldCharType="end"/>
            </w:r>
          </w:p>
        </w:tc>
        <w:tc>
          <w:tcPr>
            <w:tcW w:w="1731" w:type="dxa"/>
            <w:noWrap w:val="0"/>
            <w:tcMar>
              <w:left w:w="28" w:type="dxa"/>
              <w:right w:w="28" w:type="dxa"/>
            </w:tcMar>
            <w:vAlign w:val="center"/>
          </w:tcPr>
          <w:p>
            <w:pPr>
              <w:pStyle w:val="26"/>
              <w:spacing w:beforeLines="0" w:afterLines="0" w:line="240" w:lineRule="auto"/>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t>在建工程排放量（固</w:t>
            </w:r>
            <w:r>
              <w:rPr>
                <w:rFonts w:hint="eastAsia" w:ascii="黑体" w:hAnsi="黑体" w:eastAsia="黑体"/>
                <w:snapToGrid w:val="0"/>
                <w:color w:val="000000"/>
                <w:spacing w:val="-6"/>
                <w:kern w:val="21"/>
                <w:sz w:val="24"/>
                <w:szCs w:val="21"/>
                <w:highlight w:val="none"/>
                <w:lang w:val="en-US" w:eastAsia="zh-CN"/>
              </w:rPr>
              <w:t>体</w:t>
            </w:r>
            <w:r>
              <w:rPr>
                <w:rFonts w:ascii="黑体" w:hAnsi="黑体" w:eastAsia="黑体"/>
                <w:snapToGrid w:val="0"/>
                <w:color w:val="000000"/>
                <w:spacing w:val="-6"/>
                <w:kern w:val="21"/>
                <w:sz w:val="24"/>
                <w:szCs w:val="21"/>
                <w:highlight w:val="none"/>
                <w:lang w:val="en-US" w:eastAsia="zh-CN"/>
              </w:rPr>
              <w:t>废</w:t>
            </w:r>
            <w:r>
              <w:rPr>
                <w:rFonts w:hint="eastAsia" w:ascii="黑体" w:hAnsi="黑体" w:eastAsia="黑体"/>
                <w:snapToGrid w:val="0"/>
                <w:color w:val="000000"/>
                <w:spacing w:val="-6"/>
                <w:kern w:val="21"/>
                <w:sz w:val="24"/>
                <w:szCs w:val="21"/>
                <w:highlight w:val="none"/>
                <w:lang w:val="en-US" w:eastAsia="zh-CN"/>
              </w:rPr>
              <w:t>物</w:t>
            </w:r>
            <w:r>
              <w:rPr>
                <w:rFonts w:ascii="黑体" w:hAnsi="黑体" w:eastAsia="黑体"/>
                <w:snapToGrid w:val="0"/>
                <w:color w:val="000000"/>
                <w:spacing w:val="-6"/>
                <w:kern w:val="21"/>
                <w:sz w:val="24"/>
                <w:szCs w:val="21"/>
                <w:highlight w:val="none"/>
                <w:lang w:val="en-US" w:eastAsia="zh-CN"/>
              </w:rPr>
              <w:t>产生量）</w:t>
            </w:r>
            <w:r>
              <w:rPr>
                <w:rFonts w:ascii="黑体" w:hAnsi="黑体" w:eastAsia="黑体"/>
                <w:snapToGrid w:val="0"/>
                <w:color w:val="000000"/>
                <w:spacing w:val="-6"/>
                <w:kern w:val="21"/>
                <w:sz w:val="24"/>
                <w:szCs w:val="21"/>
                <w:highlight w:val="none"/>
                <w:lang w:val="en-US" w:eastAsia="zh-CN"/>
              </w:rPr>
              <w:fldChar w:fldCharType="begin"/>
            </w:r>
            <w:r>
              <w:rPr>
                <w:rFonts w:ascii="黑体" w:hAnsi="黑体" w:eastAsia="黑体"/>
                <w:snapToGrid w:val="0"/>
                <w:color w:val="000000"/>
                <w:spacing w:val="-6"/>
                <w:kern w:val="21"/>
                <w:sz w:val="24"/>
                <w:szCs w:val="21"/>
                <w:highlight w:val="none"/>
                <w:lang w:val="en-US" w:eastAsia="zh-CN"/>
              </w:rPr>
              <w:instrText xml:space="preserve"> = 3 \* GB3 \* MERGEFORMAT </w:instrText>
            </w:r>
            <w:r>
              <w:rPr>
                <w:rFonts w:ascii="黑体" w:hAnsi="黑体" w:eastAsia="黑体"/>
                <w:snapToGrid w:val="0"/>
                <w:color w:val="000000"/>
                <w:spacing w:val="-6"/>
                <w:kern w:val="21"/>
                <w:sz w:val="24"/>
                <w:szCs w:val="21"/>
                <w:highlight w:val="none"/>
                <w:lang w:val="en-US" w:eastAsia="zh-CN"/>
              </w:rPr>
              <w:fldChar w:fldCharType="separate"/>
            </w:r>
            <w:r>
              <w:rPr>
                <w:rFonts w:ascii="黑体" w:hAnsi="黑体" w:eastAsia="黑体" w:cs="宋体"/>
                <w:kern w:val="2"/>
                <w:sz w:val="24"/>
                <w:szCs w:val="21"/>
                <w:highlight w:val="none"/>
              </w:rPr>
              <w:t>③</w:t>
            </w:r>
            <w:r>
              <w:rPr>
                <w:rFonts w:ascii="黑体" w:hAnsi="黑体" w:eastAsia="黑体"/>
                <w:snapToGrid w:val="0"/>
                <w:color w:val="000000"/>
                <w:spacing w:val="-6"/>
                <w:kern w:val="21"/>
                <w:sz w:val="24"/>
                <w:szCs w:val="21"/>
                <w:highlight w:val="none"/>
                <w:lang w:val="en-US" w:eastAsia="zh-CN"/>
              </w:rPr>
              <w:fldChar w:fldCharType="end"/>
            </w:r>
          </w:p>
        </w:tc>
        <w:tc>
          <w:tcPr>
            <w:tcW w:w="1587" w:type="dxa"/>
            <w:noWrap w:val="0"/>
            <w:tcMar>
              <w:left w:w="28" w:type="dxa"/>
              <w:right w:w="28" w:type="dxa"/>
            </w:tcMar>
            <w:vAlign w:val="center"/>
          </w:tcPr>
          <w:p>
            <w:pPr>
              <w:pStyle w:val="26"/>
              <w:spacing w:beforeLines="0" w:afterLines="0" w:line="240" w:lineRule="auto"/>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t>本项目排放量（固</w:t>
            </w:r>
            <w:r>
              <w:rPr>
                <w:rFonts w:hint="eastAsia" w:ascii="黑体" w:hAnsi="黑体" w:eastAsia="黑体"/>
                <w:snapToGrid w:val="0"/>
                <w:color w:val="000000"/>
                <w:spacing w:val="-6"/>
                <w:kern w:val="21"/>
                <w:sz w:val="24"/>
                <w:szCs w:val="21"/>
                <w:highlight w:val="none"/>
                <w:lang w:val="en-US" w:eastAsia="zh-CN"/>
              </w:rPr>
              <w:t>体</w:t>
            </w:r>
            <w:r>
              <w:rPr>
                <w:rFonts w:ascii="黑体" w:hAnsi="黑体" w:eastAsia="黑体"/>
                <w:snapToGrid w:val="0"/>
                <w:color w:val="000000"/>
                <w:spacing w:val="-6"/>
                <w:kern w:val="21"/>
                <w:sz w:val="24"/>
                <w:szCs w:val="21"/>
                <w:highlight w:val="none"/>
                <w:lang w:val="en-US" w:eastAsia="zh-CN"/>
              </w:rPr>
              <w:t>废</w:t>
            </w:r>
            <w:r>
              <w:rPr>
                <w:rFonts w:hint="eastAsia" w:ascii="黑体" w:hAnsi="黑体" w:eastAsia="黑体"/>
                <w:snapToGrid w:val="0"/>
                <w:color w:val="000000"/>
                <w:spacing w:val="-6"/>
                <w:kern w:val="21"/>
                <w:sz w:val="24"/>
                <w:szCs w:val="21"/>
                <w:highlight w:val="none"/>
                <w:lang w:val="en-US" w:eastAsia="zh-CN"/>
              </w:rPr>
              <w:t>物</w:t>
            </w:r>
            <w:r>
              <w:rPr>
                <w:rFonts w:ascii="黑体" w:hAnsi="黑体" w:eastAsia="黑体"/>
                <w:snapToGrid w:val="0"/>
                <w:color w:val="000000"/>
                <w:spacing w:val="-6"/>
                <w:kern w:val="21"/>
                <w:sz w:val="24"/>
                <w:szCs w:val="21"/>
                <w:highlight w:val="none"/>
                <w:lang w:val="en-US" w:eastAsia="zh-CN"/>
              </w:rPr>
              <w:t>产生量）</w:t>
            </w:r>
            <w:r>
              <w:rPr>
                <w:rFonts w:ascii="黑体" w:hAnsi="黑体" w:eastAsia="黑体"/>
                <w:snapToGrid w:val="0"/>
                <w:color w:val="000000"/>
                <w:spacing w:val="-6"/>
                <w:kern w:val="21"/>
                <w:sz w:val="24"/>
                <w:szCs w:val="21"/>
                <w:highlight w:val="none"/>
                <w:lang w:val="en-US" w:eastAsia="zh-CN"/>
              </w:rPr>
              <w:fldChar w:fldCharType="begin"/>
            </w:r>
            <w:r>
              <w:rPr>
                <w:rFonts w:ascii="黑体" w:hAnsi="黑体" w:eastAsia="黑体"/>
                <w:snapToGrid w:val="0"/>
                <w:color w:val="000000"/>
                <w:spacing w:val="-6"/>
                <w:kern w:val="21"/>
                <w:sz w:val="24"/>
                <w:szCs w:val="21"/>
                <w:highlight w:val="none"/>
                <w:lang w:val="en-US" w:eastAsia="zh-CN"/>
              </w:rPr>
              <w:instrText xml:space="preserve"> = 4 \* GB3 \* MERGEFORMAT </w:instrText>
            </w:r>
            <w:r>
              <w:rPr>
                <w:rFonts w:ascii="黑体" w:hAnsi="黑体" w:eastAsia="黑体"/>
                <w:snapToGrid w:val="0"/>
                <w:color w:val="000000"/>
                <w:spacing w:val="-6"/>
                <w:kern w:val="21"/>
                <w:sz w:val="24"/>
                <w:szCs w:val="21"/>
                <w:highlight w:val="none"/>
                <w:lang w:val="en-US" w:eastAsia="zh-CN"/>
              </w:rPr>
              <w:fldChar w:fldCharType="separate"/>
            </w:r>
            <w:r>
              <w:rPr>
                <w:rFonts w:ascii="黑体" w:hAnsi="黑体" w:eastAsia="黑体" w:cs="宋体"/>
                <w:kern w:val="2"/>
                <w:sz w:val="24"/>
                <w:szCs w:val="21"/>
                <w:highlight w:val="none"/>
              </w:rPr>
              <w:t>④</w:t>
            </w:r>
            <w:r>
              <w:rPr>
                <w:rFonts w:ascii="黑体" w:hAnsi="黑体" w:eastAsia="黑体"/>
                <w:snapToGrid w:val="0"/>
                <w:color w:val="000000"/>
                <w:spacing w:val="-6"/>
                <w:kern w:val="21"/>
                <w:sz w:val="24"/>
                <w:szCs w:val="21"/>
                <w:highlight w:val="none"/>
                <w:lang w:val="en-US" w:eastAsia="zh-CN"/>
              </w:rPr>
              <w:fldChar w:fldCharType="end"/>
            </w:r>
          </w:p>
        </w:tc>
        <w:tc>
          <w:tcPr>
            <w:tcW w:w="1661" w:type="dxa"/>
            <w:noWrap w:val="0"/>
            <w:tcMar>
              <w:left w:w="28" w:type="dxa"/>
              <w:right w:w="28" w:type="dxa"/>
            </w:tcMar>
            <w:vAlign w:val="center"/>
          </w:tcPr>
          <w:p>
            <w:pPr>
              <w:pStyle w:val="26"/>
              <w:spacing w:beforeLines="0" w:afterLines="0" w:line="240" w:lineRule="auto"/>
              <w:ind w:firstLine="0" w:firstLineChars="0"/>
              <w:rPr>
                <w:rFonts w:hint="eastAsia" w:ascii="黑体" w:hAnsi="黑体" w:eastAsia="黑体"/>
                <w:snapToGrid w:val="0"/>
                <w:color w:val="000000"/>
                <w:spacing w:val="-16"/>
                <w:kern w:val="21"/>
                <w:sz w:val="24"/>
                <w:szCs w:val="21"/>
                <w:highlight w:val="none"/>
                <w:lang w:val="en-US" w:eastAsia="zh-CN"/>
              </w:rPr>
            </w:pPr>
            <w:r>
              <w:rPr>
                <w:rFonts w:ascii="黑体" w:hAnsi="黑体" w:eastAsia="黑体"/>
                <w:snapToGrid w:val="0"/>
                <w:color w:val="000000"/>
                <w:spacing w:val="-16"/>
                <w:kern w:val="21"/>
                <w:sz w:val="24"/>
                <w:szCs w:val="21"/>
                <w:highlight w:val="none"/>
                <w:lang w:val="en-US" w:eastAsia="zh-CN"/>
              </w:rPr>
              <w:t>以新带老削减量</w:t>
            </w:r>
          </w:p>
          <w:p>
            <w:pPr>
              <w:pStyle w:val="26"/>
              <w:spacing w:beforeLines="0" w:afterLines="0" w:line="240" w:lineRule="auto"/>
              <w:ind w:firstLine="0" w:firstLineChars="0"/>
              <w:rPr>
                <w:rFonts w:ascii="黑体" w:hAnsi="黑体" w:eastAsia="黑体"/>
                <w:snapToGrid w:val="0"/>
                <w:color w:val="000000"/>
                <w:spacing w:val="-16"/>
                <w:kern w:val="21"/>
                <w:sz w:val="24"/>
                <w:szCs w:val="21"/>
                <w:highlight w:val="none"/>
                <w:lang w:val="en-US" w:eastAsia="zh-CN"/>
              </w:rPr>
            </w:pPr>
            <w:r>
              <w:rPr>
                <w:rFonts w:ascii="黑体" w:hAnsi="黑体" w:eastAsia="黑体"/>
                <w:snapToGrid w:val="0"/>
                <w:color w:val="000000"/>
                <w:spacing w:val="-16"/>
                <w:kern w:val="21"/>
                <w:sz w:val="24"/>
                <w:szCs w:val="21"/>
                <w:highlight w:val="none"/>
                <w:lang w:val="en-US" w:eastAsia="zh-CN"/>
              </w:rPr>
              <w:t>（新建项目不填）</w:t>
            </w:r>
            <w:r>
              <w:rPr>
                <w:rFonts w:ascii="黑体" w:hAnsi="黑体" w:eastAsia="黑体"/>
                <w:snapToGrid w:val="0"/>
                <w:color w:val="000000"/>
                <w:spacing w:val="-16"/>
                <w:kern w:val="21"/>
                <w:sz w:val="24"/>
                <w:szCs w:val="21"/>
                <w:highlight w:val="none"/>
                <w:lang w:val="en-US" w:eastAsia="zh-CN"/>
              </w:rPr>
              <w:fldChar w:fldCharType="begin"/>
            </w:r>
            <w:r>
              <w:rPr>
                <w:rFonts w:ascii="黑体" w:hAnsi="黑体" w:eastAsia="黑体"/>
                <w:snapToGrid w:val="0"/>
                <w:color w:val="000000"/>
                <w:spacing w:val="-16"/>
                <w:kern w:val="21"/>
                <w:sz w:val="24"/>
                <w:szCs w:val="21"/>
                <w:highlight w:val="none"/>
                <w:lang w:val="en-US" w:eastAsia="zh-CN"/>
              </w:rPr>
              <w:instrText xml:space="preserve"> = 5 \* GB3 \* MERGEFORMAT </w:instrText>
            </w:r>
            <w:r>
              <w:rPr>
                <w:rFonts w:ascii="黑体" w:hAnsi="黑体" w:eastAsia="黑体"/>
                <w:snapToGrid w:val="0"/>
                <w:color w:val="000000"/>
                <w:spacing w:val="-16"/>
                <w:kern w:val="21"/>
                <w:sz w:val="24"/>
                <w:szCs w:val="21"/>
                <w:highlight w:val="none"/>
                <w:lang w:val="en-US" w:eastAsia="zh-CN"/>
              </w:rPr>
              <w:fldChar w:fldCharType="separate"/>
            </w:r>
            <w:r>
              <w:rPr>
                <w:rFonts w:ascii="黑体" w:hAnsi="黑体" w:eastAsia="黑体" w:cs="宋体"/>
                <w:kern w:val="2"/>
                <w:sz w:val="24"/>
                <w:szCs w:val="21"/>
                <w:highlight w:val="none"/>
              </w:rPr>
              <w:t>⑤</w:t>
            </w:r>
            <w:r>
              <w:rPr>
                <w:rFonts w:ascii="黑体" w:hAnsi="黑体" w:eastAsia="黑体"/>
                <w:snapToGrid w:val="0"/>
                <w:color w:val="000000"/>
                <w:spacing w:val="-16"/>
                <w:kern w:val="21"/>
                <w:sz w:val="24"/>
                <w:szCs w:val="21"/>
                <w:highlight w:val="none"/>
                <w:lang w:val="en-US" w:eastAsia="zh-CN"/>
              </w:rPr>
              <w:fldChar w:fldCharType="end"/>
            </w:r>
          </w:p>
        </w:tc>
        <w:tc>
          <w:tcPr>
            <w:tcW w:w="1665" w:type="dxa"/>
            <w:noWrap w:val="0"/>
            <w:tcMar>
              <w:left w:w="28" w:type="dxa"/>
              <w:right w:w="28" w:type="dxa"/>
            </w:tcMar>
            <w:vAlign w:val="center"/>
          </w:tcPr>
          <w:p>
            <w:pPr>
              <w:pStyle w:val="26"/>
              <w:spacing w:beforeLines="0" w:afterLines="0" w:line="240" w:lineRule="auto"/>
              <w:ind w:firstLine="0" w:firstLineChars="0"/>
              <w:jc w:val="both"/>
              <w:rPr>
                <w:rFonts w:ascii="黑体" w:hAnsi="黑体" w:eastAsia="黑体"/>
                <w:snapToGrid w:val="0"/>
                <w:color w:val="000000"/>
                <w:spacing w:val="-16"/>
                <w:kern w:val="21"/>
                <w:sz w:val="24"/>
                <w:szCs w:val="21"/>
                <w:highlight w:val="none"/>
                <w:lang w:val="en-US" w:eastAsia="zh-CN"/>
              </w:rPr>
            </w:pPr>
            <w:r>
              <w:rPr>
                <w:rFonts w:ascii="黑体" w:hAnsi="黑体" w:eastAsia="黑体"/>
                <w:snapToGrid w:val="0"/>
                <w:color w:val="000000"/>
                <w:spacing w:val="-16"/>
                <w:kern w:val="21"/>
                <w:sz w:val="24"/>
                <w:szCs w:val="21"/>
                <w:highlight w:val="none"/>
                <w:lang w:val="en-US" w:eastAsia="zh-CN"/>
              </w:rPr>
              <w:t>本项目建成后</w:t>
            </w:r>
            <w:r>
              <w:rPr>
                <w:rFonts w:hint="eastAsia" w:ascii="黑体" w:hAnsi="黑体" w:eastAsia="黑体"/>
                <w:snapToGrid w:val="0"/>
                <w:color w:val="000000"/>
                <w:spacing w:val="-16"/>
                <w:kern w:val="21"/>
                <w:sz w:val="24"/>
                <w:szCs w:val="21"/>
                <w:highlight w:val="none"/>
                <w:lang w:val="en-US" w:eastAsia="zh-CN"/>
              </w:rPr>
              <w:t>全厂</w:t>
            </w:r>
            <w:r>
              <w:rPr>
                <w:rFonts w:ascii="黑体" w:hAnsi="黑体" w:eastAsia="黑体"/>
                <w:snapToGrid w:val="0"/>
                <w:color w:val="000000"/>
                <w:spacing w:val="-16"/>
                <w:kern w:val="21"/>
                <w:sz w:val="24"/>
                <w:szCs w:val="21"/>
                <w:highlight w:val="none"/>
                <w:lang w:val="en-US" w:eastAsia="zh-CN"/>
              </w:rPr>
              <w:t>排放量（固</w:t>
            </w:r>
            <w:r>
              <w:rPr>
                <w:rFonts w:hint="eastAsia" w:ascii="黑体" w:hAnsi="黑体" w:eastAsia="黑体"/>
                <w:snapToGrid w:val="0"/>
                <w:color w:val="000000"/>
                <w:spacing w:val="-16"/>
                <w:kern w:val="21"/>
                <w:sz w:val="24"/>
                <w:szCs w:val="21"/>
                <w:highlight w:val="none"/>
                <w:lang w:val="en-US" w:eastAsia="zh-CN"/>
              </w:rPr>
              <w:t>体</w:t>
            </w:r>
            <w:r>
              <w:rPr>
                <w:rFonts w:ascii="黑体" w:hAnsi="黑体" w:eastAsia="黑体"/>
                <w:snapToGrid w:val="0"/>
                <w:color w:val="000000"/>
                <w:spacing w:val="-16"/>
                <w:kern w:val="21"/>
                <w:sz w:val="24"/>
                <w:szCs w:val="21"/>
                <w:highlight w:val="none"/>
                <w:lang w:val="en-US" w:eastAsia="zh-CN"/>
              </w:rPr>
              <w:t>废</w:t>
            </w:r>
            <w:r>
              <w:rPr>
                <w:rFonts w:hint="eastAsia" w:ascii="黑体" w:hAnsi="黑体" w:eastAsia="黑体"/>
                <w:snapToGrid w:val="0"/>
                <w:color w:val="000000"/>
                <w:spacing w:val="-16"/>
                <w:kern w:val="21"/>
                <w:sz w:val="24"/>
                <w:szCs w:val="21"/>
                <w:highlight w:val="none"/>
                <w:lang w:val="en-US" w:eastAsia="zh-CN"/>
              </w:rPr>
              <w:t>物</w:t>
            </w:r>
            <w:r>
              <w:rPr>
                <w:rFonts w:ascii="黑体" w:hAnsi="黑体" w:eastAsia="黑体"/>
                <w:snapToGrid w:val="0"/>
                <w:color w:val="000000"/>
                <w:spacing w:val="-16"/>
                <w:kern w:val="21"/>
                <w:sz w:val="24"/>
                <w:szCs w:val="21"/>
                <w:highlight w:val="none"/>
                <w:lang w:val="en-US" w:eastAsia="zh-CN"/>
              </w:rPr>
              <w:t>产生量）</w:t>
            </w:r>
            <w:r>
              <w:rPr>
                <w:rFonts w:ascii="黑体" w:hAnsi="黑体" w:eastAsia="黑体"/>
                <w:snapToGrid w:val="0"/>
                <w:color w:val="000000"/>
                <w:spacing w:val="-16"/>
                <w:kern w:val="21"/>
                <w:sz w:val="24"/>
                <w:szCs w:val="21"/>
                <w:highlight w:val="none"/>
                <w:lang w:val="en-US" w:eastAsia="zh-CN"/>
              </w:rPr>
              <w:fldChar w:fldCharType="begin"/>
            </w:r>
            <w:r>
              <w:rPr>
                <w:rFonts w:ascii="黑体" w:hAnsi="黑体" w:eastAsia="黑体"/>
                <w:snapToGrid w:val="0"/>
                <w:color w:val="000000"/>
                <w:spacing w:val="-16"/>
                <w:kern w:val="21"/>
                <w:sz w:val="24"/>
                <w:szCs w:val="21"/>
                <w:highlight w:val="none"/>
                <w:lang w:val="en-US" w:eastAsia="zh-CN"/>
              </w:rPr>
              <w:instrText xml:space="preserve"> = 6 \* GB3 \* MERGEFORMAT </w:instrText>
            </w:r>
            <w:r>
              <w:rPr>
                <w:rFonts w:ascii="黑体" w:hAnsi="黑体" w:eastAsia="黑体"/>
                <w:snapToGrid w:val="0"/>
                <w:color w:val="000000"/>
                <w:spacing w:val="-16"/>
                <w:kern w:val="21"/>
                <w:sz w:val="24"/>
                <w:szCs w:val="21"/>
                <w:highlight w:val="none"/>
                <w:lang w:val="en-US" w:eastAsia="zh-CN"/>
              </w:rPr>
              <w:fldChar w:fldCharType="separate"/>
            </w:r>
            <w:r>
              <w:rPr>
                <w:rFonts w:ascii="黑体" w:hAnsi="黑体" w:eastAsia="黑体" w:cs="宋体"/>
                <w:kern w:val="2"/>
                <w:sz w:val="24"/>
                <w:szCs w:val="21"/>
                <w:highlight w:val="none"/>
              </w:rPr>
              <w:t>⑥</w:t>
            </w:r>
            <w:r>
              <w:rPr>
                <w:rFonts w:ascii="黑体" w:hAnsi="黑体" w:eastAsia="黑体"/>
                <w:snapToGrid w:val="0"/>
                <w:color w:val="000000"/>
                <w:spacing w:val="-16"/>
                <w:kern w:val="21"/>
                <w:sz w:val="24"/>
                <w:szCs w:val="21"/>
                <w:highlight w:val="none"/>
                <w:lang w:val="en-US" w:eastAsia="zh-CN"/>
              </w:rPr>
              <w:fldChar w:fldCharType="end"/>
            </w:r>
          </w:p>
        </w:tc>
        <w:tc>
          <w:tcPr>
            <w:tcW w:w="1299" w:type="dxa"/>
            <w:noWrap w:val="0"/>
            <w:tcMar>
              <w:left w:w="28" w:type="dxa"/>
              <w:right w:w="28" w:type="dxa"/>
            </w:tcMar>
            <w:vAlign w:val="center"/>
          </w:tcPr>
          <w:p>
            <w:pPr>
              <w:pStyle w:val="26"/>
              <w:spacing w:beforeLines="0" w:afterLines="0" w:line="240" w:lineRule="auto"/>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t>变化量</w:t>
            </w:r>
          </w:p>
          <w:p>
            <w:pPr>
              <w:pStyle w:val="26"/>
              <w:spacing w:beforeLines="0" w:afterLines="0" w:line="240" w:lineRule="auto"/>
              <w:ind w:firstLine="0" w:firstLineChars="0"/>
              <w:rPr>
                <w:rFonts w:ascii="黑体" w:hAnsi="黑体" w:eastAsia="黑体"/>
                <w:snapToGrid w:val="0"/>
                <w:color w:val="000000"/>
                <w:spacing w:val="-6"/>
                <w:kern w:val="21"/>
                <w:sz w:val="24"/>
                <w:szCs w:val="21"/>
                <w:highlight w:val="none"/>
                <w:lang w:val="en-US" w:eastAsia="zh-CN"/>
              </w:rPr>
            </w:pPr>
            <w:r>
              <w:rPr>
                <w:rFonts w:ascii="黑体" w:hAnsi="黑体" w:eastAsia="黑体"/>
                <w:snapToGrid w:val="0"/>
                <w:color w:val="000000"/>
                <w:spacing w:val="-6"/>
                <w:kern w:val="21"/>
                <w:sz w:val="24"/>
                <w:szCs w:val="21"/>
                <w:highlight w:val="none"/>
                <w:lang w:val="en-US" w:eastAsia="zh-CN"/>
              </w:rPr>
              <w:fldChar w:fldCharType="begin"/>
            </w:r>
            <w:r>
              <w:rPr>
                <w:rFonts w:ascii="黑体" w:hAnsi="黑体" w:eastAsia="黑体"/>
                <w:snapToGrid w:val="0"/>
                <w:color w:val="000000"/>
                <w:spacing w:val="-6"/>
                <w:kern w:val="21"/>
                <w:sz w:val="24"/>
                <w:szCs w:val="21"/>
                <w:highlight w:val="none"/>
                <w:lang w:val="en-US" w:eastAsia="zh-CN"/>
              </w:rPr>
              <w:instrText xml:space="preserve"> = 7 \* GB3 \* MERGEFORMAT </w:instrText>
            </w:r>
            <w:r>
              <w:rPr>
                <w:rFonts w:ascii="黑体" w:hAnsi="黑体" w:eastAsia="黑体"/>
                <w:snapToGrid w:val="0"/>
                <w:color w:val="000000"/>
                <w:spacing w:val="-6"/>
                <w:kern w:val="21"/>
                <w:sz w:val="24"/>
                <w:szCs w:val="21"/>
                <w:highlight w:val="none"/>
                <w:lang w:val="en-US" w:eastAsia="zh-CN"/>
              </w:rPr>
              <w:fldChar w:fldCharType="separate"/>
            </w:r>
            <w:r>
              <w:rPr>
                <w:rFonts w:ascii="黑体" w:hAnsi="黑体" w:eastAsia="黑体" w:cs="宋体"/>
                <w:kern w:val="2"/>
                <w:sz w:val="24"/>
                <w:szCs w:val="21"/>
                <w:highlight w:val="none"/>
              </w:rPr>
              <w:t>⑦</w:t>
            </w:r>
            <w:r>
              <w:rPr>
                <w:rFonts w:ascii="黑体" w:hAnsi="黑体" w:eastAsia="黑体"/>
                <w:snapToGrid w:val="0"/>
                <w:color w:val="000000"/>
                <w:spacing w:val="-6"/>
                <w:kern w:val="21"/>
                <w:sz w:val="24"/>
                <w:szCs w:val="21"/>
                <w:highlight w:val="none"/>
                <w:lang w:val="en-US" w:eastAsia="zh-CN"/>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restart"/>
            <w:noWrap w:val="0"/>
            <w:vAlign w:val="center"/>
          </w:tcPr>
          <w:p>
            <w:pPr>
              <w:pStyle w:val="26"/>
              <w:spacing w:beforeLines="0" w:afterLines="0" w:line="240" w:lineRule="auto"/>
              <w:ind w:firstLine="0" w:firstLineChars="0"/>
              <w:rPr>
                <w:rFonts w:hint="eastAsia" w:hAnsi="宋体" w:cs="宋体"/>
                <w:snapToGrid w:val="0"/>
                <w:color w:val="000000"/>
                <w:kern w:val="21"/>
                <w:sz w:val="24"/>
                <w:szCs w:val="21"/>
                <w:highlight w:val="none"/>
                <w:lang w:val="en-US" w:eastAsia="zh-CN"/>
              </w:rPr>
            </w:pPr>
            <w:r>
              <w:rPr>
                <w:rFonts w:hint="eastAsia" w:hAnsi="宋体" w:cs="宋体"/>
                <w:snapToGrid w:val="0"/>
                <w:color w:val="000000"/>
                <w:kern w:val="21"/>
                <w:sz w:val="24"/>
                <w:szCs w:val="21"/>
                <w:highlight w:val="none"/>
                <w:lang w:val="en-US" w:eastAsia="zh-CN"/>
              </w:rPr>
              <w:t>废气</w:t>
            </w:r>
          </w:p>
        </w:tc>
        <w:tc>
          <w:tcPr>
            <w:tcW w:w="1442" w:type="dxa"/>
            <w:noWrap w:val="0"/>
            <w:vAlign w:val="center"/>
          </w:tcPr>
          <w:p>
            <w:pPr>
              <w:pStyle w:val="26"/>
              <w:spacing w:beforeLines="0" w:afterLines="0" w:line="240" w:lineRule="auto"/>
              <w:ind w:firstLine="0" w:firstLineChars="0"/>
              <w:rPr>
                <w:rFonts w:hint="eastAsia"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非甲烷总烃</w:t>
            </w:r>
          </w:p>
        </w:tc>
        <w:tc>
          <w:tcPr>
            <w:tcW w:w="1731" w:type="dxa"/>
            <w:noWrap w:val="0"/>
            <w:vAlign w:val="center"/>
          </w:tcPr>
          <w:p>
            <w:pPr>
              <w:pStyle w:val="26"/>
              <w:spacing w:beforeLines="0" w:afterLines="0" w:line="240" w:lineRule="auto"/>
              <w:ind w:firstLine="0" w:firstLineChars="0"/>
              <w:rPr>
                <w:rFonts w:hint="default"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0.181</w:t>
            </w:r>
          </w:p>
        </w:tc>
        <w:tc>
          <w:tcPr>
            <w:tcW w:w="1299" w:type="dxa"/>
            <w:noWrap w:val="0"/>
            <w:vAlign w:val="center"/>
          </w:tcPr>
          <w:p>
            <w:pPr>
              <w:spacing w:line="240" w:lineRule="auto"/>
              <w:ind w:firstLine="0" w:firstLineChars="0"/>
              <w:jc w:val="center"/>
              <w:rPr>
                <w:rFonts w:hint="eastAsia" w:eastAsia="宋体"/>
                <w:highlight w:val="none"/>
                <w:lang w:val="en-US" w:eastAsia="zh-CN"/>
              </w:rPr>
            </w:pPr>
            <w:r>
              <w:rPr>
                <w:rFonts w:hint="eastAsia"/>
                <w:highlight w:val="none"/>
                <w:lang w:val="en-US" w:eastAsia="zh-CN"/>
              </w:rPr>
              <w:t>/</w:t>
            </w:r>
          </w:p>
        </w:tc>
        <w:tc>
          <w:tcPr>
            <w:tcW w:w="1731" w:type="dxa"/>
            <w:noWrap w:val="0"/>
            <w:vAlign w:val="center"/>
          </w:tcPr>
          <w:p>
            <w:pPr>
              <w:spacing w:line="240" w:lineRule="auto"/>
              <w:ind w:firstLine="0" w:firstLineChars="0"/>
              <w:jc w:val="center"/>
              <w:rPr>
                <w:rFonts w:hint="eastAsia" w:eastAsia="宋体"/>
                <w:highlight w:val="none"/>
                <w:lang w:val="en-US" w:eastAsia="zh-CN"/>
              </w:rPr>
            </w:pPr>
            <w:r>
              <w:rPr>
                <w:rFonts w:hint="eastAsia"/>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0</w:t>
            </w:r>
          </w:p>
        </w:tc>
        <w:tc>
          <w:tcPr>
            <w:tcW w:w="1661" w:type="dxa"/>
            <w:noWrap w:val="0"/>
            <w:vAlign w:val="center"/>
          </w:tcPr>
          <w:p>
            <w:pPr>
              <w:pStyle w:val="26"/>
              <w:spacing w:beforeLines="0" w:afterLines="0" w:line="240" w:lineRule="auto"/>
              <w:ind w:firstLine="0" w:firstLineChars="0"/>
              <w:rPr>
                <w:highlight w:val="none"/>
              </w:rPr>
            </w:pPr>
            <w:r>
              <w:rPr>
                <w:rFonts w:hint="eastAsia" w:ascii="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default"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0.181</w:t>
            </w:r>
          </w:p>
        </w:tc>
        <w:tc>
          <w:tcPr>
            <w:tcW w:w="1299"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continue"/>
            <w:noWrap w:val="0"/>
            <w:vAlign w:val="center"/>
          </w:tcPr>
          <w:p>
            <w:pPr>
              <w:pStyle w:val="26"/>
              <w:spacing w:beforeLines="0" w:afterLines="0" w:line="240" w:lineRule="auto"/>
              <w:ind w:firstLine="0" w:firstLineChars="0"/>
              <w:rPr>
                <w:rFonts w:hint="eastAsia" w:hAnsi="宋体" w:cs="宋体"/>
                <w:snapToGrid w:val="0"/>
                <w:color w:val="000000"/>
                <w:kern w:val="21"/>
                <w:sz w:val="24"/>
                <w:szCs w:val="21"/>
                <w:highlight w:val="none"/>
                <w:lang w:val="en-US" w:eastAsia="zh-CN"/>
              </w:rPr>
            </w:pPr>
          </w:p>
        </w:tc>
        <w:tc>
          <w:tcPr>
            <w:tcW w:w="1442" w:type="dxa"/>
            <w:noWrap w:val="0"/>
            <w:vAlign w:val="center"/>
          </w:tcPr>
          <w:p>
            <w:pPr>
              <w:pStyle w:val="26"/>
              <w:spacing w:beforeLines="0" w:afterLines="0" w:line="240" w:lineRule="auto"/>
              <w:ind w:firstLine="0" w:firstLineChars="0"/>
              <w:rPr>
                <w:rFonts w:hint="eastAsia"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硫酸雾</w:t>
            </w:r>
          </w:p>
        </w:tc>
        <w:tc>
          <w:tcPr>
            <w:tcW w:w="1731" w:type="dxa"/>
            <w:noWrap w:val="0"/>
            <w:vAlign w:val="center"/>
          </w:tcPr>
          <w:p>
            <w:pPr>
              <w:pStyle w:val="26"/>
              <w:spacing w:beforeLines="0" w:afterLines="0" w:line="240" w:lineRule="auto"/>
              <w:ind w:firstLine="0" w:firstLineChars="0"/>
              <w:rPr>
                <w:rFonts w:hint="default"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0</w:t>
            </w:r>
          </w:p>
        </w:tc>
        <w:tc>
          <w:tcPr>
            <w:tcW w:w="1299" w:type="dxa"/>
            <w:noWrap w:val="0"/>
            <w:vAlign w:val="center"/>
          </w:tcPr>
          <w:p>
            <w:pPr>
              <w:spacing w:line="240" w:lineRule="auto"/>
              <w:ind w:firstLine="0" w:firstLineChars="0"/>
              <w:jc w:val="center"/>
              <w:rPr>
                <w:rFonts w:hint="eastAsia" w:eastAsia="宋体"/>
                <w:snapToGrid w:val="0"/>
                <w:color w:val="000000"/>
                <w:kern w:val="21"/>
                <w:highlight w:val="none"/>
                <w:lang w:val="en-US" w:eastAsia="zh-CN"/>
              </w:rPr>
            </w:pPr>
            <w:r>
              <w:rPr>
                <w:rFonts w:hint="eastAsia"/>
                <w:snapToGrid w:val="0"/>
                <w:color w:val="000000"/>
                <w:kern w:val="21"/>
                <w:highlight w:val="none"/>
                <w:lang w:val="en-US" w:eastAsia="zh-CN"/>
              </w:rPr>
              <w:t>/</w:t>
            </w:r>
          </w:p>
        </w:tc>
        <w:tc>
          <w:tcPr>
            <w:tcW w:w="1731" w:type="dxa"/>
            <w:noWrap w:val="0"/>
            <w:vAlign w:val="center"/>
          </w:tcPr>
          <w:p>
            <w:pPr>
              <w:spacing w:line="240" w:lineRule="auto"/>
              <w:ind w:firstLine="0" w:firstLineChars="0"/>
              <w:jc w:val="center"/>
              <w:rPr>
                <w:rFonts w:hint="eastAsia" w:eastAsia="宋体"/>
                <w:snapToGrid w:val="0"/>
                <w:color w:val="000000"/>
                <w:kern w:val="21"/>
                <w:highlight w:val="none"/>
                <w:lang w:val="en-US" w:eastAsia="zh-CN"/>
              </w:rPr>
            </w:pPr>
            <w:r>
              <w:rPr>
                <w:rFonts w:hint="eastAsia"/>
                <w:snapToGrid w:val="0"/>
                <w:color w:val="000000"/>
                <w:kern w:val="21"/>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0.0032668</w:t>
            </w:r>
          </w:p>
        </w:tc>
        <w:tc>
          <w:tcPr>
            <w:tcW w:w="1661" w:type="dxa"/>
            <w:noWrap w:val="0"/>
            <w:vAlign w:val="center"/>
          </w:tcPr>
          <w:p>
            <w:pPr>
              <w:pStyle w:val="26"/>
              <w:spacing w:beforeLines="0" w:afterLines="0" w:line="240" w:lineRule="auto"/>
              <w:ind w:firstLine="0" w:firstLineChars="0"/>
              <w:rPr>
                <w:rFonts w:hint="eastAsia" w:eastAsia="宋体"/>
                <w:snapToGrid w:val="0"/>
                <w:color w:val="000000"/>
                <w:kern w:val="21"/>
                <w:highlight w:val="none"/>
                <w:lang w:val="en-US" w:eastAsia="zh-CN"/>
              </w:rPr>
            </w:pPr>
            <w:r>
              <w:rPr>
                <w:rFonts w:hint="eastAsia"/>
                <w:snapToGrid w:val="0"/>
                <w:color w:val="000000"/>
                <w:kern w:val="21"/>
                <w:highlight w:val="none"/>
                <w:lang w:val="en-US" w:eastAsia="zh-CN"/>
              </w:rPr>
              <w:t>0</w:t>
            </w:r>
          </w:p>
        </w:tc>
        <w:tc>
          <w:tcPr>
            <w:tcW w:w="1665" w:type="dxa"/>
            <w:noWrap w:val="0"/>
            <w:vAlign w:val="center"/>
          </w:tcPr>
          <w:p>
            <w:pPr>
              <w:pStyle w:val="26"/>
              <w:spacing w:beforeLines="0" w:afterLines="0" w:line="240" w:lineRule="auto"/>
              <w:ind w:firstLine="0" w:firstLineChars="0"/>
              <w:rPr>
                <w:rFonts w:hint="default" w:ascii="Times New Roman"/>
                <w:snapToGrid w:val="0"/>
                <w:color w:val="000000"/>
                <w:kern w:val="21"/>
                <w:sz w:val="24"/>
                <w:szCs w:val="24"/>
                <w:highlight w:val="none"/>
                <w:lang w:val="en-US" w:eastAsia="zh-CN"/>
              </w:rPr>
            </w:pPr>
            <w:r>
              <w:rPr>
                <w:rFonts w:hint="eastAsia" w:ascii="Times New Roman"/>
                <w:snapToGrid w:val="0"/>
                <w:color w:val="000000"/>
                <w:kern w:val="21"/>
                <w:sz w:val="24"/>
                <w:szCs w:val="24"/>
                <w:highlight w:val="none"/>
                <w:lang w:val="en-US" w:eastAsia="zh-CN"/>
              </w:rPr>
              <w:t>0.0032668</w:t>
            </w:r>
          </w:p>
        </w:tc>
        <w:tc>
          <w:tcPr>
            <w:tcW w:w="1299"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0.0032668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restart"/>
            <w:noWrap w:val="0"/>
            <w:vAlign w:val="center"/>
          </w:tcPr>
          <w:p>
            <w:pPr>
              <w:pStyle w:val="26"/>
              <w:spacing w:beforeLines="0" w:afterLines="0" w:line="240" w:lineRule="auto"/>
              <w:ind w:firstLine="0" w:firstLineChars="0"/>
              <w:rPr>
                <w:rFonts w:hint="eastAsia" w:hAnsi="宋体" w:cs="宋体"/>
                <w:snapToGrid w:val="0"/>
                <w:color w:val="000000"/>
                <w:kern w:val="21"/>
                <w:sz w:val="24"/>
                <w:szCs w:val="21"/>
                <w:highlight w:val="none"/>
                <w:lang w:val="en-US" w:eastAsia="zh-CN"/>
              </w:rPr>
            </w:pPr>
            <w:r>
              <w:rPr>
                <w:rFonts w:hint="eastAsia" w:hAnsi="宋体" w:cs="宋体"/>
                <w:snapToGrid w:val="0"/>
                <w:color w:val="000000"/>
                <w:kern w:val="21"/>
                <w:sz w:val="24"/>
                <w:szCs w:val="21"/>
                <w:highlight w:val="none"/>
                <w:lang w:val="en-US" w:eastAsia="zh-CN"/>
              </w:rPr>
              <w:t>废水</w:t>
            </w:r>
          </w:p>
        </w:tc>
        <w:tc>
          <w:tcPr>
            <w:tcW w:w="1442" w:type="dxa"/>
            <w:noWrap w:val="0"/>
            <w:vAlign w:val="center"/>
          </w:tcPr>
          <w:p>
            <w:pPr>
              <w:pStyle w:val="26"/>
              <w:spacing w:beforeLines="0" w:afterLines="0" w:line="240" w:lineRule="auto"/>
              <w:ind w:firstLine="0" w:firstLineChars="0"/>
              <w:rPr>
                <w:rFonts w:ascii="Times New Roman"/>
                <w:snapToGrid w:val="0"/>
                <w:color w:val="000000"/>
                <w:kern w:val="21"/>
                <w:sz w:val="24"/>
                <w:szCs w:val="24"/>
                <w:highlight w:val="none"/>
                <w:lang w:val="en-US" w:eastAsia="zh-CN"/>
              </w:rPr>
            </w:pPr>
            <w:r>
              <w:rPr>
                <w:rFonts w:ascii="Times New Roman"/>
                <w:snapToGrid w:val="0"/>
                <w:color w:val="000000"/>
                <w:kern w:val="21"/>
                <w:sz w:val="24"/>
                <w:szCs w:val="24"/>
                <w:highlight w:val="none"/>
                <w:lang w:val="en-US" w:eastAsia="zh-CN"/>
              </w:rPr>
              <w:t>COD</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0.002</w:t>
            </w:r>
          </w:p>
        </w:tc>
        <w:tc>
          <w:tcPr>
            <w:tcW w:w="1299"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highlight w:val="none"/>
                <w:lang w:val="en-US" w:eastAsia="zh-CN"/>
              </w:rPr>
              <w:t>0.003</w:t>
            </w:r>
          </w:p>
        </w:tc>
        <w:tc>
          <w:tcPr>
            <w:tcW w:w="1731" w:type="dxa"/>
            <w:noWrap w:val="0"/>
            <w:vAlign w:val="center"/>
          </w:tcPr>
          <w:p>
            <w:pPr>
              <w:spacing w:line="240" w:lineRule="auto"/>
              <w:ind w:firstLine="0" w:firstLineChars="0"/>
              <w:jc w:val="center"/>
              <w:rPr>
                <w:rFonts w:hint="eastAsia" w:ascii="Times New Roman" w:hAnsi="Times New Roman" w:eastAsia="宋体" w:cs="Times New Roman"/>
                <w:snapToGrid w:val="0"/>
                <w:color w:val="000000"/>
                <w:kern w:val="21"/>
                <w:sz w:val="24"/>
                <w:szCs w:val="24"/>
                <w:highlight w:val="none"/>
                <w:lang w:val="en-US" w:eastAsia="zh-CN"/>
              </w:rPr>
            </w:pPr>
            <w:r>
              <w:rPr>
                <w:rFonts w:hint="eastAsia"/>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1"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0.002</w:t>
            </w:r>
          </w:p>
        </w:tc>
        <w:tc>
          <w:tcPr>
            <w:tcW w:w="1299"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continue"/>
            <w:noWrap w:val="0"/>
            <w:vAlign w:val="center"/>
          </w:tcPr>
          <w:p>
            <w:pPr>
              <w:pStyle w:val="26"/>
              <w:spacing w:beforeLines="0" w:afterLines="0" w:line="240" w:lineRule="auto"/>
              <w:ind w:firstLine="0" w:firstLineChars="0"/>
              <w:rPr>
                <w:rFonts w:hint="eastAsia" w:hAnsi="宋体" w:cs="宋体"/>
                <w:snapToGrid w:val="0"/>
                <w:color w:val="000000"/>
                <w:kern w:val="21"/>
                <w:sz w:val="24"/>
                <w:szCs w:val="21"/>
                <w:highlight w:val="none"/>
                <w:lang w:val="en-US" w:eastAsia="zh-CN"/>
              </w:rPr>
            </w:pPr>
          </w:p>
        </w:tc>
        <w:tc>
          <w:tcPr>
            <w:tcW w:w="1442" w:type="dxa"/>
            <w:noWrap w:val="0"/>
            <w:vAlign w:val="center"/>
          </w:tcPr>
          <w:p>
            <w:pPr>
              <w:pStyle w:val="26"/>
              <w:spacing w:beforeLines="0" w:afterLines="0" w:line="240" w:lineRule="auto"/>
              <w:ind w:firstLine="0" w:firstLineChars="0"/>
              <w:rPr>
                <w:rFonts w:ascii="Times New Roman"/>
                <w:snapToGrid w:val="0"/>
                <w:color w:val="000000"/>
                <w:kern w:val="21"/>
                <w:sz w:val="24"/>
                <w:szCs w:val="24"/>
                <w:highlight w:val="none"/>
                <w:lang w:val="en-US" w:eastAsia="zh-CN"/>
              </w:rPr>
            </w:pPr>
            <w:r>
              <w:rPr>
                <w:rFonts w:ascii="Times New Roman"/>
                <w:snapToGrid w:val="0"/>
                <w:color w:val="000000"/>
                <w:kern w:val="21"/>
                <w:sz w:val="24"/>
                <w:szCs w:val="24"/>
                <w:highlight w:val="none"/>
                <w:lang w:val="en-US" w:eastAsia="zh-CN"/>
              </w:rPr>
              <w:t>氨氮</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0.00016</w:t>
            </w:r>
          </w:p>
        </w:tc>
        <w:tc>
          <w:tcPr>
            <w:tcW w:w="1299"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snapToGrid w:val="0"/>
                <w:color w:val="000000"/>
                <w:kern w:val="21"/>
                <w:highlight w:val="none"/>
                <w:lang w:val="en-US" w:eastAsia="zh-CN"/>
              </w:rPr>
              <w:t>0.0002</w:t>
            </w:r>
          </w:p>
        </w:tc>
        <w:tc>
          <w:tcPr>
            <w:tcW w:w="1731" w:type="dxa"/>
            <w:noWrap w:val="0"/>
            <w:vAlign w:val="center"/>
          </w:tcPr>
          <w:p>
            <w:pPr>
              <w:spacing w:line="240" w:lineRule="auto"/>
              <w:ind w:firstLine="0" w:firstLineChars="0"/>
              <w:jc w:val="center"/>
              <w:rPr>
                <w:rFonts w:hint="eastAsia" w:ascii="Times New Roman" w:hAnsi="Times New Roman" w:eastAsia="宋体" w:cs="Times New Roman"/>
                <w:snapToGrid w:val="0"/>
                <w:color w:val="000000"/>
                <w:kern w:val="21"/>
                <w:sz w:val="24"/>
                <w:szCs w:val="24"/>
                <w:highlight w:val="none"/>
                <w:lang w:val="en-US" w:eastAsia="zh-CN"/>
              </w:rPr>
            </w:pPr>
            <w:r>
              <w:rPr>
                <w:rFonts w:hint="eastAsia"/>
                <w:snapToGrid w:val="0"/>
                <w:color w:val="000000"/>
                <w:kern w:val="21"/>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1"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0.00016</w:t>
            </w:r>
          </w:p>
        </w:tc>
        <w:tc>
          <w:tcPr>
            <w:tcW w:w="1299"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restart"/>
            <w:noWrap w:val="0"/>
            <w:vAlign w:val="center"/>
          </w:tcPr>
          <w:p>
            <w:pPr>
              <w:pStyle w:val="26"/>
              <w:spacing w:beforeLines="0" w:afterLines="0" w:line="240" w:lineRule="auto"/>
              <w:ind w:firstLine="0" w:firstLineChars="0"/>
              <w:rPr>
                <w:rFonts w:hAnsi="宋体" w:cs="宋体"/>
                <w:snapToGrid w:val="0"/>
                <w:color w:val="000000"/>
                <w:kern w:val="21"/>
                <w:sz w:val="24"/>
                <w:szCs w:val="21"/>
                <w:highlight w:val="none"/>
                <w:lang w:val="en-US" w:eastAsia="zh-CN"/>
              </w:rPr>
            </w:pPr>
            <w:r>
              <w:rPr>
                <w:rFonts w:hint="eastAsia" w:hAnsi="宋体" w:cs="宋体"/>
                <w:snapToGrid w:val="0"/>
                <w:color w:val="000000"/>
                <w:kern w:val="21"/>
                <w:sz w:val="24"/>
                <w:szCs w:val="21"/>
                <w:highlight w:val="none"/>
                <w:lang w:val="en-US" w:eastAsia="zh-CN"/>
              </w:rPr>
              <w:t>一般工业</w:t>
            </w:r>
          </w:p>
          <w:p>
            <w:pPr>
              <w:pStyle w:val="26"/>
              <w:spacing w:beforeLines="0" w:afterLines="0" w:line="240" w:lineRule="auto"/>
              <w:ind w:firstLine="0" w:firstLineChars="0"/>
              <w:rPr>
                <w:rFonts w:hint="eastAsia" w:hAnsi="宋体" w:cs="宋体"/>
                <w:snapToGrid w:val="0"/>
                <w:color w:val="000000"/>
                <w:kern w:val="21"/>
                <w:sz w:val="24"/>
                <w:szCs w:val="21"/>
                <w:highlight w:val="none"/>
                <w:lang w:val="en-US" w:eastAsia="zh-CN"/>
              </w:rPr>
            </w:pPr>
            <w:r>
              <w:rPr>
                <w:rFonts w:hint="eastAsia" w:hAnsi="宋体" w:cs="宋体"/>
                <w:snapToGrid w:val="0"/>
                <w:color w:val="000000"/>
                <w:kern w:val="21"/>
                <w:sz w:val="24"/>
                <w:szCs w:val="21"/>
                <w:highlight w:val="none"/>
                <w:lang w:val="en-US" w:eastAsia="zh-CN"/>
              </w:rPr>
              <w:t>固体废物</w:t>
            </w:r>
          </w:p>
        </w:tc>
        <w:tc>
          <w:tcPr>
            <w:tcW w:w="1442" w:type="dxa"/>
            <w:noWrap w:val="0"/>
            <w:vAlign w:val="center"/>
          </w:tcPr>
          <w:p>
            <w:pPr>
              <w:pStyle w:val="12"/>
              <w:spacing w:line="280" w:lineRule="exact"/>
              <w:ind w:left="-96" w:leftChars="-40" w:right="-96" w:rightChars="-40" w:firstLine="0" w:firstLineChars="0"/>
              <w:jc w:val="center"/>
              <w:rPr>
                <w:rFonts w:hint="eastAsia" w:ascii="Times New Roman" w:hAnsi="Times New Roman"/>
                <w:kern w:val="2"/>
                <w:szCs w:val="24"/>
                <w:highlight w:val="none"/>
                <w:lang w:val="en-US" w:eastAsia="zh-CN"/>
              </w:rPr>
            </w:pPr>
            <w:r>
              <w:rPr>
                <w:rFonts w:hint="eastAsia" w:ascii="Times New Roman" w:hAnsi="Times New Roman"/>
                <w:kern w:val="2"/>
                <w:szCs w:val="24"/>
                <w:highlight w:val="none"/>
                <w:lang w:val="en-US" w:eastAsia="zh-CN"/>
              </w:rPr>
              <w:t>废活性炭</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0.386</w:t>
            </w:r>
            <w:r>
              <w:rPr>
                <w:rFonts w:hint="eastAsia" w:ascii="Times New Roman" w:hAnsi="Times New Roman" w:eastAsia="宋体" w:cs="Times New Roman"/>
                <w:snapToGrid w:val="0"/>
                <w:color w:val="000000"/>
                <w:kern w:val="21"/>
                <w:sz w:val="24"/>
                <w:szCs w:val="24"/>
                <w:highlight w:val="none"/>
                <w:lang w:val="en-US" w:eastAsia="zh-CN"/>
              </w:rPr>
              <w:t xml:space="preserve"> </w:t>
            </w:r>
          </w:p>
        </w:tc>
        <w:tc>
          <w:tcPr>
            <w:tcW w:w="1299" w:type="dxa"/>
            <w:noWrap w:val="0"/>
            <w:vAlign w:val="center"/>
          </w:tcPr>
          <w:p>
            <w:pPr>
              <w:spacing w:line="240" w:lineRule="auto"/>
              <w:ind w:firstLine="0" w:firstLineChars="0"/>
              <w:jc w:val="center"/>
              <w:rPr>
                <w:rFonts w:hint="eastAsia" w:ascii="Times New Roman" w:hAnsi="Times New Roman" w:eastAsia="宋体" w:cs="Times New Roman"/>
                <w:snapToGrid w:val="0"/>
                <w:color w:val="000000"/>
                <w:kern w:val="21"/>
                <w:sz w:val="24"/>
                <w:szCs w:val="24"/>
                <w:highlight w:val="none"/>
                <w:lang w:val="en-US" w:eastAsia="zh-CN"/>
              </w:rPr>
            </w:pPr>
            <w:r>
              <w:rPr>
                <w:rFonts w:hint="eastAsia"/>
                <w:snapToGrid w:val="0"/>
                <w:color w:val="000000"/>
                <w:kern w:val="21"/>
                <w:highlight w:val="none"/>
                <w:lang w:val="en-US" w:eastAsia="zh-CN"/>
              </w:rPr>
              <w:t>/</w:t>
            </w:r>
          </w:p>
        </w:tc>
        <w:tc>
          <w:tcPr>
            <w:tcW w:w="1731" w:type="dxa"/>
            <w:noWrap w:val="0"/>
            <w:vAlign w:val="center"/>
          </w:tcPr>
          <w:p>
            <w:pPr>
              <w:spacing w:line="240" w:lineRule="auto"/>
              <w:ind w:firstLine="0" w:firstLineChars="0"/>
              <w:jc w:val="center"/>
              <w:rPr>
                <w:rFonts w:hint="eastAsia" w:ascii="Times New Roman" w:hAnsi="Times New Roman" w:eastAsia="宋体" w:cs="Times New Roman"/>
                <w:snapToGrid w:val="0"/>
                <w:color w:val="000000"/>
                <w:kern w:val="21"/>
                <w:sz w:val="24"/>
                <w:szCs w:val="24"/>
                <w:highlight w:val="none"/>
                <w:lang w:val="en-US" w:eastAsia="zh-CN"/>
              </w:rPr>
            </w:pPr>
            <w:r>
              <w:rPr>
                <w:rFonts w:hint="eastAsia"/>
                <w:snapToGrid w:val="0"/>
                <w:color w:val="000000"/>
                <w:kern w:val="21"/>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1"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r>
              <w:rPr>
                <w:rFonts w:hint="eastAsia" w:ascii="Times New Roman" w:hAnsi="Times New Roman" w:eastAsia="宋体" w:cs="Times New Roman"/>
                <w:snapToGrid w:val="0"/>
                <w:color w:val="000000"/>
                <w:kern w:val="21"/>
                <w:sz w:val="24"/>
                <w:szCs w:val="24"/>
                <w:highlight w:val="none"/>
                <w:lang w:val="en-US" w:eastAsia="zh-CN"/>
              </w:rPr>
              <w:t xml:space="preserve"> </w:t>
            </w:r>
          </w:p>
        </w:tc>
        <w:tc>
          <w:tcPr>
            <w:tcW w:w="1665"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0.386</w:t>
            </w:r>
          </w:p>
        </w:tc>
        <w:tc>
          <w:tcPr>
            <w:tcW w:w="1299"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continue"/>
            <w:noWrap w:val="0"/>
            <w:vAlign w:val="center"/>
          </w:tcPr>
          <w:p>
            <w:pPr>
              <w:pStyle w:val="26"/>
              <w:spacing w:beforeLines="0" w:afterLines="0" w:line="240" w:lineRule="auto"/>
              <w:ind w:firstLine="0" w:firstLineChars="0"/>
              <w:rPr>
                <w:rFonts w:hAnsi="宋体" w:cs="宋体"/>
                <w:snapToGrid w:val="0"/>
                <w:color w:val="000000"/>
                <w:kern w:val="21"/>
                <w:sz w:val="24"/>
                <w:szCs w:val="21"/>
                <w:highlight w:val="none"/>
                <w:lang w:val="en-US" w:eastAsia="zh-CN"/>
              </w:rPr>
            </w:pPr>
          </w:p>
        </w:tc>
        <w:tc>
          <w:tcPr>
            <w:tcW w:w="1442" w:type="dxa"/>
            <w:noWrap w:val="0"/>
            <w:vAlign w:val="center"/>
          </w:tcPr>
          <w:p>
            <w:pPr>
              <w:pStyle w:val="12"/>
              <w:spacing w:line="280" w:lineRule="exact"/>
              <w:ind w:left="-96" w:leftChars="-40" w:right="-96" w:rightChars="-40" w:firstLine="0" w:firstLineChars="0"/>
              <w:jc w:val="center"/>
              <w:rPr>
                <w:rFonts w:hint="eastAsia" w:ascii="Times New Roman" w:hAnsi="Times New Roman"/>
                <w:szCs w:val="24"/>
                <w:highlight w:val="none"/>
                <w:lang w:val="en-US" w:eastAsia="zh-CN"/>
              </w:rPr>
            </w:pPr>
            <w:r>
              <w:rPr>
                <w:rFonts w:hint="eastAsia" w:ascii="Times New Roman" w:hAnsi="Times New Roman"/>
                <w:szCs w:val="24"/>
                <w:highlight w:val="none"/>
                <w:lang w:val="en-US" w:eastAsia="zh-CN"/>
              </w:rPr>
              <w:t>废电解液</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299"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cs="Times New Roman"/>
                <w:snapToGrid w:val="0"/>
                <w:color w:val="000000"/>
                <w:kern w:val="21"/>
                <w:sz w:val="24"/>
                <w:szCs w:val="24"/>
                <w:highlight w:val="none"/>
                <w:lang w:val="en-US" w:eastAsia="zh-CN"/>
              </w:rPr>
              <w:t>/</w:t>
            </w:r>
          </w:p>
        </w:tc>
        <w:tc>
          <w:tcPr>
            <w:tcW w:w="1731"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cs="Times New Roman"/>
                <w:snapToGrid w:val="0"/>
                <w:color w:val="000000"/>
                <w:kern w:val="21"/>
                <w:sz w:val="24"/>
                <w:szCs w:val="24"/>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3.5</w:t>
            </w:r>
          </w:p>
        </w:tc>
        <w:tc>
          <w:tcPr>
            <w:tcW w:w="166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3.5</w:t>
            </w:r>
          </w:p>
        </w:tc>
        <w:tc>
          <w:tcPr>
            <w:tcW w:w="1299"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3.5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continue"/>
            <w:noWrap w:val="0"/>
            <w:vAlign w:val="center"/>
          </w:tcPr>
          <w:p>
            <w:pPr>
              <w:pStyle w:val="26"/>
              <w:spacing w:beforeLines="0" w:afterLines="0" w:line="240" w:lineRule="auto"/>
              <w:ind w:firstLine="0" w:firstLineChars="0"/>
              <w:rPr>
                <w:rFonts w:hAnsi="宋体" w:cs="宋体"/>
                <w:snapToGrid w:val="0"/>
                <w:color w:val="000000"/>
                <w:kern w:val="21"/>
                <w:sz w:val="24"/>
                <w:szCs w:val="21"/>
                <w:highlight w:val="none"/>
                <w:lang w:val="en-US" w:eastAsia="zh-CN"/>
              </w:rPr>
            </w:pPr>
          </w:p>
        </w:tc>
        <w:tc>
          <w:tcPr>
            <w:tcW w:w="1442" w:type="dxa"/>
            <w:noWrap w:val="0"/>
            <w:vAlign w:val="center"/>
          </w:tcPr>
          <w:p>
            <w:pPr>
              <w:pStyle w:val="12"/>
              <w:spacing w:line="280" w:lineRule="exact"/>
              <w:ind w:left="-96" w:leftChars="-40" w:right="-96" w:rightChars="-40" w:firstLine="0" w:firstLineChars="0"/>
              <w:jc w:val="center"/>
              <w:rPr>
                <w:rFonts w:hint="eastAsia" w:ascii="Times New Roman" w:hAnsi="Times New Roman"/>
                <w:szCs w:val="24"/>
                <w:highlight w:val="none"/>
                <w:lang w:val="en-US" w:eastAsia="zh-CN"/>
              </w:rPr>
            </w:pPr>
            <w:r>
              <w:rPr>
                <w:rFonts w:hint="eastAsia" w:ascii="Times New Roman" w:hAnsi="Times New Roman"/>
                <w:szCs w:val="24"/>
                <w:highlight w:val="none"/>
                <w:lang w:val="en-US" w:eastAsia="zh-CN"/>
              </w:rPr>
              <w:t>废弃沾染物</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299"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cs="Times New Roman"/>
                <w:snapToGrid w:val="0"/>
                <w:color w:val="000000"/>
                <w:kern w:val="21"/>
                <w:sz w:val="24"/>
                <w:szCs w:val="24"/>
                <w:highlight w:val="none"/>
                <w:lang w:val="en-US" w:eastAsia="zh-CN"/>
              </w:rPr>
              <w:t>/</w:t>
            </w:r>
          </w:p>
        </w:tc>
        <w:tc>
          <w:tcPr>
            <w:tcW w:w="1731"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cs="Times New Roman"/>
                <w:snapToGrid w:val="0"/>
                <w:color w:val="000000"/>
                <w:kern w:val="21"/>
                <w:sz w:val="24"/>
                <w:szCs w:val="24"/>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1.5</w:t>
            </w:r>
          </w:p>
        </w:tc>
        <w:tc>
          <w:tcPr>
            <w:tcW w:w="166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1.5</w:t>
            </w:r>
          </w:p>
        </w:tc>
        <w:tc>
          <w:tcPr>
            <w:tcW w:w="1299"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1.5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continue"/>
            <w:noWrap w:val="0"/>
            <w:vAlign w:val="center"/>
          </w:tcPr>
          <w:p>
            <w:pPr>
              <w:pStyle w:val="26"/>
              <w:spacing w:beforeLines="0" w:afterLines="0" w:line="240" w:lineRule="auto"/>
              <w:ind w:firstLine="0" w:firstLineChars="0"/>
              <w:rPr>
                <w:rFonts w:hint="eastAsia" w:hAnsi="宋体" w:cs="宋体"/>
                <w:snapToGrid w:val="0"/>
                <w:color w:val="000000"/>
                <w:kern w:val="21"/>
                <w:sz w:val="24"/>
                <w:szCs w:val="21"/>
                <w:highlight w:val="none"/>
                <w:lang w:val="en-US" w:eastAsia="zh-CN"/>
              </w:rPr>
            </w:pPr>
          </w:p>
        </w:tc>
        <w:tc>
          <w:tcPr>
            <w:tcW w:w="1442" w:type="dxa"/>
            <w:noWrap w:val="0"/>
            <w:vAlign w:val="center"/>
          </w:tcPr>
          <w:p>
            <w:pPr>
              <w:pStyle w:val="12"/>
              <w:spacing w:line="280" w:lineRule="exact"/>
              <w:ind w:left="-96" w:leftChars="-40" w:right="-96" w:rightChars="-40" w:firstLine="0" w:firstLineChars="0"/>
              <w:jc w:val="center"/>
              <w:rPr>
                <w:rFonts w:ascii="Times New Roman" w:hAnsi="Times New Roman"/>
                <w:kern w:val="2"/>
                <w:szCs w:val="24"/>
                <w:highlight w:val="none"/>
                <w:lang w:val="en-US" w:eastAsia="zh-CN"/>
              </w:rPr>
            </w:pPr>
            <w:r>
              <w:rPr>
                <w:rFonts w:hint="eastAsia" w:ascii="Times New Roman" w:hAnsi="Times New Roman"/>
                <w:kern w:val="2"/>
                <w:szCs w:val="24"/>
                <w:highlight w:val="none"/>
                <w:lang w:val="en-US" w:eastAsia="zh-CN"/>
              </w:rPr>
              <w:t>废吸收液</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299"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cs="Times New Roman"/>
                <w:snapToGrid w:val="0"/>
                <w:color w:val="000000"/>
                <w:kern w:val="21"/>
                <w:sz w:val="24"/>
                <w:szCs w:val="24"/>
                <w:highlight w:val="none"/>
                <w:lang w:val="en-US" w:eastAsia="zh-CN"/>
              </w:rPr>
              <w:t>/</w:t>
            </w:r>
          </w:p>
        </w:tc>
        <w:tc>
          <w:tcPr>
            <w:tcW w:w="1731" w:type="dxa"/>
            <w:noWrap w:val="0"/>
            <w:vAlign w:val="center"/>
          </w:tcPr>
          <w:p>
            <w:pPr>
              <w:spacing w:line="240" w:lineRule="auto"/>
              <w:ind w:firstLine="0" w:firstLineChars="0"/>
              <w:jc w:val="center"/>
              <w:rPr>
                <w:rFonts w:hint="default" w:ascii="Times New Roman" w:hAnsi="Times New Roman" w:eastAsia="宋体" w:cs="Times New Roman"/>
                <w:snapToGrid w:val="0"/>
                <w:color w:val="000000"/>
                <w:kern w:val="21"/>
                <w:sz w:val="24"/>
                <w:szCs w:val="24"/>
                <w:highlight w:val="none"/>
                <w:lang w:val="en-US" w:eastAsia="zh-CN"/>
              </w:rPr>
            </w:pPr>
            <w:r>
              <w:rPr>
                <w:rFonts w:hint="eastAsia" w:cs="Times New Roman"/>
                <w:snapToGrid w:val="0"/>
                <w:color w:val="000000"/>
                <w:kern w:val="21"/>
                <w:sz w:val="24"/>
                <w:szCs w:val="24"/>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2</w:t>
            </w:r>
          </w:p>
        </w:tc>
        <w:tc>
          <w:tcPr>
            <w:tcW w:w="166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2</w:t>
            </w:r>
          </w:p>
        </w:tc>
        <w:tc>
          <w:tcPr>
            <w:tcW w:w="1299"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618" w:type="dxa"/>
            <w:vMerge w:val="continue"/>
            <w:noWrap w:val="0"/>
            <w:vAlign w:val="center"/>
          </w:tcPr>
          <w:p>
            <w:pPr>
              <w:pStyle w:val="26"/>
              <w:spacing w:beforeLines="0" w:afterLines="0" w:line="240" w:lineRule="auto"/>
              <w:ind w:firstLine="0" w:firstLineChars="0"/>
              <w:rPr>
                <w:rFonts w:hAnsi="宋体" w:cs="宋体"/>
                <w:snapToGrid w:val="0"/>
                <w:color w:val="000000"/>
                <w:kern w:val="21"/>
                <w:sz w:val="24"/>
                <w:szCs w:val="21"/>
                <w:highlight w:val="none"/>
                <w:lang w:val="en-US" w:eastAsia="zh-CN"/>
              </w:rPr>
            </w:pPr>
          </w:p>
        </w:tc>
        <w:tc>
          <w:tcPr>
            <w:tcW w:w="1442" w:type="dxa"/>
            <w:noWrap w:val="0"/>
            <w:vAlign w:val="center"/>
          </w:tcPr>
          <w:p>
            <w:pPr>
              <w:pStyle w:val="12"/>
              <w:spacing w:line="280" w:lineRule="exact"/>
              <w:ind w:left="-96" w:leftChars="-40" w:right="-96" w:rightChars="-40" w:firstLine="0" w:firstLineChars="0"/>
              <w:jc w:val="center"/>
              <w:rPr>
                <w:rFonts w:ascii="Times New Roman" w:hAnsi="Times New Roman"/>
                <w:szCs w:val="24"/>
                <w:highlight w:val="none"/>
                <w:lang w:val="en-US" w:eastAsia="zh-CN"/>
              </w:rPr>
            </w:pPr>
            <w:r>
              <w:rPr>
                <w:rFonts w:hint="eastAsia" w:ascii="Times New Roman" w:hAnsi="Times New Roman"/>
                <w:szCs w:val="24"/>
                <w:highlight w:val="none"/>
                <w:lang w:val="en-US" w:eastAsia="zh-CN"/>
              </w:rPr>
              <w:t>生活垃圾</w:t>
            </w:r>
          </w:p>
        </w:tc>
        <w:tc>
          <w:tcPr>
            <w:tcW w:w="1731"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1.5</w:t>
            </w:r>
          </w:p>
        </w:tc>
        <w:tc>
          <w:tcPr>
            <w:tcW w:w="1299" w:type="dxa"/>
            <w:noWrap w:val="0"/>
            <w:vAlign w:val="center"/>
          </w:tcPr>
          <w:p>
            <w:pPr>
              <w:spacing w:line="240" w:lineRule="auto"/>
              <w:ind w:firstLine="0" w:firstLineChars="0"/>
              <w:jc w:val="center"/>
              <w:rPr>
                <w:rFonts w:hint="eastAsia" w:ascii="Times New Roman" w:hAnsi="Times New Roman" w:eastAsia="宋体" w:cs="Times New Roman"/>
                <w:snapToGrid w:val="0"/>
                <w:color w:val="000000"/>
                <w:kern w:val="21"/>
                <w:sz w:val="24"/>
                <w:szCs w:val="24"/>
                <w:highlight w:val="none"/>
                <w:lang w:val="en-US" w:eastAsia="zh-CN"/>
              </w:rPr>
            </w:pPr>
            <w:r>
              <w:rPr>
                <w:rFonts w:hint="eastAsia"/>
                <w:snapToGrid w:val="0"/>
                <w:color w:val="000000"/>
                <w:kern w:val="21"/>
                <w:highlight w:val="none"/>
                <w:lang w:val="en-US" w:eastAsia="zh-CN"/>
              </w:rPr>
              <w:t>/</w:t>
            </w:r>
          </w:p>
        </w:tc>
        <w:tc>
          <w:tcPr>
            <w:tcW w:w="1731" w:type="dxa"/>
            <w:noWrap w:val="0"/>
            <w:vAlign w:val="center"/>
          </w:tcPr>
          <w:p>
            <w:pPr>
              <w:spacing w:line="240" w:lineRule="auto"/>
              <w:ind w:firstLine="0" w:firstLineChars="0"/>
              <w:jc w:val="center"/>
              <w:rPr>
                <w:rFonts w:hint="eastAsia" w:ascii="Times New Roman" w:hAnsi="Times New Roman" w:eastAsia="宋体" w:cs="Times New Roman"/>
                <w:snapToGrid w:val="0"/>
                <w:color w:val="000000"/>
                <w:kern w:val="21"/>
                <w:sz w:val="24"/>
                <w:szCs w:val="24"/>
                <w:highlight w:val="none"/>
                <w:lang w:val="en-US" w:eastAsia="zh-CN"/>
              </w:rPr>
            </w:pPr>
            <w:r>
              <w:rPr>
                <w:rFonts w:hint="eastAsia"/>
                <w:snapToGrid w:val="0"/>
                <w:color w:val="000000"/>
                <w:kern w:val="21"/>
                <w:highlight w:val="none"/>
                <w:lang w:val="en-US" w:eastAsia="zh-CN"/>
              </w:rPr>
              <w:t>/</w:t>
            </w:r>
          </w:p>
        </w:tc>
        <w:tc>
          <w:tcPr>
            <w:tcW w:w="1587" w:type="dxa"/>
            <w:noWrap w:val="0"/>
            <w:vAlign w:val="center"/>
          </w:tcPr>
          <w:p>
            <w:pPr>
              <w:pStyle w:val="26"/>
              <w:spacing w:beforeLines="0" w:afterLines="0" w:line="240" w:lineRule="auto"/>
              <w:ind w:firstLine="0" w:firstLineChars="0"/>
              <w:rPr>
                <w:rFonts w:hint="default"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1"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0</w:t>
            </w:r>
          </w:p>
        </w:tc>
        <w:tc>
          <w:tcPr>
            <w:tcW w:w="1665" w:type="dxa"/>
            <w:noWrap w:val="0"/>
            <w:vAlign w:val="center"/>
          </w:tcPr>
          <w:p>
            <w:pPr>
              <w:pStyle w:val="26"/>
              <w:spacing w:beforeLines="0" w:afterLines="0" w:line="240" w:lineRule="auto"/>
              <w:ind w:firstLine="0" w:firstLineChars="0"/>
              <w:rPr>
                <w:rFonts w:hint="eastAsia" w:ascii="Times New Roman" w:hAnsi="Times New Roman" w:eastAsia="宋体" w:cs="Times New Roman"/>
                <w:snapToGrid w:val="0"/>
                <w:color w:val="000000"/>
                <w:kern w:val="21"/>
                <w:sz w:val="24"/>
                <w:szCs w:val="24"/>
                <w:highlight w:val="none"/>
                <w:lang w:val="en-US" w:eastAsia="zh-CN"/>
              </w:rPr>
            </w:pPr>
            <w:r>
              <w:rPr>
                <w:rFonts w:hint="eastAsia" w:ascii="Times New Roman" w:cs="Times New Roman"/>
                <w:snapToGrid w:val="0"/>
                <w:color w:val="000000"/>
                <w:kern w:val="21"/>
                <w:sz w:val="24"/>
                <w:szCs w:val="24"/>
                <w:highlight w:val="none"/>
                <w:lang w:val="en-US" w:eastAsia="zh-CN"/>
              </w:rPr>
              <w:t>1.5</w:t>
            </w:r>
          </w:p>
        </w:tc>
        <w:tc>
          <w:tcPr>
            <w:tcW w:w="1299" w:type="dxa"/>
            <w:noWrap w:val="0"/>
            <w:vAlign w:val="center"/>
          </w:tcPr>
          <w:p>
            <w:pPr>
              <w:pStyle w:val="26"/>
              <w:spacing w:beforeLines="0" w:afterLines="0" w:line="240" w:lineRule="auto"/>
              <w:ind w:firstLine="0" w:firstLineChars="0"/>
              <w:rPr>
                <w:rFonts w:hint="eastAsia" w:ascii="Times New Roman" w:hAnsi="Times New Roman" w:eastAsia="宋体" w:cs="Times New Roman"/>
                <w:b/>
                <w:bCs/>
                <w:snapToGrid w:val="0"/>
                <w:color w:val="000000"/>
                <w:kern w:val="21"/>
                <w:sz w:val="24"/>
                <w:szCs w:val="24"/>
                <w:highlight w:val="none"/>
                <w:lang w:val="en-US" w:eastAsia="zh-CN"/>
              </w:rPr>
            </w:pPr>
            <w:r>
              <w:rPr>
                <w:rFonts w:hint="eastAsia" w:ascii="Times New Roman" w:cs="Times New Roman"/>
                <w:b w:val="0"/>
                <w:bCs w:val="0"/>
                <w:snapToGrid w:val="0"/>
                <w:color w:val="000000"/>
                <w:kern w:val="21"/>
                <w:sz w:val="24"/>
                <w:szCs w:val="24"/>
                <w:highlight w:val="none"/>
                <w:lang w:val="en-US" w:eastAsia="zh-CN"/>
              </w:rPr>
              <w:t>0</w:t>
            </w:r>
          </w:p>
        </w:tc>
      </w:tr>
    </w:tbl>
    <w:p>
      <w:pPr>
        <w:pStyle w:val="26"/>
        <w:spacing w:before="192" w:beforeLines="80" w:after="24"/>
        <w:ind w:firstLine="420"/>
        <w:jc w:val="left"/>
        <w:sectPr>
          <w:footerReference r:id="rId12" w:type="default"/>
          <w:pgSz w:w="16838" w:h="11906" w:orient="landscape"/>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r>
        <w:rPr>
          <w:rFonts w:hAnsi="宋体"/>
          <w:snapToGrid w:val="0"/>
          <w:color w:val="000000"/>
          <w:kern w:val="21"/>
          <w:szCs w:val="21"/>
          <w:highlight w:val="none"/>
        </w:rPr>
        <w:t>注：</w:t>
      </w:r>
      <w:r>
        <w:rPr>
          <w:rFonts w:hAnsi="宋体"/>
          <w:snapToGrid w:val="0"/>
          <w:color w:val="000000"/>
          <w:spacing w:val="-16"/>
          <w:kern w:val="21"/>
          <w:szCs w:val="21"/>
          <w:highlight w:val="none"/>
        </w:rPr>
        <w:fldChar w:fldCharType="begin"/>
      </w:r>
      <w:r>
        <w:rPr>
          <w:rFonts w:hAnsi="宋体"/>
          <w:snapToGrid w:val="0"/>
          <w:color w:val="000000"/>
          <w:spacing w:val="-16"/>
          <w:kern w:val="21"/>
          <w:szCs w:val="21"/>
          <w:highlight w:val="none"/>
        </w:rPr>
        <w:instrText xml:space="preserve"> = 6 \* GB3 \* MERGEFORMAT </w:instrText>
      </w:r>
      <w:r>
        <w:rPr>
          <w:rFonts w:hAnsi="宋体"/>
          <w:snapToGrid w:val="0"/>
          <w:color w:val="000000"/>
          <w:spacing w:val="-16"/>
          <w:kern w:val="21"/>
          <w:szCs w:val="21"/>
          <w:highlight w:val="none"/>
        </w:rPr>
        <w:fldChar w:fldCharType="separate"/>
      </w:r>
      <w:r>
        <w:rPr>
          <w:rFonts w:hAnsi="宋体"/>
          <w:szCs w:val="21"/>
          <w:highlight w:val="none"/>
        </w:rPr>
        <w:t>⑥</w:t>
      </w:r>
      <w:r>
        <w:rPr>
          <w:rFonts w:hAnsi="宋体"/>
          <w:snapToGrid w:val="0"/>
          <w:color w:val="000000"/>
          <w:spacing w:val="-16"/>
          <w:kern w:val="21"/>
          <w:szCs w:val="21"/>
          <w:highlight w:val="none"/>
        </w:rPr>
        <w:fldChar w:fldCharType="end"/>
      </w:r>
      <w:r>
        <w:rPr>
          <w:rFonts w:hAnsi="宋体"/>
          <w:snapToGrid w:val="0"/>
          <w:color w:val="000000"/>
          <w:spacing w:val="-16"/>
          <w:kern w:val="21"/>
          <w:szCs w:val="21"/>
          <w:highlight w:val="none"/>
        </w:rPr>
        <w:t>=</w:t>
      </w:r>
      <w:r>
        <w:rPr>
          <w:rFonts w:hAnsi="宋体"/>
          <w:snapToGrid w:val="0"/>
          <w:color w:val="000000"/>
          <w:spacing w:val="-6"/>
          <w:kern w:val="21"/>
          <w:szCs w:val="21"/>
          <w:highlight w:val="none"/>
        </w:rPr>
        <w:fldChar w:fldCharType="begin"/>
      </w:r>
      <w:r>
        <w:rPr>
          <w:rFonts w:hAnsi="宋体"/>
          <w:snapToGrid w:val="0"/>
          <w:color w:val="000000"/>
          <w:spacing w:val="-6"/>
          <w:kern w:val="21"/>
          <w:szCs w:val="21"/>
          <w:highlight w:val="none"/>
        </w:rPr>
        <w:instrText xml:space="preserve"> = 1 \* GB3 \* MERGEFORMAT </w:instrText>
      </w:r>
      <w:r>
        <w:rPr>
          <w:rFonts w:hAnsi="宋体"/>
          <w:snapToGrid w:val="0"/>
          <w:color w:val="000000"/>
          <w:spacing w:val="-6"/>
          <w:kern w:val="21"/>
          <w:szCs w:val="21"/>
          <w:highlight w:val="none"/>
        </w:rPr>
        <w:fldChar w:fldCharType="separate"/>
      </w:r>
      <w:r>
        <w:rPr>
          <w:rFonts w:hAnsi="宋体"/>
          <w:szCs w:val="21"/>
          <w:highlight w:val="none"/>
        </w:rPr>
        <w:t>①</w:t>
      </w:r>
      <w:r>
        <w:rPr>
          <w:rFonts w:hAnsi="宋体"/>
          <w:snapToGrid w:val="0"/>
          <w:color w:val="000000"/>
          <w:spacing w:val="-6"/>
          <w:kern w:val="21"/>
          <w:szCs w:val="21"/>
          <w:highlight w:val="none"/>
        </w:rPr>
        <w:fldChar w:fldCharType="end"/>
      </w:r>
      <w:r>
        <w:rPr>
          <w:rFonts w:hAnsi="宋体"/>
          <w:snapToGrid w:val="0"/>
          <w:color w:val="000000"/>
          <w:spacing w:val="-6"/>
          <w:kern w:val="21"/>
          <w:szCs w:val="21"/>
          <w:highlight w:val="none"/>
        </w:rPr>
        <w:t>+</w:t>
      </w:r>
      <w:r>
        <w:rPr>
          <w:rFonts w:hAnsi="宋体"/>
          <w:snapToGrid w:val="0"/>
          <w:color w:val="000000"/>
          <w:spacing w:val="-6"/>
          <w:kern w:val="21"/>
          <w:szCs w:val="21"/>
          <w:highlight w:val="none"/>
        </w:rPr>
        <w:fldChar w:fldCharType="begin"/>
      </w:r>
      <w:r>
        <w:rPr>
          <w:rFonts w:hAnsi="宋体"/>
          <w:snapToGrid w:val="0"/>
          <w:color w:val="000000"/>
          <w:spacing w:val="-6"/>
          <w:kern w:val="21"/>
          <w:szCs w:val="21"/>
          <w:highlight w:val="none"/>
        </w:rPr>
        <w:instrText xml:space="preserve"> = 3 \* GB3 \* MERGEFORMAT </w:instrText>
      </w:r>
      <w:r>
        <w:rPr>
          <w:rFonts w:hAnsi="宋体"/>
          <w:snapToGrid w:val="0"/>
          <w:color w:val="000000"/>
          <w:spacing w:val="-6"/>
          <w:kern w:val="21"/>
          <w:szCs w:val="21"/>
          <w:highlight w:val="none"/>
        </w:rPr>
        <w:fldChar w:fldCharType="separate"/>
      </w:r>
      <w:r>
        <w:rPr>
          <w:rFonts w:hAnsi="宋体"/>
          <w:szCs w:val="21"/>
          <w:highlight w:val="none"/>
        </w:rPr>
        <w:t>③</w:t>
      </w:r>
      <w:r>
        <w:rPr>
          <w:rFonts w:hAnsi="宋体"/>
          <w:snapToGrid w:val="0"/>
          <w:color w:val="000000"/>
          <w:spacing w:val="-6"/>
          <w:kern w:val="21"/>
          <w:szCs w:val="21"/>
          <w:highlight w:val="none"/>
        </w:rPr>
        <w:fldChar w:fldCharType="end"/>
      </w:r>
      <w:r>
        <w:rPr>
          <w:rFonts w:hAnsi="宋体"/>
          <w:snapToGrid w:val="0"/>
          <w:color w:val="000000"/>
          <w:spacing w:val="-6"/>
          <w:kern w:val="21"/>
          <w:szCs w:val="21"/>
          <w:highlight w:val="none"/>
        </w:rPr>
        <w:t>+</w:t>
      </w:r>
      <w:r>
        <w:rPr>
          <w:rFonts w:hAnsi="宋体"/>
          <w:snapToGrid w:val="0"/>
          <w:color w:val="000000"/>
          <w:spacing w:val="-6"/>
          <w:kern w:val="21"/>
          <w:szCs w:val="21"/>
          <w:highlight w:val="none"/>
        </w:rPr>
        <w:fldChar w:fldCharType="begin"/>
      </w:r>
      <w:r>
        <w:rPr>
          <w:rFonts w:hAnsi="宋体"/>
          <w:snapToGrid w:val="0"/>
          <w:color w:val="000000"/>
          <w:spacing w:val="-6"/>
          <w:kern w:val="21"/>
          <w:szCs w:val="21"/>
          <w:highlight w:val="none"/>
        </w:rPr>
        <w:instrText xml:space="preserve"> = 4 \* GB3 \* MERGEFORMAT </w:instrText>
      </w:r>
      <w:r>
        <w:rPr>
          <w:rFonts w:hAnsi="宋体"/>
          <w:snapToGrid w:val="0"/>
          <w:color w:val="000000"/>
          <w:spacing w:val="-6"/>
          <w:kern w:val="21"/>
          <w:szCs w:val="21"/>
          <w:highlight w:val="none"/>
        </w:rPr>
        <w:fldChar w:fldCharType="separate"/>
      </w:r>
      <w:r>
        <w:rPr>
          <w:rFonts w:hAnsi="宋体"/>
          <w:szCs w:val="21"/>
          <w:highlight w:val="none"/>
        </w:rPr>
        <w:t>④</w:t>
      </w:r>
      <w:r>
        <w:rPr>
          <w:rFonts w:hAnsi="宋体"/>
          <w:snapToGrid w:val="0"/>
          <w:color w:val="000000"/>
          <w:spacing w:val="-6"/>
          <w:kern w:val="21"/>
          <w:szCs w:val="21"/>
          <w:highlight w:val="none"/>
        </w:rPr>
        <w:fldChar w:fldCharType="end"/>
      </w:r>
      <w:r>
        <w:rPr>
          <w:rFonts w:hAnsi="宋体"/>
          <w:snapToGrid w:val="0"/>
          <w:color w:val="000000"/>
          <w:spacing w:val="-6"/>
          <w:kern w:val="21"/>
          <w:szCs w:val="21"/>
          <w:highlight w:val="none"/>
        </w:rPr>
        <w:t>-</w:t>
      </w:r>
      <w:r>
        <w:rPr>
          <w:rFonts w:hAnsi="宋体"/>
          <w:snapToGrid w:val="0"/>
          <w:color w:val="000000"/>
          <w:spacing w:val="-16"/>
          <w:kern w:val="21"/>
          <w:szCs w:val="21"/>
          <w:highlight w:val="none"/>
        </w:rPr>
        <w:fldChar w:fldCharType="begin"/>
      </w:r>
      <w:r>
        <w:rPr>
          <w:rFonts w:hAnsi="宋体"/>
          <w:snapToGrid w:val="0"/>
          <w:color w:val="000000"/>
          <w:spacing w:val="-16"/>
          <w:kern w:val="21"/>
          <w:szCs w:val="21"/>
          <w:highlight w:val="none"/>
        </w:rPr>
        <w:instrText xml:space="preserve"> = 5 \* GB3 \* MERGEFORMAT </w:instrText>
      </w:r>
      <w:r>
        <w:rPr>
          <w:rFonts w:hAnsi="宋体"/>
          <w:snapToGrid w:val="0"/>
          <w:color w:val="000000"/>
          <w:spacing w:val="-16"/>
          <w:kern w:val="21"/>
          <w:szCs w:val="21"/>
          <w:highlight w:val="none"/>
        </w:rPr>
        <w:fldChar w:fldCharType="separate"/>
      </w:r>
      <w:r>
        <w:rPr>
          <w:rFonts w:hAnsi="宋体"/>
          <w:szCs w:val="21"/>
          <w:highlight w:val="none"/>
        </w:rPr>
        <w:t>⑤</w:t>
      </w:r>
      <w:r>
        <w:rPr>
          <w:rFonts w:hAnsi="宋体"/>
          <w:snapToGrid w:val="0"/>
          <w:color w:val="000000"/>
          <w:spacing w:val="-16"/>
          <w:kern w:val="21"/>
          <w:szCs w:val="21"/>
          <w:highlight w:val="none"/>
        </w:rPr>
        <w:fldChar w:fldCharType="end"/>
      </w:r>
      <w:r>
        <w:rPr>
          <w:rFonts w:hAnsi="宋体"/>
          <w:snapToGrid w:val="0"/>
          <w:color w:val="000000"/>
          <w:spacing w:val="-16"/>
          <w:kern w:val="21"/>
          <w:szCs w:val="21"/>
          <w:highlight w:val="none"/>
        </w:rPr>
        <w:t>；</w:t>
      </w:r>
      <w:r>
        <w:rPr>
          <w:rFonts w:hAnsi="宋体"/>
          <w:snapToGrid w:val="0"/>
          <w:color w:val="000000"/>
          <w:spacing w:val="-6"/>
          <w:kern w:val="21"/>
          <w:szCs w:val="21"/>
          <w:highlight w:val="none"/>
        </w:rPr>
        <w:fldChar w:fldCharType="begin"/>
      </w:r>
      <w:r>
        <w:rPr>
          <w:rFonts w:hAnsi="宋体"/>
          <w:snapToGrid w:val="0"/>
          <w:color w:val="000000"/>
          <w:spacing w:val="-6"/>
          <w:kern w:val="21"/>
          <w:szCs w:val="21"/>
          <w:highlight w:val="none"/>
        </w:rPr>
        <w:instrText xml:space="preserve"> = 7 \* GB3 \* MERGEFORMAT </w:instrText>
      </w:r>
      <w:r>
        <w:rPr>
          <w:rFonts w:hAnsi="宋体"/>
          <w:snapToGrid w:val="0"/>
          <w:color w:val="000000"/>
          <w:spacing w:val="-6"/>
          <w:kern w:val="21"/>
          <w:szCs w:val="21"/>
          <w:highlight w:val="none"/>
        </w:rPr>
        <w:fldChar w:fldCharType="separate"/>
      </w:r>
      <w:r>
        <w:rPr>
          <w:rFonts w:hAnsi="宋体"/>
          <w:szCs w:val="21"/>
          <w:highlight w:val="none"/>
        </w:rPr>
        <w:t>⑦</w:t>
      </w:r>
      <w:r>
        <w:rPr>
          <w:rFonts w:hAnsi="宋体"/>
          <w:snapToGrid w:val="0"/>
          <w:color w:val="000000"/>
          <w:spacing w:val="-6"/>
          <w:kern w:val="21"/>
          <w:szCs w:val="21"/>
          <w:highlight w:val="none"/>
        </w:rPr>
        <w:fldChar w:fldCharType="end"/>
      </w:r>
      <w:r>
        <w:rPr>
          <w:rFonts w:hAnsi="宋体"/>
          <w:snapToGrid w:val="0"/>
          <w:color w:val="000000"/>
          <w:spacing w:val="-6"/>
          <w:kern w:val="21"/>
          <w:szCs w:val="21"/>
          <w:highlight w:val="none"/>
        </w:rPr>
        <w:t>=</w:t>
      </w:r>
      <w:r>
        <w:rPr>
          <w:rFonts w:hAnsi="宋体"/>
          <w:snapToGrid w:val="0"/>
          <w:color w:val="000000"/>
          <w:spacing w:val="-16"/>
          <w:kern w:val="21"/>
          <w:szCs w:val="21"/>
          <w:highlight w:val="none"/>
        </w:rPr>
        <w:fldChar w:fldCharType="begin"/>
      </w:r>
      <w:r>
        <w:rPr>
          <w:rFonts w:hAnsi="宋体"/>
          <w:snapToGrid w:val="0"/>
          <w:color w:val="000000"/>
          <w:spacing w:val="-16"/>
          <w:kern w:val="21"/>
          <w:szCs w:val="21"/>
          <w:highlight w:val="none"/>
        </w:rPr>
        <w:instrText xml:space="preserve"> = 6 \* GB3 \* MERGEFORMAT </w:instrText>
      </w:r>
      <w:r>
        <w:rPr>
          <w:rFonts w:hAnsi="宋体"/>
          <w:snapToGrid w:val="0"/>
          <w:color w:val="000000"/>
          <w:spacing w:val="-16"/>
          <w:kern w:val="21"/>
          <w:szCs w:val="21"/>
          <w:highlight w:val="none"/>
        </w:rPr>
        <w:fldChar w:fldCharType="separate"/>
      </w:r>
      <w:r>
        <w:rPr>
          <w:rFonts w:hAnsi="宋体"/>
          <w:szCs w:val="21"/>
          <w:highlight w:val="none"/>
        </w:rPr>
        <w:t>⑥</w:t>
      </w:r>
      <w:r>
        <w:rPr>
          <w:rFonts w:hAnsi="宋体"/>
          <w:snapToGrid w:val="0"/>
          <w:color w:val="000000"/>
          <w:spacing w:val="-16"/>
          <w:kern w:val="21"/>
          <w:szCs w:val="21"/>
          <w:highlight w:val="none"/>
        </w:rPr>
        <w:fldChar w:fldCharType="end"/>
      </w:r>
      <w:r>
        <w:rPr>
          <w:rFonts w:hAnsi="宋体"/>
          <w:snapToGrid w:val="0"/>
          <w:color w:val="000000"/>
          <w:spacing w:val="-16"/>
          <w:kern w:val="21"/>
          <w:szCs w:val="21"/>
          <w:highlight w:val="none"/>
        </w:rPr>
        <w:t>-</w:t>
      </w:r>
      <w:r>
        <w:rPr>
          <w:rFonts w:hint="eastAsia" w:hAnsi="宋体"/>
          <w:snapToGrid w:val="0"/>
          <w:color w:val="000000"/>
          <w:spacing w:val="-16"/>
          <w:kern w:val="21"/>
          <w:szCs w:val="21"/>
          <w:highlight w:val="none"/>
        </w:rPr>
        <w:t>①</w:t>
      </w:r>
    </w:p>
    <w:p>
      <w:pPr>
        <w:ind w:left="0" w:leftChars="0" w:firstLine="0" w:firstLineChars="0"/>
        <w:rPr>
          <w:rFonts w:hint="eastAsia"/>
          <w:lang w:eastAsia="zh-CN"/>
        </w:rPr>
      </w:pPr>
    </w:p>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EE"/>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Wingdings 2">
    <w:panose1 w:val="05020102010507070707"/>
    <w:charset w:val="02"/>
    <w:family w:val="roman"/>
    <w:pitch w:val="default"/>
    <w:sig w:usb0="00000000" w:usb1="00000000" w:usb2="00000000" w:usb3="00000000" w:csb0="80000000" w:csb1="00000000"/>
  </w:font>
  <w:font w:name="Microsoft JhengHei">
    <w:panose1 w:val="020B0604030504040204"/>
    <w:charset w:val="88"/>
    <w:family w:val="auto"/>
    <w:pitch w:val="default"/>
    <w:sig w:usb0="00000087" w:usb1="28A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center" w:y="1"/>
      <w:ind w:firstLine="360"/>
      <w:rPr>
        <w:rStyle w:val="18"/>
      </w:rPr>
    </w:pPr>
    <w:r>
      <w:fldChar w:fldCharType="begin"/>
    </w:r>
    <w:r>
      <w:rPr>
        <w:rStyle w:val="18"/>
      </w:rPr>
      <w:instrText xml:space="preserve">PAGE  </w:instrText>
    </w:r>
    <w:r>
      <w:fldChar w:fldCharType="end"/>
    </w:r>
  </w:p>
  <w:p>
    <w:pPr>
      <w:pStyle w:val="10"/>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outside" w:y="1"/>
      <w:ind w:firstLine="560"/>
      <w:rPr>
        <w:rStyle w:val="18"/>
        <w:rFonts w:ascii="宋体" w:hAnsi="宋体"/>
        <w:sz w:val="28"/>
        <w:szCs w:val="28"/>
      </w:rPr>
    </w:pPr>
    <w:r>
      <w:rPr>
        <w:rStyle w:val="18"/>
        <w:rFonts w:hint="eastAsia" w:ascii="宋体" w:hAnsi="宋体"/>
        <w:sz w:val="28"/>
        <w:szCs w:val="28"/>
      </w:rPr>
      <w:t>—</w:t>
    </w:r>
    <w:r>
      <w:rPr>
        <w:rStyle w:val="18"/>
        <w:rFonts w:hint="eastAsia" w:ascii="宋体" w:hAnsi="宋体"/>
        <w:sz w:val="20"/>
      </w:rPr>
      <w:t xml:space="preserve">  </w:t>
    </w:r>
    <w:r>
      <w:rPr>
        <w:rFonts w:ascii="宋体" w:hAnsi="宋体"/>
        <w:sz w:val="26"/>
        <w:szCs w:val="26"/>
      </w:rPr>
      <w:fldChar w:fldCharType="begin"/>
    </w:r>
    <w:r>
      <w:rPr>
        <w:rStyle w:val="18"/>
        <w:rFonts w:ascii="宋体" w:hAnsi="宋体"/>
        <w:sz w:val="26"/>
        <w:szCs w:val="26"/>
      </w:rPr>
      <w:instrText xml:space="preserve">PAGE  </w:instrText>
    </w:r>
    <w:r>
      <w:rPr>
        <w:rFonts w:ascii="宋体" w:hAnsi="宋体"/>
        <w:sz w:val="26"/>
        <w:szCs w:val="26"/>
      </w:rPr>
      <w:fldChar w:fldCharType="separate"/>
    </w:r>
    <w:r>
      <w:rPr>
        <w:rStyle w:val="18"/>
        <w:rFonts w:ascii="宋体" w:hAnsi="宋体"/>
        <w:sz w:val="26"/>
        <w:szCs w:val="26"/>
      </w:rPr>
      <w:t>60</w:t>
    </w:r>
    <w:r>
      <w:rPr>
        <w:rFonts w:ascii="宋体" w:hAnsi="宋体"/>
        <w:sz w:val="26"/>
        <w:szCs w:val="26"/>
      </w:rPr>
      <w:fldChar w:fldCharType="end"/>
    </w:r>
    <w:r>
      <w:rPr>
        <w:rStyle w:val="18"/>
        <w:rFonts w:hint="eastAsia" w:ascii="宋体" w:hAnsi="宋体"/>
        <w:sz w:val="20"/>
      </w:rPr>
      <w:t xml:space="preserve">  </w:t>
    </w:r>
    <w:r>
      <w:rPr>
        <w:rStyle w:val="18"/>
        <w:rFonts w:hint="eastAsia" w:ascii="宋体" w:hAnsi="宋体"/>
        <w:sz w:val="28"/>
        <w:szCs w:val="28"/>
      </w:rPr>
      <w:t>—</w:t>
    </w:r>
  </w:p>
  <w:p>
    <w:pPr>
      <w:pStyle w:val="10"/>
      <w:ind w:right="360"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framePr w:wrap="around" w:vAnchor="text" w:hAnchor="margin" w:xAlign="outside" w:y="1"/>
      <w:ind w:firstLine="560"/>
      <w:rPr>
        <w:rStyle w:val="18"/>
        <w:rFonts w:ascii="宋体" w:hAnsi="宋体"/>
        <w:sz w:val="28"/>
        <w:szCs w:val="28"/>
      </w:rPr>
    </w:pPr>
    <w:r>
      <w:rPr>
        <w:rStyle w:val="18"/>
        <w:rFonts w:hint="eastAsia" w:ascii="宋体" w:hAnsi="宋体"/>
        <w:sz w:val="28"/>
        <w:szCs w:val="28"/>
      </w:rPr>
      <w:t>—</w:t>
    </w:r>
    <w:r>
      <w:rPr>
        <w:rStyle w:val="18"/>
        <w:rFonts w:hint="eastAsia" w:ascii="宋体" w:hAnsi="宋体"/>
        <w:sz w:val="20"/>
      </w:rPr>
      <w:t xml:space="preserve">  </w:t>
    </w:r>
    <w:r>
      <w:rPr>
        <w:rFonts w:ascii="宋体" w:hAnsi="宋体"/>
        <w:sz w:val="26"/>
        <w:szCs w:val="26"/>
      </w:rPr>
      <w:fldChar w:fldCharType="begin"/>
    </w:r>
    <w:r>
      <w:rPr>
        <w:rStyle w:val="18"/>
        <w:rFonts w:ascii="宋体" w:hAnsi="宋体"/>
        <w:sz w:val="26"/>
        <w:szCs w:val="26"/>
      </w:rPr>
      <w:instrText xml:space="preserve">PAGE  </w:instrText>
    </w:r>
    <w:r>
      <w:rPr>
        <w:rFonts w:ascii="宋体" w:hAnsi="宋体"/>
        <w:sz w:val="26"/>
        <w:szCs w:val="26"/>
      </w:rPr>
      <w:fldChar w:fldCharType="separate"/>
    </w:r>
    <w:r>
      <w:rPr>
        <w:rStyle w:val="18"/>
        <w:rFonts w:ascii="宋体" w:hAnsi="宋体"/>
        <w:sz w:val="26"/>
        <w:szCs w:val="26"/>
      </w:rPr>
      <w:t>67</w:t>
    </w:r>
    <w:r>
      <w:rPr>
        <w:rFonts w:ascii="宋体" w:hAnsi="宋体"/>
        <w:sz w:val="26"/>
        <w:szCs w:val="26"/>
      </w:rPr>
      <w:fldChar w:fldCharType="end"/>
    </w:r>
    <w:r>
      <w:rPr>
        <w:rStyle w:val="18"/>
        <w:rFonts w:hint="eastAsia" w:ascii="宋体" w:hAnsi="宋体"/>
        <w:sz w:val="20"/>
      </w:rPr>
      <w:t xml:space="preserve">  </w:t>
    </w:r>
    <w:r>
      <w:rPr>
        <w:rStyle w:val="18"/>
        <w:rFonts w:hint="eastAsia" w:ascii="宋体" w:hAnsi="宋体"/>
        <w:sz w:val="28"/>
        <w:szCs w:val="28"/>
      </w:rPr>
      <w:t>—</w:t>
    </w:r>
  </w:p>
  <w:p>
    <w:pPr>
      <w:pStyle w:val="10"/>
      <w:ind w:right="360" w:firstLine="36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DD65C"/>
    <w:multiLevelType w:val="singleLevel"/>
    <w:tmpl w:val="ADEDD65C"/>
    <w:lvl w:ilvl="0" w:tentative="0">
      <w:start w:val="2"/>
      <w:numFmt w:val="decimal"/>
      <w:suff w:val="nothing"/>
      <w:lvlText w:val="%1、"/>
      <w:lvlJc w:val="left"/>
      <w:pPr>
        <w:ind w:left="-2"/>
      </w:pPr>
    </w:lvl>
  </w:abstractNum>
  <w:abstractNum w:abstractNumId="1">
    <w:nsid w:val="B65D0A4B"/>
    <w:multiLevelType w:val="singleLevel"/>
    <w:tmpl w:val="B65D0A4B"/>
    <w:lvl w:ilvl="0" w:tentative="0">
      <w:start w:val="3"/>
      <w:numFmt w:val="decimal"/>
      <w:suff w:val="nothing"/>
      <w:lvlText w:val="（%1）"/>
      <w:lvlJc w:val="left"/>
    </w:lvl>
  </w:abstractNum>
  <w:abstractNum w:abstractNumId="2">
    <w:nsid w:val="188746D6"/>
    <w:multiLevelType w:val="singleLevel"/>
    <w:tmpl w:val="188746D6"/>
    <w:lvl w:ilvl="0" w:tentative="0">
      <w:start w:val="2"/>
      <w:numFmt w:val="decimal"/>
      <w:suff w:val="nothing"/>
      <w:lvlText w:val="%1、"/>
      <w:lvlJc w:val="left"/>
    </w:lvl>
  </w:abstractNum>
  <w:abstractNum w:abstractNumId="3">
    <w:nsid w:val="3E2E8BEB"/>
    <w:multiLevelType w:val="singleLevel"/>
    <w:tmpl w:val="3E2E8BEB"/>
    <w:lvl w:ilvl="0" w:tentative="0">
      <w:start w:val="1"/>
      <w:numFmt w:val="decimal"/>
      <w:suff w:val="nothing"/>
      <w:lvlText w:val="（%1）"/>
      <w:lvlJc w:val="left"/>
      <w:pPr>
        <w:ind w:left="20"/>
      </w:pPr>
    </w:lvl>
  </w:abstractNum>
  <w:abstractNum w:abstractNumId="4">
    <w:nsid w:val="5BCD6D81"/>
    <w:multiLevelType w:val="singleLevel"/>
    <w:tmpl w:val="5BCD6D81"/>
    <w:lvl w:ilvl="0" w:tentative="0">
      <w:start w:val="1"/>
      <w:numFmt w:val="decimal"/>
      <w:suff w:val="nothing"/>
      <w:lvlText w:val="%1、"/>
      <w:lvlJc w:val="left"/>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8E0C60"/>
    <w:rsid w:val="028B7A92"/>
    <w:rsid w:val="02AB78A7"/>
    <w:rsid w:val="02DC5CB3"/>
    <w:rsid w:val="063C226C"/>
    <w:rsid w:val="07A64AE1"/>
    <w:rsid w:val="08123F24"/>
    <w:rsid w:val="09F47D86"/>
    <w:rsid w:val="0AB930EF"/>
    <w:rsid w:val="0D2A7A85"/>
    <w:rsid w:val="0D343FA1"/>
    <w:rsid w:val="14333BA0"/>
    <w:rsid w:val="14466618"/>
    <w:rsid w:val="14E31FE3"/>
    <w:rsid w:val="1B671722"/>
    <w:rsid w:val="1C99656B"/>
    <w:rsid w:val="21977F36"/>
    <w:rsid w:val="22D37EFA"/>
    <w:rsid w:val="2492221D"/>
    <w:rsid w:val="263A1B79"/>
    <w:rsid w:val="284B3D1D"/>
    <w:rsid w:val="2AA222B6"/>
    <w:rsid w:val="2B2D4A4E"/>
    <w:rsid w:val="342D0D9F"/>
    <w:rsid w:val="385E093C"/>
    <w:rsid w:val="38B46AD6"/>
    <w:rsid w:val="3AA36ADA"/>
    <w:rsid w:val="3EF773F5"/>
    <w:rsid w:val="43C65736"/>
    <w:rsid w:val="4C481290"/>
    <w:rsid w:val="50125E3D"/>
    <w:rsid w:val="52426781"/>
    <w:rsid w:val="5314649A"/>
    <w:rsid w:val="57D16070"/>
    <w:rsid w:val="58FF717A"/>
    <w:rsid w:val="598D4786"/>
    <w:rsid w:val="5A1E6FF4"/>
    <w:rsid w:val="5A5979C4"/>
    <w:rsid w:val="5B091065"/>
    <w:rsid w:val="5E6821A6"/>
    <w:rsid w:val="5EE66E12"/>
    <w:rsid w:val="5F124EC2"/>
    <w:rsid w:val="5FBE6D9F"/>
    <w:rsid w:val="5FE13E54"/>
    <w:rsid w:val="659E7582"/>
    <w:rsid w:val="674D5910"/>
    <w:rsid w:val="67D16185"/>
    <w:rsid w:val="68921DB9"/>
    <w:rsid w:val="68DD1DBF"/>
    <w:rsid w:val="71967F11"/>
    <w:rsid w:val="786723F5"/>
    <w:rsid w:val="7A332155"/>
    <w:rsid w:val="7BB37C24"/>
    <w:rsid w:val="7DBC118A"/>
    <w:rsid w:val="7E416F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4"/>
    <w:basedOn w:val="1"/>
    <w:next w:val="1"/>
    <w:qFormat/>
    <w:uiPriority w:val="0"/>
    <w:pPr>
      <w:keepNext/>
      <w:keepLines/>
      <w:spacing w:before="280" w:after="290" w:line="376" w:lineRule="auto"/>
      <w:outlineLvl w:val="3"/>
    </w:pPr>
    <w:rPr>
      <w:rFonts w:ascii="Calibri Light" w:hAnsi="Calibri Light"/>
      <w:b/>
      <w:bCs/>
      <w:sz w:val="28"/>
      <w:szCs w:val="28"/>
    </w:rPr>
  </w:style>
  <w:style w:type="character" w:default="1" w:styleId="17">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2">
    <w:name w:val="Block Text"/>
    <w:basedOn w:val="1"/>
    <w:next w:val="1"/>
    <w:qFormat/>
    <w:uiPriority w:val="0"/>
    <w:pPr>
      <w:autoSpaceDE w:val="0"/>
      <w:autoSpaceDN w:val="0"/>
      <w:adjustRightInd w:val="0"/>
      <w:spacing w:before="1" w:line="537" w:lineRule="exact"/>
      <w:ind w:left="88" w:right="6"/>
    </w:pPr>
    <w:rPr>
      <w:kern w:val="0"/>
    </w:rPr>
  </w:style>
  <w:style w:type="paragraph" w:styleId="5">
    <w:name w:val="Normal Indent"/>
    <w:basedOn w:val="1"/>
    <w:next w:val="1"/>
    <w:qFormat/>
    <w:uiPriority w:val="0"/>
    <w:pPr>
      <w:spacing w:line="520" w:lineRule="atLeast"/>
      <w:ind w:firstLine="200" w:firstLineChars="200"/>
    </w:pPr>
    <w:rPr>
      <w:sz w:val="28"/>
      <w:szCs w:val="21"/>
    </w:rPr>
  </w:style>
  <w:style w:type="paragraph" w:styleId="6">
    <w:name w:val="Body Text"/>
    <w:basedOn w:val="1"/>
    <w:next w:val="1"/>
    <w:qFormat/>
    <w:uiPriority w:val="0"/>
    <w:pPr>
      <w:widowControl/>
      <w:snapToGrid w:val="0"/>
      <w:spacing w:before="60" w:after="160" w:line="259" w:lineRule="auto"/>
      <w:ind w:right="113"/>
    </w:pPr>
    <w:rPr>
      <w:kern w:val="0"/>
      <w:sz w:val="18"/>
      <w:szCs w:val="20"/>
    </w:rPr>
  </w:style>
  <w:style w:type="paragraph" w:styleId="7">
    <w:name w:val="Body Text Indent"/>
    <w:basedOn w:val="1"/>
    <w:qFormat/>
    <w:uiPriority w:val="0"/>
    <w:pPr>
      <w:spacing w:after="120"/>
      <w:ind w:left="420" w:leftChars="200"/>
    </w:pPr>
    <w:rPr>
      <w:kern w:val="0"/>
      <w:szCs w:val="20"/>
    </w:rPr>
  </w:style>
  <w:style w:type="paragraph" w:styleId="8">
    <w:name w:val="Plain Text"/>
    <w:basedOn w:val="1"/>
    <w:qFormat/>
    <w:uiPriority w:val="0"/>
    <w:rPr>
      <w:rFonts w:ascii="宋体" w:hAnsi="Courier New"/>
      <w:sz w:val="21"/>
    </w:rPr>
  </w:style>
  <w:style w:type="paragraph" w:styleId="9">
    <w:name w:val="Body Text Indent 2"/>
    <w:basedOn w:val="1"/>
    <w:next w:val="1"/>
    <w:qFormat/>
    <w:uiPriority w:val="0"/>
    <w:pPr>
      <w:spacing w:line="360" w:lineRule="auto"/>
      <w:ind w:firstLine="456" w:firstLineChars="200"/>
      <w:jc w:val="left"/>
    </w:pPr>
    <w:rPr>
      <w:bCs/>
      <w:sz w:val="24"/>
    </w:rPr>
  </w:style>
  <w:style w:type="paragraph" w:styleId="10">
    <w:name w:val="footer"/>
    <w:basedOn w:val="1"/>
    <w:qFormat/>
    <w:uiPriority w:val="99"/>
    <w:pPr>
      <w:tabs>
        <w:tab w:val="center" w:pos="4153"/>
        <w:tab w:val="right" w:pos="8306"/>
      </w:tabs>
      <w:snapToGrid w:val="0"/>
      <w:jc w:val="left"/>
    </w:pPr>
    <w:rPr>
      <w:kern w:val="0"/>
      <w:sz w:val="18"/>
      <w:szCs w:val="20"/>
    </w:rPr>
  </w:style>
  <w:style w:type="paragraph" w:styleId="11">
    <w:name w:val="header"/>
    <w:basedOn w:val="1"/>
    <w:qFormat/>
    <w:uiPriority w:val="0"/>
    <w:pPr>
      <w:pBdr>
        <w:bottom w:val="single" w:color="auto" w:sz="6" w:space="1"/>
      </w:pBdr>
      <w:tabs>
        <w:tab w:val="center" w:pos="4153"/>
        <w:tab w:val="right" w:pos="8306"/>
      </w:tabs>
      <w:snapToGrid w:val="0"/>
      <w:jc w:val="center"/>
    </w:pPr>
    <w:rPr>
      <w:kern w:val="0"/>
      <w:sz w:val="18"/>
      <w:szCs w:val="20"/>
    </w:rPr>
  </w:style>
  <w:style w:type="paragraph" w:styleId="12">
    <w:name w:val="Normal (Web)"/>
    <w:basedOn w:val="1"/>
    <w:qFormat/>
    <w:uiPriority w:val="0"/>
    <w:pPr>
      <w:widowControl/>
      <w:spacing w:before="100" w:beforeAutospacing="1" w:after="100" w:afterAutospacing="1"/>
      <w:jc w:val="left"/>
    </w:pPr>
    <w:rPr>
      <w:rFonts w:ascii="宋体" w:hAnsi="宋体"/>
      <w:kern w:val="0"/>
      <w:szCs w:val="20"/>
    </w:rPr>
  </w:style>
  <w:style w:type="paragraph" w:styleId="13">
    <w:name w:val="Body Text First Indent"/>
    <w:basedOn w:val="6"/>
    <w:next w:val="1"/>
    <w:qFormat/>
    <w:uiPriority w:val="0"/>
    <w:pPr>
      <w:spacing w:after="120" w:line="240" w:lineRule="auto"/>
      <w:ind w:firstLine="420" w:firstLineChars="100"/>
    </w:pPr>
    <w:rPr>
      <w:sz w:val="21"/>
    </w:rPr>
  </w:style>
  <w:style w:type="paragraph" w:styleId="14">
    <w:name w:val="Body Text First Indent 2"/>
    <w:basedOn w:val="1"/>
    <w:next w:val="1"/>
    <w:qFormat/>
    <w:uiPriority w:val="0"/>
    <w:pPr>
      <w:spacing w:after="120" w:line="240" w:lineRule="auto"/>
      <w:ind w:left="420" w:leftChars="200" w:firstLine="420"/>
    </w:pPr>
    <w:rPr>
      <w:sz w:val="28"/>
    </w:rPr>
  </w:style>
  <w:style w:type="table" w:styleId="16">
    <w:name w:val="Table Grid"/>
    <w:basedOn w:val="15"/>
    <w:qFormat/>
    <w:uiPriority w:val="0"/>
    <w:rPr>
      <w:lang w:val="en-US" w:eastAsia="zh-CN" w:bidi="ar-SA"/>
    </w:rPr>
    <w:tblPr>
      <w:tblBorders>
        <w:top w:val="single" w:color="auto" w:sz="12" w:space="0"/>
        <w:bottom w:val="single" w:color="auto" w:sz="12" w:space="0"/>
        <w:insideH w:val="single" w:color="auto" w:sz="6" w:space="0"/>
        <w:insideV w:val="single" w:color="auto" w:sz="6" w:space="0"/>
      </w:tblBorders>
    </w:tblPr>
  </w:style>
  <w:style w:type="character" w:styleId="18">
    <w:name w:val="page number"/>
    <w:basedOn w:val="17"/>
    <w:qFormat/>
    <w:uiPriority w:val="0"/>
  </w:style>
  <w:style w:type="character" w:styleId="19">
    <w:name w:val="Hyperlink"/>
    <w:basedOn w:val="17"/>
    <w:qFormat/>
    <w:uiPriority w:val="0"/>
    <w:rPr>
      <w:color w:val="0000FF"/>
      <w:u w:val="single"/>
    </w:rPr>
  </w:style>
  <w:style w:type="paragraph" w:customStyle="1" w:styleId="20">
    <w:name w:val="Table Paragraph"/>
    <w:basedOn w:val="1"/>
    <w:qFormat/>
    <w:uiPriority w:val="1"/>
    <w:pPr>
      <w:autoSpaceDE w:val="0"/>
      <w:autoSpaceDN w:val="0"/>
      <w:adjustRightInd w:val="0"/>
      <w:spacing w:line="240" w:lineRule="auto"/>
      <w:ind w:firstLine="0" w:firstLineChars="0"/>
      <w:jc w:val="left"/>
    </w:pPr>
    <w:rPr>
      <w:rFonts w:ascii="Calibri" w:hAnsi="Calibri"/>
      <w:kern w:val="0"/>
    </w:rPr>
  </w:style>
  <w:style w:type="paragraph" w:customStyle="1" w:styleId="21">
    <w:name w:val="表内字"/>
    <w:basedOn w:val="1"/>
    <w:qFormat/>
    <w:uiPriority w:val="0"/>
    <w:pPr>
      <w:spacing w:line="360" w:lineRule="exact"/>
      <w:ind w:firstLine="0" w:firstLineChars="0"/>
      <w:jc w:val="center"/>
    </w:pPr>
    <w:rPr>
      <w:sz w:val="21"/>
    </w:rPr>
  </w:style>
  <w:style w:type="paragraph" w:customStyle="1" w:styleId="22">
    <w:name w:val="表头"/>
    <w:basedOn w:val="1"/>
    <w:qFormat/>
    <w:uiPriority w:val="0"/>
    <w:pPr>
      <w:spacing w:line="360" w:lineRule="auto"/>
      <w:jc w:val="center"/>
    </w:pPr>
    <w:rPr>
      <w:rFonts w:ascii="黑体" w:hAnsi="黑体" w:eastAsia="黑体"/>
    </w:rPr>
  </w:style>
  <w:style w:type="paragraph" w:customStyle="1" w:styleId="23">
    <w:name w:val="我的表格内容"/>
    <w:basedOn w:val="1"/>
    <w:qFormat/>
    <w:uiPriority w:val="0"/>
    <w:pPr>
      <w:spacing w:line="280" w:lineRule="exact"/>
      <w:ind w:firstLine="0" w:firstLineChars="0"/>
      <w:jc w:val="center"/>
    </w:pPr>
    <w:rPr>
      <w:sz w:val="21"/>
    </w:rPr>
  </w:style>
  <w:style w:type="paragraph" w:customStyle="1" w:styleId="24">
    <w:name w:val="表格2"/>
    <w:basedOn w:val="1"/>
    <w:qFormat/>
    <w:uiPriority w:val="0"/>
    <w:pPr>
      <w:spacing w:line="320" w:lineRule="exact"/>
      <w:ind w:firstLine="0" w:firstLineChars="0"/>
      <w:jc w:val="center"/>
    </w:pPr>
    <w:rPr>
      <w:szCs w:val="20"/>
    </w:rPr>
  </w:style>
  <w:style w:type="paragraph" w:customStyle="1" w:styleId="25">
    <w:name w:val="表格、图标文字"/>
    <w:basedOn w:val="1"/>
    <w:qFormat/>
    <w:uiPriority w:val="0"/>
    <w:pPr>
      <w:adjustRightInd w:val="0"/>
      <w:snapToGrid w:val="0"/>
      <w:spacing w:line="360" w:lineRule="exact"/>
      <w:ind w:firstLine="0" w:firstLineChars="0"/>
      <w:jc w:val="center"/>
    </w:pPr>
    <w:rPr>
      <w:sz w:val="21"/>
    </w:rPr>
  </w:style>
  <w:style w:type="paragraph" w:customStyle="1" w:styleId="26">
    <w:name w:val="表格"/>
    <w:basedOn w:val="1"/>
    <w:next w:val="1"/>
    <w:qFormat/>
    <w:uiPriority w:val="0"/>
    <w:pPr>
      <w:adjustRightInd w:val="0"/>
      <w:snapToGrid w:val="0"/>
      <w:spacing w:beforeLines="10" w:afterLines="10" w:line="259" w:lineRule="auto"/>
      <w:jc w:val="center"/>
    </w:pPr>
    <w:rPr>
      <w:rFonts w:ascii="宋体"/>
      <w:kern w:val="0"/>
      <w:sz w:val="21"/>
      <w:szCs w:val="20"/>
    </w:rPr>
  </w:style>
  <w:style w:type="table" w:customStyle="1" w:styleId="27">
    <w:name w:val="Table Normal"/>
    <w:semiHidden/>
    <w:unhideWhenUsed/>
    <w:qFormat/>
    <w:uiPriority w:val="0"/>
    <w:tblPr>
      <w:tblCellMar>
        <w:top w:w="0" w:type="dxa"/>
        <w:left w:w="0" w:type="dxa"/>
        <w:bottom w:w="0" w:type="dxa"/>
        <w:right w:w="0" w:type="dxa"/>
      </w:tblCellMar>
    </w:tblPr>
  </w:style>
  <w:style w:type="paragraph" w:customStyle="1" w:styleId="28">
    <w:name w:val="表格内容"/>
    <w:qFormat/>
    <w:uiPriority w:val="0"/>
    <w:pPr>
      <w:jc w:val="center"/>
    </w:pPr>
    <w:rPr>
      <w:rFonts w:ascii="Times New Roman" w:hAnsi="Times New Roman" w:eastAsia="宋体" w:cs="Times New Roman"/>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image" Target="media/image6.png"/><Relationship Id="rId18" Type="http://schemas.openxmlformats.org/officeDocument/2006/relationships/image" Target="media/image5.png"/><Relationship Id="rId17" Type="http://schemas.openxmlformats.org/officeDocument/2006/relationships/image" Target="media/image4.png"/><Relationship Id="rId16" Type="http://schemas.openxmlformats.org/officeDocument/2006/relationships/image" Target="media/image3.png"/><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2022-01-20T01:46:00Z</dcterms:created>
  <dc:creator>Administrator</dc:creator>
  <cp:lastModifiedBy>小兵</cp:lastModifiedBy>
  <dcterms:modified xsi:type="dcterms:W3CDTF">2022-01-27T04:31:18Z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7B33268853124DF38037BAA658B4C63A</vt:lpwstr>
  </property>
</Properties>
</file>