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760" w:lineRule="exact"/>
        <w:ind w:firstLine="640" w:firstLineChars="200"/>
        <w:jc w:val="right"/>
        <w:textAlignment w:val="auto"/>
        <w:outlineLvl w:val="9"/>
        <w:rPr>
          <w:rFonts w:hint="default" w:ascii="Times New Roman" w:hAnsi="Times New Roman" w:eastAsia="仿宋" w:cs="Times New Roman"/>
          <w:color w:val="262626"/>
          <w:kern w:val="0"/>
          <w:szCs w:val="32"/>
        </w:rPr>
      </w:pPr>
    </w:p>
    <w:p>
      <w:pPr>
        <w:widowControl/>
        <w:spacing w:line="760" w:lineRule="exact"/>
        <w:ind w:firstLine="640" w:firstLineChars="200"/>
        <w:jc w:val="right"/>
        <w:rPr>
          <w:rFonts w:hint="default" w:ascii="Times New Roman" w:hAnsi="Times New Roman" w:eastAsia="仿宋" w:cs="Times New Roman"/>
          <w:color w:val="262626"/>
          <w:kern w:val="0"/>
          <w:szCs w:val="32"/>
        </w:rPr>
      </w:pPr>
    </w:p>
    <w:p>
      <w:pPr>
        <w:widowControl/>
        <w:spacing w:line="760" w:lineRule="exact"/>
        <w:ind w:firstLine="640" w:firstLineChars="200"/>
        <w:jc w:val="right"/>
        <w:rPr>
          <w:rFonts w:hint="default" w:ascii="Times New Roman" w:hAnsi="Times New Roman" w:eastAsia="仿宋" w:cs="Times New Roman"/>
          <w:color w:val="262626"/>
          <w:kern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00" w:lineRule="exact"/>
        <w:ind w:firstLine="640" w:firstLineChars="200"/>
        <w:jc w:val="right"/>
        <w:textAlignment w:val="auto"/>
        <w:rPr>
          <w:rFonts w:hint="default" w:ascii="Times New Roman" w:hAnsi="Times New Roman" w:cs="Times New Roman"/>
          <w:color w:val="auto"/>
          <w:kern w:val="0"/>
          <w:szCs w:val="32"/>
        </w:rPr>
      </w:pPr>
      <w:r>
        <w:rPr>
          <w:rFonts w:hint="default" w:ascii="Times New Roman" w:hAnsi="Times New Roman" w:cs="Times New Roman"/>
          <w:color w:val="auto"/>
          <w:kern w:val="0"/>
          <w:szCs w:val="32"/>
        </w:rPr>
        <w:t>济环审〔202</w:t>
      </w:r>
      <w:r>
        <w:rPr>
          <w:rFonts w:hint="default" w:ascii="Times New Roman" w:hAnsi="Times New Roman" w:cs="Times New Roman"/>
          <w:color w:val="auto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kern w:val="0"/>
          <w:szCs w:val="32"/>
        </w:rPr>
        <w:t>〕</w:t>
      </w:r>
      <w:r>
        <w:rPr>
          <w:rFonts w:hint="eastAsia" w:ascii="Times New Roman" w:hAnsi="Times New Roman" w:cs="Times New Roman"/>
          <w:color w:val="auto"/>
          <w:kern w:val="0"/>
          <w:szCs w:val="32"/>
          <w:lang w:val="en-US" w:eastAsia="zh-CN"/>
        </w:rPr>
        <w:t>18</w:t>
      </w:r>
      <w:r>
        <w:rPr>
          <w:rFonts w:hint="default" w:ascii="Times New Roman" w:hAnsi="Times New Roman" w:cs="Times New Roman"/>
          <w:color w:val="auto"/>
          <w:kern w:val="0"/>
          <w:szCs w:val="32"/>
        </w:rPr>
        <w:t>号</w:t>
      </w:r>
    </w:p>
    <w:p>
      <w:pPr>
        <w:widowControl/>
        <w:spacing w:line="460" w:lineRule="exact"/>
        <w:ind w:firstLine="640" w:firstLineChars="200"/>
        <w:jc w:val="right"/>
        <w:rPr>
          <w:rFonts w:hint="default" w:ascii="Times New Roman" w:hAnsi="Times New Roman" w:cs="Times New Roman"/>
          <w:color w:val="262626"/>
          <w:kern w:val="0"/>
          <w:szCs w:val="32"/>
        </w:rPr>
      </w:pPr>
    </w:p>
    <w:p>
      <w:pPr>
        <w:widowControl/>
        <w:spacing w:line="660" w:lineRule="exact"/>
        <w:jc w:val="center"/>
        <w:rPr>
          <w:rFonts w:hint="default" w:ascii="Times New Roman" w:hAnsi="Times New Roman" w:eastAsia="华文中宋" w:cs="Times New Roman"/>
          <w:b w:val="0"/>
          <w:bCs w:val="0"/>
          <w:color w:val="262626"/>
          <w:kern w:val="0"/>
          <w:sz w:val="44"/>
          <w:szCs w:val="44"/>
          <w:lang w:val="en" w:eastAsia="zh-CN" w:bidi="ar-SA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262626"/>
          <w:kern w:val="0"/>
          <w:sz w:val="44"/>
          <w:szCs w:val="44"/>
          <w:lang w:val="en" w:eastAsia="zh-CN" w:bidi="ar-SA"/>
        </w:rPr>
        <w:t>济源市生态环境局</w:t>
      </w:r>
    </w:p>
    <w:p>
      <w:pPr>
        <w:widowControl/>
        <w:spacing w:line="660" w:lineRule="exact"/>
        <w:jc w:val="center"/>
        <w:rPr>
          <w:rFonts w:hint="default" w:ascii="Times New Roman" w:hAnsi="Times New Roman" w:eastAsia="华文中宋" w:cs="Times New Roman"/>
          <w:b w:val="0"/>
          <w:bCs w:val="0"/>
          <w:color w:val="262626"/>
          <w:kern w:val="0"/>
          <w:sz w:val="44"/>
          <w:szCs w:val="44"/>
          <w:lang w:val="en" w:eastAsia="zh-CN" w:bidi="ar-SA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262626"/>
          <w:kern w:val="0"/>
          <w:sz w:val="44"/>
          <w:szCs w:val="44"/>
          <w:lang w:val="en" w:eastAsia="zh-CN" w:bidi="ar-SA"/>
        </w:rPr>
        <w:t>关于河南龙兴钛业科技股份有限公司</w:t>
      </w:r>
    </w:p>
    <w:p>
      <w:pPr>
        <w:widowControl/>
        <w:spacing w:line="660" w:lineRule="exact"/>
        <w:jc w:val="center"/>
        <w:rPr>
          <w:rFonts w:hint="default" w:ascii="Times New Roman" w:hAnsi="Times New Roman" w:eastAsia="华文中宋" w:cs="Times New Roman"/>
          <w:color w:val="262626"/>
          <w:kern w:val="0"/>
          <w:sz w:val="44"/>
          <w:szCs w:val="44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262626"/>
          <w:kern w:val="0"/>
          <w:sz w:val="44"/>
          <w:szCs w:val="44"/>
          <w:lang w:val="en" w:eastAsia="zh-CN" w:bidi="ar-SA"/>
        </w:rPr>
        <w:t>济源纳米材料分公司200t/a纳米新材料中试</w:t>
      </w:r>
      <w:r>
        <w:rPr>
          <w:rFonts w:hint="eastAsia" w:ascii="Times New Roman" w:hAnsi="Times New Roman" w:eastAsia="华文中宋" w:cs="Times New Roman"/>
          <w:b w:val="0"/>
          <w:bCs w:val="0"/>
          <w:color w:val="262626"/>
          <w:kern w:val="0"/>
          <w:sz w:val="44"/>
          <w:szCs w:val="44"/>
          <w:lang w:val="en-US" w:eastAsia="zh-CN" w:bidi="ar-SA"/>
        </w:rPr>
        <w:t>项目</w:t>
      </w:r>
      <w:r>
        <w:rPr>
          <w:rFonts w:hint="default" w:ascii="Times New Roman" w:hAnsi="Times New Roman" w:eastAsia="华文中宋" w:cs="Times New Roman"/>
          <w:b w:val="0"/>
          <w:bCs w:val="0"/>
          <w:color w:val="262626"/>
          <w:kern w:val="0"/>
          <w:sz w:val="44"/>
          <w:szCs w:val="44"/>
          <w:lang w:val="en-US" w:eastAsia="zh-CN" w:bidi="ar-SA"/>
        </w:rPr>
        <w:t>环境影响报告书</w:t>
      </w:r>
      <w:r>
        <w:rPr>
          <w:rFonts w:hint="default" w:ascii="Times New Roman" w:hAnsi="Times New Roman" w:eastAsia="华文中宋" w:cs="Times New Roman"/>
          <w:b w:val="0"/>
          <w:bCs w:val="0"/>
          <w:color w:val="262626"/>
          <w:kern w:val="0"/>
          <w:sz w:val="44"/>
          <w:szCs w:val="44"/>
          <w:lang w:val="en" w:eastAsia="zh-CN" w:bidi="ar-SA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河南龙兴钛业科技股份有限公司济源纳米材料分公司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你单位（统一社会信用代码：91419001MA9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MQAA652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报送的由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博兰森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环保科技有限公司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李欣</w:t>
      </w:r>
      <w:r>
        <w:rPr>
          <w:rFonts w:hint="eastAsia" w:ascii="仿宋_GB2312" w:hAnsi="仿宋_GB2312" w:eastAsia="仿宋_GB2312" w:cs="仿宋_GB2312"/>
          <w:sz w:val="32"/>
          <w:szCs w:val="32"/>
        </w:rPr>
        <w:t>主持编制的《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河南龙兴钛业科技股份有限公司济源纳米材料分公司200t/a纳米新材料中试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项目环境影响报告书》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（以下简称《报告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）及行政审批申请等资料收悉，项目环评审批事项已在我局网站公示期满。根据《中华人民共和国环境保护法》《中华人民共和国行政许可法》《中华人民共和国环境影响评价法》《建设项目环境保护管理条例》等法律法规规定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济源市五龙口化工产业园区纳米材料初创孵化园</w:t>
      </w:r>
      <w:r>
        <w:rPr>
          <w:rFonts w:hint="eastAsia" w:ascii="仿宋_GB2312" w:hAnsi="仿宋_GB2312" w:eastAsia="仿宋_GB2312" w:cs="仿宋_GB2312"/>
          <w:sz w:val="32"/>
          <w:szCs w:val="32"/>
        </w:rPr>
        <w:t>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租用园区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厂房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建设200t/a纳米新材料中试项目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包括100t/a纳米钛溶胶中试生产线和100t/a大比表纳米二氧化钛中试生产线，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主要是将前期实验成果转化，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并对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原料比例、工艺时间等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工艺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参数</w:t>
      </w:r>
      <w:r>
        <w:rPr>
          <w:rFonts w:hint="eastAsia" w:ascii="Times New Roman" w:hAnsi="Times New Roman"/>
          <w:sz w:val="30"/>
          <w:szCs w:val="30"/>
          <w:lang w:val="en-US" w:eastAsia="zh-CN"/>
        </w:rPr>
        <w:t>进行进一步试验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米钛溶胶生产工艺以四氯化钛水溶液、氨水、纯水和络合剂（双氧水）为原料，采用溶胶凝胶水热法生产工艺，生产纳米钛溶胶产品；大比表纳米二氧化钛生产工艺为以大比表纳米二氧化钛滤饼为原料，经煅烧、粉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包装，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生产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大比表纳米二氧化钛。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《报告书》内容符合国家有关法律法规要求和建设项目环境管理规定，评价结论可信。我局批准该《报告书》，原则同意你公司按照《报告书》所列项目的性质、规模、地点及环境保护对策措施等内容进行建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你单位应向社会公众主动公开已经批准的《报告书》，接受相关方的垂询。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、你单位应全面落实《报告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》提出的各项环境保护措施，各项环境保护设施与主体工程同时设计、同时施工、同时投入使用，确保各项污染物达标排放。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（一）向设计单位提供《报告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》和本批复文件，确保项目设计按照环境保护设计规范要求，落实防治环境污染和生态破坏的措施。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依据《报告书》和本批复文件，对项目建设过程中产生的废水、废气、固体废物、噪声等污染，采取相应的措施，做好扬尘防治工作。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项目运行时，外排污染物应满足如下要求：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.废气：项目应采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取合理措施，加强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储存、制备、合成、压滤洗涤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各工序废气的收集和处理，减少生产过程中的无组织废气排放。各类废气经处理后须满足《无机化学工业污染物排放标准》（GB31573-2015）。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废水。项目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生活污水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依托园区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化粪池处理后经管网进入济源市第二污水处理厂处理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；反应釜底部浓液、压滤废水、水吸收系统定期排水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碱液喷淋系统定期排水经双效蒸发后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产物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作为副产品外售，冷凝水回用于生产和冷却循环系统补水。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3.噪声。厂界噪声满足《工业企业厂界环境噪声排放标准》（GB12348-2008）</w:t>
      </w:r>
      <w:r>
        <w:rPr>
          <w:rFonts w:hint="eastAsia" w:ascii="仿宋_GB2312" w:hAnsi="仿宋_GB2312" w:eastAsia="仿宋_GB2312" w:cs="仿宋_GB2312"/>
          <w:sz w:val="32"/>
          <w:szCs w:val="32"/>
        </w:rPr>
        <w:t>3类要求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.固废。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严格落实《报告书》要求，加强固体废物的管理，一般固废贮存应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按照《一般工业固体废物贮存和填埋污染控制标准》（GB18599-2020）要求采取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防渗漏、防雨淋、防扬尘等环境保护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措施，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如实记录管理台账，避免对环境造成二次污染。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（四）严格落实《报告书》中的地下水、土壤污染防治措施及环境风险防范措施，制定环境风险应急预案，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严防环境污染事故发生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五、严格落实《报告书》中的各项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《济源示范区涉颗粒物、锅炉/炉窑和涉VOCs通用行业绩效分级指标体系（试行）》济管环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〔2023〕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文件中A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级企业绩效指标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进行建设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按国家有关规定设置规范的污染物排放口，并设立明显标志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按要求安装用电监管设备并与生态环境主管部门的监控设备联网。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严格落实《报告书》相关环境监测计划，定期对各类污染物进行监测，发布相关信息，发现问题及时采取整改措施。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执行环保“三同时”制度，按要求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排污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许可证，按规定程序实施竣工环境保护验收，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经验收合格后方可正式投产。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严格落实总量控制要求。该项目建成实施后新增颗粒物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0.044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吨/年、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COD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0196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吨/年、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氨氮0.001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吨/年。大气污染物总量指标从济源示范区“十四五”期间减排工程大气污染物削减量结余量中双倍替代。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水污染物总量指标</w:t>
      </w:r>
      <w:r>
        <w:rPr>
          <w:rFonts w:hint="default" w:ascii="仿宋_GB2312" w:hAnsi="仿宋_GB2312" w:cs="仿宋_GB2312"/>
          <w:sz w:val="32"/>
          <w:szCs w:val="32"/>
          <w:lang w:val="en-US" w:eastAsia="zh-CN"/>
        </w:rPr>
        <w:t>从2021年济源</w:t>
      </w:r>
      <w:r>
        <w:rPr>
          <w:rFonts w:hint="default" w:ascii="宋体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第二污水厂提标改造减排</w:t>
      </w:r>
      <w:r>
        <w:rPr>
          <w:rFonts w:hint="eastAsia" w:ascii="宋体" w:hAnsi="宋体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量剩余量</w:t>
      </w:r>
      <w:r>
        <w:rPr>
          <w:rFonts w:hint="default" w:ascii="宋体" w:hAnsi="宋体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中</w:t>
      </w:r>
      <w:r>
        <w:rPr>
          <w:rFonts w:hint="eastAsia" w:cs="仿宋_GB2312"/>
          <w:bCs/>
          <w:color w:val="000000"/>
          <w:sz w:val="32"/>
          <w:szCs w:val="32"/>
          <w:highlight w:val="none"/>
          <w:lang w:val="en-US" w:eastAsia="zh-CN"/>
        </w:rPr>
        <w:t>等量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替代。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批复有效期为5年，如该项目逾期方开工建设，其环境影响报告书应报我局重新审核。项目的性质、规模、地点、采用的生产工艺或者防治污染、防止生态破坏的措施发生重大变动的，应当重新报批建设项目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、如果今后国家或我省颁布严于本批复污染物排放限值的新标准，届时你公司应按新的排放标准执行。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</w:pP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color w:val="FF0000"/>
          <w:szCs w:val="32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default" w:ascii="Times New Roman" w:hAnsi="Times New Roman" w:cs="Times New Roman"/>
          <w:color w:val="FF0000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D9D8E"/>
    <w:multiLevelType w:val="singleLevel"/>
    <w:tmpl w:val="6EFD9D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ZjIwOWU0OWY2MmM5NjZmMjQ5YzgzY2Y2NjIyNGEifQ=="/>
  </w:docVars>
  <w:rsids>
    <w:rsidRoot w:val="5A4E3EC3"/>
    <w:rsid w:val="012A5979"/>
    <w:rsid w:val="06896151"/>
    <w:rsid w:val="0FFF524B"/>
    <w:rsid w:val="10C83B7F"/>
    <w:rsid w:val="22FE0F54"/>
    <w:rsid w:val="26CF2112"/>
    <w:rsid w:val="3A5C70FE"/>
    <w:rsid w:val="3F0D3665"/>
    <w:rsid w:val="3FA532F5"/>
    <w:rsid w:val="421E1317"/>
    <w:rsid w:val="46C85F3F"/>
    <w:rsid w:val="533607AE"/>
    <w:rsid w:val="5A4E3EC3"/>
    <w:rsid w:val="5E594A79"/>
    <w:rsid w:val="6CAE0162"/>
    <w:rsid w:val="79F85A62"/>
    <w:rsid w:val="79FD5850"/>
    <w:rsid w:val="7F343772"/>
    <w:rsid w:val="7FBFC90E"/>
    <w:rsid w:val="7FED419B"/>
    <w:rsid w:val="E6FC7E68"/>
    <w:rsid w:val="F3516DC5"/>
    <w:rsid w:val="FF65E050"/>
    <w:rsid w:val="FFD5878B"/>
    <w:rsid w:val="FFF4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djustRightInd w:val="0"/>
      <w:snapToGrid w:val="0"/>
      <w:spacing w:before="50" w:beforeLines="50" w:after="50" w:afterLines="50"/>
      <w:jc w:val="center"/>
    </w:pPr>
    <w:rPr>
      <w:rFonts w:ascii="仿宋_GB2312" w:eastAsia="仿宋_GB2312"/>
      <w:b/>
      <w:sz w:val="28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  <w:ind w:left="-50" w:leftChars="-50" w:right="-50" w:rightChars="-50"/>
      <w:jc w:val="center"/>
    </w:pPr>
    <w:rPr>
      <w:rFonts w:ascii="宋体" w:hAnsi="Times New Roman" w:eastAsia="宋体" w:cs="Times New Roman"/>
      <w:lang w:val="en-US" w:eastAsia="zh-CN" w:bidi="ar-SA"/>
    </w:r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Body Text First Indent 2"/>
    <w:basedOn w:val="1"/>
    <w:next w:val="1"/>
    <w:qFormat/>
    <w:uiPriority w:val="0"/>
    <w:pPr>
      <w:adjustRightInd w:val="0"/>
      <w:snapToGrid w:val="0"/>
      <w:spacing w:before="10" w:beforeLines="10" w:after="120" w:line="460" w:lineRule="exact"/>
      <w:ind w:left="420" w:leftChars="200" w:firstLine="420" w:firstLineChars="200"/>
    </w:pPr>
    <w:rPr>
      <w:spacing w:val="0"/>
      <w:kern w:val="0"/>
    </w:rPr>
  </w:style>
  <w:style w:type="character" w:styleId="9">
    <w:name w:val="Emphasis"/>
    <w:basedOn w:val="8"/>
    <w:qFormat/>
    <w:uiPriority w:val="0"/>
    <w:rPr>
      <w:i/>
    </w:rPr>
  </w:style>
  <w:style w:type="paragraph" w:customStyle="1" w:styleId="10">
    <w:name w:val="表内文字"/>
    <w:basedOn w:val="1"/>
    <w:qFormat/>
    <w:uiPriority w:val="0"/>
    <w:pPr>
      <w:spacing w:line="28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1769</Words>
  <Characters>1889</Characters>
  <Lines>0</Lines>
  <Paragraphs>0</Paragraphs>
  <TotalTime>21</TotalTime>
  <ScaleCrop>false</ScaleCrop>
  <LinksUpToDate>false</LinksUpToDate>
  <CharactersWithSpaces>1902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2023-07-22T23:27:00Z</dcterms:created>
  <dc:creator>流光</dc:creator>
  <cp:lastModifiedBy>greatwall</cp:lastModifiedBy>
  <cp:lastPrinted>2023-11-06T16:29:00Z</cp:lastPrinted>
  <dcterms:modified xsi:type="dcterms:W3CDTF">2023-11-13T08:31:32Z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B6681DDC6AC242C38C99DD9AA9E4BC20</vt:lpwstr>
  </property>
</Properties>
</file>