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41B4E">
      <w:pPr>
        <w:spacing w:line="560" w:lineRule="exact"/>
        <w:ind w:firstLine="640" w:firstLineChars="200"/>
        <w:rPr>
          <w:rFonts w:ascii="仿宋_GB2312" w:hAnsi="仿宋_GB2312" w:cs="仿宋_GB2312"/>
          <w:szCs w:val="32"/>
        </w:rPr>
      </w:pPr>
    </w:p>
    <w:p w14:paraId="7451376A">
      <w:pPr>
        <w:spacing w:line="560" w:lineRule="exact"/>
        <w:ind w:firstLine="640" w:firstLineChars="200"/>
        <w:rPr>
          <w:rFonts w:ascii="仿宋_GB2312" w:hAnsi="仿宋_GB2312" w:cs="仿宋_GB2312"/>
          <w:szCs w:val="32"/>
        </w:rPr>
      </w:pPr>
    </w:p>
    <w:p w14:paraId="3A340BE0">
      <w:pPr>
        <w:spacing w:line="560" w:lineRule="exact"/>
        <w:ind w:firstLine="640" w:firstLineChars="200"/>
        <w:rPr>
          <w:rFonts w:ascii="仿宋_GB2312" w:hAnsi="仿宋_GB2312" w:cs="仿宋_GB2312"/>
          <w:szCs w:val="32"/>
        </w:rPr>
      </w:pPr>
    </w:p>
    <w:p w14:paraId="014E7344">
      <w:pPr>
        <w:spacing w:line="560" w:lineRule="exact"/>
        <w:ind w:firstLine="640" w:firstLineChars="200"/>
        <w:rPr>
          <w:rFonts w:ascii="仿宋_GB2312" w:hAnsi="仿宋_GB2312" w:cs="仿宋_GB2312"/>
          <w:szCs w:val="32"/>
        </w:rPr>
      </w:pPr>
    </w:p>
    <w:p w14:paraId="5273B642">
      <w:pPr>
        <w:spacing w:line="560" w:lineRule="exact"/>
        <w:ind w:firstLine="640" w:firstLineChars="200"/>
        <w:rPr>
          <w:rFonts w:ascii="仿宋_GB2312" w:hAnsi="仿宋_GB2312" w:cs="仿宋_GB2312"/>
          <w:szCs w:val="32"/>
        </w:rPr>
      </w:pPr>
    </w:p>
    <w:p w14:paraId="39ACE23C">
      <w:pPr>
        <w:spacing w:before="156" w:beforeLines="50" w:line="560" w:lineRule="exact"/>
        <w:jc w:val="right"/>
        <w:rPr>
          <w:rFonts w:ascii="仿宋_GB2312" w:hAnsi="仿宋_GB2312" w:cs="仿宋_GB2312"/>
          <w:szCs w:val="32"/>
        </w:rPr>
      </w:pPr>
      <w:r>
        <w:rPr>
          <w:rFonts w:ascii="仿宋_GB2312" w:hAnsi="仿宋_GB2312" w:cs="仿宋_GB2312"/>
          <w:szCs w:val="32"/>
        </w:rPr>
        <w:t>济环审〔2024</w:t>
      </w:r>
      <w:r>
        <w:rPr>
          <w:rFonts w:ascii="仿宋_GB2312" w:hAnsi="仿宋_GB2312" w:cs="仿宋_GB2312"/>
          <w:szCs w:val="32"/>
          <w:highlight w:val="none"/>
        </w:rPr>
        <w:t>〕</w:t>
      </w:r>
      <w:r>
        <w:rPr>
          <w:rFonts w:hint="eastAsia" w:ascii="仿宋_GB2312" w:hAnsi="仿宋_GB2312" w:cs="仿宋_GB2312"/>
          <w:szCs w:val="32"/>
          <w:highlight w:val="none"/>
          <w:lang w:val="en-US" w:eastAsia="zh-CN"/>
        </w:rPr>
        <w:t>19</w:t>
      </w:r>
      <w:r>
        <w:rPr>
          <w:rFonts w:ascii="仿宋_GB2312" w:hAnsi="仿宋_GB2312" w:cs="仿宋_GB2312"/>
          <w:szCs w:val="32"/>
          <w:highlight w:val="none"/>
        </w:rPr>
        <w:t>号</w:t>
      </w:r>
    </w:p>
    <w:p w14:paraId="726ADB5A">
      <w:pPr>
        <w:widowControl/>
        <w:spacing w:line="660" w:lineRule="exact"/>
        <w:jc w:val="center"/>
        <w:rPr>
          <w:rFonts w:ascii="方正小标宋简体" w:hAnsi="方正小标宋简体" w:eastAsia="方正小标宋简体" w:cs="方正小标宋简体"/>
          <w:color w:val="262626"/>
          <w:kern w:val="0"/>
          <w:sz w:val="44"/>
          <w:szCs w:val="44"/>
        </w:rPr>
      </w:pPr>
    </w:p>
    <w:p w14:paraId="6166F3BD">
      <w:pPr>
        <w:widowControl/>
        <w:spacing w:line="660" w:lineRule="exact"/>
        <w:jc w:val="center"/>
        <w:rPr>
          <w:rFonts w:ascii="方正小标宋简体" w:hAnsi="方正小标宋简体" w:eastAsia="方正小标宋简体" w:cs="方正小标宋简体"/>
          <w:color w:val="262626"/>
          <w:kern w:val="0"/>
          <w:sz w:val="44"/>
          <w:szCs w:val="44"/>
        </w:rPr>
      </w:pPr>
      <w:r>
        <w:rPr>
          <w:rFonts w:hint="eastAsia" w:ascii="方正小标宋简体" w:hAnsi="方正小标宋简体" w:eastAsia="方正小标宋简体" w:cs="方正小标宋简体"/>
          <w:color w:val="262626"/>
          <w:kern w:val="0"/>
          <w:sz w:val="44"/>
          <w:szCs w:val="44"/>
        </w:rPr>
        <w:t>济源市生态环境局</w:t>
      </w:r>
    </w:p>
    <w:p w14:paraId="0695D70D">
      <w:pPr>
        <w:widowControl/>
        <w:spacing w:line="660" w:lineRule="exact"/>
        <w:jc w:val="center"/>
        <w:rPr>
          <w:rFonts w:ascii="方正小标宋简体" w:hAnsi="方正小标宋简体" w:eastAsia="方正小标宋简体" w:cs="方正小标宋简体"/>
          <w:color w:val="262626"/>
          <w:kern w:val="0"/>
          <w:sz w:val="44"/>
          <w:szCs w:val="44"/>
        </w:rPr>
      </w:pPr>
      <w:r>
        <w:rPr>
          <w:rFonts w:hint="eastAsia" w:ascii="方正小标宋简体" w:hAnsi="方正小标宋简体" w:eastAsia="方正小标宋简体" w:cs="方正小标宋简体"/>
          <w:color w:val="262626"/>
          <w:kern w:val="0"/>
          <w:sz w:val="44"/>
          <w:szCs w:val="44"/>
        </w:rPr>
        <w:t>关于</w:t>
      </w:r>
      <w:bookmarkStart w:id="0" w:name="OLE_LINK1"/>
      <w:bookmarkStart w:id="1" w:name="OLE_LINK2"/>
      <w:r>
        <w:rPr>
          <w:rFonts w:hint="eastAsia" w:ascii="方正小标宋简体" w:hAnsi="方正小标宋简体" w:eastAsia="方正小标宋简体" w:cs="方正小标宋简体"/>
          <w:color w:val="262626"/>
          <w:kern w:val="0"/>
          <w:sz w:val="44"/>
          <w:szCs w:val="44"/>
        </w:rPr>
        <w:t>河南豫光金铅股份有限公司</w:t>
      </w:r>
      <w:bookmarkEnd w:id="0"/>
      <w:r>
        <w:rPr>
          <w:rFonts w:hint="eastAsia" w:ascii="方正小标宋简体" w:hAnsi="方正小标宋简体" w:eastAsia="方正小标宋简体" w:cs="方正小标宋简体"/>
          <w:color w:val="262626"/>
          <w:kern w:val="0"/>
          <w:sz w:val="44"/>
          <w:szCs w:val="44"/>
        </w:rPr>
        <w:t>泛半导体用高纯金属研发及产业化项目</w:t>
      </w:r>
    </w:p>
    <w:bookmarkEnd w:id="1"/>
    <w:p w14:paraId="037EE3D4">
      <w:pPr>
        <w:widowControl/>
        <w:spacing w:line="660" w:lineRule="exact"/>
        <w:jc w:val="center"/>
        <w:rPr>
          <w:rFonts w:ascii="方正小标宋简体" w:hAnsi="方正小标宋简体" w:eastAsia="方正小标宋简体" w:cs="方正小标宋简体"/>
          <w:color w:val="262626"/>
          <w:kern w:val="0"/>
          <w:sz w:val="44"/>
          <w:szCs w:val="44"/>
        </w:rPr>
      </w:pPr>
      <w:r>
        <w:rPr>
          <w:rFonts w:hint="eastAsia" w:ascii="方正小标宋简体" w:hAnsi="方正小标宋简体" w:eastAsia="方正小标宋简体" w:cs="方正小标宋简体"/>
          <w:color w:val="262626"/>
          <w:kern w:val="0"/>
          <w:sz w:val="44"/>
          <w:szCs w:val="44"/>
        </w:rPr>
        <w:t>环境影响报告书的批复</w:t>
      </w:r>
    </w:p>
    <w:p w14:paraId="1C49F939">
      <w:pPr>
        <w:keepNext w:val="0"/>
        <w:keepLines w:val="0"/>
        <w:pageBreakBefore w:val="0"/>
        <w:kinsoku/>
        <w:wordWrap/>
        <w:overflowPunct/>
        <w:topLinePunct w:val="0"/>
        <w:autoSpaceDE/>
        <w:autoSpaceDN/>
        <w:bidi w:val="0"/>
        <w:snapToGrid w:val="0"/>
        <w:spacing w:line="560" w:lineRule="exact"/>
        <w:textAlignment w:val="auto"/>
        <w:rPr>
          <w:rFonts w:ascii="仿宋_GB2312" w:hAnsi="仿宋_GB2312" w:cs="仿宋_GB2312"/>
          <w:szCs w:val="32"/>
        </w:rPr>
      </w:pPr>
    </w:p>
    <w:p w14:paraId="5F2DC63D">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仿宋_GB2312" w:cs="仿宋_GB2312"/>
          <w:szCs w:val="32"/>
        </w:rPr>
      </w:pPr>
      <w:r>
        <w:rPr>
          <w:rFonts w:hint="eastAsia" w:ascii="仿宋_GB2312" w:hAnsi="仿宋_GB2312" w:cs="仿宋_GB2312"/>
          <w:szCs w:val="32"/>
        </w:rPr>
        <w:t>河南豫光金铅股份有限公司：</w:t>
      </w:r>
    </w:p>
    <w:p w14:paraId="49CB33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你单位（统一社会信用代码：9141000071917196XY）报送的由中色科技股份有限公司张宇主持编制的《</w:t>
      </w:r>
      <w:bookmarkStart w:id="2" w:name="OLE_LINK4"/>
      <w:bookmarkStart w:id="3" w:name="OLE_LINK3"/>
      <w:r>
        <w:rPr>
          <w:rFonts w:hint="eastAsia" w:ascii="仿宋_GB2312" w:hAnsi="仿宋_GB2312" w:cs="仿宋_GB2312"/>
          <w:szCs w:val="32"/>
        </w:rPr>
        <w:t>河南豫光金铅股份有限公司</w:t>
      </w:r>
      <w:bookmarkEnd w:id="2"/>
      <w:r>
        <w:rPr>
          <w:rFonts w:hint="eastAsia" w:ascii="仿宋_GB2312" w:hAnsi="仿宋_GB2312" w:cs="仿宋_GB2312"/>
          <w:szCs w:val="32"/>
        </w:rPr>
        <w:t>泛半导体用高纯金属研发及产业化项目</w:t>
      </w:r>
      <w:bookmarkEnd w:id="3"/>
      <w:r>
        <w:rPr>
          <w:rFonts w:hint="eastAsia" w:ascii="仿宋_GB2312" w:hAnsi="仿宋_GB2312" w:cs="仿宋_GB2312"/>
          <w:szCs w:val="32"/>
        </w:rPr>
        <w:t>环境影响报告书》（以下简称《报告书》）及行政审批申请等资料收悉，项目环评审批事项已在我局网站公示期满。根据《中华人民共和国环境保护法》《中华人民共和国行政许可法》《中华人民共和国环境影响评价法》《建设项目环境保护管理条例》等法律法规，经研究，批复如下：</w:t>
      </w:r>
    </w:p>
    <w:p w14:paraId="4127B9D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szCs w:val="32"/>
        </w:rPr>
      </w:pPr>
      <w:r>
        <w:rPr>
          <w:rFonts w:hint="eastAsia" w:ascii="仿宋_GB2312" w:hAnsi="仿宋_GB2312" w:cs="仿宋_GB2312"/>
          <w:szCs w:val="32"/>
        </w:rPr>
        <w:t>一、项目位于</w:t>
      </w:r>
      <w:r>
        <w:rPr>
          <w:rFonts w:hint="eastAsia" w:ascii="仿宋_GB2312" w:hAnsi="仿宋_GB2312" w:cs="仿宋_GB2312"/>
          <w:szCs w:val="32"/>
          <w:highlight w:val="none"/>
        </w:rPr>
        <w:t>济源经济技术开发区</w:t>
      </w:r>
      <w:r>
        <w:rPr>
          <w:rFonts w:hint="eastAsia" w:ascii="仿宋_GB2312" w:hAnsi="仿宋_GB2312" w:cs="仿宋_GB2312"/>
          <w:szCs w:val="32"/>
        </w:rPr>
        <w:t>河南豫光金铅股份有限公司冶炼一厂，高纯金属研发及产业化项目</w:t>
      </w:r>
      <w:r>
        <w:rPr>
          <w:rFonts w:ascii="Times New Roman" w:hAnsi="Times New Roman"/>
          <w:szCs w:val="32"/>
        </w:rPr>
        <w:t>以豫光股份和豫光锌业已有生产线产生的精碲、精镉、精铟、电解锌、精硒、精锡等</w:t>
      </w:r>
      <w:r>
        <w:rPr>
          <w:rFonts w:hint="eastAsia" w:ascii="Times New Roman" w:hAnsi="Times New Roman"/>
          <w:szCs w:val="32"/>
        </w:rPr>
        <w:t>为原料</w:t>
      </w:r>
      <w:r>
        <w:rPr>
          <w:rFonts w:ascii="Times New Roman" w:hAnsi="Times New Roman"/>
          <w:szCs w:val="32"/>
        </w:rPr>
        <w:t>，同时外购6N锑、5N铝原料，分别采用真空蒸馏、区熔提纯</w:t>
      </w:r>
      <w:r>
        <w:rPr>
          <w:rFonts w:hint="eastAsia" w:ascii="Times New Roman" w:hAnsi="Times New Roman"/>
          <w:szCs w:val="32"/>
          <w:lang w:val="en-US" w:eastAsia="zh-CN"/>
        </w:rPr>
        <w:t>/</w:t>
      </w:r>
      <w:r>
        <w:rPr>
          <w:rFonts w:ascii="Times New Roman" w:hAnsi="Times New Roman"/>
          <w:szCs w:val="32"/>
        </w:rPr>
        <w:t>单晶提纯相结合的工艺</w:t>
      </w:r>
      <w:r>
        <w:rPr>
          <w:rFonts w:hint="eastAsia" w:ascii="Times New Roman" w:hAnsi="Times New Roman"/>
          <w:szCs w:val="32"/>
          <w:lang w:eastAsia="zh-CN"/>
        </w:rPr>
        <w:t>，</w:t>
      </w:r>
      <w:r>
        <w:rPr>
          <w:rFonts w:ascii="Times New Roman" w:hAnsi="Times New Roman"/>
          <w:szCs w:val="32"/>
        </w:rPr>
        <w:t>生产5~7N级高纯金属。项目建成后年生产高纯金属37吨，主要设备有真空蒸馏炉、区熔炉、单晶炉等。</w:t>
      </w:r>
    </w:p>
    <w:p w14:paraId="2775AD6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二、</w:t>
      </w:r>
      <w:r>
        <w:rPr>
          <w:rFonts w:hint="eastAsia" w:ascii="仿宋_GB2312" w:hAnsi="仿宋_GB2312" w:eastAsia="仿宋_GB2312" w:cs="仿宋_GB2312"/>
          <w:szCs w:val="32"/>
        </w:rPr>
        <w:t>该《报告书》内容符合国家有关法律法规要求和建设项目环境管理规定，符合“三线一单”生态环境分区管控要求，评价结论可信。我局批准该《报告</w:t>
      </w:r>
      <w:r>
        <w:rPr>
          <w:rFonts w:hint="eastAsia" w:ascii="仿宋_GB2312" w:hAnsi="仿宋_GB2312" w:cs="仿宋_GB2312"/>
          <w:szCs w:val="32"/>
          <w:lang w:eastAsia="zh-CN"/>
        </w:rPr>
        <w:t>书</w:t>
      </w:r>
      <w:r>
        <w:rPr>
          <w:rFonts w:hint="eastAsia" w:ascii="仿宋_GB2312" w:hAnsi="仿宋_GB2312" w:eastAsia="仿宋_GB2312" w:cs="仿宋_GB2312"/>
          <w:szCs w:val="32"/>
        </w:rPr>
        <w:t>》，原则同意你单位按照《报告</w:t>
      </w:r>
      <w:r>
        <w:rPr>
          <w:rFonts w:hint="eastAsia" w:ascii="仿宋_GB2312" w:hAnsi="仿宋_GB2312" w:cs="仿宋_GB2312"/>
          <w:szCs w:val="32"/>
          <w:lang w:eastAsia="zh-CN"/>
        </w:rPr>
        <w:t>书</w:t>
      </w:r>
      <w:r>
        <w:rPr>
          <w:rFonts w:hint="eastAsia" w:ascii="仿宋_GB2312" w:hAnsi="仿宋_GB2312" w:eastAsia="仿宋_GB2312" w:cs="仿宋_GB2312"/>
          <w:szCs w:val="32"/>
        </w:rPr>
        <w:t>》所列项目的建设内容和环境保护对策措施进行项目建设。</w:t>
      </w:r>
    </w:p>
    <w:p w14:paraId="32A4670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三、你单位应向社会公众主动公开已经批准的《报告书》，接受相关方的垂询。</w:t>
      </w:r>
    </w:p>
    <w:p w14:paraId="11040D0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四、你单位应全面落实《报告书》提出的各项环境保护措施，各项环境保护设施与主体工程同时设计、同时施工、同时投入使用，确保各项污染物达标排放。</w:t>
      </w:r>
    </w:p>
    <w:p w14:paraId="2B7512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（一）向设计单位提供《报告书》和本批复文件，确保项目设计按照环境保护设计规范要求，落实防治环境污染和生态破坏的措施。</w:t>
      </w:r>
    </w:p>
    <w:p w14:paraId="3C157E7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（二）</w:t>
      </w:r>
      <w:r>
        <w:rPr>
          <w:rFonts w:hint="eastAsia" w:ascii="仿宋_GB2312" w:hAnsi="仿宋_GB2312" w:eastAsia="仿宋_GB2312" w:cs="仿宋_GB2312"/>
          <w:szCs w:val="32"/>
        </w:rPr>
        <w:t>依据《报告</w:t>
      </w:r>
      <w:r>
        <w:rPr>
          <w:rFonts w:hint="eastAsia" w:ascii="仿宋_GB2312" w:hAnsi="仿宋_GB2312" w:cs="仿宋_GB2312"/>
          <w:szCs w:val="32"/>
          <w:lang w:eastAsia="zh-CN"/>
        </w:rPr>
        <w:t>书</w:t>
      </w:r>
      <w:r>
        <w:rPr>
          <w:rFonts w:hint="eastAsia" w:ascii="仿宋_GB2312" w:hAnsi="仿宋_GB2312" w:eastAsia="仿宋_GB2312" w:cs="仿宋_GB2312"/>
          <w:szCs w:val="32"/>
        </w:rPr>
        <w:t>》和本批复文件，对项目建设过程中产生的废水、废气、固体废物、噪声等污染，采取相应的防治措施</w:t>
      </w:r>
      <w:bookmarkStart w:id="4" w:name="_GoBack"/>
      <w:bookmarkEnd w:id="4"/>
      <w:r>
        <w:rPr>
          <w:rFonts w:hint="eastAsia" w:ascii="仿宋_GB2312" w:hAnsi="仿宋_GB2312" w:eastAsia="仿宋_GB2312" w:cs="仿宋_GB2312"/>
          <w:szCs w:val="32"/>
        </w:rPr>
        <w:t>。</w:t>
      </w:r>
    </w:p>
    <w:p w14:paraId="79C13F7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（三）项目运行时，外排污染物应满足如下要求：</w:t>
      </w:r>
    </w:p>
    <w:p w14:paraId="01F0219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highlight w:val="none"/>
        </w:rPr>
      </w:pPr>
      <w:r>
        <w:rPr>
          <w:rFonts w:hint="eastAsia" w:ascii="仿宋_GB2312" w:hAnsi="仿宋_GB2312" w:cs="仿宋_GB2312"/>
          <w:szCs w:val="32"/>
        </w:rPr>
        <w:t>1.废气：项目应采取合理措施，加强废气的收集和处理，减少生产过程中的无组织废气排放。各项废气经处理后</w:t>
      </w:r>
      <w:r>
        <w:rPr>
          <w:rFonts w:hint="eastAsia" w:ascii="仿宋_GB2312" w:hAnsi="仿宋_GB2312" w:cs="仿宋_GB2312"/>
          <w:szCs w:val="32"/>
          <w:highlight w:val="none"/>
          <w:lang w:eastAsia="zh-CN"/>
        </w:rPr>
        <w:t>须</w:t>
      </w:r>
      <w:r>
        <w:rPr>
          <w:rFonts w:hint="eastAsia" w:ascii="仿宋_GB2312" w:hAnsi="仿宋_GB2312" w:cs="仿宋_GB2312"/>
          <w:szCs w:val="32"/>
        </w:rPr>
        <w:t>满足《工业炉窑大气污染物排放标准》（DB41/1066-2020）、《大气污染物综合排放标准》（GB16297-1996）、《锡、锑、汞工业污染物排放标准》（GB30770-2014）标准限值要求</w:t>
      </w:r>
      <w:r>
        <w:rPr>
          <w:rFonts w:hint="eastAsia" w:ascii="仿宋_GB2312" w:hAnsi="仿宋_GB2312" w:cs="仿宋_GB2312"/>
          <w:szCs w:val="32"/>
          <w:highlight w:val="none"/>
        </w:rPr>
        <w:t>，非甲烷总烃同时满足《关于全省开展工业企业挥发性有机物专项治理工作中排放建议值的通知》（豫环攻坚办[2017]162号）限值要求。</w:t>
      </w:r>
    </w:p>
    <w:p w14:paraId="29BA597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szCs w:val="32"/>
        </w:rPr>
      </w:pPr>
      <w:r>
        <w:rPr>
          <w:rFonts w:hint="eastAsia" w:ascii="仿宋_GB2312" w:hAnsi="仿宋_GB2312" w:cs="仿宋_GB2312"/>
          <w:szCs w:val="32"/>
        </w:rPr>
        <w:t>2.废水：按照“雨污分流、清污分流、污污分治、深度处理、分质回用”的原则将各类废水收集处理，分质回用。项目不新增生活污水，含重金属生产废水依托现有工程酸性废水处理站处理后全部回用不外排。一般生产废水直接进入厂区现有综合废水处理站处理后清水回用，浓水外排进入</w:t>
      </w:r>
      <w:r>
        <w:rPr>
          <w:rFonts w:hint="eastAsia" w:ascii="仿宋_GB2312" w:hAnsi="仿宋_GB2312" w:cs="仿宋_GB2312"/>
          <w:szCs w:val="32"/>
          <w:highlight w:val="none"/>
        </w:rPr>
        <w:t>济源市玉川城建污水处理厂</w:t>
      </w:r>
      <w:r>
        <w:rPr>
          <w:rFonts w:hint="eastAsia" w:ascii="仿宋_GB2312" w:hAnsi="仿宋_GB2312" w:cs="仿宋_GB2312"/>
          <w:szCs w:val="32"/>
        </w:rPr>
        <w:t>，外排废水水质满足《铅、锌工业污染物排放标准》</w:t>
      </w:r>
      <w:r>
        <w:rPr>
          <w:rFonts w:ascii="Times New Roman" w:hAnsi="Times New Roman"/>
          <w:szCs w:val="32"/>
        </w:rPr>
        <w:t>（GB25466-2010）</w:t>
      </w:r>
      <w:r>
        <w:rPr>
          <w:rFonts w:hint="eastAsia" w:ascii="Times New Roman" w:hAnsi="Times New Roman"/>
          <w:szCs w:val="32"/>
        </w:rPr>
        <w:t>及修改单</w:t>
      </w:r>
      <w:r>
        <w:rPr>
          <w:rFonts w:ascii="Times New Roman" w:hAnsi="Times New Roman"/>
          <w:szCs w:val="32"/>
        </w:rPr>
        <w:t>间接排放标准限值</w:t>
      </w:r>
      <w:r>
        <w:rPr>
          <w:rFonts w:hint="eastAsia" w:ascii="仿宋_GB2312" w:hAnsi="仿宋_GB2312" w:cs="仿宋_GB2312"/>
          <w:szCs w:val="32"/>
          <w:highlight w:val="none"/>
        </w:rPr>
        <w:t>及园区</w:t>
      </w:r>
      <w:r>
        <w:rPr>
          <w:rFonts w:ascii="仿宋_GB2312" w:hAnsi="仿宋_GB2312" w:cs="仿宋_GB2312"/>
          <w:szCs w:val="32"/>
          <w:highlight w:val="none"/>
        </w:rPr>
        <w:t>污水处理厂收水水质</w:t>
      </w:r>
      <w:r>
        <w:rPr>
          <w:rFonts w:ascii="Times New Roman" w:hAnsi="Times New Roman"/>
          <w:szCs w:val="32"/>
        </w:rPr>
        <w:t>要求。</w:t>
      </w:r>
    </w:p>
    <w:p w14:paraId="7C58A7C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3.噪声：厂界噪声应满足《工业企业厂界环境噪声排放标准》（GB12348-2008）3类要求。</w:t>
      </w:r>
    </w:p>
    <w:p w14:paraId="74B0D48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4.固废：严格落实《报告书》要求，按“</w:t>
      </w:r>
      <w:r>
        <w:rPr>
          <w:rFonts w:hint="eastAsia" w:ascii="仿宋_GB2312" w:hAnsi="仿宋_GB2312" w:cs="仿宋_GB2312"/>
          <w:szCs w:val="32"/>
          <w:highlight w:val="none"/>
        </w:rPr>
        <w:t>减量化、资源化、无害化</w:t>
      </w:r>
      <w:r>
        <w:rPr>
          <w:rFonts w:hint="eastAsia" w:ascii="仿宋_GB2312" w:hAnsi="仿宋_GB2312" w:cs="仿宋_GB2312"/>
          <w:szCs w:val="32"/>
        </w:rPr>
        <w:t>”原则，做好固废分类收集和综合利用，建立产生、贮存、处置、利用等记录台账。应满足《固体废物污染环境防治法》《危险废物贮存污染控制标准》（GB18597-2023）</w:t>
      </w:r>
      <w:r>
        <w:rPr>
          <w:rFonts w:hint="eastAsia" w:ascii="仿宋_GB2312" w:hAnsi="仿宋_GB2312" w:cs="仿宋_GB2312"/>
          <w:szCs w:val="32"/>
          <w:lang w:eastAsia="zh-CN"/>
        </w:rPr>
        <w:t>管理</w:t>
      </w:r>
      <w:r>
        <w:rPr>
          <w:rFonts w:hint="eastAsia" w:ascii="仿宋_GB2312" w:hAnsi="仿宋_GB2312" w:cs="仿宋_GB2312"/>
          <w:szCs w:val="32"/>
        </w:rPr>
        <w:t>要求，落实相关环境保护措施。固体废物须做到合理处置或综合利用，不得随意堆放、弃置，避免对环境造成二次污染。</w:t>
      </w:r>
    </w:p>
    <w:p w14:paraId="34E7CCD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（四）加强环境风险管理，落实《报告书》提出的环境风险防范措施，制定环境风险及事故应急预案，加强日常管理，定期开展应急演练，严防环境污染事故发生。</w:t>
      </w:r>
    </w:p>
    <w:p w14:paraId="6C728A1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五、按国家有关规定设置规范的污染物排放口，并设立明显标志，按要求安装污染物自动监控设备并与生态环境主管部门的监控设备联网。严格落实《报告书》相关环境监测计划，定期对各类污染物进行监测，发布相关信息，发现问题及时采取整改措施。</w:t>
      </w:r>
    </w:p>
    <w:p w14:paraId="29C3AF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六、严格执行环保“三同时”制度，按要求申领排污许可证，按规定程序实施竣工环境保护验收，经验收合格后方可正式投产。</w:t>
      </w:r>
    </w:p>
    <w:p w14:paraId="3CFD6C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七、严格按照《关于河南豫光金铅股份有限公司泛半导体用高纯金属研发及产业化项目污染物总量控制指标的函》（济环总量函〔2024〕45号）及《关于河南豫光金铅股份有限公司泛半导体用高纯金属研发及产业化项目重金属污染物总量审批的函》，落实总量控制要求。</w:t>
      </w:r>
    </w:p>
    <w:p w14:paraId="7611641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八、本批复有效期为5年，如该项目逾期方开工建设，其环境影响报告书应报我局重新审核。项目的性质、规模、地点、采用的生产工艺或者防治污染、防止生态破坏的措施发生重大变动的，应当重新报批建设项目环境影响评价文件。</w:t>
      </w:r>
    </w:p>
    <w:p w14:paraId="1DC07F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九、今后国家或我省颁布严于本批复污染物排放限值的新标准，届时你公司应按新的排放标准执行。</w:t>
      </w:r>
    </w:p>
    <w:p w14:paraId="23865D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5600" w:firstLineChars="2000"/>
        <w:jc w:val="both"/>
        <w:textAlignment w:val="auto"/>
        <w:rPr>
          <w:rFonts w:ascii="Times New Roman" w:hAnsi="Times New Roman" w:cs="Times New Roman"/>
          <w:color w:val="FF0000"/>
          <w:sz w:val="28"/>
          <w:szCs w:val="28"/>
          <w:highlight w:val="yellow"/>
        </w:rPr>
      </w:pPr>
    </w:p>
    <w:p w14:paraId="1CD7A231">
      <w:pPr>
        <w:keepNext w:val="0"/>
        <w:keepLines w:val="0"/>
        <w:pageBreakBefore w:val="0"/>
        <w:widowControl w:val="0"/>
        <w:kinsoku/>
        <w:wordWrap/>
        <w:overflowPunct/>
        <w:topLinePunct w:val="0"/>
        <w:autoSpaceDE/>
        <w:autoSpaceDN/>
        <w:bidi w:val="0"/>
        <w:adjustRightInd w:val="0"/>
        <w:snapToGrid w:val="0"/>
        <w:spacing w:before="469" w:beforeLines="150" w:line="56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rPr>
        <w:t xml:space="preserve">                    </w:t>
      </w:r>
      <w:r>
        <w:rPr>
          <w:rFonts w:hint="eastAsia" w:ascii="仿宋_GB2312" w:hAnsi="仿宋_GB2312" w:cs="仿宋_GB2312"/>
          <w:szCs w:val="32"/>
          <w:highlight w:val="none"/>
        </w:rPr>
        <w:t>2024年10月</w:t>
      </w:r>
      <w:r>
        <w:rPr>
          <w:rFonts w:hint="eastAsia" w:ascii="仿宋_GB2312" w:hAnsi="仿宋_GB2312" w:cs="仿宋_GB2312"/>
          <w:szCs w:val="32"/>
          <w:highlight w:val="none"/>
          <w:lang w:val="en-US" w:eastAsia="zh-CN"/>
        </w:rPr>
        <w:t>15</w:t>
      </w:r>
      <w:r>
        <w:rPr>
          <w:rFonts w:hint="eastAsia" w:ascii="仿宋_GB2312" w:hAnsi="仿宋_GB2312" w:cs="仿宋_GB2312"/>
          <w:szCs w:val="32"/>
          <w:highlight w:val="none"/>
        </w:rPr>
        <w:t>日</w:t>
      </w:r>
      <w:r>
        <w:rPr>
          <w:rFonts w:hint="eastAsia" w:ascii="仿宋_GB2312" w:hAnsi="仿宋_GB2312" w:cs="仿宋_GB2312"/>
          <w:szCs w:val="32"/>
          <w:highlight w:val="none"/>
          <w:lang w:val="en-US" w:eastAsia="zh-CN"/>
        </w:rPr>
        <w:t xml:space="preserve">        </w:t>
      </w:r>
    </w:p>
    <w:sectPr>
      <w:pgSz w:w="11906" w:h="16838"/>
      <w:pgMar w:top="1440" w:right="1800" w:bottom="140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ODk5NzEzNDY0MjliZDA4ZDlhNzg3NTU0YmYzYTgifQ=="/>
  </w:docVars>
  <w:rsids>
    <w:rsidRoot w:val="0069188B"/>
    <w:rsid w:val="0058415F"/>
    <w:rsid w:val="0069188B"/>
    <w:rsid w:val="007D257E"/>
    <w:rsid w:val="00960770"/>
    <w:rsid w:val="00D47549"/>
    <w:rsid w:val="03D71CDD"/>
    <w:rsid w:val="066F782F"/>
    <w:rsid w:val="06A17339"/>
    <w:rsid w:val="06FF3E09"/>
    <w:rsid w:val="094A3D40"/>
    <w:rsid w:val="0BFB0460"/>
    <w:rsid w:val="0F70383F"/>
    <w:rsid w:val="147422CF"/>
    <w:rsid w:val="150F2E19"/>
    <w:rsid w:val="1A085187"/>
    <w:rsid w:val="1AAA57BA"/>
    <w:rsid w:val="1FC702E1"/>
    <w:rsid w:val="22072167"/>
    <w:rsid w:val="24B7634F"/>
    <w:rsid w:val="2579116C"/>
    <w:rsid w:val="257F031C"/>
    <w:rsid w:val="267BA792"/>
    <w:rsid w:val="276930F2"/>
    <w:rsid w:val="27704D7D"/>
    <w:rsid w:val="27AC35F6"/>
    <w:rsid w:val="299A1C85"/>
    <w:rsid w:val="2B827534"/>
    <w:rsid w:val="2D4A15DA"/>
    <w:rsid w:val="326E658A"/>
    <w:rsid w:val="36FE2A64"/>
    <w:rsid w:val="3BF10EB2"/>
    <w:rsid w:val="42A66781"/>
    <w:rsid w:val="45693CEF"/>
    <w:rsid w:val="47C65C99"/>
    <w:rsid w:val="49E06EE9"/>
    <w:rsid w:val="4AC77B89"/>
    <w:rsid w:val="4C3E1A99"/>
    <w:rsid w:val="4DC424F6"/>
    <w:rsid w:val="508C759D"/>
    <w:rsid w:val="5BD4863C"/>
    <w:rsid w:val="5F9000D9"/>
    <w:rsid w:val="60BF5BC6"/>
    <w:rsid w:val="620C23B5"/>
    <w:rsid w:val="66EB2BF0"/>
    <w:rsid w:val="68746DC1"/>
    <w:rsid w:val="68C8732F"/>
    <w:rsid w:val="692D6F40"/>
    <w:rsid w:val="698A44E3"/>
    <w:rsid w:val="69CB13AE"/>
    <w:rsid w:val="69D1357C"/>
    <w:rsid w:val="6A3F0691"/>
    <w:rsid w:val="6BB460C7"/>
    <w:rsid w:val="6CDD8372"/>
    <w:rsid w:val="6FAE71C8"/>
    <w:rsid w:val="6FF39570"/>
    <w:rsid w:val="72E045F8"/>
    <w:rsid w:val="73F71988"/>
    <w:rsid w:val="75D19977"/>
    <w:rsid w:val="765D951E"/>
    <w:rsid w:val="775D48DF"/>
    <w:rsid w:val="78F82FF6"/>
    <w:rsid w:val="7AEC75BE"/>
    <w:rsid w:val="7B696311"/>
    <w:rsid w:val="7D8B6583"/>
    <w:rsid w:val="7EB61382"/>
    <w:rsid w:val="7EC62889"/>
    <w:rsid w:val="7F0062EE"/>
    <w:rsid w:val="A7F78CB8"/>
    <w:rsid w:val="D7FA0409"/>
    <w:rsid w:val="D87F9C54"/>
    <w:rsid w:val="DD6FBB4B"/>
    <w:rsid w:val="DF5F2A87"/>
    <w:rsid w:val="E6EFCD66"/>
    <w:rsid w:val="EECBC687"/>
    <w:rsid w:val="F8DF557C"/>
    <w:rsid w:val="FF731D70"/>
    <w:rsid w:val="FF78A275"/>
    <w:rsid w:val="FFBF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rPr>
  </w:style>
  <w:style w:type="paragraph" w:styleId="3">
    <w:name w:val="Body Text Indent 2"/>
    <w:basedOn w:val="1"/>
    <w:next w:val="1"/>
    <w:unhideWhenUsed/>
    <w:qFormat/>
    <w:uiPriority w:val="99"/>
    <w:pPr>
      <w:spacing w:after="120" w:line="480" w:lineRule="auto"/>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eastAsia="宋体" w:cs="宋体"/>
      <w:kern w:val="0"/>
      <w:sz w:val="24"/>
    </w:rPr>
  </w:style>
  <w:style w:type="character" w:customStyle="1" w:styleId="9">
    <w:name w:val="页眉 Char"/>
    <w:basedOn w:val="8"/>
    <w:link w:val="5"/>
    <w:qFormat/>
    <w:uiPriority w:val="0"/>
    <w:rPr>
      <w:rFonts w:ascii="宋体" w:hAnsi="宋体" w:eastAsia="仿宋_GB2312" w:cs="Times New Roman"/>
      <w:kern w:val="2"/>
      <w:sz w:val="18"/>
      <w:szCs w:val="18"/>
    </w:rPr>
  </w:style>
  <w:style w:type="character" w:customStyle="1" w:styleId="10">
    <w:name w:val="页脚 Char"/>
    <w:basedOn w:val="8"/>
    <w:link w:val="4"/>
    <w:qFormat/>
    <w:uiPriority w:val="0"/>
    <w:rPr>
      <w:rFonts w:ascii="宋体" w:hAnsi="宋体"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1859</Words>
  <Characters>1975</Characters>
  <Lines>14</Lines>
  <Paragraphs>4</Paragraphs>
  <TotalTime>1</TotalTime>
  <ScaleCrop>false</ScaleCrop>
  <LinksUpToDate>false</LinksUpToDate>
  <CharactersWithSpaces>2003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2023-12-08T01:26:00Z</dcterms:created>
  <dc:creator>jia</dc:creator>
  <cp:lastModifiedBy>Administrator</cp:lastModifiedBy>
  <cp:lastPrinted>2024-08-07T11:42:00Z</cp:lastPrinted>
  <dcterms:modified xsi:type="dcterms:W3CDTF">2024-10-15T00:18:34Z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5C74353C58DA4B739876D2B8D0F6F022</vt:lpwstr>
  </property>
</Properties>
</file>