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DB27C">
      <w:pPr>
        <w:spacing w:line="560" w:lineRule="exact"/>
        <w:ind w:firstLine="640" w:firstLineChars="200"/>
        <w:rPr>
          <w:rFonts w:ascii="仿宋_GB2312" w:hAnsi="仿宋_GB2312" w:cs="仿宋_GB2312"/>
          <w:szCs w:val="32"/>
        </w:rPr>
      </w:pPr>
    </w:p>
    <w:p w14:paraId="102D1F76">
      <w:pPr>
        <w:spacing w:line="560" w:lineRule="exact"/>
        <w:ind w:firstLine="640" w:firstLineChars="200"/>
        <w:rPr>
          <w:rFonts w:ascii="仿宋_GB2312" w:hAnsi="仿宋_GB2312" w:cs="仿宋_GB2312"/>
          <w:szCs w:val="32"/>
        </w:rPr>
      </w:pPr>
    </w:p>
    <w:p w14:paraId="6FFBCF07">
      <w:pPr>
        <w:spacing w:line="560" w:lineRule="exact"/>
        <w:ind w:firstLine="640" w:firstLineChars="200"/>
        <w:rPr>
          <w:rFonts w:ascii="仿宋_GB2312" w:hAnsi="仿宋_GB2312" w:cs="仿宋_GB2312"/>
          <w:szCs w:val="32"/>
        </w:rPr>
      </w:pPr>
    </w:p>
    <w:p w14:paraId="7F337487">
      <w:pPr>
        <w:spacing w:line="560" w:lineRule="exact"/>
        <w:ind w:firstLine="640" w:firstLineChars="200"/>
        <w:rPr>
          <w:rFonts w:ascii="仿宋_GB2312" w:hAnsi="仿宋_GB2312" w:cs="仿宋_GB2312"/>
          <w:szCs w:val="32"/>
        </w:rPr>
      </w:pPr>
    </w:p>
    <w:p w14:paraId="2F437A0A">
      <w:pPr>
        <w:spacing w:line="560" w:lineRule="exact"/>
        <w:ind w:firstLine="640" w:firstLineChars="200"/>
        <w:rPr>
          <w:rFonts w:ascii="仿宋_GB2312" w:hAnsi="仿宋_GB2312" w:cs="仿宋_GB2312"/>
          <w:color w:val="auto"/>
          <w:szCs w:val="32"/>
        </w:rPr>
      </w:pPr>
    </w:p>
    <w:p w14:paraId="5B187EF1">
      <w:pPr>
        <w:wordWrap w:val="0"/>
        <w:spacing w:before="156" w:beforeLines="50" w:line="560" w:lineRule="exact"/>
        <w:jc w:val="right"/>
        <w:rPr>
          <w:rFonts w:ascii="仿宋_GB2312" w:hAnsi="仿宋_GB2312" w:cs="仿宋_GB2312"/>
          <w:color w:val="auto"/>
          <w:szCs w:val="32"/>
        </w:rPr>
      </w:pPr>
      <w:r>
        <w:rPr>
          <w:rFonts w:ascii="仿宋_GB2312" w:hAnsi="仿宋_GB2312" w:cs="仿宋_GB2312"/>
          <w:color w:val="auto"/>
          <w:szCs w:val="32"/>
        </w:rPr>
        <w:t>济环</w:t>
      </w:r>
      <w:r>
        <w:rPr>
          <w:rFonts w:hint="eastAsia" w:ascii="仿宋_GB2312" w:hAnsi="仿宋_GB2312" w:cs="仿宋_GB2312"/>
          <w:color w:val="auto"/>
          <w:szCs w:val="32"/>
          <w:lang w:val="en-US" w:eastAsia="zh-CN"/>
        </w:rPr>
        <w:t>评</w:t>
      </w:r>
      <w:r>
        <w:rPr>
          <w:rFonts w:ascii="仿宋_GB2312" w:hAnsi="仿宋_GB2312" w:cs="仿宋_GB2312"/>
          <w:color w:val="auto"/>
          <w:szCs w:val="32"/>
        </w:rPr>
        <w:t>审〔2024</w:t>
      </w:r>
      <w:r>
        <w:rPr>
          <w:rFonts w:ascii="仿宋_GB2312" w:hAnsi="仿宋_GB2312" w:cs="仿宋_GB2312"/>
          <w:color w:val="auto"/>
          <w:szCs w:val="32"/>
          <w:highlight w:val="none"/>
        </w:rPr>
        <w:t>〕</w:t>
      </w:r>
      <w:r>
        <w:rPr>
          <w:rFonts w:hint="eastAsia" w:ascii="仿宋_GB2312" w:hAnsi="仿宋_GB2312" w:cs="仿宋_GB2312"/>
          <w:color w:val="auto"/>
          <w:szCs w:val="32"/>
          <w:highlight w:val="none"/>
          <w:lang w:val="en-US" w:eastAsia="zh-CN"/>
        </w:rPr>
        <w:t>71</w:t>
      </w:r>
      <w:r>
        <w:rPr>
          <w:rFonts w:ascii="仿宋_GB2312" w:hAnsi="仿宋_GB2312" w:cs="仿宋_GB2312"/>
          <w:color w:val="auto"/>
          <w:szCs w:val="32"/>
          <w:highlight w:val="none"/>
        </w:rPr>
        <w:t>号</w:t>
      </w:r>
    </w:p>
    <w:p w14:paraId="663964F0">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p>
    <w:p w14:paraId="528E8DC3">
      <w:pPr>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hint="eastAsia" w:ascii="方正小标宋_GBK" w:hAnsi="方正小标宋_GBK" w:eastAsia="方正小标宋_GBK" w:cs="方正小标宋_GBK"/>
          <w:b w:val="0"/>
          <w:bCs w:val="0"/>
          <w:color w:val="262626"/>
          <w:kern w:val="0"/>
          <w:sz w:val="44"/>
          <w:szCs w:val="44"/>
          <w:lang w:val="en-US" w:eastAsia="zh-CN" w:bidi="ar-SA"/>
        </w:rPr>
      </w:pPr>
      <w:r>
        <w:rPr>
          <w:rFonts w:hint="eastAsia" w:ascii="方正小标宋_GBK" w:hAnsi="方正小标宋_GBK" w:eastAsia="方正小标宋_GBK" w:cs="方正小标宋_GBK"/>
          <w:b w:val="0"/>
          <w:bCs w:val="0"/>
          <w:color w:val="262626"/>
          <w:kern w:val="0"/>
          <w:sz w:val="44"/>
          <w:szCs w:val="44"/>
          <w:lang w:val="en-US" w:eastAsia="zh-CN" w:bidi="ar-SA"/>
        </w:rPr>
        <w:t>济源市生态环境局</w:t>
      </w:r>
    </w:p>
    <w:p w14:paraId="06AFC52E">
      <w:pPr>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left="0" w:leftChars="0" w:firstLine="0" w:firstLineChars="0"/>
        <w:jc w:val="center"/>
        <w:textAlignment w:val="auto"/>
        <w:rPr>
          <w:rFonts w:hint="eastAsia" w:ascii="方正小标宋_GBK" w:hAnsi="方正小标宋_GBK" w:eastAsia="方正小标宋_GBK" w:cs="方正小标宋_GBK"/>
          <w:b w:val="0"/>
          <w:bCs w:val="0"/>
          <w:color w:val="262626"/>
          <w:kern w:val="0"/>
          <w:sz w:val="44"/>
          <w:szCs w:val="44"/>
          <w:lang w:val="en-US" w:eastAsia="zh-CN" w:bidi="ar-SA"/>
        </w:rPr>
      </w:pPr>
      <w:r>
        <w:rPr>
          <w:rFonts w:hint="eastAsia" w:ascii="方正小标宋_GBK" w:hAnsi="方正小标宋_GBK" w:eastAsia="方正小标宋_GBK" w:cs="方正小标宋_GBK"/>
          <w:b w:val="0"/>
          <w:bCs w:val="0"/>
          <w:color w:val="262626"/>
          <w:kern w:val="0"/>
          <w:sz w:val="44"/>
          <w:szCs w:val="44"/>
          <w:lang w:val="en-US" w:eastAsia="zh-CN" w:bidi="ar-SA"/>
        </w:rPr>
        <w:t>关于济源市熔鑫节能材料有限公司</w:t>
      </w:r>
    </w:p>
    <w:p w14:paraId="4C840239">
      <w:pPr>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left="0" w:leftChars="0" w:firstLine="0" w:firstLineChars="0"/>
        <w:jc w:val="center"/>
        <w:textAlignment w:val="auto"/>
        <w:rPr>
          <w:rFonts w:hint="eastAsia" w:ascii="方正小标宋_GBK" w:hAnsi="方正小标宋_GBK" w:eastAsia="方正小标宋_GBK" w:cs="方正小标宋_GBK"/>
          <w:b w:val="0"/>
          <w:bCs w:val="0"/>
          <w:color w:val="262626"/>
          <w:kern w:val="0"/>
          <w:sz w:val="44"/>
          <w:szCs w:val="44"/>
          <w:lang w:val="en-US" w:eastAsia="zh-CN" w:bidi="ar-SA"/>
        </w:rPr>
      </w:pPr>
      <w:r>
        <w:rPr>
          <w:rFonts w:hint="eastAsia" w:ascii="方正小标宋_GBK" w:hAnsi="方正小标宋_GBK" w:eastAsia="方正小标宋_GBK" w:cs="方正小标宋_GBK"/>
          <w:b w:val="0"/>
          <w:bCs w:val="0"/>
          <w:color w:val="262626"/>
          <w:kern w:val="0"/>
          <w:sz w:val="44"/>
          <w:szCs w:val="44"/>
          <w:lang w:val="en-US" w:eastAsia="zh-CN" w:bidi="ar-SA"/>
        </w:rPr>
        <w:t>年综合利用2万吨废旧耐火材料项目</w:t>
      </w:r>
    </w:p>
    <w:p w14:paraId="5687A650">
      <w:pPr>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left="0" w:leftChars="0" w:firstLine="0" w:firstLineChars="0"/>
        <w:jc w:val="center"/>
        <w:textAlignment w:val="auto"/>
        <w:rPr>
          <w:rFonts w:hint="eastAsia" w:ascii="方正小标宋_GBK" w:hAnsi="方正小标宋_GBK" w:eastAsia="方正小标宋_GBK" w:cs="方正小标宋_GBK"/>
          <w:b w:val="0"/>
          <w:bCs w:val="0"/>
          <w:color w:val="262626"/>
          <w:kern w:val="0"/>
          <w:sz w:val="44"/>
          <w:szCs w:val="44"/>
          <w:lang w:val="en-US" w:eastAsia="zh-CN" w:bidi="ar-SA"/>
        </w:rPr>
      </w:pPr>
      <w:r>
        <w:rPr>
          <w:rFonts w:hint="eastAsia" w:ascii="方正小标宋_GBK" w:hAnsi="方正小标宋_GBK" w:eastAsia="方正小标宋_GBK" w:cs="方正小标宋_GBK"/>
          <w:b w:val="0"/>
          <w:bCs w:val="0"/>
          <w:color w:val="262626"/>
          <w:kern w:val="0"/>
          <w:sz w:val="44"/>
          <w:szCs w:val="44"/>
          <w:lang w:val="en-US" w:eastAsia="zh-CN" w:bidi="ar-SA"/>
        </w:rPr>
        <w:t>环境影响报告表的批复</w:t>
      </w:r>
    </w:p>
    <w:p w14:paraId="292D88F0">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p>
    <w:p w14:paraId="541D41F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济源市熔鑫节能材料有限公司</w:t>
      </w:r>
      <w:r>
        <w:rPr>
          <w:rFonts w:hint="eastAsia" w:ascii="仿宋_GB2312" w:hAnsi="仿宋_GB2312" w:eastAsia="仿宋_GB2312" w:cs="仿宋_GB2312"/>
          <w:sz w:val="32"/>
          <w:szCs w:val="32"/>
        </w:rPr>
        <w:t>：</w:t>
      </w:r>
    </w:p>
    <w:p w14:paraId="1A2BC570">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你单位（统一社会信用代码：</w:t>
      </w:r>
      <w:r>
        <w:rPr>
          <w:rFonts w:hint="eastAsia" w:ascii="仿宋_GB2312" w:hAnsi="仿宋_GB2312" w:cs="仿宋_GB2312"/>
          <w:sz w:val="32"/>
          <w:szCs w:val="32"/>
          <w:lang w:val="en-US" w:eastAsia="zh-CN"/>
        </w:rPr>
        <w:t>91419001MA44G97JXP</w:t>
      </w:r>
      <w:r>
        <w:rPr>
          <w:rFonts w:hint="eastAsia" w:ascii="仿宋_GB2312" w:hAnsi="仿宋_GB2312" w:eastAsia="仿宋_GB2312" w:cs="仿宋_GB2312"/>
          <w:sz w:val="32"/>
          <w:szCs w:val="32"/>
          <w:lang w:val="en-US" w:eastAsia="zh-CN"/>
        </w:rPr>
        <w:t>）报送的由</w:t>
      </w:r>
      <w:r>
        <w:rPr>
          <w:rFonts w:hint="eastAsia" w:ascii="仿宋_GB2312" w:hAnsi="仿宋_GB2312" w:cs="仿宋_GB2312"/>
          <w:sz w:val="32"/>
          <w:szCs w:val="32"/>
          <w:lang w:val="en-US" w:eastAsia="zh-CN"/>
        </w:rPr>
        <w:t>河南真芯环保科技有限公司史君丽</w:t>
      </w:r>
      <w:r>
        <w:rPr>
          <w:rFonts w:hint="eastAsia" w:ascii="仿宋_GB2312" w:hAnsi="仿宋_GB2312" w:eastAsia="仿宋_GB2312" w:cs="仿宋_GB2312"/>
          <w:sz w:val="32"/>
          <w:szCs w:val="32"/>
          <w:lang w:val="en-US" w:eastAsia="zh-CN"/>
        </w:rPr>
        <w:t>主持编制的《济源市熔鑫节能材料有限公司年综合利用2万吨废旧耐火材料项目环境影响报告表》（以下简称《报告表》）及行政审批申请等资料收悉，项目环评审批事项已在我局网站公示期满。根据《中华人民共和国环境保护法》《中华人民共和国行政许可法》《中华人民共和国环境影响评价法》《建设项目环境保护管理条例》等法律法规，经研究，批复如下</w:t>
      </w:r>
      <w:r>
        <w:rPr>
          <w:rFonts w:hint="eastAsia" w:ascii="仿宋_GB2312" w:hAnsi="仿宋_GB2312" w:cs="仿宋_GB2312"/>
          <w:sz w:val="32"/>
          <w:szCs w:val="32"/>
          <w:lang w:val="en-US" w:eastAsia="zh-CN"/>
        </w:rPr>
        <w:t>：</w:t>
      </w:r>
    </w:p>
    <w:p w14:paraId="3839444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sz w:val="32"/>
          <w:szCs w:val="32"/>
          <w:lang w:val="en-US" w:eastAsia="zh-CN"/>
        </w:rPr>
      </w:pPr>
      <w:r>
        <w:rPr>
          <w:rFonts w:hint="eastAsia" w:ascii="仿宋_GB2312" w:hAnsi="仿宋_GB2312" w:eastAsia="仿宋_GB2312" w:cs="仿宋_GB2312"/>
          <w:sz w:val="32"/>
          <w:szCs w:val="32"/>
          <w:lang w:val="en-US" w:eastAsia="zh-CN"/>
        </w:rPr>
        <w:t>该</w:t>
      </w:r>
      <w:r>
        <w:rPr>
          <w:rFonts w:hint="default" w:ascii="Times New Roman" w:hAnsi="Times New Roman" w:eastAsia="仿宋_GB2312" w:cs="Times New Roman"/>
          <w:sz w:val="32"/>
          <w:szCs w:val="32"/>
          <w:lang w:val="en-US" w:eastAsia="zh-CN"/>
        </w:rPr>
        <w:t>项目位于</w:t>
      </w:r>
      <w:r>
        <w:rPr>
          <w:rFonts w:hint="eastAsia" w:ascii="Times New Roman" w:hAnsi="Times New Roman" w:cs="Times New Roman"/>
          <w:sz w:val="32"/>
          <w:szCs w:val="32"/>
          <w:lang w:val="en-US" w:eastAsia="zh-CN"/>
        </w:rPr>
        <w:t>济源高新技术产业开发区大峪镇工业园区现有厂区。建设再生料生产线，通过破碎、轮碾、筛分等工序生产再生铝碳料、再生刚玉料、再生高铝料，通过破碎、水化、烘干、轮碾、筛分等工序生产再生镁砂料；建设破碎制粉线，通过破碎、球磨等工序生产刚玉细粉和高铝细粉；建设浇注料生产线，以自产再生料及外购的高铝水泥为原料，经称量混合、强制搅拌生产刚玉浇注料和高铝浇注料。</w:t>
      </w:r>
    </w:p>
    <w:p w14:paraId="35D1DA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二、</w:t>
      </w:r>
      <w:r>
        <w:rPr>
          <w:rFonts w:hint="eastAsia" w:ascii="仿宋_GB2312" w:hAnsi="仿宋_GB2312" w:eastAsia="仿宋_GB2312" w:cs="仿宋_GB2312"/>
          <w:sz w:val="32"/>
          <w:szCs w:val="32"/>
          <w:lang w:val="en-US" w:eastAsia="zh-CN"/>
        </w:rPr>
        <w:t>该《报告表》内容符合国家生态环境保护相关法律法规及生态环境保护有关规划要求，评价结论可信。我局批准该《报告表》，原则同意你公司按照《报告表》所列项目的建设内容和生态环境保护措施进行项目建设。</w:t>
      </w:r>
    </w:p>
    <w:p w14:paraId="499333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三、你单位应向社会公众主动公开</w:t>
      </w:r>
      <w:r>
        <w:rPr>
          <w:rFonts w:hint="eastAsia" w:ascii="仿宋_GB2312" w:hAnsi="仿宋_GB2312" w:cs="仿宋_GB2312"/>
          <w:sz w:val="32"/>
          <w:szCs w:val="32"/>
          <w:lang w:val="en-US" w:eastAsia="zh-CN"/>
        </w:rPr>
        <w:t>已</w:t>
      </w:r>
      <w:r>
        <w:rPr>
          <w:rFonts w:hint="eastAsia" w:ascii="仿宋_GB2312" w:hAnsi="仿宋_GB2312" w:eastAsia="仿宋_GB2312" w:cs="仿宋_GB2312"/>
          <w:sz w:val="32"/>
          <w:szCs w:val="32"/>
          <w:lang w:val="en-US" w:eastAsia="zh-CN"/>
        </w:rPr>
        <w:t>经批准的《报告表》，接受相关方的垂询。</w:t>
      </w:r>
    </w:p>
    <w:p w14:paraId="2793B5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四、你单位应全面落实《报告表》提出的各项环境保护措施，各项环境保护设施与主体工程同时设计、同时施工、同时投入使用，确保各项污染物达标排放。</w:t>
      </w:r>
    </w:p>
    <w:p w14:paraId="00517402">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（一）向设计单位提供《报告</w:t>
      </w:r>
      <w:r>
        <w:rPr>
          <w:rFonts w:hint="eastAsia" w:ascii="仿宋_GB2312" w:hAnsi="仿宋_GB2312" w:cs="仿宋_GB2312"/>
          <w:sz w:val="32"/>
          <w:szCs w:val="32"/>
          <w:lang w:eastAsia="zh-CN"/>
        </w:rPr>
        <w:t>表</w:t>
      </w:r>
      <w:r>
        <w:rPr>
          <w:rFonts w:hint="eastAsia" w:ascii="仿宋_GB2312" w:hAnsi="仿宋_GB2312" w:eastAsia="仿宋_GB2312" w:cs="仿宋_GB2312"/>
          <w:sz w:val="32"/>
          <w:szCs w:val="32"/>
        </w:rPr>
        <w:t>》和本批复文件，确保项目设计按照环境保护设计规范要求，落实防治环境污染和生态破坏的措施。</w:t>
      </w:r>
    </w:p>
    <w:p w14:paraId="7DD8863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Cs w:val="32"/>
        </w:rPr>
        <w:t>（二）项目运行时，外排污染物应满足如下要求：</w:t>
      </w:r>
    </w:p>
    <w:p w14:paraId="770DD6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napToGrid w:val="0"/>
          <w:sz w:val="32"/>
          <w:szCs w:val="32"/>
          <w:lang w:val="en-US" w:eastAsia="zh-CN"/>
        </w:rPr>
      </w:pPr>
      <w:r>
        <w:rPr>
          <w:rFonts w:hint="eastAsia" w:ascii="仿宋_GB2312" w:hAnsi="仿宋_GB2312" w:cs="仿宋_GB2312"/>
          <w:sz w:val="32"/>
          <w:szCs w:val="32"/>
          <w:lang w:val="en-US" w:eastAsia="zh-CN"/>
        </w:rPr>
        <w:t>1.废气。落实《报告表》提出的废气处理措施，</w:t>
      </w:r>
      <w:r>
        <w:rPr>
          <w:rFonts w:hint="eastAsia" w:ascii="仿宋_GB2312" w:hAnsi="仿宋_GB2312" w:cs="仿宋_GB2312"/>
          <w:szCs w:val="32"/>
        </w:rPr>
        <w:t>加强废气的收集处理</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最大限度</w:t>
      </w:r>
      <w:r>
        <w:rPr>
          <w:rFonts w:hint="eastAsia" w:ascii="仿宋_GB2312" w:hAnsi="仿宋_GB2312" w:eastAsia="仿宋_GB2312" w:cs="仿宋_GB2312"/>
          <w:sz w:val="32"/>
          <w:szCs w:val="32"/>
        </w:rPr>
        <w:t>减少</w:t>
      </w:r>
      <w:r>
        <w:rPr>
          <w:rFonts w:hint="eastAsia" w:ascii="仿宋_GB2312" w:hAnsi="仿宋_GB2312" w:eastAsia="仿宋_GB2312" w:cs="仿宋_GB2312"/>
          <w:sz w:val="32"/>
          <w:szCs w:val="32"/>
          <w:lang w:eastAsia="zh-CN"/>
        </w:rPr>
        <w:t>无组织</w:t>
      </w:r>
      <w:r>
        <w:rPr>
          <w:rFonts w:hint="eastAsia" w:ascii="仿宋_GB2312" w:hAnsi="仿宋_GB2312" w:eastAsia="仿宋_GB2312" w:cs="仿宋_GB2312"/>
          <w:sz w:val="32"/>
          <w:szCs w:val="32"/>
        </w:rPr>
        <w:t>排放</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eastAsia="zh-CN"/>
        </w:rPr>
        <w:t>废气排放</w:t>
      </w:r>
      <w:r>
        <w:rPr>
          <w:rFonts w:hint="eastAsia" w:ascii="仿宋_GB2312" w:hAnsi="仿宋_GB2312" w:cs="仿宋_GB2312"/>
          <w:snapToGrid w:val="0"/>
          <w:sz w:val="32"/>
          <w:szCs w:val="32"/>
          <w:lang w:val="en-US" w:eastAsia="zh-CN"/>
        </w:rPr>
        <w:t>须满足</w:t>
      </w:r>
      <w:r>
        <w:rPr>
          <w:rFonts w:hint="default" w:ascii="Times New Roman" w:hAnsi="Times New Roman" w:cs="Times New Roman"/>
          <w:sz w:val="32"/>
          <w:szCs w:val="32"/>
          <w:lang w:val="en-US" w:eastAsia="zh-CN"/>
        </w:rPr>
        <w:t>《耐火材料工业大气污染物排放标准》</w:t>
      </w:r>
      <w:r>
        <w:rPr>
          <w:rFonts w:hint="eastAsia" w:ascii="仿宋_GB2312" w:hAnsi="仿宋_GB2312" w:cs="仿宋_GB2312"/>
          <w:sz w:val="32"/>
          <w:szCs w:val="32"/>
          <w:lang w:val="en-US" w:eastAsia="zh-CN"/>
        </w:rPr>
        <w:t>（</w:t>
      </w:r>
      <w:r>
        <w:rPr>
          <w:rFonts w:hint="default" w:ascii="仿宋_GB2312" w:hAnsi="仿宋_GB2312" w:cs="仿宋_GB2312"/>
          <w:sz w:val="32"/>
          <w:szCs w:val="32"/>
          <w:lang w:val="en-US" w:eastAsia="zh-CN"/>
        </w:rPr>
        <w:t>DB41/2166-2021</w:t>
      </w:r>
      <w:r>
        <w:rPr>
          <w:rFonts w:hint="eastAsia" w:ascii="仿宋_GB2312" w:hAnsi="仿宋_GB2312" w:cs="仿宋_GB2312"/>
          <w:sz w:val="32"/>
          <w:szCs w:val="32"/>
          <w:lang w:val="en-US" w:eastAsia="zh-CN"/>
        </w:rPr>
        <w:t>）</w:t>
      </w:r>
      <w:r>
        <w:rPr>
          <w:rFonts w:hint="eastAsia" w:ascii="Times New Roman" w:hAnsi="Times New Roman" w:cs="Times New Roman"/>
          <w:sz w:val="32"/>
          <w:szCs w:val="32"/>
          <w:lang w:val="en-US" w:eastAsia="zh-CN"/>
        </w:rPr>
        <w:t>限值</w:t>
      </w:r>
      <w:r>
        <w:rPr>
          <w:rFonts w:hint="eastAsia" w:ascii="仿宋_GB2312" w:hAnsi="仿宋_GB2312" w:cs="仿宋_GB2312"/>
          <w:snapToGrid w:val="0"/>
          <w:sz w:val="32"/>
          <w:szCs w:val="32"/>
          <w:lang w:val="en-US" w:eastAsia="zh-CN"/>
        </w:rPr>
        <w:t>要求。</w:t>
      </w:r>
    </w:p>
    <w:p w14:paraId="71EBE6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cs="仿宋_GB2312"/>
          <w:sz w:val="32"/>
          <w:szCs w:val="32"/>
          <w:highlight w:val="none"/>
          <w:lang w:val="en-US" w:eastAsia="zh-CN"/>
        </w:rPr>
        <w:t>废水。项目再生料水化废水经水化池沉淀后循环使用；车辆冲洗废水收集沉淀后循环利用；生活污水经化粪池处理后定期清掏资源化综合利用</w:t>
      </w:r>
      <w:r>
        <w:rPr>
          <w:rFonts w:hint="eastAsia" w:ascii="仿宋_GB2312" w:hAnsi="仿宋_GB2312" w:cs="仿宋_GB2312"/>
          <w:sz w:val="32"/>
          <w:szCs w:val="32"/>
          <w:lang w:val="en-US" w:eastAsia="zh-CN"/>
        </w:rPr>
        <w:t>。废水均不外排。</w:t>
      </w:r>
    </w:p>
    <w:p w14:paraId="09E069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噪声。</w:t>
      </w:r>
      <w:r>
        <w:rPr>
          <w:rFonts w:hint="eastAsia" w:ascii="仿宋_GB2312" w:hAnsi="仿宋_GB2312" w:eastAsia="仿宋_GB2312" w:cs="仿宋_GB2312"/>
          <w:snapToGrid w:val="0"/>
          <w:sz w:val="32"/>
          <w:szCs w:val="32"/>
        </w:rPr>
        <w:t>项目</w:t>
      </w:r>
      <w:r>
        <w:rPr>
          <w:rFonts w:hint="eastAsia" w:ascii="仿宋_GB2312" w:hAnsi="仿宋_GB2312" w:cs="仿宋_GB2312"/>
          <w:sz w:val="32"/>
          <w:szCs w:val="32"/>
          <w:lang w:val="en-US" w:eastAsia="zh-CN"/>
        </w:rPr>
        <w:t>厂界噪声满足《工业企业厂界环境噪声排放标准》（GB12348-2008）3类要求。</w:t>
      </w:r>
    </w:p>
    <w:p w14:paraId="52581B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.固废。</w:t>
      </w:r>
      <w:r>
        <w:rPr>
          <w:rFonts w:hint="eastAsia" w:ascii="仿宋_GB2312" w:hAnsi="仿宋_GB2312" w:cs="仿宋_GB2312"/>
          <w:color w:val="auto"/>
          <w:sz w:val="32"/>
          <w:szCs w:val="32"/>
          <w:lang w:val="en-US" w:eastAsia="zh-CN"/>
        </w:rPr>
        <w:t>按照《报告表》中要求加强各类固体废物管理工作，建立产生、贮存、处置、利用等记录台账，做好分类收集、存储、分类处置利用工作。各类固体废物全部妥善处理，须做到合理处置或综合利用，不得随意堆放、弃置</w:t>
      </w:r>
      <w:r>
        <w:rPr>
          <w:rFonts w:hint="eastAsia" w:ascii="仿宋_GB2312" w:hAnsi="仿宋_GB2312" w:eastAsia="仿宋_GB2312" w:cs="仿宋_GB2312"/>
          <w:sz w:val="32"/>
          <w:szCs w:val="32"/>
          <w:lang w:val="en-US" w:eastAsia="zh-CN"/>
        </w:rPr>
        <w:t>。</w:t>
      </w:r>
    </w:p>
    <w:p w14:paraId="4A34AC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五、项目须按要求落实各类环保设施，按有关标准要求设置排污口，积极完成现有工程存在问题的整改。严格落实排污许可制度，按要求及时</w:t>
      </w:r>
      <w:r>
        <w:rPr>
          <w:rFonts w:hint="eastAsia" w:ascii="仿宋_GB2312" w:hAnsi="仿宋_GB2312" w:cs="仿宋_GB2312"/>
          <w:sz w:val="32"/>
          <w:szCs w:val="32"/>
          <w:lang w:val="en-US" w:eastAsia="zh-CN"/>
        </w:rPr>
        <w:t>变更相关内容</w:t>
      </w:r>
      <w:r>
        <w:rPr>
          <w:rFonts w:hint="eastAsia" w:ascii="仿宋_GB2312" w:hAnsi="仿宋_GB2312" w:eastAsia="仿宋_GB2312" w:cs="仿宋_GB2312"/>
          <w:sz w:val="32"/>
          <w:szCs w:val="32"/>
          <w:lang w:val="en-US" w:eastAsia="zh-CN"/>
        </w:rPr>
        <w:t>，按规定程序实施竣工环境保护验收，经验收合格后方可正式投产。</w:t>
      </w:r>
    </w:p>
    <w:p w14:paraId="390ADF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六、按照报告制定的监测计划，定期对排放的各类污染物进行跟踪监测，发布相关信息。</w:t>
      </w:r>
    </w:p>
    <w:p w14:paraId="72A344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七</w:t>
      </w:r>
      <w:r>
        <w:rPr>
          <w:rFonts w:hint="default" w:ascii="Times New Roman" w:hAnsi="Times New Roman" w:eastAsia="仿宋_GB2312" w:cs="Times New Roman"/>
          <w:sz w:val="32"/>
          <w:szCs w:val="32"/>
          <w:lang w:val="en-US" w:eastAsia="zh-CN"/>
        </w:rPr>
        <w:t>、</w:t>
      </w:r>
      <w:r>
        <w:rPr>
          <w:rFonts w:hint="eastAsia" w:ascii="Times New Roman" w:hAnsi="Times New Roman" w:cs="Times New Roman"/>
          <w:sz w:val="32"/>
          <w:szCs w:val="32"/>
          <w:lang w:val="en-US" w:eastAsia="zh-CN"/>
        </w:rPr>
        <w:t>落实</w:t>
      </w:r>
      <w:r>
        <w:rPr>
          <w:rFonts w:hint="eastAsia" w:ascii="仿宋_GB2312" w:hAnsi="仿宋_GB2312" w:cs="仿宋_GB2312"/>
          <w:snapToGrid w:val="0"/>
          <w:sz w:val="32"/>
          <w:szCs w:val="32"/>
          <w:lang w:val="en-US" w:eastAsia="zh-CN"/>
        </w:rPr>
        <w:t>《重污染天气重点行业应急减排措施制定技术指南（2020年修订版）》（环办大气函</w:t>
      </w:r>
      <w:r>
        <w:rPr>
          <w:rFonts w:hint="eastAsia" w:ascii="仿宋_GB2312" w:hAnsi="仿宋_GB2312" w:cs="仿宋_GB2312"/>
          <w:sz w:val="32"/>
          <w:szCs w:val="32"/>
          <w:lang w:val="en-US" w:eastAsia="zh-CN"/>
        </w:rPr>
        <w:t>〔2020〕340</w:t>
      </w:r>
      <w:r>
        <w:rPr>
          <w:rFonts w:hint="eastAsia" w:ascii="仿宋_GB2312" w:hAnsi="仿宋_GB2312" w:cs="仿宋_GB2312"/>
          <w:snapToGrid w:val="0"/>
          <w:sz w:val="32"/>
          <w:szCs w:val="32"/>
          <w:lang w:val="en-US" w:eastAsia="zh-CN"/>
        </w:rPr>
        <w:t>号）耐火原料和制品企业A级</w:t>
      </w:r>
      <w:r>
        <w:rPr>
          <w:rFonts w:hint="default" w:ascii="Times New Roman" w:hAnsi="Times New Roman" w:eastAsia="仿宋_GB2312" w:cs="Times New Roman"/>
          <w:sz w:val="32"/>
          <w:szCs w:val="32"/>
          <w:lang w:val="en-US" w:eastAsia="zh-CN"/>
        </w:rPr>
        <w:t>绩效</w:t>
      </w:r>
      <w:r>
        <w:rPr>
          <w:rFonts w:hint="eastAsia" w:ascii="Times New Roman" w:hAnsi="Times New Roman" w:cs="Times New Roman"/>
          <w:sz w:val="32"/>
          <w:szCs w:val="32"/>
          <w:lang w:val="en-US" w:eastAsia="zh-CN"/>
        </w:rPr>
        <w:t>各项</w:t>
      </w:r>
      <w:r>
        <w:rPr>
          <w:rFonts w:hint="eastAsia" w:ascii="仿宋_GB2312" w:hAnsi="仿宋_GB2312" w:cs="仿宋_GB2312"/>
          <w:snapToGrid w:val="0"/>
          <w:sz w:val="32"/>
          <w:szCs w:val="32"/>
          <w:lang w:val="en-US" w:eastAsia="zh-CN"/>
        </w:rPr>
        <w:t>指标要求</w:t>
      </w:r>
      <w:r>
        <w:rPr>
          <w:rFonts w:hint="default" w:ascii="Times New Roman" w:hAnsi="Times New Roman" w:eastAsia="仿宋_GB2312" w:cs="Times New Roman"/>
          <w:sz w:val="32"/>
          <w:szCs w:val="32"/>
          <w:lang w:val="en-US" w:eastAsia="zh-CN"/>
        </w:rPr>
        <w:t>。</w:t>
      </w:r>
    </w:p>
    <w:p w14:paraId="04DD72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八、</w:t>
      </w:r>
      <w:r>
        <w:rPr>
          <w:rFonts w:hint="default" w:ascii="Times New Roman" w:hAnsi="Times New Roman" w:cs="Times New Roman"/>
          <w:sz w:val="32"/>
          <w:szCs w:val="32"/>
          <w:lang w:val="en-US" w:eastAsia="zh-CN"/>
        </w:rPr>
        <w:t>本批复有效期为5年，如该项目逾期开工建设，其环境影响报告表应报我局重新审核。项目建设如发生重大变动，应当重新报批建设项目环境影响评价文件。</w:t>
      </w:r>
    </w:p>
    <w:p w14:paraId="08CCBF9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九</w:t>
      </w:r>
      <w:r>
        <w:rPr>
          <w:rFonts w:hint="eastAsia" w:ascii="仿宋_GB2312" w:hAnsi="仿宋_GB2312" w:eastAsia="仿宋_GB2312" w:cs="仿宋_GB2312"/>
          <w:sz w:val="32"/>
          <w:szCs w:val="32"/>
          <w:lang w:val="en-US" w:eastAsia="zh-CN"/>
        </w:rPr>
        <w:t>、今后国家或我省颁布严于本批复污染物排放限值的新标准，届时你公司应按新的排放标准执行。</w:t>
      </w:r>
    </w:p>
    <w:p w14:paraId="5FAC167B">
      <w:pPr>
        <w:pStyle w:val="2"/>
        <w:rPr>
          <w:rFonts w:hint="eastAsia" w:ascii="仿宋_GB2312" w:hAnsi="仿宋_GB2312" w:eastAsia="仿宋_GB2312" w:cs="仿宋_GB2312"/>
          <w:kern w:val="2"/>
          <w:sz w:val="32"/>
          <w:szCs w:val="32"/>
          <w:lang w:val="en-US" w:eastAsia="zh-CN" w:bidi="ar-SA"/>
        </w:rPr>
      </w:pPr>
    </w:p>
    <w:p w14:paraId="29A0D6C6">
      <w:pPr>
        <w:pStyle w:val="2"/>
        <w:ind w:left="0" w:leftChars="0" w:firstLine="0" w:firstLineChars="0"/>
        <w:rPr>
          <w:rFonts w:hint="eastAsia" w:ascii="仿宋_GB2312" w:hAnsi="仿宋_GB2312" w:eastAsia="仿宋_GB2312" w:cs="仿宋_GB2312"/>
          <w:kern w:val="2"/>
          <w:sz w:val="32"/>
          <w:szCs w:val="32"/>
          <w:lang w:val="en-US" w:eastAsia="zh-CN" w:bidi="ar-SA"/>
        </w:rPr>
      </w:pPr>
    </w:p>
    <w:p w14:paraId="7383396D">
      <w:pPr>
        <w:keepNext w:val="0"/>
        <w:keepLines w:val="0"/>
        <w:pageBreakBefore w:val="0"/>
        <w:widowControl w:val="0"/>
        <w:kinsoku/>
        <w:wordWrap/>
        <w:overflowPunct/>
        <w:topLinePunct w:val="0"/>
        <w:autoSpaceDE/>
        <w:autoSpaceDN/>
        <w:bidi w:val="0"/>
        <w:adjustRightInd/>
        <w:snapToGrid/>
        <w:ind w:firstLine="4480" w:firstLineChars="1400"/>
        <w:jc w:val="both"/>
        <w:textAlignment w:val="auto"/>
      </w:pP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年</w:t>
      </w:r>
      <w:r>
        <w:rPr>
          <w:rFonts w:hint="eastAsia" w:ascii="仿宋_GB2312" w:hAnsi="仿宋_GB2312" w:cs="仿宋_GB2312"/>
          <w:sz w:val="32"/>
          <w:szCs w:val="32"/>
          <w:lang w:val="en-US" w:eastAsia="zh-CN"/>
        </w:rPr>
        <w:t>12</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color w:val="auto"/>
          <w:sz w:val="32"/>
          <w:szCs w:val="32"/>
          <w:lang w:val="en-US" w:eastAsia="zh-CN"/>
        </w:rPr>
        <w:t>31</w:t>
      </w:r>
      <w:bookmarkStart w:id="0" w:name="_GoBack"/>
      <w:bookmarkEnd w:id="0"/>
      <w:r>
        <w:rPr>
          <w:rFonts w:hint="eastAsia" w:ascii="仿宋_GB2312" w:hAnsi="仿宋_GB2312" w:eastAsia="仿宋_GB2312" w:cs="仿宋_GB2312"/>
          <w:color w:val="auto"/>
          <w:sz w:val="32"/>
          <w:szCs w:val="32"/>
          <w:lang w:val="en-US" w:eastAsia="zh-CN"/>
        </w:rPr>
        <w:t xml:space="preserve">日 </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方正小标宋简体"/>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32E093"/>
    <w:multiLevelType w:val="singleLevel"/>
    <w:tmpl w:val="EA32E09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D106A"/>
    <w:rsid w:val="1CE936DD"/>
    <w:rsid w:val="1FC702E1"/>
    <w:rsid w:val="22072167"/>
    <w:rsid w:val="2EFA8A3D"/>
    <w:rsid w:val="31CC3857"/>
    <w:rsid w:val="333CC147"/>
    <w:rsid w:val="3BFF62C7"/>
    <w:rsid w:val="3D6060EB"/>
    <w:rsid w:val="3FCA8AE2"/>
    <w:rsid w:val="40CE155D"/>
    <w:rsid w:val="426E5053"/>
    <w:rsid w:val="4C3E1A99"/>
    <w:rsid w:val="4DC424F6"/>
    <w:rsid w:val="4FD36852"/>
    <w:rsid w:val="5B7F9B3A"/>
    <w:rsid w:val="5C245548"/>
    <w:rsid w:val="6E94B4A8"/>
    <w:rsid w:val="6EEFF5DF"/>
    <w:rsid w:val="793678DB"/>
    <w:rsid w:val="79D64B63"/>
    <w:rsid w:val="7CBF82A8"/>
    <w:rsid w:val="7E97DB36"/>
    <w:rsid w:val="7F3F8CC1"/>
    <w:rsid w:val="AC1E75CC"/>
    <w:rsid w:val="AE7FCB27"/>
    <w:rsid w:val="BAFD8F2C"/>
    <w:rsid w:val="D737F0D7"/>
    <w:rsid w:val="DFB73316"/>
    <w:rsid w:val="E7F771C5"/>
    <w:rsid w:val="FC5FEBC3"/>
    <w:rsid w:val="FFF7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next w:val="1"/>
    <w:unhideWhenUsed/>
    <w:qFormat/>
    <w:uiPriority w:val="99"/>
    <w:pPr>
      <w:spacing w:after="120" w:line="480" w:lineRule="auto"/>
      <w:ind w:left="420" w:leftChars="200"/>
    </w:pPr>
  </w:style>
  <w:style w:type="paragraph" w:styleId="3">
    <w:name w:val="toa heading"/>
    <w:basedOn w:val="1"/>
    <w:next w:val="1"/>
    <w:semiHidden/>
    <w:qFormat/>
    <w:uiPriority w:val="0"/>
    <w:pPr>
      <w:spacing w:before="120"/>
    </w:pPr>
    <w:rPr>
      <w:rFonts w:ascii="Arial" w:hAnsi="Arial" w:cs="Arial"/>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1333</Words>
  <Characters>1395</Characters>
  <Lines>0</Lines>
  <Paragraphs>0</Paragraphs>
  <TotalTime>7</TotalTime>
  <ScaleCrop>false</ScaleCrop>
  <LinksUpToDate>false</LinksUpToDate>
  <CharactersWithSpaces>1403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2023-12-06T17:26:00Z</dcterms:created>
  <dc:creator>jia</dc:creator>
  <cp:lastModifiedBy>Administrator</cp:lastModifiedBy>
  <dcterms:modified xsi:type="dcterms:W3CDTF">2024-12-31T05:44:02Z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3876AA86262C4D629A6B5BAB9EFCE561</vt:lpwstr>
  </property>
  <property fmtid="{D5CDD505-2E9C-101B-9397-08002B2CF9AE}" pid="4" name="KSOTemplateDocerSaveRecord">
    <vt:lpwstr>eyJoZGlkIjoiMmIyMjQ1MjJlZDQ4MGU1YzQyNGVmODhmNzVkYjRiMDQifQ==</vt:lpwstr>
  </property>
</Properties>
</file>