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ascii="宋体" w:hAnsi="宋体" w:eastAsia="方正小标宋简体" w:cs="方正小标宋简体"/>
          <w:b w:val="0"/>
          <w:bCs/>
          <w:smallCaps w:val="0"/>
          <w:color w:val="000000" w:themeColor="text1"/>
          <w:sz w:val="44"/>
          <w:szCs w:val="44"/>
          <w14:textFill>
            <w14:solidFill>
              <w14:schemeClr w14:val="tx1"/>
            </w14:solidFill>
          </w14:textFill>
        </w:rPr>
      </w:pPr>
      <w:r>
        <w:rPr>
          <w:rFonts w:hint="eastAsia" w:ascii="宋体" w:hAnsi="宋体" w:eastAsia="方正小标宋简体" w:cs="方正小标宋简体"/>
          <w:b w:val="0"/>
          <w:bCs/>
          <w:smallCaps w:val="0"/>
          <w:color w:val="000000" w:themeColor="text1"/>
          <w:sz w:val="44"/>
          <w:szCs w:val="44"/>
          <w14:textFill>
            <w14:solidFill>
              <w14:schemeClr w14:val="tx1"/>
            </w14:solidFill>
          </w14:textFill>
        </w:rPr>
        <w:t>济源</w:t>
      </w:r>
      <w:r>
        <w:rPr>
          <w:rFonts w:hint="eastAsia" w:ascii="宋体" w:hAnsi="宋体" w:eastAsia="方正小标宋简体" w:cs="方正小标宋简体"/>
          <w:b w:val="0"/>
          <w:bCs/>
          <w:smallCaps w:val="0"/>
          <w:color w:val="000000" w:themeColor="text1"/>
          <w:sz w:val="44"/>
          <w:szCs w:val="44"/>
          <w:lang w:val="en-US" w:eastAsia="zh-CN"/>
          <w14:textFill>
            <w14:solidFill>
              <w14:schemeClr w14:val="tx1"/>
            </w14:solidFill>
          </w14:textFill>
        </w:rPr>
        <w:t>产城融</w:t>
      </w:r>
      <w:bookmarkStart w:id="0" w:name="_GoBack"/>
      <w:bookmarkEnd w:id="0"/>
      <w:r>
        <w:rPr>
          <w:rFonts w:hint="eastAsia" w:ascii="宋体" w:hAnsi="宋体" w:eastAsia="方正小标宋简体" w:cs="方正小标宋简体"/>
          <w:b w:val="0"/>
          <w:bCs/>
          <w:smallCaps w:val="0"/>
          <w:color w:val="000000" w:themeColor="text1"/>
          <w:sz w:val="44"/>
          <w:szCs w:val="44"/>
          <w:lang w:val="en-US" w:eastAsia="zh-CN"/>
          <w14:textFill>
            <w14:solidFill>
              <w14:schemeClr w14:val="tx1"/>
            </w14:solidFill>
          </w14:textFill>
        </w:rPr>
        <w:t>合</w:t>
      </w:r>
      <w:r>
        <w:rPr>
          <w:rFonts w:hint="eastAsia" w:ascii="宋体" w:hAnsi="宋体" w:eastAsia="方正小标宋简体" w:cs="方正小标宋简体"/>
          <w:b w:val="0"/>
          <w:bCs/>
          <w:smallCaps w:val="0"/>
          <w:color w:val="000000" w:themeColor="text1"/>
          <w:sz w:val="44"/>
          <w:szCs w:val="44"/>
          <w14:textFill>
            <w14:solidFill>
              <w14:schemeClr w14:val="tx1"/>
            </w14:solidFill>
          </w14:textFill>
        </w:rPr>
        <w:t>示范区生态环境局</w:t>
      </w:r>
    </w:p>
    <w:p>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ascii="宋体" w:hAnsi="宋体" w:eastAsia="方正小标宋_GBK" w:cs="方正小标宋_GBK"/>
          <w:sz w:val="44"/>
          <w:szCs w:val="44"/>
          <w:lang w:val="en-US" w:eastAsia="zh-CN"/>
        </w:rPr>
      </w:pPr>
      <w:r>
        <w:rPr>
          <w:rFonts w:hint="eastAsia" w:ascii="宋体" w:hAnsi="宋体" w:eastAsia="方正小标宋_GBK" w:cs="方正小标宋_GBK"/>
          <w:sz w:val="44"/>
          <w:szCs w:val="44"/>
          <w:lang w:val="en-US" w:eastAsia="zh-CN"/>
        </w:rPr>
        <w:t>关于印发《济源示范区危险废物自行利用处置专项整治行动方案》的通知</w:t>
      </w:r>
    </w:p>
    <w:p>
      <w:pPr>
        <w:pStyle w:val="2"/>
        <w:ind w:left="0" w:leftChars="0" w:firstLine="0" w:firstLineChars="0"/>
        <w:jc w:val="center"/>
        <w:rPr>
          <w:rFonts w:hint="eastAsia"/>
          <w:lang w:val="en-US" w:eastAsia="zh-CN"/>
        </w:rPr>
      </w:pPr>
      <w:r>
        <w:rPr>
          <w:rFonts w:hint="eastAsia" w:ascii="宋体" w:hAnsi="宋体" w:eastAsia="方正小标宋_GBK" w:cs="方正小标宋_GBK"/>
          <w:sz w:val="44"/>
          <w:szCs w:val="44"/>
          <w:lang w:val="en-US" w:eastAsia="zh-CN"/>
        </w:rPr>
        <w:t>（征求意见稿）</w:t>
      </w:r>
    </w:p>
    <w:p>
      <w:pPr>
        <w:keepNext w:val="0"/>
        <w:keepLines w:val="0"/>
        <w:pageBreakBefore w:val="0"/>
        <w:widowControl w:val="0"/>
        <w:suppressLineNumbers w:val="0"/>
        <w:kinsoku/>
        <w:wordWrap/>
        <w:overflowPunct/>
        <w:topLinePunct w:val="0"/>
        <w:autoSpaceDE/>
        <w:autoSpaceDN/>
        <w:bidi w:val="0"/>
        <w:adjustRightInd/>
        <w:snapToGrid/>
        <w:spacing w:line="400" w:lineRule="exact"/>
        <w:jc w:val="both"/>
        <w:textAlignment w:val="center"/>
        <w:rPr>
          <w:rFonts w:hint="eastAsia" w:ascii="宋体" w:hAnsi="宋体" w:eastAsia="仿宋_GB2312" w:cs="仿宋_GB2312"/>
          <w:b w:val="0"/>
          <w:bCs/>
          <w:i w:val="0"/>
          <w:color w:val="000000"/>
          <w:kern w:val="0"/>
          <w:sz w:val="32"/>
          <w:szCs w:val="32"/>
          <w:u w:val="none"/>
          <w:vertAlign w:val="baseline"/>
          <w:lang w:val="en-US" w:eastAsia="zh-CN"/>
        </w:rPr>
      </w:pPr>
    </w:p>
    <w:p>
      <w:pPr>
        <w:keepNext w:val="0"/>
        <w:keepLines w:val="0"/>
        <w:pageBreakBefore w:val="0"/>
        <w:widowControl w:val="0"/>
        <w:suppressLineNumbers w:val="0"/>
        <w:kinsoku/>
        <w:wordWrap/>
        <w:overflowPunct/>
        <w:topLinePunct w:val="0"/>
        <w:autoSpaceDE/>
        <w:autoSpaceDN/>
        <w:bidi w:val="0"/>
        <w:adjustRightInd/>
        <w:snapToGrid/>
        <w:spacing w:line="590" w:lineRule="exact"/>
        <w:jc w:val="both"/>
        <w:textAlignment w:val="center"/>
        <w:rPr>
          <w:rFonts w:hint="eastAsia" w:ascii="宋体" w:hAnsi="宋体" w:eastAsia="仿宋_GB2312" w:cs="仿宋_GB2312"/>
          <w:b w:val="0"/>
          <w:bCs/>
          <w:i w:val="0"/>
          <w:color w:val="000000"/>
          <w:kern w:val="0"/>
          <w:sz w:val="32"/>
          <w:szCs w:val="32"/>
          <w:u w:val="none"/>
          <w:vertAlign w:val="baseline"/>
          <w:lang w:val="en-US" w:eastAsia="zh-CN"/>
        </w:rPr>
      </w:pPr>
      <w:r>
        <w:rPr>
          <w:rFonts w:hint="eastAsia" w:ascii="宋体" w:hAnsi="宋体" w:eastAsia="仿宋_GB2312" w:cs="仿宋_GB2312"/>
          <w:b w:val="0"/>
          <w:bCs/>
          <w:i w:val="0"/>
          <w:color w:val="000000"/>
          <w:kern w:val="0"/>
          <w:sz w:val="32"/>
          <w:szCs w:val="32"/>
          <w:u w:val="none"/>
          <w:vertAlign w:val="baseline"/>
          <w:lang w:val="en-US" w:eastAsia="zh-CN"/>
        </w:rPr>
        <w:t>局各科室、局属二级机构，各有关企业：</w:t>
      </w:r>
    </w:p>
    <w:p>
      <w:pPr>
        <w:keepNext w:val="0"/>
        <w:keepLines w:val="0"/>
        <w:pageBreakBefore w:val="0"/>
        <w:widowControl w:val="0"/>
        <w:suppressLineNumbers w:val="0"/>
        <w:kinsoku/>
        <w:wordWrap/>
        <w:overflowPunct/>
        <w:topLinePunct w:val="0"/>
        <w:autoSpaceDE/>
        <w:autoSpaceDN/>
        <w:bidi w:val="0"/>
        <w:adjustRightInd/>
        <w:snapToGrid/>
        <w:spacing w:line="590" w:lineRule="exact"/>
        <w:ind w:firstLine="640" w:firstLineChars="200"/>
        <w:jc w:val="both"/>
        <w:textAlignment w:val="center"/>
        <w:rPr>
          <w:rFonts w:hint="eastAsia" w:ascii="宋体" w:hAnsi="宋体" w:eastAsia="仿宋_GB2312" w:cs="仿宋_GB2312"/>
          <w:b w:val="0"/>
          <w:bCs/>
          <w:i w:val="0"/>
          <w:color w:val="000000"/>
          <w:kern w:val="0"/>
          <w:sz w:val="32"/>
          <w:szCs w:val="32"/>
          <w:u w:val="none"/>
          <w:vertAlign w:val="baseline"/>
          <w:lang w:val="en-US" w:eastAsia="zh-CN"/>
        </w:rPr>
      </w:pPr>
      <w:r>
        <w:rPr>
          <w:rFonts w:hint="eastAsia" w:ascii="宋体" w:hAnsi="宋体" w:eastAsia="仿宋_GB2312" w:cs="仿宋_GB2312"/>
          <w:b w:val="0"/>
          <w:bCs/>
          <w:i w:val="0"/>
          <w:color w:val="000000"/>
          <w:kern w:val="0"/>
          <w:sz w:val="32"/>
          <w:szCs w:val="32"/>
          <w:u w:val="none"/>
          <w:vertAlign w:val="baseline"/>
          <w:lang w:val="en-US" w:eastAsia="zh-CN"/>
        </w:rPr>
        <w:t>为贯彻落实《中华人民共和国固体废物污染环境防治法》</w:t>
      </w:r>
      <w:r>
        <w:rPr>
          <w:rFonts w:hint="default" w:ascii="宋体" w:hAnsi="宋体" w:eastAsia="仿宋_GB2312" w:cs="仿宋_GB2312"/>
          <w:b w:val="0"/>
          <w:bCs/>
          <w:i w:val="0"/>
          <w:color w:val="000000"/>
          <w:kern w:val="0"/>
          <w:sz w:val="32"/>
          <w:szCs w:val="32"/>
          <w:u w:val="none"/>
          <w:vertAlign w:val="baseline"/>
          <w:lang w:val="en-US" w:eastAsia="zh-CN"/>
        </w:rPr>
        <w:t>,</w:t>
      </w:r>
      <w:r>
        <w:rPr>
          <w:rFonts w:hint="eastAsia" w:ascii="宋体" w:hAnsi="宋体" w:eastAsia="仿宋_GB2312" w:cs="仿宋_GB2312"/>
          <w:b w:val="0"/>
          <w:bCs/>
          <w:i w:val="0"/>
          <w:color w:val="000000"/>
          <w:kern w:val="0"/>
          <w:sz w:val="32"/>
          <w:szCs w:val="32"/>
          <w:u w:val="none"/>
          <w:vertAlign w:val="baseline"/>
          <w:lang w:val="en-US" w:eastAsia="zh-CN"/>
        </w:rPr>
        <w:t>按照《河南省强化危险废物监管和利用处置能力改革实施方案》《河南省生态环境厅办公室关于印发河南省危险废物自行利用处置专项整治行动方案的通知》（豫环办〔2024〕23号）等有关要求，进一步防范化解危险废物的环境风险，促进危险废物产生单位规范危险废物自行利用处置，切实保障生态环境安全，我局制定了《济源示范区危险废物自行利用处置专项整治行动方案》，现印发给你们，请认真组织落实。</w:t>
      </w:r>
    </w:p>
    <w:p>
      <w:pPr>
        <w:keepNext w:val="0"/>
        <w:keepLines w:val="0"/>
        <w:pageBreakBefore w:val="0"/>
        <w:widowControl w:val="0"/>
        <w:suppressLineNumbers w:val="0"/>
        <w:kinsoku/>
        <w:wordWrap/>
        <w:overflowPunct/>
        <w:topLinePunct w:val="0"/>
        <w:autoSpaceDE/>
        <w:autoSpaceDN/>
        <w:bidi w:val="0"/>
        <w:adjustRightInd/>
        <w:snapToGrid/>
        <w:spacing w:line="590" w:lineRule="exact"/>
        <w:ind w:firstLine="640" w:firstLineChars="200"/>
        <w:jc w:val="both"/>
        <w:textAlignment w:val="center"/>
        <w:rPr>
          <w:rFonts w:hint="eastAsia" w:ascii="宋体" w:hAnsi="宋体" w:eastAsia="仿宋_GB2312" w:cs="仿宋_GB2312"/>
          <w:b w:val="0"/>
          <w:bCs/>
          <w:i w:val="0"/>
          <w:color w:val="000000"/>
          <w:kern w:val="0"/>
          <w:sz w:val="32"/>
          <w:szCs w:val="32"/>
          <w:u w:val="none"/>
          <w:vertAlign w:val="baseline"/>
          <w:lang w:val="en-US" w:eastAsia="zh-CN"/>
        </w:rPr>
      </w:pPr>
      <w:r>
        <w:rPr>
          <w:rFonts w:hint="eastAsia" w:ascii="宋体" w:hAnsi="宋体" w:eastAsia="仿宋_GB2312" w:cs="仿宋_GB2312"/>
          <w:b w:val="0"/>
          <w:bCs/>
          <w:i w:val="0"/>
          <w:color w:val="000000"/>
          <w:kern w:val="0"/>
          <w:sz w:val="32"/>
          <w:szCs w:val="32"/>
          <w:u w:val="none"/>
          <w:vertAlign w:val="baseline"/>
          <w:lang w:val="en-US" w:eastAsia="zh-CN"/>
        </w:rPr>
        <w:t>联 系 人：郭冰洁</w:t>
      </w:r>
    </w:p>
    <w:p>
      <w:pPr>
        <w:keepNext w:val="0"/>
        <w:keepLines w:val="0"/>
        <w:pageBreakBefore w:val="0"/>
        <w:widowControl w:val="0"/>
        <w:suppressLineNumbers w:val="0"/>
        <w:kinsoku/>
        <w:wordWrap/>
        <w:overflowPunct/>
        <w:topLinePunct w:val="0"/>
        <w:autoSpaceDE/>
        <w:autoSpaceDN/>
        <w:bidi w:val="0"/>
        <w:adjustRightInd/>
        <w:snapToGrid/>
        <w:spacing w:line="590" w:lineRule="exact"/>
        <w:ind w:firstLine="640" w:firstLineChars="200"/>
        <w:jc w:val="both"/>
        <w:textAlignment w:val="center"/>
        <w:rPr>
          <w:rFonts w:hint="default" w:ascii="宋体" w:hAnsi="宋体" w:eastAsia="仿宋_GB2312" w:cs="仿宋_GB2312"/>
          <w:b w:val="0"/>
          <w:bCs/>
          <w:i w:val="0"/>
          <w:color w:val="000000"/>
          <w:kern w:val="0"/>
          <w:sz w:val="32"/>
          <w:szCs w:val="32"/>
          <w:u w:val="none"/>
          <w:vertAlign w:val="baseline"/>
          <w:lang w:val="en-US" w:eastAsia="zh-CN"/>
        </w:rPr>
      </w:pPr>
      <w:r>
        <w:rPr>
          <w:rFonts w:hint="eastAsia" w:ascii="宋体" w:hAnsi="宋体" w:eastAsia="仿宋_GB2312" w:cs="仿宋_GB2312"/>
          <w:b w:val="0"/>
          <w:bCs/>
          <w:i w:val="0"/>
          <w:color w:val="000000"/>
          <w:kern w:val="0"/>
          <w:sz w:val="32"/>
          <w:szCs w:val="32"/>
          <w:u w:val="none"/>
          <w:vertAlign w:val="baseline"/>
          <w:lang w:val="en-US" w:eastAsia="zh-CN"/>
        </w:rPr>
        <w:t>联系电话：0391-6635228</w:t>
      </w:r>
    </w:p>
    <w:p>
      <w:pPr>
        <w:keepNext w:val="0"/>
        <w:keepLines w:val="0"/>
        <w:pageBreakBefore w:val="0"/>
        <w:widowControl w:val="0"/>
        <w:suppressLineNumbers w:val="0"/>
        <w:kinsoku/>
        <w:wordWrap/>
        <w:overflowPunct/>
        <w:topLinePunct w:val="0"/>
        <w:autoSpaceDE/>
        <w:autoSpaceDN/>
        <w:bidi w:val="0"/>
        <w:adjustRightInd/>
        <w:snapToGrid/>
        <w:spacing w:line="590" w:lineRule="exact"/>
        <w:jc w:val="both"/>
        <w:textAlignment w:val="center"/>
        <w:rPr>
          <w:rFonts w:hint="eastAsia" w:ascii="宋体" w:hAnsi="宋体" w:eastAsia="仿宋_GB2312" w:cs="仿宋_GB2312"/>
          <w:b w:val="0"/>
          <w:bCs/>
          <w:i w:val="0"/>
          <w:color w:val="000000"/>
          <w:kern w:val="0"/>
          <w:sz w:val="32"/>
          <w:szCs w:val="32"/>
          <w:u w:val="none"/>
          <w:vertAlign w:val="baseline"/>
          <w:lang w:val="en-US" w:eastAsia="zh-CN"/>
        </w:rPr>
      </w:pPr>
    </w:p>
    <w:p>
      <w:pPr>
        <w:keepNext w:val="0"/>
        <w:keepLines w:val="0"/>
        <w:pageBreakBefore w:val="0"/>
        <w:widowControl w:val="0"/>
        <w:suppressLineNumbers w:val="0"/>
        <w:kinsoku/>
        <w:wordWrap/>
        <w:overflowPunct/>
        <w:topLinePunct w:val="0"/>
        <w:autoSpaceDE/>
        <w:autoSpaceDN/>
        <w:bidi w:val="0"/>
        <w:adjustRightInd/>
        <w:snapToGrid/>
        <w:spacing w:line="590" w:lineRule="exact"/>
        <w:jc w:val="both"/>
        <w:textAlignment w:val="center"/>
        <w:rPr>
          <w:rFonts w:hint="eastAsia" w:ascii="宋体" w:hAnsi="宋体" w:eastAsia="仿宋_GB2312" w:cs="仿宋_GB2312"/>
          <w:b w:val="0"/>
          <w:bCs/>
          <w:i w:val="0"/>
          <w:color w:val="000000"/>
          <w:kern w:val="0"/>
          <w:sz w:val="32"/>
          <w:szCs w:val="32"/>
          <w:u w:val="none"/>
          <w:vertAlign w:val="baseline"/>
          <w:lang w:val="en-US" w:eastAsia="zh-CN"/>
        </w:rPr>
      </w:pPr>
    </w:p>
    <w:p>
      <w:pPr>
        <w:keepNext w:val="0"/>
        <w:keepLines w:val="0"/>
        <w:pageBreakBefore w:val="0"/>
        <w:widowControl w:val="0"/>
        <w:suppressLineNumbers w:val="0"/>
        <w:kinsoku/>
        <w:wordWrap/>
        <w:overflowPunct/>
        <w:topLinePunct w:val="0"/>
        <w:autoSpaceDE/>
        <w:autoSpaceDN/>
        <w:bidi w:val="0"/>
        <w:adjustRightInd/>
        <w:snapToGrid/>
        <w:spacing w:line="590" w:lineRule="exact"/>
        <w:jc w:val="both"/>
        <w:textAlignment w:val="center"/>
        <w:rPr>
          <w:rFonts w:hint="eastAsia" w:ascii="宋体" w:hAnsi="宋体" w:eastAsia="仿宋_GB2312" w:cs="仿宋_GB2312"/>
          <w:b w:val="0"/>
          <w:bCs/>
          <w:i w:val="0"/>
          <w:color w:val="000000"/>
          <w:kern w:val="0"/>
          <w:sz w:val="32"/>
          <w:szCs w:val="32"/>
          <w:u w:val="none"/>
          <w:vertAlign w:val="baseline"/>
          <w:lang w:val="en-US" w:eastAsia="zh-CN"/>
        </w:rPr>
      </w:pPr>
    </w:p>
    <w:p>
      <w:pPr>
        <w:keepNext w:val="0"/>
        <w:keepLines w:val="0"/>
        <w:pageBreakBefore w:val="0"/>
        <w:widowControl w:val="0"/>
        <w:suppressLineNumbers w:val="0"/>
        <w:kinsoku/>
        <w:wordWrap/>
        <w:overflowPunct/>
        <w:topLinePunct w:val="0"/>
        <w:autoSpaceDE/>
        <w:autoSpaceDN/>
        <w:bidi w:val="0"/>
        <w:adjustRightInd/>
        <w:snapToGrid/>
        <w:spacing w:line="590" w:lineRule="exact"/>
        <w:ind w:firstLine="5120" w:firstLineChars="1600"/>
        <w:jc w:val="both"/>
        <w:textAlignment w:val="center"/>
        <w:rPr>
          <w:rFonts w:hint="eastAsia" w:ascii="宋体" w:hAnsi="宋体" w:eastAsia="仿宋_GB2312" w:cs="仿宋_GB2312"/>
          <w:b w:val="0"/>
          <w:bCs/>
          <w:i w:val="0"/>
          <w:color w:val="000000"/>
          <w:kern w:val="0"/>
          <w:sz w:val="32"/>
          <w:szCs w:val="32"/>
          <w:u w:val="none"/>
          <w:vertAlign w:val="baseline"/>
          <w:lang w:val="en-US" w:eastAsia="zh-CN"/>
        </w:rPr>
      </w:pPr>
      <w:r>
        <w:rPr>
          <w:rFonts w:hint="eastAsia" w:ascii="宋体" w:hAnsi="宋体" w:eastAsia="仿宋_GB2312" w:cs="仿宋_GB2312"/>
          <w:b w:val="0"/>
          <w:bCs/>
          <w:i w:val="0"/>
          <w:color w:val="000000"/>
          <w:kern w:val="0"/>
          <w:sz w:val="32"/>
          <w:szCs w:val="32"/>
          <w:u w:val="none"/>
          <w:vertAlign w:val="baseline"/>
          <w:lang w:val="en-US" w:eastAsia="zh-CN"/>
        </w:rPr>
        <w:t>2024年4月1日</w:t>
      </w:r>
    </w:p>
    <w:p>
      <w:pPr>
        <w:pStyle w:val="2"/>
        <w:keepNext w:val="0"/>
        <w:keepLines w:val="0"/>
        <w:pageBreakBefore w:val="0"/>
        <w:widowControl w:val="0"/>
        <w:kinsoku/>
        <w:wordWrap/>
        <w:overflowPunct/>
        <w:topLinePunct w:val="0"/>
        <w:autoSpaceDE/>
        <w:autoSpaceDN/>
        <w:bidi w:val="0"/>
        <w:ind w:firstLine="5744" w:firstLineChars="1795"/>
        <w:rPr>
          <w:rFonts w:hint="eastAsia" w:ascii="宋体" w:hAnsi="宋体" w:eastAsia="仿宋" w:cs="仿宋"/>
          <w:sz w:val="32"/>
          <w:szCs w:val="32"/>
          <w:lang w:val="en-US" w:eastAsia="zh-CN"/>
        </w:rPr>
      </w:pPr>
    </w:p>
    <w:p>
      <w:pPr>
        <w:pStyle w:val="2"/>
        <w:keepNext w:val="0"/>
        <w:keepLines w:val="0"/>
        <w:pageBreakBefore w:val="0"/>
        <w:widowControl w:val="0"/>
        <w:kinsoku/>
        <w:wordWrap/>
        <w:overflowPunct/>
        <w:topLinePunct w:val="0"/>
        <w:autoSpaceDE/>
        <w:autoSpaceDN/>
        <w:bidi w:val="0"/>
        <w:adjustRightInd/>
        <w:snapToGrid/>
        <w:spacing w:line="700" w:lineRule="exact"/>
        <w:ind w:left="0" w:leftChars="0" w:firstLine="0" w:firstLineChars="0"/>
        <w:jc w:val="center"/>
        <w:textAlignment w:val="baseline"/>
        <w:rPr>
          <w:rFonts w:hint="eastAsia" w:ascii="宋体" w:hAnsi="宋体" w:eastAsia="方正小标宋_GBK" w:cs="方正小标宋_GBK"/>
          <w:sz w:val="44"/>
          <w:szCs w:val="44"/>
          <w:lang w:val="en-US" w:eastAsia="zh-CN"/>
        </w:rPr>
      </w:pPr>
      <w:r>
        <w:rPr>
          <w:rFonts w:hint="eastAsia" w:ascii="宋体" w:hAnsi="宋体" w:eastAsia="方正小标宋_GBK" w:cs="方正小标宋_GBK"/>
          <w:sz w:val="44"/>
          <w:szCs w:val="44"/>
          <w:lang w:val="en-US" w:eastAsia="zh-CN"/>
        </w:rPr>
        <w:t>济源示范区危险废物自行利用处置</w:t>
      </w:r>
    </w:p>
    <w:p>
      <w:pPr>
        <w:pStyle w:val="2"/>
        <w:keepNext w:val="0"/>
        <w:keepLines w:val="0"/>
        <w:pageBreakBefore w:val="0"/>
        <w:widowControl w:val="0"/>
        <w:kinsoku/>
        <w:wordWrap/>
        <w:overflowPunct/>
        <w:topLinePunct w:val="0"/>
        <w:autoSpaceDE/>
        <w:autoSpaceDN/>
        <w:bidi w:val="0"/>
        <w:adjustRightInd/>
        <w:snapToGrid/>
        <w:spacing w:line="700" w:lineRule="exact"/>
        <w:ind w:left="0" w:leftChars="0" w:firstLine="0" w:firstLineChars="0"/>
        <w:jc w:val="center"/>
        <w:textAlignment w:val="baseline"/>
        <w:rPr>
          <w:rFonts w:hint="default" w:ascii="宋体" w:hAnsi="宋体" w:eastAsia="仿宋" w:cs="仿宋"/>
          <w:sz w:val="32"/>
          <w:szCs w:val="32"/>
          <w:lang w:val="en-US" w:eastAsia="zh-CN"/>
        </w:rPr>
      </w:pPr>
      <w:r>
        <w:rPr>
          <w:rFonts w:hint="eastAsia" w:ascii="宋体" w:hAnsi="宋体" w:eastAsia="方正小标宋_GBK" w:cs="方正小标宋_GBK"/>
          <w:sz w:val="44"/>
          <w:szCs w:val="44"/>
          <w:lang w:val="en-US" w:eastAsia="zh-CN"/>
        </w:rPr>
        <w:t>专项整治行动方案</w:t>
      </w:r>
    </w:p>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仿宋" w:cs="仿宋"/>
          <w:sz w:val="32"/>
          <w:szCs w:val="32"/>
        </w:rPr>
      </w:pPr>
    </w:p>
    <w:p>
      <w:pPr>
        <w:keepNext w:val="0"/>
        <w:keepLines w:val="0"/>
        <w:pageBreakBefore w:val="0"/>
        <w:widowControl w:val="0"/>
        <w:suppressLineNumbers w:val="0"/>
        <w:kinsoku/>
        <w:wordWrap/>
        <w:overflowPunct/>
        <w:topLinePunct w:val="0"/>
        <w:autoSpaceDE/>
        <w:autoSpaceDN/>
        <w:bidi w:val="0"/>
        <w:adjustRightInd/>
        <w:snapToGrid/>
        <w:spacing w:line="590" w:lineRule="exact"/>
        <w:ind w:firstLine="640" w:firstLineChars="200"/>
        <w:jc w:val="both"/>
        <w:textAlignment w:val="center"/>
        <w:rPr>
          <w:rFonts w:hint="eastAsia" w:ascii="宋体" w:hAnsi="宋体" w:eastAsia="仿宋_GB2312" w:cs="仿宋_GB2312"/>
          <w:b w:val="0"/>
          <w:bCs/>
          <w:i w:val="0"/>
          <w:color w:val="000000"/>
          <w:kern w:val="0"/>
          <w:sz w:val="32"/>
          <w:szCs w:val="32"/>
          <w:u w:val="none"/>
          <w:vertAlign w:val="baseline"/>
          <w:lang w:val="en-US" w:eastAsia="zh-CN"/>
        </w:rPr>
      </w:pPr>
      <w:r>
        <w:rPr>
          <w:rFonts w:hint="eastAsia" w:ascii="宋体" w:hAnsi="宋体" w:eastAsia="仿宋_GB2312" w:cs="仿宋_GB2312"/>
          <w:b w:val="0"/>
          <w:bCs/>
          <w:i w:val="0"/>
          <w:color w:val="000000"/>
          <w:kern w:val="0"/>
          <w:sz w:val="32"/>
          <w:szCs w:val="32"/>
          <w:u w:val="none"/>
          <w:vertAlign w:val="baseline"/>
          <w:lang w:val="en-US" w:eastAsia="zh-CN"/>
        </w:rPr>
        <w:t>为防止自行利用处置过程不规范造成的环境风险，纠正自行利用处置过程违法行为，强化自行利用处置主体环境风险意识，防范环境风险，结合示范区实际，制定本方案。</w:t>
      </w:r>
    </w:p>
    <w:p>
      <w:pPr>
        <w:keepNext w:val="0"/>
        <w:keepLines w:val="0"/>
        <w:pageBreakBefore w:val="0"/>
        <w:widowControl w:val="0"/>
        <w:suppressLineNumbers w:val="0"/>
        <w:kinsoku/>
        <w:wordWrap/>
        <w:overflowPunct/>
        <w:topLinePunct w:val="0"/>
        <w:autoSpaceDE/>
        <w:autoSpaceDN/>
        <w:bidi w:val="0"/>
        <w:adjustRightInd/>
        <w:snapToGrid/>
        <w:spacing w:line="590" w:lineRule="exact"/>
        <w:ind w:firstLine="640" w:firstLineChars="200"/>
        <w:jc w:val="both"/>
        <w:textAlignment w:val="center"/>
        <w:rPr>
          <w:rFonts w:hint="eastAsia" w:ascii="宋体" w:hAnsi="宋体" w:eastAsia="黑体" w:cs="黑体"/>
          <w:b w:val="0"/>
          <w:bCs/>
          <w:i w:val="0"/>
          <w:color w:val="000000"/>
          <w:kern w:val="0"/>
          <w:sz w:val="32"/>
          <w:szCs w:val="32"/>
          <w:u w:val="none"/>
          <w:vertAlign w:val="baseline"/>
          <w:lang w:val="en-US" w:eastAsia="zh-CN"/>
        </w:rPr>
      </w:pPr>
      <w:r>
        <w:rPr>
          <w:rFonts w:hint="eastAsia" w:ascii="宋体" w:hAnsi="宋体" w:eastAsia="黑体" w:cs="黑体"/>
          <w:b w:val="0"/>
          <w:bCs/>
          <w:i w:val="0"/>
          <w:color w:val="000000"/>
          <w:kern w:val="0"/>
          <w:sz w:val="32"/>
          <w:szCs w:val="32"/>
          <w:u w:val="none"/>
          <w:vertAlign w:val="baseline"/>
          <w:lang w:val="en-US" w:eastAsia="zh-CN"/>
        </w:rPr>
        <w:t>一、总体要求</w:t>
      </w:r>
    </w:p>
    <w:p>
      <w:pPr>
        <w:keepNext w:val="0"/>
        <w:keepLines w:val="0"/>
        <w:pageBreakBefore w:val="0"/>
        <w:widowControl w:val="0"/>
        <w:suppressLineNumbers w:val="0"/>
        <w:kinsoku/>
        <w:wordWrap/>
        <w:overflowPunct/>
        <w:topLinePunct w:val="0"/>
        <w:autoSpaceDE/>
        <w:autoSpaceDN/>
        <w:bidi w:val="0"/>
        <w:adjustRightInd/>
        <w:snapToGrid/>
        <w:spacing w:line="590" w:lineRule="exact"/>
        <w:ind w:firstLine="640" w:firstLineChars="200"/>
        <w:jc w:val="both"/>
        <w:textAlignment w:val="center"/>
        <w:rPr>
          <w:rFonts w:hint="eastAsia" w:ascii="宋体" w:hAnsi="宋体" w:eastAsia="仿宋_GB2312" w:cs="仿宋_GB2312"/>
          <w:b w:val="0"/>
          <w:bCs/>
          <w:i w:val="0"/>
          <w:color w:val="000000"/>
          <w:kern w:val="0"/>
          <w:sz w:val="32"/>
          <w:szCs w:val="32"/>
          <w:u w:val="none"/>
          <w:vertAlign w:val="baseline"/>
          <w:lang w:val="en-US" w:eastAsia="zh-CN"/>
        </w:rPr>
      </w:pPr>
      <w:r>
        <w:rPr>
          <w:rFonts w:hint="eastAsia" w:ascii="宋体" w:hAnsi="宋体" w:eastAsia="仿宋_GB2312" w:cs="仿宋_GB2312"/>
          <w:b w:val="0"/>
          <w:bCs/>
          <w:i w:val="0"/>
          <w:color w:val="000000"/>
          <w:kern w:val="0"/>
          <w:sz w:val="32"/>
          <w:szCs w:val="32"/>
          <w:u w:val="none"/>
          <w:vertAlign w:val="baseline"/>
          <w:lang w:val="en-US" w:eastAsia="zh-CN"/>
        </w:rPr>
        <w:t>以习近平新时代中国特色社会主义思想为指导，深入贯彻落实习近平生态文明思想和全省生态环境保护大会精神。以有效防范化解危险废物环境风险、保障生态安全为目标，通过危险废物自行利用处置专项排查整治，遏制危险废物违法利用处置行为，规范自行利用处置单位运行管理，推动一批自行利用处置工艺落后的单位进行提标改造，淘汰一批难以稳定运行、达标排放的自行利用处置设施，强化对危险废物产生单位（以下简称产废单位）的环境监管，全面提高规范化管理水平。做到底子掌握清、问题排查准、整改措施实、打击违法强、各方责任明，基本消除危险废物自行利用环境风险隐患。</w:t>
      </w:r>
    </w:p>
    <w:p>
      <w:pPr>
        <w:keepNext w:val="0"/>
        <w:keepLines w:val="0"/>
        <w:pageBreakBefore w:val="0"/>
        <w:widowControl w:val="0"/>
        <w:suppressLineNumbers w:val="0"/>
        <w:kinsoku/>
        <w:wordWrap/>
        <w:overflowPunct/>
        <w:topLinePunct w:val="0"/>
        <w:autoSpaceDE/>
        <w:autoSpaceDN/>
        <w:bidi w:val="0"/>
        <w:adjustRightInd/>
        <w:snapToGrid/>
        <w:spacing w:line="590" w:lineRule="exact"/>
        <w:ind w:firstLine="640" w:firstLineChars="200"/>
        <w:jc w:val="both"/>
        <w:textAlignment w:val="center"/>
        <w:rPr>
          <w:rFonts w:hint="eastAsia" w:ascii="宋体" w:hAnsi="宋体" w:eastAsia="黑体" w:cs="黑体"/>
          <w:b w:val="0"/>
          <w:bCs/>
          <w:i w:val="0"/>
          <w:color w:val="000000"/>
          <w:kern w:val="0"/>
          <w:sz w:val="32"/>
          <w:szCs w:val="32"/>
          <w:u w:val="none"/>
          <w:vertAlign w:val="baseline"/>
          <w:lang w:val="en-US" w:eastAsia="zh-CN"/>
        </w:rPr>
      </w:pPr>
      <w:r>
        <w:rPr>
          <w:rFonts w:hint="eastAsia" w:ascii="宋体" w:hAnsi="宋体" w:eastAsia="黑体" w:cs="黑体"/>
          <w:b w:val="0"/>
          <w:bCs/>
          <w:i w:val="0"/>
          <w:color w:val="000000"/>
          <w:kern w:val="0"/>
          <w:sz w:val="32"/>
          <w:szCs w:val="32"/>
          <w:u w:val="none"/>
          <w:vertAlign w:val="baseline"/>
          <w:lang w:val="en-US" w:eastAsia="zh-CN"/>
        </w:rPr>
        <w:t>二、排查范围</w:t>
      </w:r>
    </w:p>
    <w:p>
      <w:pPr>
        <w:keepNext w:val="0"/>
        <w:keepLines w:val="0"/>
        <w:pageBreakBefore w:val="0"/>
        <w:widowControl w:val="0"/>
        <w:suppressLineNumbers w:val="0"/>
        <w:kinsoku/>
        <w:wordWrap/>
        <w:overflowPunct/>
        <w:topLinePunct w:val="0"/>
        <w:autoSpaceDE/>
        <w:autoSpaceDN/>
        <w:bidi w:val="0"/>
        <w:adjustRightInd/>
        <w:snapToGrid/>
        <w:spacing w:line="590" w:lineRule="exact"/>
        <w:ind w:firstLine="640" w:firstLineChars="200"/>
        <w:jc w:val="both"/>
        <w:textAlignment w:val="center"/>
        <w:rPr>
          <w:rFonts w:hint="eastAsia" w:ascii="宋体" w:hAnsi="宋体" w:eastAsia="仿宋_GB2312" w:cs="仿宋_GB2312"/>
          <w:b w:val="0"/>
          <w:bCs/>
          <w:i w:val="0"/>
          <w:color w:val="000000"/>
          <w:kern w:val="0"/>
          <w:sz w:val="32"/>
          <w:szCs w:val="32"/>
          <w:u w:val="none"/>
          <w:vertAlign w:val="baseline"/>
          <w:lang w:val="en-US" w:eastAsia="zh-CN"/>
        </w:rPr>
      </w:pPr>
      <w:r>
        <w:rPr>
          <w:rFonts w:hint="eastAsia" w:ascii="宋体" w:hAnsi="宋体" w:eastAsia="仿宋_GB2312" w:cs="仿宋_GB2312"/>
          <w:b w:val="0"/>
          <w:bCs/>
          <w:i w:val="0"/>
          <w:color w:val="000000"/>
          <w:kern w:val="0"/>
          <w:sz w:val="32"/>
          <w:szCs w:val="32"/>
          <w:u w:val="none"/>
          <w:vertAlign w:val="baseline"/>
          <w:lang w:val="en-US" w:eastAsia="zh-CN"/>
        </w:rPr>
        <w:t>1.采取焚烧（包括熔融、热解、气化等高温热处理）、填埋以及物理化学方式自行处置危险废物的产废单位。</w:t>
      </w:r>
    </w:p>
    <w:p>
      <w:pPr>
        <w:keepNext w:val="0"/>
        <w:keepLines w:val="0"/>
        <w:pageBreakBefore w:val="0"/>
        <w:widowControl w:val="0"/>
        <w:suppressLineNumbers w:val="0"/>
        <w:kinsoku/>
        <w:wordWrap/>
        <w:overflowPunct/>
        <w:topLinePunct w:val="0"/>
        <w:autoSpaceDE/>
        <w:autoSpaceDN/>
        <w:bidi w:val="0"/>
        <w:adjustRightInd/>
        <w:snapToGrid/>
        <w:spacing w:line="590" w:lineRule="exact"/>
        <w:ind w:firstLine="640" w:firstLineChars="200"/>
        <w:jc w:val="both"/>
        <w:textAlignment w:val="center"/>
        <w:rPr>
          <w:rFonts w:hint="eastAsia" w:ascii="宋体" w:hAnsi="宋体" w:eastAsia="仿宋_GB2312" w:cs="仿宋_GB2312"/>
          <w:b w:val="0"/>
          <w:bCs/>
          <w:i w:val="0"/>
          <w:color w:val="000000"/>
          <w:kern w:val="0"/>
          <w:sz w:val="32"/>
          <w:szCs w:val="32"/>
          <w:u w:val="none"/>
          <w:vertAlign w:val="baseline"/>
          <w:lang w:val="en-US" w:eastAsia="zh-CN"/>
        </w:rPr>
      </w:pPr>
      <w:r>
        <w:rPr>
          <w:rFonts w:hint="eastAsia" w:ascii="宋体" w:hAnsi="宋体" w:eastAsia="仿宋_GB2312" w:cs="仿宋_GB2312"/>
          <w:b w:val="0"/>
          <w:bCs/>
          <w:i w:val="0"/>
          <w:color w:val="000000"/>
          <w:kern w:val="0"/>
          <w:sz w:val="32"/>
          <w:szCs w:val="32"/>
          <w:u w:val="none"/>
          <w:vertAlign w:val="baseline"/>
          <w:lang w:val="en-US" w:eastAsia="zh-CN"/>
        </w:rPr>
        <w:t>2.化学原料和化学制品制造业，有色金属冶炼和压延加工业，黑色金属冶炼和压延加工业，石油、煤炭及其他燃料加工业，电力、热力生产和供应业，医药制造业，金属制品业等行业自行利用危险废物的产废单位，以及使用工业窑炉自行协同处理危险废物的产废单位。</w:t>
      </w:r>
    </w:p>
    <w:p>
      <w:pPr>
        <w:keepNext w:val="0"/>
        <w:keepLines w:val="0"/>
        <w:pageBreakBefore w:val="0"/>
        <w:widowControl w:val="0"/>
        <w:suppressLineNumbers w:val="0"/>
        <w:kinsoku/>
        <w:wordWrap/>
        <w:overflowPunct/>
        <w:topLinePunct w:val="0"/>
        <w:autoSpaceDE/>
        <w:autoSpaceDN/>
        <w:bidi w:val="0"/>
        <w:adjustRightInd/>
        <w:snapToGrid/>
        <w:spacing w:line="590" w:lineRule="exact"/>
        <w:ind w:firstLine="640" w:firstLineChars="200"/>
        <w:jc w:val="both"/>
        <w:textAlignment w:val="center"/>
        <w:rPr>
          <w:rFonts w:hint="eastAsia" w:ascii="宋体" w:hAnsi="宋体" w:eastAsia="仿宋_GB2312" w:cs="仿宋_GB2312"/>
          <w:b w:val="0"/>
          <w:bCs/>
          <w:i w:val="0"/>
          <w:color w:val="000000"/>
          <w:kern w:val="0"/>
          <w:sz w:val="32"/>
          <w:szCs w:val="32"/>
          <w:u w:val="none"/>
          <w:vertAlign w:val="baseline"/>
          <w:lang w:val="en-US" w:eastAsia="zh-CN"/>
        </w:rPr>
      </w:pPr>
      <w:r>
        <w:rPr>
          <w:rFonts w:hint="eastAsia" w:ascii="宋体" w:hAnsi="宋体" w:eastAsia="仿宋_GB2312" w:cs="仿宋_GB2312"/>
          <w:b w:val="0"/>
          <w:bCs/>
          <w:i w:val="0"/>
          <w:color w:val="000000"/>
          <w:kern w:val="0"/>
          <w:sz w:val="32"/>
          <w:szCs w:val="32"/>
          <w:u w:val="none"/>
          <w:vertAlign w:val="baseline"/>
          <w:lang w:val="en-US" w:eastAsia="zh-CN"/>
        </w:rPr>
        <w:t>3.按《国家危险废物名录（2021年版）》附录《危险废物豁免管理清单》实行利用处置豁免管理的利用处置单位，包括实行危险废物"点对点"定向利用许可证豁免管理的利用单位。</w:t>
      </w:r>
    </w:p>
    <w:p>
      <w:pPr>
        <w:keepNext w:val="0"/>
        <w:keepLines w:val="0"/>
        <w:pageBreakBefore w:val="0"/>
        <w:widowControl w:val="0"/>
        <w:suppressLineNumbers w:val="0"/>
        <w:kinsoku/>
        <w:wordWrap/>
        <w:overflowPunct/>
        <w:topLinePunct w:val="0"/>
        <w:autoSpaceDE/>
        <w:autoSpaceDN/>
        <w:bidi w:val="0"/>
        <w:adjustRightInd/>
        <w:snapToGrid/>
        <w:spacing w:line="590" w:lineRule="exact"/>
        <w:ind w:firstLine="640" w:firstLineChars="200"/>
        <w:jc w:val="both"/>
        <w:textAlignment w:val="center"/>
        <w:rPr>
          <w:rFonts w:hint="eastAsia" w:ascii="宋体" w:hAnsi="宋体" w:eastAsia="仿宋_GB2312" w:cs="仿宋_GB2312"/>
          <w:b w:val="0"/>
          <w:bCs/>
          <w:i w:val="0"/>
          <w:color w:val="000000"/>
          <w:kern w:val="0"/>
          <w:sz w:val="32"/>
          <w:szCs w:val="32"/>
          <w:u w:val="none"/>
          <w:vertAlign w:val="baseline"/>
          <w:lang w:val="en-US" w:eastAsia="zh-CN"/>
        </w:rPr>
      </w:pPr>
      <w:r>
        <w:rPr>
          <w:rFonts w:hint="eastAsia" w:ascii="宋体" w:hAnsi="宋体" w:eastAsia="仿宋_GB2312" w:cs="仿宋_GB2312"/>
          <w:b w:val="0"/>
          <w:bCs/>
          <w:i w:val="0"/>
          <w:color w:val="000000"/>
          <w:kern w:val="0"/>
          <w:sz w:val="32"/>
          <w:szCs w:val="32"/>
          <w:u w:val="none"/>
          <w:vertAlign w:val="baseline"/>
          <w:lang w:val="en-US" w:eastAsia="zh-CN"/>
        </w:rPr>
        <w:t>4.铅蓄电池收集试点和小微危险废物收集试点单位，以及其他自行利用危险废物的产废单位和持有危险废物经营许可证的经营单位纳入整治范围，以下统称目标单位。</w:t>
      </w:r>
    </w:p>
    <w:p>
      <w:pPr>
        <w:keepNext w:val="0"/>
        <w:keepLines w:val="0"/>
        <w:pageBreakBefore w:val="0"/>
        <w:widowControl w:val="0"/>
        <w:suppressLineNumbers w:val="0"/>
        <w:kinsoku/>
        <w:wordWrap/>
        <w:overflowPunct/>
        <w:topLinePunct w:val="0"/>
        <w:autoSpaceDE/>
        <w:autoSpaceDN/>
        <w:bidi w:val="0"/>
        <w:adjustRightInd/>
        <w:snapToGrid/>
        <w:spacing w:line="590" w:lineRule="exact"/>
        <w:ind w:firstLine="640" w:firstLineChars="200"/>
        <w:jc w:val="both"/>
        <w:textAlignment w:val="center"/>
        <w:rPr>
          <w:rFonts w:hint="eastAsia" w:ascii="宋体" w:hAnsi="宋体" w:eastAsia="黑体" w:cs="黑体"/>
          <w:b w:val="0"/>
          <w:bCs/>
          <w:i w:val="0"/>
          <w:color w:val="000000"/>
          <w:kern w:val="0"/>
          <w:sz w:val="32"/>
          <w:szCs w:val="32"/>
          <w:u w:val="none"/>
          <w:vertAlign w:val="baseline"/>
          <w:lang w:val="en-US" w:eastAsia="zh-CN"/>
        </w:rPr>
      </w:pPr>
      <w:r>
        <w:rPr>
          <w:rFonts w:hint="eastAsia" w:ascii="宋体" w:hAnsi="宋体" w:eastAsia="黑体" w:cs="黑体"/>
          <w:b w:val="0"/>
          <w:bCs/>
          <w:i w:val="0"/>
          <w:color w:val="000000"/>
          <w:kern w:val="0"/>
          <w:sz w:val="32"/>
          <w:szCs w:val="32"/>
          <w:u w:val="none"/>
          <w:vertAlign w:val="baseline"/>
          <w:lang w:val="en-US" w:eastAsia="zh-CN"/>
        </w:rPr>
        <w:t>三、重点任务</w:t>
      </w:r>
    </w:p>
    <w:p>
      <w:pPr>
        <w:keepNext w:val="0"/>
        <w:keepLines w:val="0"/>
        <w:pageBreakBefore w:val="0"/>
        <w:widowControl w:val="0"/>
        <w:suppressLineNumbers w:val="0"/>
        <w:kinsoku/>
        <w:wordWrap/>
        <w:overflowPunct/>
        <w:topLinePunct w:val="0"/>
        <w:autoSpaceDE/>
        <w:autoSpaceDN/>
        <w:bidi w:val="0"/>
        <w:adjustRightInd/>
        <w:snapToGrid/>
        <w:spacing w:line="590" w:lineRule="exact"/>
        <w:ind w:firstLine="640" w:firstLineChars="200"/>
        <w:jc w:val="both"/>
        <w:textAlignment w:val="center"/>
        <w:rPr>
          <w:rFonts w:hint="eastAsia" w:ascii="宋体" w:hAnsi="宋体" w:eastAsia="楷体_GB2312" w:cs="楷体_GB2312"/>
          <w:b w:val="0"/>
          <w:bCs/>
          <w:i w:val="0"/>
          <w:color w:val="000000"/>
          <w:kern w:val="0"/>
          <w:sz w:val="32"/>
          <w:szCs w:val="32"/>
          <w:u w:val="none"/>
          <w:vertAlign w:val="baseline"/>
          <w:lang w:val="en-US" w:eastAsia="zh-CN"/>
        </w:rPr>
      </w:pPr>
      <w:r>
        <w:rPr>
          <w:rFonts w:hint="eastAsia" w:ascii="宋体" w:hAnsi="宋体" w:eastAsia="楷体_GB2312" w:cs="楷体_GB2312"/>
          <w:b w:val="0"/>
          <w:bCs/>
          <w:i w:val="0"/>
          <w:color w:val="000000"/>
          <w:kern w:val="0"/>
          <w:sz w:val="32"/>
          <w:szCs w:val="32"/>
          <w:u w:val="none"/>
          <w:vertAlign w:val="baseline"/>
          <w:lang w:val="en-US" w:eastAsia="zh-CN"/>
        </w:rPr>
        <w:t>（一）建立专项整治单位清单</w:t>
      </w:r>
    </w:p>
    <w:p>
      <w:pPr>
        <w:keepNext w:val="0"/>
        <w:keepLines w:val="0"/>
        <w:pageBreakBefore w:val="0"/>
        <w:widowControl w:val="0"/>
        <w:suppressLineNumbers w:val="0"/>
        <w:kinsoku/>
        <w:wordWrap/>
        <w:overflowPunct/>
        <w:topLinePunct w:val="0"/>
        <w:autoSpaceDE/>
        <w:autoSpaceDN/>
        <w:bidi w:val="0"/>
        <w:adjustRightInd/>
        <w:snapToGrid/>
        <w:spacing w:line="590" w:lineRule="exact"/>
        <w:ind w:firstLine="640" w:firstLineChars="200"/>
        <w:jc w:val="both"/>
        <w:textAlignment w:val="center"/>
        <w:rPr>
          <w:rFonts w:hint="eastAsia" w:ascii="宋体" w:hAnsi="宋体" w:eastAsia="仿宋_GB2312" w:cs="仿宋_GB2312"/>
          <w:b w:val="0"/>
          <w:bCs/>
          <w:i w:val="0"/>
          <w:color w:val="000000"/>
          <w:kern w:val="0"/>
          <w:sz w:val="32"/>
          <w:szCs w:val="32"/>
          <w:u w:val="none"/>
          <w:vertAlign w:val="baseline"/>
          <w:lang w:val="en-US" w:eastAsia="zh-CN"/>
        </w:rPr>
      </w:pPr>
      <w:r>
        <w:rPr>
          <w:rFonts w:hint="eastAsia" w:ascii="宋体" w:hAnsi="宋体" w:eastAsia="仿宋_GB2312" w:cs="仿宋_GB2312"/>
          <w:b w:val="0"/>
          <w:bCs/>
          <w:i w:val="0"/>
          <w:color w:val="000000"/>
          <w:kern w:val="0"/>
          <w:sz w:val="32"/>
          <w:szCs w:val="32"/>
          <w:u w:val="none"/>
          <w:vertAlign w:val="baseline"/>
          <w:lang w:val="en-US" w:eastAsia="zh-CN"/>
        </w:rPr>
        <w:t>在危险废物"四个清单"和全国固体废物信息系统信息基础上开展筛查，对辖区内所有目标单位进行全面摸排，掌握目标单位基本信息，形成排查整治单位名单，并通过全国固体废物管理信息系统（以下简称国家固废系统）中的危险废物规范化环境管理评估子系统（以下简称规范化评估子系统）进行核实和增补，建立示范区危险废物自行利用处置专项整治单位清单。</w:t>
      </w:r>
    </w:p>
    <w:p>
      <w:pPr>
        <w:keepNext w:val="0"/>
        <w:keepLines w:val="0"/>
        <w:pageBreakBefore w:val="0"/>
        <w:widowControl w:val="0"/>
        <w:suppressLineNumbers w:val="0"/>
        <w:kinsoku/>
        <w:wordWrap/>
        <w:overflowPunct/>
        <w:topLinePunct w:val="0"/>
        <w:autoSpaceDE/>
        <w:autoSpaceDN/>
        <w:bidi w:val="0"/>
        <w:adjustRightInd/>
        <w:snapToGrid/>
        <w:spacing w:line="590" w:lineRule="exact"/>
        <w:ind w:firstLine="640" w:firstLineChars="200"/>
        <w:jc w:val="both"/>
        <w:textAlignment w:val="center"/>
        <w:rPr>
          <w:rFonts w:hint="eastAsia" w:ascii="宋体" w:hAnsi="宋体" w:eastAsia="楷体_GB2312" w:cs="楷体_GB2312"/>
          <w:b w:val="0"/>
          <w:bCs/>
          <w:i w:val="0"/>
          <w:color w:val="000000"/>
          <w:kern w:val="0"/>
          <w:sz w:val="32"/>
          <w:szCs w:val="32"/>
          <w:u w:val="none"/>
          <w:vertAlign w:val="baseline"/>
          <w:lang w:val="en-US" w:eastAsia="zh-CN"/>
        </w:rPr>
      </w:pPr>
      <w:r>
        <w:rPr>
          <w:rFonts w:hint="eastAsia" w:ascii="宋体" w:hAnsi="宋体" w:eastAsia="楷体_GB2312" w:cs="楷体_GB2312"/>
          <w:b w:val="0"/>
          <w:bCs/>
          <w:i w:val="0"/>
          <w:color w:val="000000"/>
          <w:kern w:val="0"/>
          <w:sz w:val="32"/>
          <w:szCs w:val="32"/>
          <w:u w:val="none"/>
          <w:vertAlign w:val="baseline"/>
          <w:lang w:val="en-US" w:eastAsia="zh-CN"/>
        </w:rPr>
        <w:t>（二）全面排查整治危险废物自行利用处置环境风险</w:t>
      </w:r>
    </w:p>
    <w:p>
      <w:pPr>
        <w:keepNext w:val="0"/>
        <w:keepLines w:val="0"/>
        <w:pageBreakBefore w:val="0"/>
        <w:widowControl w:val="0"/>
        <w:suppressLineNumbers w:val="0"/>
        <w:kinsoku/>
        <w:wordWrap/>
        <w:overflowPunct/>
        <w:topLinePunct w:val="0"/>
        <w:autoSpaceDE/>
        <w:autoSpaceDN/>
        <w:bidi w:val="0"/>
        <w:adjustRightInd/>
        <w:snapToGrid/>
        <w:spacing w:line="590" w:lineRule="exact"/>
        <w:ind w:firstLine="640" w:firstLineChars="200"/>
        <w:jc w:val="both"/>
        <w:textAlignment w:val="center"/>
        <w:rPr>
          <w:rFonts w:hint="eastAsia" w:ascii="宋体" w:hAnsi="宋体" w:eastAsia="仿宋_GB2312" w:cs="仿宋_GB2312"/>
          <w:b w:val="0"/>
          <w:bCs/>
          <w:i w:val="0"/>
          <w:color w:val="000000"/>
          <w:kern w:val="0"/>
          <w:sz w:val="32"/>
          <w:szCs w:val="32"/>
          <w:u w:val="none"/>
          <w:vertAlign w:val="baseline"/>
          <w:lang w:val="en-US" w:eastAsia="zh-CN"/>
        </w:rPr>
      </w:pPr>
      <w:r>
        <w:rPr>
          <w:rFonts w:hint="eastAsia" w:ascii="宋体" w:hAnsi="宋体" w:eastAsia="仿宋_GB2312" w:cs="仿宋_GB2312"/>
          <w:b w:val="0"/>
          <w:bCs/>
          <w:i w:val="0"/>
          <w:color w:val="000000"/>
          <w:kern w:val="0"/>
          <w:sz w:val="32"/>
          <w:szCs w:val="32"/>
          <w:u w:val="none"/>
          <w:vertAlign w:val="baseline"/>
          <w:lang w:val="en-US" w:eastAsia="zh-CN"/>
        </w:rPr>
        <w:t>1.危险废物相关法律制度落实情况</w:t>
      </w:r>
    </w:p>
    <w:p>
      <w:pPr>
        <w:keepNext w:val="0"/>
        <w:keepLines w:val="0"/>
        <w:pageBreakBefore w:val="0"/>
        <w:widowControl w:val="0"/>
        <w:suppressLineNumbers w:val="0"/>
        <w:kinsoku/>
        <w:wordWrap/>
        <w:overflowPunct/>
        <w:topLinePunct w:val="0"/>
        <w:autoSpaceDE/>
        <w:autoSpaceDN/>
        <w:bidi w:val="0"/>
        <w:adjustRightInd/>
        <w:snapToGrid/>
        <w:spacing w:line="590" w:lineRule="exact"/>
        <w:ind w:firstLine="640" w:firstLineChars="200"/>
        <w:jc w:val="both"/>
        <w:textAlignment w:val="center"/>
        <w:rPr>
          <w:rFonts w:hint="eastAsia" w:ascii="宋体" w:hAnsi="宋体" w:eastAsia="仿宋_GB2312" w:cs="仿宋_GB2312"/>
          <w:b w:val="0"/>
          <w:bCs/>
          <w:i w:val="0"/>
          <w:color w:val="000000"/>
          <w:kern w:val="0"/>
          <w:sz w:val="32"/>
          <w:szCs w:val="32"/>
          <w:u w:val="none"/>
          <w:vertAlign w:val="baseline"/>
          <w:lang w:val="en-US" w:eastAsia="zh-CN"/>
        </w:rPr>
      </w:pPr>
      <w:r>
        <w:rPr>
          <w:rFonts w:hint="eastAsia" w:ascii="宋体" w:hAnsi="宋体" w:eastAsia="仿宋_GB2312" w:cs="仿宋_GB2312"/>
          <w:b w:val="0"/>
          <w:bCs/>
          <w:i w:val="0"/>
          <w:color w:val="000000"/>
          <w:kern w:val="0"/>
          <w:sz w:val="32"/>
          <w:szCs w:val="32"/>
          <w:u w:val="none"/>
          <w:vertAlign w:val="baseline"/>
          <w:lang w:val="en-US" w:eastAsia="zh-CN"/>
        </w:rPr>
        <w:t>根据危险废物相关环境保护法律法规，重点排查整治以下问题：①危险废物自行利用处置设施未依法开展环境影响评价的，或未完成建设项目竣工环境保护验收的。②危险废物自行利用处置设施未依法纳入排污许可证管理的，或纳入排污许可证管理但不满足排污许可证要求的。③危险废物自行利用处置工艺、利用处置危险废物种类及其运行过程污染防治等，与环境影响评价文件和排污许可证要求不一致的。④未通过国家固废系统如实申报2023年度危险废物的种类、产生量、流向、贮存、利用和处置等情况的，危险废物（包括自行利用处置过程新产生的危险废物）去向不明的。</w:t>
      </w:r>
    </w:p>
    <w:p>
      <w:pPr>
        <w:keepNext w:val="0"/>
        <w:keepLines w:val="0"/>
        <w:pageBreakBefore w:val="0"/>
        <w:widowControl w:val="0"/>
        <w:suppressLineNumbers w:val="0"/>
        <w:kinsoku/>
        <w:wordWrap/>
        <w:overflowPunct/>
        <w:topLinePunct w:val="0"/>
        <w:autoSpaceDE/>
        <w:autoSpaceDN/>
        <w:bidi w:val="0"/>
        <w:adjustRightInd/>
        <w:snapToGrid/>
        <w:spacing w:line="590" w:lineRule="exact"/>
        <w:ind w:firstLine="640" w:firstLineChars="200"/>
        <w:jc w:val="both"/>
        <w:textAlignment w:val="center"/>
        <w:rPr>
          <w:rFonts w:hint="eastAsia" w:ascii="宋体" w:hAnsi="宋体" w:eastAsia="仿宋_GB2312" w:cs="仿宋_GB2312"/>
          <w:b w:val="0"/>
          <w:bCs/>
          <w:i w:val="0"/>
          <w:color w:val="000000"/>
          <w:kern w:val="0"/>
          <w:sz w:val="32"/>
          <w:szCs w:val="32"/>
          <w:u w:val="none"/>
          <w:vertAlign w:val="baseline"/>
          <w:lang w:val="en-US" w:eastAsia="zh-CN"/>
        </w:rPr>
      </w:pPr>
      <w:r>
        <w:rPr>
          <w:rFonts w:hint="eastAsia" w:ascii="宋体" w:hAnsi="宋体" w:eastAsia="仿宋_GB2312" w:cs="仿宋_GB2312"/>
          <w:b w:val="0"/>
          <w:bCs/>
          <w:i w:val="0"/>
          <w:color w:val="000000"/>
          <w:kern w:val="0"/>
          <w:sz w:val="32"/>
          <w:szCs w:val="32"/>
          <w:u w:val="none"/>
          <w:vertAlign w:val="baseline"/>
          <w:lang w:val="en-US" w:eastAsia="zh-CN"/>
        </w:rPr>
        <w:t>2.危险废物焚烧处置情况</w:t>
      </w:r>
    </w:p>
    <w:p>
      <w:pPr>
        <w:keepNext w:val="0"/>
        <w:keepLines w:val="0"/>
        <w:pageBreakBefore w:val="0"/>
        <w:widowControl w:val="0"/>
        <w:suppressLineNumbers w:val="0"/>
        <w:kinsoku/>
        <w:wordWrap/>
        <w:overflowPunct/>
        <w:topLinePunct w:val="0"/>
        <w:autoSpaceDE/>
        <w:autoSpaceDN/>
        <w:bidi w:val="0"/>
        <w:adjustRightInd/>
        <w:snapToGrid/>
        <w:spacing w:line="590" w:lineRule="exact"/>
        <w:ind w:firstLine="640" w:firstLineChars="200"/>
        <w:jc w:val="both"/>
        <w:textAlignment w:val="center"/>
        <w:rPr>
          <w:rFonts w:hint="eastAsia" w:ascii="宋体" w:hAnsi="宋体" w:eastAsia="仿宋_GB2312" w:cs="仿宋_GB2312"/>
          <w:b w:val="0"/>
          <w:bCs/>
          <w:i w:val="0"/>
          <w:color w:val="000000"/>
          <w:kern w:val="0"/>
          <w:sz w:val="32"/>
          <w:szCs w:val="32"/>
          <w:u w:val="none"/>
          <w:vertAlign w:val="baseline"/>
          <w:lang w:val="en-US" w:eastAsia="zh-CN"/>
        </w:rPr>
      </w:pPr>
      <w:r>
        <w:rPr>
          <w:rFonts w:hint="eastAsia" w:ascii="宋体" w:hAnsi="宋体" w:eastAsia="仿宋_GB2312" w:cs="仿宋_GB2312"/>
          <w:b w:val="0"/>
          <w:bCs/>
          <w:i w:val="0"/>
          <w:color w:val="000000"/>
          <w:kern w:val="0"/>
          <w:sz w:val="32"/>
          <w:szCs w:val="32"/>
          <w:u w:val="none"/>
          <w:vertAlign w:val="baseline"/>
          <w:lang w:val="en-US" w:eastAsia="zh-CN"/>
        </w:rPr>
        <w:t>根据《危险废物焚烧污染控制标准》(GB 18484)，重点排查整治以下问题：①危险废物焚烧处置设施未按照《危险废物（含医疗废物）焚烧处置设施性能测试技术规范》(HJ 561）进行技术性能测试的，运行过程中高温段温度、烟气停留时间、焚毁去除率、热灼减率等不符合技术性能指标要求的。②危险废物入炉前未根据危险废物焚烧处置设施技术性能要求对危险废物进行配伍，并未对热值、主要有害组分含量等进行检测分析的。③危险废物焚烧处置设施未配置烟气净化装置，或烟气净化装置不具备除尘、脱硫、脱硝、脱酸、去除二嚼英类及重金属类污染物功能的；未配置集成烟气在线自动监测、运行工况在线监测等功能的运行监控装置，或烟气在线自动监测未包括氯化氢、二氧化硫、氮氧化物、颗粒物、一氧化碳和烟气含氧量等1项或1项指标以上的；烟气在线自动监测数据的采集和传输不符合要求的；运行工况在线监测未包括炉膛内热电偶测量温度功能的。④危险废物焚烧处置设施2023年度因启停炉或故障及事故排放污染物的持续时间累计超过60小时的。⑤危险废物焚烧处置设施产生的废气监测因子、监测频次不符合标准要求的，排放不达标的。</w:t>
      </w:r>
    </w:p>
    <w:p>
      <w:pPr>
        <w:keepNext w:val="0"/>
        <w:keepLines w:val="0"/>
        <w:pageBreakBefore w:val="0"/>
        <w:widowControl w:val="0"/>
        <w:suppressLineNumbers w:val="0"/>
        <w:kinsoku/>
        <w:wordWrap/>
        <w:overflowPunct/>
        <w:topLinePunct w:val="0"/>
        <w:autoSpaceDE/>
        <w:autoSpaceDN/>
        <w:bidi w:val="0"/>
        <w:adjustRightInd/>
        <w:snapToGrid/>
        <w:spacing w:line="590" w:lineRule="exact"/>
        <w:ind w:firstLine="640" w:firstLineChars="200"/>
        <w:jc w:val="both"/>
        <w:textAlignment w:val="center"/>
        <w:rPr>
          <w:rFonts w:hint="eastAsia" w:ascii="宋体" w:hAnsi="宋体" w:eastAsia="仿宋_GB2312" w:cs="仿宋_GB2312"/>
          <w:b w:val="0"/>
          <w:bCs/>
          <w:i w:val="0"/>
          <w:color w:val="000000"/>
          <w:kern w:val="0"/>
          <w:sz w:val="32"/>
          <w:szCs w:val="32"/>
          <w:u w:val="none"/>
          <w:vertAlign w:val="baseline"/>
          <w:lang w:val="en-US" w:eastAsia="zh-CN"/>
        </w:rPr>
      </w:pPr>
      <w:r>
        <w:rPr>
          <w:rFonts w:hint="eastAsia" w:ascii="宋体" w:hAnsi="宋体" w:eastAsia="仿宋_GB2312" w:cs="仿宋_GB2312"/>
          <w:b w:val="0"/>
          <w:bCs/>
          <w:i w:val="0"/>
          <w:color w:val="000000"/>
          <w:kern w:val="0"/>
          <w:sz w:val="32"/>
          <w:szCs w:val="32"/>
          <w:u w:val="none"/>
          <w:vertAlign w:val="baseline"/>
          <w:lang w:val="en-US" w:eastAsia="zh-CN"/>
        </w:rPr>
        <w:t>3.危险废物填埋处置情况</w:t>
      </w:r>
    </w:p>
    <w:p>
      <w:pPr>
        <w:keepNext w:val="0"/>
        <w:keepLines w:val="0"/>
        <w:pageBreakBefore w:val="0"/>
        <w:widowControl w:val="0"/>
        <w:suppressLineNumbers w:val="0"/>
        <w:kinsoku/>
        <w:wordWrap/>
        <w:overflowPunct/>
        <w:topLinePunct w:val="0"/>
        <w:autoSpaceDE/>
        <w:autoSpaceDN/>
        <w:bidi w:val="0"/>
        <w:adjustRightInd/>
        <w:snapToGrid/>
        <w:spacing w:line="590" w:lineRule="exact"/>
        <w:ind w:firstLine="640" w:firstLineChars="200"/>
        <w:jc w:val="both"/>
        <w:textAlignment w:val="center"/>
        <w:rPr>
          <w:rFonts w:hint="eastAsia" w:ascii="宋体" w:hAnsi="宋体" w:eastAsia="仿宋_GB2312" w:cs="仿宋_GB2312"/>
          <w:b w:val="0"/>
          <w:bCs/>
          <w:i w:val="0"/>
          <w:color w:val="000000"/>
          <w:kern w:val="0"/>
          <w:sz w:val="32"/>
          <w:szCs w:val="32"/>
          <w:u w:val="none"/>
          <w:vertAlign w:val="baseline"/>
          <w:lang w:val="en-US" w:eastAsia="zh-CN"/>
        </w:rPr>
      </w:pPr>
      <w:r>
        <w:rPr>
          <w:rFonts w:hint="eastAsia" w:ascii="宋体" w:hAnsi="宋体" w:eastAsia="仿宋_GB2312" w:cs="仿宋_GB2312"/>
          <w:b w:val="0"/>
          <w:bCs/>
          <w:i w:val="0"/>
          <w:color w:val="000000"/>
          <w:kern w:val="0"/>
          <w:sz w:val="32"/>
          <w:szCs w:val="32"/>
          <w:u w:val="none"/>
          <w:vertAlign w:val="baseline"/>
          <w:lang w:val="en-US" w:eastAsia="zh-CN"/>
        </w:rPr>
        <w:t>根据《危险废物填埋污染控制标准》(GB 18598)，重点排查整治以下问题：①危险废物填埋场防渗层、渗滤液收集和导排系统不符合标准要求的，未开展防渗层完整性检测的。②危险废物入场填埋前未根据标准要求进行预处理的，未检测确认各项指标满足入场标准的。③危险废物填埋场废水排放监测因子、监测频次不符合标准要求的，排放不达标的。④地下水监测井设置、监测因子、监测频次不符合标准要求的，监测结果不达标的。⑤未根据渗滤液情况以及地下水监测结果等，定期对填埋场环境安全性能进行评估，或评估频次不符合标准要求的。</w:t>
      </w:r>
    </w:p>
    <w:p>
      <w:pPr>
        <w:keepNext w:val="0"/>
        <w:keepLines w:val="0"/>
        <w:pageBreakBefore w:val="0"/>
        <w:widowControl w:val="0"/>
        <w:suppressLineNumbers w:val="0"/>
        <w:kinsoku/>
        <w:wordWrap/>
        <w:overflowPunct/>
        <w:topLinePunct w:val="0"/>
        <w:autoSpaceDE/>
        <w:autoSpaceDN/>
        <w:bidi w:val="0"/>
        <w:adjustRightInd/>
        <w:snapToGrid/>
        <w:spacing w:line="590" w:lineRule="exact"/>
        <w:ind w:firstLine="640" w:firstLineChars="200"/>
        <w:jc w:val="both"/>
        <w:textAlignment w:val="center"/>
        <w:rPr>
          <w:rFonts w:hint="eastAsia" w:ascii="宋体" w:hAnsi="宋体" w:eastAsia="仿宋_GB2312" w:cs="仿宋_GB2312"/>
          <w:b w:val="0"/>
          <w:bCs/>
          <w:i w:val="0"/>
          <w:color w:val="000000"/>
          <w:kern w:val="0"/>
          <w:sz w:val="32"/>
          <w:szCs w:val="32"/>
          <w:u w:val="none"/>
          <w:vertAlign w:val="baseline"/>
          <w:lang w:val="en-US" w:eastAsia="zh-CN"/>
        </w:rPr>
      </w:pPr>
      <w:r>
        <w:rPr>
          <w:rFonts w:hint="eastAsia" w:ascii="宋体" w:hAnsi="宋体" w:eastAsia="仿宋_GB2312" w:cs="仿宋_GB2312"/>
          <w:b w:val="0"/>
          <w:bCs/>
          <w:i w:val="0"/>
          <w:color w:val="000000"/>
          <w:kern w:val="0"/>
          <w:sz w:val="32"/>
          <w:szCs w:val="32"/>
          <w:u w:val="none"/>
          <w:vertAlign w:val="baseline"/>
          <w:lang w:val="en-US" w:eastAsia="zh-CN"/>
        </w:rPr>
        <w:t>4.危险废物利用、工业窑炉协同处理和物理化学处置情况</w:t>
      </w:r>
    </w:p>
    <w:p>
      <w:pPr>
        <w:keepNext w:val="0"/>
        <w:keepLines w:val="0"/>
        <w:pageBreakBefore w:val="0"/>
        <w:widowControl w:val="0"/>
        <w:suppressLineNumbers w:val="0"/>
        <w:kinsoku/>
        <w:wordWrap/>
        <w:overflowPunct/>
        <w:topLinePunct w:val="0"/>
        <w:autoSpaceDE/>
        <w:autoSpaceDN/>
        <w:bidi w:val="0"/>
        <w:adjustRightInd/>
        <w:snapToGrid/>
        <w:spacing w:line="590" w:lineRule="exact"/>
        <w:ind w:firstLine="640" w:firstLineChars="200"/>
        <w:jc w:val="both"/>
        <w:textAlignment w:val="center"/>
        <w:rPr>
          <w:rFonts w:hint="eastAsia" w:ascii="宋体" w:hAnsi="宋体" w:eastAsia="仿宋_GB2312" w:cs="仿宋_GB2312"/>
          <w:b w:val="0"/>
          <w:bCs/>
          <w:i w:val="0"/>
          <w:color w:val="000000"/>
          <w:kern w:val="0"/>
          <w:sz w:val="32"/>
          <w:szCs w:val="32"/>
          <w:u w:val="none"/>
          <w:vertAlign w:val="baseline"/>
          <w:lang w:val="en-US" w:eastAsia="zh-CN"/>
        </w:rPr>
      </w:pPr>
      <w:r>
        <w:rPr>
          <w:rFonts w:hint="eastAsia" w:ascii="宋体" w:hAnsi="宋体" w:eastAsia="仿宋_GB2312" w:cs="仿宋_GB2312"/>
          <w:b w:val="0"/>
          <w:bCs/>
          <w:i w:val="0"/>
          <w:color w:val="000000"/>
          <w:kern w:val="0"/>
          <w:sz w:val="32"/>
          <w:szCs w:val="32"/>
          <w:u w:val="none"/>
          <w:vertAlign w:val="baseline"/>
          <w:lang w:val="en-US" w:eastAsia="zh-CN"/>
        </w:rPr>
        <w:t>根据危险废物利用、工业窑炉协同处理和物理化学处置相关污染防治标准规范，结合实际，重点排查整治以下问题：①危险废物利用、工业窑炉协同处理和物理化学处置设施产生的废气、废水的监测因子、监测频次不符合相关要求的，排放不达标的。②危险废物利用产物属性不明，且未按照《固体废物鉴别标准 通则》(GB 34330）进行固体废物鉴别的。③针对危险废物利用、工业窑炉协同处理和物理化学处置过程产生的固体废物，未进行危险特性鉴别的，或鉴别为危险废物但未按照危险废物管理的。</w:t>
      </w:r>
    </w:p>
    <w:p>
      <w:pPr>
        <w:keepNext w:val="0"/>
        <w:keepLines w:val="0"/>
        <w:pageBreakBefore w:val="0"/>
        <w:widowControl w:val="0"/>
        <w:suppressLineNumbers w:val="0"/>
        <w:kinsoku/>
        <w:wordWrap/>
        <w:overflowPunct/>
        <w:topLinePunct w:val="0"/>
        <w:autoSpaceDE/>
        <w:autoSpaceDN/>
        <w:bidi w:val="0"/>
        <w:adjustRightInd/>
        <w:snapToGrid/>
        <w:spacing w:line="590" w:lineRule="exact"/>
        <w:ind w:firstLine="640" w:firstLineChars="200"/>
        <w:jc w:val="both"/>
        <w:textAlignment w:val="center"/>
        <w:rPr>
          <w:rFonts w:hint="eastAsia" w:ascii="宋体" w:hAnsi="宋体" w:eastAsia="仿宋_GB2312" w:cs="仿宋_GB2312"/>
          <w:b w:val="0"/>
          <w:bCs/>
          <w:i w:val="0"/>
          <w:color w:val="000000"/>
          <w:kern w:val="0"/>
          <w:sz w:val="32"/>
          <w:szCs w:val="32"/>
          <w:u w:val="none"/>
          <w:vertAlign w:val="baseline"/>
          <w:lang w:val="en-US" w:eastAsia="zh-CN"/>
        </w:rPr>
      </w:pPr>
      <w:r>
        <w:rPr>
          <w:rFonts w:hint="eastAsia" w:ascii="宋体" w:hAnsi="宋体" w:eastAsia="仿宋_GB2312" w:cs="仿宋_GB2312"/>
          <w:b w:val="0"/>
          <w:bCs/>
          <w:i w:val="0"/>
          <w:color w:val="000000"/>
          <w:kern w:val="0"/>
          <w:sz w:val="32"/>
          <w:szCs w:val="32"/>
          <w:u w:val="none"/>
          <w:vertAlign w:val="baseline"/>
          <w:lang w:val="en-US" w:eastAsia="zh-CN"/>
        </w:rPr>
        <w:t>5.同时对目标单位落实《危险废物贮存污染控制标准》(GB18597-2023)和《危险废物管理计划和管理台账制定技术导则》(HJ1259-2022）情况开展排查整治。</w:t>
      </w:r>
    </w:p>
    <w:p>
      <w:pPr>
        <w:keepNext w:val="0"/>
        <w:keepLines w:val="0"/>
        <w:pageBreakBefore w:val="0"/>
        <w:widowControl w:val="0"/>
        <w:suppressLineNumbers w:val="0"/>
        <w:kinsoku/>
        <w:wordWrap/>
        <w:overflowPunct/>
        <w:topLinePunct w:val="0"/>
        <w:autoSpaceDE/>
        <w:autoSpaceDN/>
        <w:bidi w:val="0"/>
        <w:adjustRightInd/>
        <w:snapToGrid/>
        <w:spacing w:line="590" w:lineRule="exact"/>
        <w:ind w:firstLine="640" w:firstLineChars="200"/>
        <w:jc w:val="both"/>
        <w:textAlignment w:val="center"/>
        <w:rPr>
          <w:rFonts w:hint="eastAsia" w:ascii="宋体" w:hAnsi="宋体" w:eastAsia="仿宋_GB2312" w:cs="仿宋_GB2312"/>
          <w:b w:val="0"/>
          <w:bCs/>
          <w:i w:val="0"/>
          <w:color w:val="000000"/>
          <w:kern w:val="0"/>
          <w:sz w:val="32"/>
          <w:szCs w:val="32"/>
          <w:u w:val="none"/>
          <w:vertAlign w:val="baseline"/>
          <w:lang w:val="en-US" w:eastAsia="zh-CN"/>
        </w:rPr>
      </w:pPr>
      <w:r>
        <w:rPr>
          <w:rFonts w:hint="eastAsia" w:ascii="宋体" w:hAnsi="宋体" w:eastAsia="楷体_GB2312" w:cs="楷体_GB2312"/>
          <w:b w:val="0"/>
          <w:bCs/>
          <w:i w:val="0"/>
          <w:color w:val="000000"/>
          <w:kern w:val="0"/>
          <w:sz w:val="32"/>
          <w:szCs w:val="32"/>
          <w:u w:val="none"/>
          <w:vertAlign w:val="baseline"/>
          <w:lang w:val="en-US" w:eastAsia="zh-CN"/>
        </w:rPr>
        <w:t>（三）统筹开展规范化评估。</w:t>
      </w:r>
      <w:r>
        <w:rPr>
          <w:rFonts w:hint="eastAsia" w:ascii="宋体" w:hAnsi="宋体" w:eastAsia="仿宋_GB2312" w:cs="仿宋_GB2312"/>
          <w:b w:val="0"/>
          <w:bCs/>
          <w:i w:val="0"/>
          <w:color w:val="000000"/>
          <w:kern w:val="0"/>
          <w:sz w:val="32"/>
          <w:szCs w:val="32"/>
          <w:u w:val="none"/>
          <w:vertAlign w:val="baseline"/>
          <w:lang w:val="en-US" w:eastAsia="zh-CN"/>
        </w:rPr>
        <w:t>将纳入专项整治范围的目标单位作为2024年规范化评估重点，通过规范化评估子系统及“危险废物自行利用处置专项整治APP”（以下简称“专项整治APP”）同步开展专项整治和规范化评估工作，并记录排查整治情况，形成问题清单和整改台账。</w:t>
      </w:r>
    </w:p>
    <w:p>
      <w:pPr>
        <w:keepNext w:val="0"/>
        <w:keepLines w:val="0"/>
        <w:pageBreakBefore w:val="0"/>
        <w:widowControl w:val="0"/>
        <w:suppressLineNumbers w:val="0"/>
        <w:kinsoku/>
        <w:wordWrap/>
        <w:overflowPunct/>
        <w:topLinePunct w:val="0"/>
        <w:autoSpaceDE/>
        <w:autoSpaceDN/>
        <w:bidi w:val="0"/>
        <w:adjustRightInd/>
        <w:snapToGrid/>
        <w:spacing w:line="590" w:lineRule="exact"/>
        <w:ind w:firstLine="640" w:firstLineChars="200"/>
        <w:jc w:val="both"/>
        <w:textAlignment w:val="center"/>
        <w:rPr>
          <w:rFonts w:hint="eastAsia" w:ascii="宋体" w:hAnsi="宋体" w:eastAsia="仿宋_GB2312" w:cs="仿宋_GB2312"/>
          <w:b w:val="0"/>
          <w:bCs/>
          <w:i w:val="0"/>
          <w:color w:val="000000"/>
          <w:kern w:val="0"/>
          <w:sz w:val="32"/>
          <w:szCs w:val="32"/>
          <w:u w:val="none"/>
          <w:vertAlign w:val="baseline"/>
          <w:lang w:val="en-US" w:eastAsia="zh-CN"/>
        </w:rPr>
      </w:pPr>
      <w:r>
        <w:rPr>
          <w:rFonts w:hint="eastAsia" w:ascii="宋体" w:hAnsi="宋体" w:eastAsia="仿宋_GB2312" w:cs="仿宋_GB2312"/>
          <w:b w:val="0"/>
          <w:bCs/>
          <w:i w:val="0"/>
          <w:color w:val="000000"/>
          <w:kern w:val="0"/>
          <w:sz w:val="32"/>
          <w:szCs w:val="32"/>
          <w:u w:val="none"/>
          <w:vertAlign w:val="baseline"/>
          <w:lang w:val="en-US" w:eastAsia="zh-CN"/>
        </w:rPr>
        <w:t>针对专项整治和规范化评估发现的问题，要指导督促相关单位及时整改，有效防范环境风险；对于短期难以完成整改的，要督促责任单位按照“一企一策”要求制定整改方案，明确整改时限，按照时序推进，确保完成整改；对逾期不整改或者经整改仍不符合原发证条件的危险废物经营单位，我局将依法暂扣危险废物经营许可证并上报省生态环境厅；对整改过程中发现的其他违法行为，依法依规进行查处。</w:t>
      </w:r>
    </w:p>
    <w:p>
      <w:pPr>
        <w:keepNext w:val="0"/>
        <w:keepLines w:val="0"/>
        <w:pageBreakBefore w:val="0"/>
        <w:widowControl w:val="0"/>
        <w:suppressLineNumbers w:val="0"/>
        <w:kinsoku/>
        <w:wordWrap/>
        <w:overflowPunct/>
        <w:topLinePunct w:val="0"/>
        <w:autoSpaceDE/>
        <w:autoSpaceDN/>
        <w:bidi w:val="0"/>
        <w:adjustRightInd/>
        <w:snapToGrid/>
        <w:spacing w:line="590" w:lineRule="exact"/>
        <w:ind w:firstLine="640" w:firstLineChars="200"/>
        <w:jc w:val="both"/>
        <w:textAlignment w:val="center"/>
        <w:rPr>
          <w:rFonts w:hint="eastAsia" w:ascii="宋体" w:hAnsi="宋体" w:eastAsia="黑体" w:cs="黑体"/>
          <w:b w:val="0"/>
          <w:bCs/>
          <w:i w:val="0"/>
          <w:color w:val="000000"/>
          <w:kern w:val="0"/>
          <w:sz w:val="32"/>
          <w:szCs w:val="32"/>
          <w:u w:val="none"/>
          <w:vertAlign w:val="baseline"/>
          <w:lang w:val="en-US" w:eastAsia="zh-CN"/>
        </w:rPr>
      </w:pPr>
      <w:r>
        <w:rPr>
          <w:rFonts w:hint="eastAsia" w:ascii="宋体" w:hAnsi="宋体" w:eastAsia="黑体" w:cs="黑体"/>
          <w:b w:val="0"/>
          <w:bCs/>
          <w:i w:val="0"/>
          <w:color w:val="000000"/>
          <w:kern w:val="0"/>
          <w:sz w:val="32"/>
          <w:szCs w:val="32"/>
          <w:u w:val="none"/>
          <w:vertAlign w:val="baseline"/>
          <w:lang w:val="en-US" w:eastAsia="zh-CN"/>
        </w:rPr>
        <w:t>四、时间安排</w:t>
      </w:r>
    </w:p>
    <w:p>
      <w:pPr>
        <w:keepNext w:val="0"/>
        <w:keepLines w:val="0"/>
        <w:pageBreakBefore w:val="0"/>
        <w:widowControl w:val="0"/>
        <w:suppressLineNumbers w:val="0"/>
        <w:kinsoku/>
        <w:wordWrap/>
        <w:overflowPunct/>
        <w:topLinePunct w:val="0"/>
        <w:autoSpaceDE/>
        <w:autoSpaceDN/>
        <w:bidi w:val="0"/>
        <w:adjustRightInd/>
        <w:snapToGrid/>
        <w:spacing w:line="590" w:lineRule="exact"/>
        <w:ind w:firstLine="640" w:firstLineChars="200"/>
        <w:jc w:val="both"/>
        <w:textAlignment w:val="center"/>
        <w:rPr>
          <w:rFonts w:hint="eastAsia" w:ascii="宋体" w:hAnsi="宋体" w:eastAsia="仿宋_GB2312" w:cs="仿宋_GB2312"/>
          <w:b w:val="0"/>
          <w:bCs/>
          <w:i w:val="0"/>
          <w:color w:val="000000"/>
          <w:kern w:val="0"/>
          <w:sz w:val="32"/>
          <w:szCs w:val="32"/>
          <w:u w:val="none"/>
          <w:vertAlign w:val="baseline"/>
          <w:lang w:val="en-US" w:eastAsia="zh-CN"/>
        </w:rPr>
      </w:pPr>
      <w:r>
        <w:rPr>
          <w:rFonts w:hint="eastAsia" w:ascii="宋体" w:hAnsi="宋体" w:eastAsia="仿宋_GB2312" w:cs="仿宋_GB2312"/>
          <w:b w:val="0"/>
          <w:bCs/>
          <w:i w:val="0"/>
          <w:color w:val="000000"/>
          <w:kern w:val="0"/>
          <w:sz w:val="32"/>
          <w:szCs w:val="32"/>
          <w:u w:val="none"/>
          <w:vertAlign w:val="baseline"/>
          <w:lang w:val="en-US" w:eastAsia="zh-CN"/>
        </w:rPr>
        <w:t>此次专项行动从2024年4月开始到2024年11月结束，具体划分为3个大阶段。</w:t>
      </w:r>
    </w:p>
    <w:p>
      <w:pPr>
        <w:keepNext w:val="0"/>
        <w:keepLines w:val="0"/>
        <w:pageBreakBefore w:val="0"/>
        <w:widowControl w:val="0"/>
        <w:suppressLineNumbers w:val="0"/>
        <w:kinsoku/>
        <w:wordWrap/>
        <w:overflowPunct/>
        <w:topLinePunct w:val="0"/>
        <w:autoSpaceDE/>
        <w:autoSpaceDN/>
        <w:bidi w:val="0"/>
        <w:adjustRightInd/>
        <w:snapToGrid/>
        <w:spacing w:line="590" w:lineRule="exact"/>
        <w:ind w:firstLine="640" w:firstLineChars="200"/>
        <w:jc w:val="both"/>
        <w:textAlignment w:val="center"/>
        <w:rPr>
          <w:rFonts w:hint="eastAsia" w:ascii="宋体" w:hAnsi="宋体" w:eastAsia="仿宋_GB2312" w:cs="仿宋_GB2312"/>
          <w:b w:val="0"/>
          <w:bCs/>
          <w:i w:val="0"/>
          <w:color w:val="000000"/>
          <w:kern w:val="0"/>
          <w:sz w:val="32"/>
          <w:szCs w:val="32"/>
          <w:u w:val="none"/>
          <w:vertAlign w:val="baseline"/>
          <w:lang w:val="en-US" w:eastAsia="zh-CN"/>
        </w:rPr>
      </w:pPr>
      <w:r>
        <w:rPr>
          <w:rFonts w:hint="eastAsia" w:ascii="宋体" w:hAnsi="宋体" w:eastAsia="楷体_GB2312" w:cs="楷体_GB2312"/>
          <w:b w:val="0"/>
          <w:bCs/>
          <w:i w:val="0"/>
          <w:color w:val="000000"/>
          <w:kern w:val="0"/>
          <w:sz w:val="32"/>
          <w:szCs w:val="32"/>
          <w:u w:val="none"/>
          <w:vertAlign w:val="baseline"/>
          <w:lang w:val="en-US" w:eastAsia="zh-CN"/>
        </w:rPr>
        <w:t>（一）安排部署（2024年4月12日至4月19日）。</w:t>
      </w:r>
      <w:r>
        <w:rPr>
          <w:rFonts w:hint="eastAsia" w:ascii="宋体" w:hAnsi="宋体" w:eastAsia="仿宋_GB2312" w:cs="仿宋_GB2312"/>
          <w:b w:val="0"/>
          <w:bCs/>
          <w:i w:val="0"/>
          <w:color w:val="000000"/>
          <w:kern w:val="0"/>
          <w:sz w:val="32"/>
          <w:szCs w:val="32"/>
          <w:u w:val="none"/>
          <w:vertAlign w:val="baseline"/>
          <w:lang w:val="en-US" w:eastAsia="zh-CN"/>
        </w:rPr>
        <w:t>制定专项整治方案，进一步明确目标任务，细化工作措施和工作要求，对专项整治工作全面动员部署，压实工作责任到人，分配排查整治APP账号，并按要求组织人员参加专项整治相关培训。</w:t>
      </w:r>
    </w:p>
    <w:p>
      <w:pPr>
        <w:keepNext w:val="0"/>
        <w:keepLines w:val="0"/>
        <w:pageBreakBefore w:val="0"/>
        <w:widowControl w:val="0"/>
        <w:suppressLineNumbers w:val="0"/>
        <w:kinsoku/>
        <w:wordWrap/>
        <w:overflowPunct/>
        <w:topLinePunct w:val="0"/>
        <w:autoSpaceDE/>
        <w:autoSpaceDN/>
        <w:bidi w:val="0"/>
        <w:adjustRightInd/>
        <w:snapToGrid/>
        <w:spacing w:line="590" w:lineRule="exact"/>
        <w:ind w:firstLine="640" w:firstLineChars="200"/>
        <w:jc w:val="both"/>
        <w:textAlignment w:val="center"/>
        <w:rPr>
          <w:rFonts w:hint="eastAsia" w:ascii="宋体" w:hAnsi="宋体" w:eastAsia="仿宋_GB2312" w:cs="仿宋_GB2312"/>
          <w:b w:val="0"/>
          <w:bCs/>
          <w:i w:val="0"/>
          <w:color w:val="000000"/>
          <w:kern w:val="0"/>
          <w:sz w:val="32"/>
          <w:szCs w:val="32"/>
          <w:u w:val="none"/>
          <w:vertAlign w:val="baseline"/>
          <w:lang w:val="en-US" w:eastAsia="zh-CN"/>
        </w:rPr>
      </w:pPr>
      <w:r>
        <w:rPr>
          <w:rFonts w:hint="eastAsia" w:ascii="宋体" w:hAnsi="宋体" w:eastAsia="楷体_GB2312" w:cs="楷体_GB2312"/>
          <w:b w:val="0"/>
          <w:bCs/>
          <w:i w:val="0"/>
          <w:color w:val="000000"/>
          <w:kern w:val="0"/>
          <w:sz w:val="32"/>
          <w:szCs w:val="32"/>
          <w:u w:val="none"/>
          <w:vertAlign w:val="baseline"/>
          <w:lang w:val="en-US" w:eastAsia="zh-CN"/>
        </w:rPr>
        <w:t>（二）排查整治（2024 年4月20日至9月30日）。</w:t>
      </w:r>
      <w:r>
        <w:rPr>
          <w:rFonts w:hint="eastAsia" w:ascii="宋体" w:hAnsi="宋体" w:eastAsia="仿宋_GB2312" w:cs="仿宋_GB2312"/>
          <w:b w:val="0"/>
          <w:bCs/>
          <w:i w:val="0"/>
          <w:color w:val="000000"/>
          <w:kern w:val="0"/>
          <w:sz w:val="32"/>
          <w:szCs w:val="32"/>
          <w:u w:val="none"/>
          <w:vertAlign w:val="baseline"/>
          <w:lang w:val="en-US" w:eastAsia="zh-CN"/>
        </w:rPr>
        <w:t>按照排查整治范围和关注重点开展排查，对发现的问题，能立行立改的，要及时整改。短期内不能整改完毕的，要制定整改方案，按照时间节点实施整改，完成一项，销号一项，具体分为以下几个阶段。</w:t>
      </w:r>
    </w:p>
    <w:p>
      <w:pPr>
        <w:keepNext w:val="0"/>
        <w:keepLines w:val="0"/>
        <w:pageBreakBefore w:val="0"/>
        <w:widowControl w:val="0"/>
        <w:suppressLineNumbers w:val="0"/>
        <w:kinsoku/>
        <w:wordWrap/>
        <w:overflowPunct/>
        <w:topLinePunct w:val="0"/>
        <w:autoSpaceDE/>
        <w:autoSpaceDN/>
        <w:bidi w:val="0"/>
        <w:adjustRightInd/>
        <w:snapToGrid/>
        <w:spacing w:line="590" w:lineRule="exact"/>
        <w:ind w:firstLine="640" w:firstLineChars="200"/>
        <w:jc w:val="both"/>
        <w:textAlignment w:val="center"/>
        <w:rPr>
          <w:rFonts w:hint="eastAsia" w:ascii="宋体" w:hAnsi="宋体" w:eastAsia="仿宋_GB2312" w:cs="仿宋_GB2312"/>
          <w:b w:val="0"/>
          <w:bCs/>
          <w:i w:val="0"/>
          <w:color w:val="000000"/>
          <w:kern w:val="0"/>
          <w:sz w:val="32"/>
          <w:szCs w:val="32"/>
          <w:u w:val="none"/>
          <w:vertAlign w:val="baseline"/>
          <w:lang w:val="en-US" w:eastAsia="zh-CN"/>
        </w:rPr>
      </w:pPr>
      <w:r>
        <w:rPr>
          <w:rFonts w:hint="eastAsia" w:ascii="宋体" w:hAnsi="宋体" w:eastAsia="仿宋_GB2312" w:cs="仿宋_GB2312"/>
          <w:b w:val="0"/>
          <w:bCs/>
          <w:i w:val="0"/>
          <w:color w:val="000000"/>
          <w:kern w:val="0"/>
          <w:sz w:val="32"/>
          <w:szCs w:val="32"/>
          <w:u w:val="none"/>
          <w:vertAlign w:val="baseline"/>
          <w:lang w:val="en-US" w:eastAsia="zh-CN"/>
        </w:rPr>
        <w:t>1.自查自纠（2024年4月）。各目标单位开展自查自纠，落实产废单位主体责任，提高产废单位规范化管理水平。</w:t>
      </w:r>
    </w:p>
    <w:p>
      <w:pPr>
        <w:keepNext w:val="0"/>
        <w:keepLines w:val="0"/>
        <w:pageBreakBefore w:val="0"/>
        <w:widowControl w:val="0"/>
        <w:suppressLineNumbers w:val="0"/>
        <w:kinsoku/>
        <w:wordWrap/>
        <w:overflowPunct/>
        <w:topLinePunct w:val="0"/>
        <w:autoSpaceDE/>
        <w:autoSpaceDN/>
        <w:bidi w:val="0"/>
        <w:adjustRightInd/>
        <w:snapToGrid/>
        <w:spacing w:line="590" w:lineRule="exact"/>
        <w:ind w:firstLine="640" w:firstLineChars="200"/>
        <w:jc w:val="both"/>
        <w:textAlignment w:val="center"/>
        <w:rPr>
          <w:rFonts w:hint="eastAsia" w:ascii="宋体" w:hAnsi="宋体" w:eastAsia="仿宋_GB2312" w:cs="仿宋_GB2312"/>
          <w:b w:val="0"/>
          <w:bCs/>
          <w:i w:val="0"/>
          <w:color w:val="000000"/>
          <w:kern w:val="0"/>
          <w:sz w:val="32"/>
          <w:szCs w:val="32"/>
          <w:u w:val="none"/>
          <w:vertAlign w:val="baseline"/>
          <w:lang w:val="en-US" w:eastAsia="zh-CN"/>
        </w:rPr>
      </w:pPr>
      <w:r>
        <w:rPr>
          <w:rFonts w:hint="eastAsia" w:ascii="宋体" w:hAnsi="宋体" w:eastAsia="仿宋_GB2312" w:cs="仿宋_GB2312"/>
          <w:b w:val="0"/>
          <w:bCs/>
          <w:i w:val="0"/>
          <w:color w:val="000000"/>
          <w:kern w:val="0"/>
          <w:sz w:val="32"/>
          <w:szCs w:val="32"/>
          <w:u w:val="none"/>
          <w:vertAlign w:val="baseline"/>
          <w:lang w:val="en-US" w:eastAsia="zh-CN"/>
        </w:rPr>
        <w:t xml:space="preserve">2.市级排查（2024年5月至6月）。我局对排查范围内全部目标单位进行现场检查，在专项整治APP内全面复核。 </w:t>
      </w:r>
    </w:p>
    <w:p>
      <w:pPr>
        <w:keepNext w:val="0"/>
        <w:keepLines w:val="0"/>
        <w:pageBreakBefore w:val="0"/>
        <w:widowControl w:val="0"/>
        <w:suppressLineNumbers w:val="0"/>
        <w:kinsoku/>
        <w:wordWrap/>
        <w:overflowPunct/>
        <w:topLinePunct w:val="0"/>
        <w:autoSpaceDE/>
        <w:autoSpaceDN/>
        <w:bidi w:val="0"/>
        <w:adjustRightInd/>
        <w:snapToGrid/>
        <w:spacing w:line="590" w:lineRule="exact"/>
        <w:ind w:firstLine="640" w:firstLineChars="200"/>
        <w:jc w:val="both"/>
        <w:textAlignment w:val="center"/>
        <w:rPr>
          <w:rFonts w:hint="eastAsia" w:ascii="宋体" w:hAnsi="宋体" w:eastAsia="仿宋_GB2312" w:cs="仿宋_GB2312"/>
          <w:b w:val="0"/>
          <w:bCs/>
          <w:i w:val="0"/>
          <w:color w:val="000000"/>
          <w:kern w:val="0"/>
          <w:sz w:val="32"/>
          <w:szCs w:val="32"/>
          <w:u w:val="none"/>
          <w:vertAlign w:val="baseline"/>
          <w:lang w:val="en-US" w:eastAsia="zh-CN"/>
        </w:rPr>
      </w:pPr>
      <w:r>
        <w:rPr>
          <w:rFonts w:hint="eastAsia" w:ascii="宋体" w:hAnsi="宋体" w:eastAsia="仿宋_GB2312" w:cs="仿宋_GB2312"/>
          <w:b w:val="0"/>
          <w:bCs/>
          <w:i w:val="0"/>
          <w:color w:val="000000"/>
          <w:kern w:val="0"/>
          <w:sz w:val="32"/>
          <w:szCs w:val="32"/>
          <w:u w:val="none"/>
          <w:vertAlign w:val="baseline"/>
          <w:lang w:val="en-US" w:eastAsia="zh-CN"/>
        </w:rPr>
        <w:t>3.问题整改（2024 年 6 月至 10月）。针对排查发现的问题，逐一列出问题清单，指导督促相关单位进行整改，完成一项，销号一项。</w:t>
      </w:r>
    </w:p>
    <w:p>
      <w:pPr>
        <w:keepNext w:val="0"/>
        <w:keepLines w:val="0"/>
        <w:pageBreakBefore w:val="0"/>
        <w:widowControl w:val="0"/>
        <w:suppressLineNumbers w:val="0"/>
        <w:kinsoku/>
        <w:wordWrap/>
        <w:overflowPunct/>
        <w:topLinePunct w:val="0"/>
        <w:autoSpaceDE/>
        <w:autoSpaceDN/>
        <w:bidi w:val="0"/>
        <w:adjustRightInd/>
        <w:snapToGrid/>
        <w:spacing w:line="590" w:lineRule="exact"/>
        <w:ind w:firstLine="640" w:firstLineChars="200"/>
        <w:jc w:val="both"/>
        <w:textAlignment w:val="center"/>
        <w:rPr>
          <w:rFonts w:hint="eastAsia" w:ascii="宋体" w:hAnsi="宋体" w:eastAsia="仿宋_GB2312" w:cs="仿宋_GB2312"/>
          <w:b w:val="0"/>
          <w:bCs/>
          <w:i w:val="0"/>
          <w:color w:val="000000"/>
          <w:kern w:val="0"/>
          <w:sz w:val="32"/>
          <w:szCs w:val="32"/>
          <w:u w:val="none"/>
          <w:vertAlign w:val="baseline"/>
          <w:lang w:val="en-US" w:eastAsia="zh-CN"/>
        </w:rPr>
      </w:pPr>
      <w:r>
        <w:rPr>
          <w:rFonts w:hint="eastAsia" w:ascii="宋体" w:hAnsi="宋体" w:eastAsia="楷体_GB2312" w:cs="楷体_GB2312"/>
          <w:b w:val="0"/>
          <w:bCs/>
          <w:i w:val="0"/>
          <w:color w:val="000000"/>
          <w:kern w:val="0"/>
          <w:sz w:val="32"/>
          <w:szCs w:val="32"/>
          <w:u w:val="none"/>
          <w:vertAlign w:val="baseline"/>
          <w:lang w:val="en-US" w:eastAsia="zh-CN"/>
        </w:rPr>
        <w:t>（三）攻坚总结（2024年10月至11月）。</w:t>
      </w:r>
      <w:r>
        <w:rPr>
          <w:rFonts w:hint="eastAsia" w:ascii="宋体" w:hAnsi="宋体" w:eastAsia="仿宋_GB2312" w:cs="仿宋_GB2312"/>
          <w:b w:val="0"/>
          <w:bCs/>
          <w:i w:val="0"/>
          <w:color w:val="000000"/>
          <w:kern w:val="0"/>
          <w:sz w:val="32"/>
          <w:szCs w:val="32"/>
          <w:u w:val="none"/>
          <w:vertAlign w:val="baseline"/>
          <w:lang w:val="en-US" w:eastAsia="zh-CN"/>
        </w:rPr>
        <w:t>针对排查整治阶段发现的难点问题和困难，通过现场推进会、专项攻坚等措施，强力推进问题整改。认真归纳分析具有代表性的共性问题并总结经验做法，按时向省厅报送专项整治工作总结。</w:t>
      </w:r>
    </w:p>
    <w:p>
      <w:pPr>
        <w:keepNext w:val="0"/>
        <w:keepLines w:val="0"/>
        <w:pageBreakBefore w:val="0"/>
        <w:widowControl w:val="0"/>
        <w:suppressLineNumbers w:val="0"/>
        <w:kinsoku/>
        <w:wordWrap/>
        <w:overflowPunct/>
        <w:topLinePunct w:val="0"/>
        <w:autoSpaceDE/>
        <w:autoSpaceDN/>
        <w:bidi w:val="0"/>
        <w:adjustRightInd/>
        <w:snapToGrid/>
        <w:spacing w:line="590" w:lineRule="exact"/>
        <w:ind w:firstLine="640" w:firstLineChars="200"/>
        <w:jc w:val="both"/>
        <w:textAlignment w:val="center"/>
        <w:rPr>
          <w:rFonts w:hint="eastAsia" w:ascii="宋体" w:hAnsi="宋体" w:eastAsia="黑体" w:cs="黑体"/>
          <w:b w:val="0"/>
          <w:bCs/>
          <w:i w:val="0"/>
          <w:color w:val="000000"/>
          <w:kern w:val="0"/>
          <w:sz w:val="32"/>
          <w:szCs w:val="32"/>
          <w:u w:val="none"/>
          <w:vertAlign w:val="baseline"/>
          <w:lang w:val="en-US" w:eastAsia="zh-CN"/>
        </w:rPr>
      </w:pPr>
      <w:r>
        <w:rPr>
          <w:rFonts w:hint="eastAsia" w:ascii="宋体" w:hAnsi="宋体" w:eastAsia="黑体" w:cs="黑体"/>
          <w:b w:val="0"/>
          <w:bCs/>
          <w:i w:val="0"/>
          <w:color w:val="000000"/>
          <w:kern w:val="0"/>
          <w:sz w:val="32"/>
          <w:szCs w:val="32"/>
          <w:u w:val="none"/>
          <w:vertAlign w:val="baseline"/>
          <w:lang w:val="en-US" w:eastAsia="zh-CN"/>
        </w:rPr>
        <w:t>五、有关要求</w:t>
      </w:r>
    </w:p>
    <w:p>
      <w:pPr>
        <w:keepNext w:val="0"/>
        <w:keepLines w:val="0"/>
        <w:pageBreakBefore w:val="0"/>
        <w:widowControl w:val="0"/>
        <w:suppressLineNumbers w:val="0"/>
        <w:kinsoku/>
        <w:wordWrap/>
        <w:overflowPunct/>
        <w:topLinePunct w:val="0"/>
        <w:autoSpaceDE/>
        <w:autoSpaceDN/>
        <w:bidi w:val="0"/>
        <w:adjustRightInd/>
        <w:snapToGrid/>
        <w:spacing w:line="590" w:lineRule="exact"/>
        <w:ind w:firstLine="640" w:firstLineChars="200"/>
        <w:jc w:val="both"/>
        <w:textAlignment w:val="center"/>
        <w:rPr>
          <w:rFonts w:hint="eastAsia" w:ascii="宋体" w:hAnsi="宋体" w:eastAsia="仿宋_GB2312" w:cs="仿宋_GB2312"/>
          <w:b w:val="0"/>
          <w:bCs/>
          <w:i w:val="0"/>
          <w:color w:val="000000"/>
          <w:kern w:val="0"/>
          <w:sz w:val="32"/>
          <w:szCs w:val="32"/>
          <w:u w:val="none"/>
          <w:vertAlign w:val="baseline"/>
          <w:lang w:val="en-US" w:eastAsia="zh-CN"/>
        </w:rPr>
      </w:pPr>
      <w:r>
        <w:rPr>
          <w:rFonts w:hint="eastAsia" w:ascii="宋体" w:hAnsi="宋体" w:eastAsia="楷体_GB2312" w:cs="楷体_GB2312"/>
          <w:b w:val="0"/>
          <w:bCs/>
          <w:i w:val="0"/>
          <w:color w:val="000000"/>
          <w:kern w:val="0"/>
          <w:sz w:val="32"/>
          <w:szCs w:val="32"/>
          <w:u w:val="none"/>
          <w:vertAlign w:val="baseline"/>
          <w:lang w:val="en-US" w:eastAsia="zh-CN"/>
        </w:rPr>
        <w:t>（一）强化组织领导。</w:t>
      </w:r>
      <w:r>
        <w:rPr>
          <w:rFonts w:hint="eastAsia" w:ascii="宋体" w:hAnsi="宋体" w:eastAsia="仿宋_GB2312" w:cs="仿宋_GB2312"/>
          <w:b w:val="0"/>
          <w:bCs/>
          <w:i w:val="0"/>
          <w:color w:val="000000"/>
          <w:kern w:val="0"/>
          <w:sz w:val="32"/>
          <w:szCs w:val="32"/>
          <w:u w:val="none"/>
          <w:vertAlign w:val="baseline"/>
          <w:lang w:val="en-US" w:eastAsia="zh-CN"/>
        </w:rPr>
        <w:t>深刻认识危险废物自行利用处置专项整治重要性，加强组织领导，成立工作专班，明确责任，细化分工，全力推动排查整治工作扎实深入有效开展，及时研究解决专项整治过程中发现的难点问题，确保各项任务落实到位。</w:t>
      </w:r>
    </w:p>
    <w:p>
      <w:pPr>
        <w:keepNext w:val="0"/>
        <w:keepLines w:val="0"/>
        <w:pageBreakBefore w:val="0"/>
        <w:widowControl w:val="0"/>
        <w:suppressLineNumbers w:val="0"/>
        <w:kinsoku/>
        <w:wordWrap/>
        <w:overflowPunct/>
        <w:topLinePunct w:val="0"/>
        <w:autoSpaceDE/>
        <w:autoSpaceDN/>
        <w:bidi w:val="0"/>
        <w:adjustRightInd/>
        <w:snapToGrid/>
        <w:spacing w:line="590" w:lineRule="exact"/>
        <w:ind w:firstLine="640" w:firstLineChars="200"/>
        <w:jc w:val="both"/>
        <w:textAlignment w:val="center"/>
        <w:rPr>
          <w:rFonts w:hint="eastAsia" w:ascii="宋体" w:hAnsi="宋体" w:eastAsia="仿宋_GB2312" w:cs="仿宋_GB2312"/>
          <w:b w:val="0"/>
          <w:bCs/>
          <w:i w:val="0"/>
          <w:color w:val="000000"/>
          <w:kern w:val="0"/>
          <w:sz w:val="32"/>
          <w:szCs w:val="32"/>
          <w:u w:val="none"/>
          <w:vertAlign w:val="baseline"/>
          <w:lang w:val="en-US" w:eastAsia="zh-CN"/>
        </w:rPr>
      </w:pPr>
      <w:r>
        <w:rPr>
          <w:rFonts w:hint="eastAsia" w:ascii="宋体" w:hAnsi="宋体" w:eastAsia="楷体_GB2312" w:cs="楷体_GB2312"/>
          <w:b w:val="0"/>
          <w:bCs/>
          <w:i w:val="0"/>
          <w:color w:val="000000"/>
          <w:kern w:val="0"/>
          <w:sz w:val="32"/>
          <w:szCs w:val="32"/>
          <w:u w:val="none"/>
          <w:vertAlign w:val="baseline"/>
          <w:lang w:val="en-US" w:eastAsia="zh-CN"/>
        </w:rPr>
        <w:t>（二）严格落实责任。</w:t>
      </w:r>
      <w:r>
        <w:rPr>
          <w:rFonts w:hint="eastAsia" w:ascii="宋体" w:hAnsi="宋体" w:eastAsia="仿宋_GB2312" w:cs="仿宋_GB2312"/>
          <w:b w:val="0"/>
          <w:bCs/>
          <w:i w:val="0"/>
          <w:color w:val="000000"/>
          <w:kern w:val="0"/>
          <w:sz w:val="32"/>
          <w:szCs w:val="32"/>
          <w:u w:val="none"/>
          <w:vertAlign w:val="baseline"/>
          <w:lang w:val="en-US" w:eastAsia="zh-CN"/>
        </w:rPr>
        <w:t>通过组织目标单位自查和督导检查，进一步压实目标单位主体责任，完善各项制度和措施，确保危险废物依法依规安全利用处置。</w:t>
      </w:r>
    </w:p>
    <w:p>
      <w:pPr>
        <w:keepNext w:val="0"/>
        <w:keepLines w:val="0"/>
        <w:pageBreakBefore w:val="0"/>
        <w:widowControl w:val="0"/>
        <w:suppressLineNumbers w:val="0"/>
        <w:kinsoku/>
        <w:wordWrap/>
        <w:overflowPunct/>
        <w:topLinePunct w:val="0"/>
        <w:autoSpaceDE/>
        <w:autoSpaceDN/>
        <w:bidi w:val="0"/>
        <w:adjustRightInd/>
        <w:snapToGrid/>
        <w:spacing w:line="590" w:lineRule="exact"/>
        <w:ind w:firstLine="640" w:firstLineChars="200"/>
        <w:jc w:val="both"/>
        <w:textAlignment w:val="center"/>
        <w:rPr>
          <w:rFonts w:hint="eastAsia" w:ascii="宋体" w:hAnsi="宋体" w:eastAsia="仿宋_GB2312" w:cs="仿宋_GB2312"/>
          <w:b w:val="0"/>
          <w:bCs/>
          <w:i w:val="0"/>
          <w:color w:val="000000"/>
          <w:kern w:val="0"/>
          <w:sz w:val="32"/>
          <w:szCs w:val="32"/>
          <w:u w:val="none"/>
          <w:vertAlign w:val="baseline"/>
          <w:lang w:val="en-US" w:eastAsia="zh-CN"/>
        </w:rPr>
      </w:pPr>
      <w:r>
        <w:rPr>
          <w:rFonts w:hint="eastAsia" w:ascii="宋体" w:hAnsi="宋体" w:eastAsia="楷体_GB2312" w:cs="楷体_GB2312"/>
          <w:b w:val="0"/>
          <w:bCs/>
          <w:i w:val="0"/>
          <w:color w:val="000000"/>
          <w:kern w:val="0"/>
          <w:sz w:val="32"/>
          <w:szCs w:val="32"/>
          <w:u w:val="none"/>
          <w:vertAlign w:val="baseline"/>
          <w:lang w:val="en-US" w:eastAsia="zh-CN"/>
        </w:rPr>
        <w:t>（三）加强协同执法。</w:t>
      </w:r>
      <w:r>
        <w:rPr>
          <w:rFonts w:hint="eastAsia" w:ascii="宋体" w:hAnsi="宋体" w:eastAsia="仿宋_GB2312" w:cs="仿宋_GB2312"/>
          <w:b w:val="0"/>
          <w:bCs/>
          <w:i w:val="0"/>
          <w:color w:val="000000"/>
          <w:kern w:val="0"/>
          <w:sz w:val="32"/>
          <w:szCs w:val="32"/>
          <w:u w:val="none"/>
          <w:vertAlign w:val="baseline"/>
          <w:lang w:val="en-US" w:eastAsia="zh-CN"/>
        </w:rPr>
        <w:t>对专项整治过程中发现的涉嫌安全生产、消防问题线索及时移交应急管理等部门；对涉嫌环境违法犯罪线索，加强与公安机关的衔接配合，及时立案调查。</w:t>
      </w:r>
    </w:p>
    <w:p>
      <w:pPr>
        <w:keepNext w:val="0"/>
        <w:keepLines w:val="0"/>
        <w:pageBreakBefore w:val="0"/>
        <w:widowControl w:val="0"/>
        <w:suppressLineNumbers w:val="0"/>
        <w:kinsoku/>
        <w:wordWrap/>
        <w:overflowPunct/>
        <w:topLinePunct w:val="0"/>
        <w:autoSpaceDE/>
        <w:autoSpaceDN/>
        <w:bidi w:val="0"/>
        <w:adjustRightInd/>
        <w:snapToGrid/>
        <w:spacing w:line="590" w:lineRule="exact"/>
        <w:ind w:firstLine="640" w:firstLineChars="200"/>
        <w:jc w:val="both"/>
        <w:textAlignment w:val="center"/>
        <w:rPr>
          <w:rFonts w:hint="eastAsia" w:ascii="宋体" w:hAnsi="宋体" w:eastAsia="仿宋_GB2312" w:cs="仿宋_GB2312"/>
          <w:b w:val="0"/>
          <w:bCs/>
          <w:i w:val="0"/>
          <w:color w:val="000000"/>
          <w:kern w:val="0"/>
          <w:sz w:val="32"/>
          <w:szCs w:val="32"/>
          <w:u w:val="none"/>
          <w:vertAlign w:val="baseline"/>
          <w:lang w:val="en-US" w:eastAsia="zh-CN"/>
        </w:rPr>
      </w:pPr>
    </w:p>
    <w:p>
      <w:pPr>
        <w:keepNext w:val="0"/>
        <w:keepLines w:val="0"/>
        <w:pageBreakBefore w:val="0"/>
        <w:widowControl w:val="0"/>
        <w:suppressLineNumbers w:val="0"/>
        <w:kinsoku/>
        <w:wordWrap/>
        <w:overflowPunct/>
        <w:topLinePunct w:val="0"/>
        <w:autoSpaceDE/>
        <w:autoSpaceDN/>
        <w:bidi w:val="0"/>
        <w:adjustRightInd/>
        <w:snapToGrid/>
        <w:spacing w:line="590" w:lineRule="exact"/>
        <w:ind w:firstLine="640" w:firstLineChars="200"/>
        <w:jc w:val="both"/>
        <w:textAlignment w:val="center"/>
        <w:rPr>
          <w:rFonts w:hint="eastAsia" w:ascii="宋体" w:hAnsi="宋体" w:eastAsia="仿宋_GB2312" w:cs="仿宋_GB2312"/>
          <w:b w:val="0"/>
          <w:bCs/>
          <w:i w:val="0"/>
          <w:color w:val="000000"/>
          <w:kern w:val="0"/>
          <w:sz w:val="32"/>
          <w:szCs w:val="32"/>
          <w:u w:val="none"/>
          <w:vertAlign w:val="baseline"/>
          <w:lang w:val="en-US" w:eastAsia="zh-CN"/>
        </w:rPr>
      </w:pPr>
      <w:r>
        <w:rPr>
          <w:rFonts w:hint="eastAsia" w:ascii="宋体" w:hAnsi="宋体" w:eastAsia="仿宋_GB2312" w:cs="仿宋_GB2312"/>
          <w:b w:val="0"/>
          <w:bCs/>
          <w:i w:val="0"/>
          <w:color w:val="000000"/>
          <w:kern w:val="0"/>
          <w:sz w:val="32"/>
          <w:szCs w:val="32"/>
          <w:u w:val="none"/>
          <w:vertAlign w:val="baseline"/>
          <w:lang w:val="en-US" w:eastAsia="zh-CN"/>
        </w:rPr>
        <w:t>附件：1.济源示范区危险废物自行利用处置专项整治目标单</w:t>
      </w:r>
    </w:p>
    <w:p>
      <w:pPr>
        <w:keepNext w:val="0"/>
        <w:keepLines w:val="0"/>
        <w:pageBreakBefore w:val="0"/>
        <w:widowControl w:val="0"/>
        <w:suppressLineNumbers w:val="0"/>
        <w:kinsoku/>
        <w:wordWrap/>
        <w:overflowPunct/>
        <w:topLinePunct w:val="0"/>
        <w:autoSpaceDE/>
        <w:autoSpaceDN/>
        <w:bidi w:val="0"/>
        <w:adjustRightInd/>
        <w:snapToGrid/>
        <w:spacing w:line="590" w:lineRule="exact"/>
        <w:ind w:firstLine="1820" w:firstLineChars="569"/>
        <w:jc w:val="both"/>
        <w:textAlignment w:val="center"/>
        <w:rPr>
          <w:rFonts w:hint="eastAsia" w:ascii="宋体" w:hAnsi="宋体" w:eastAsia="仿宋_GB2312" w:cs="仿宋_GB2312"/>
          <w:b w:val="0"/>
          <w:bCs/>
          <w:i w:val="0"/>
          <w:color w:val="000000"/>
          <w:kern w:val="0"/>
          <w:sz w:val="32"/>
          <w:szCs w:val="32"/>
          <w:u w:val="none"/>
          <w:vertAlign w:val="baseline"/>
          <w:lang w:val="en-US" w:eastAsia="zh-CN"/>
        </w:rPr>
      </w:pPr>
      <w:r>
        <w:rPr>
          <w:rFonts w:hint="eastAsia" w:ascii="宋体" w:hAnsi="宋体" w:eastAsia="仿宋_GB2312" w:cs="仿宋_GB2312"/>
          <w:b w:val="0"/>
          <w:bCs/>
          <w:i w:val="0"/>
          <w:color w:val="000000"/>
          <w:kern w:val="0"/>
          <w:sz w:val="32"/>
          <w:szCs w:val="32"/>
          <w:u w:val="none"/>
          <w:vertAlign w:val="baseline"/>
          <w:lang w:val="en-US" w:eastAsia="zh-CN"/>
        </w:rPr>
        <w:t>位清单</w:t>
      </w:r>
    </w:p>
    <w:p>
      <w:pPr>
        <w:keepNext w:val="0"/>
        <w:keepLines w:val="0"/>
        <w:pageBreakBefore w:val="0"/>
        <w:widowControl w:val="0"/>
        <w:suppressLineNumbers w:val="0"/>
        <w:kinsoku/>
        <w:wordWrap/>
        <w:overflowPunct/>
        <w:topLinePunct w:val="0"/>
        <w:autoSpaceDE/>
        <w:autoSpaceDN/>
        <w:bidi w:val="0"/>
        <w:adjustRightInd/>
        <w:snapToGrid/>
        <w:spacing w:line="590" w:lineRule="exact"/>
        <w:ind w:firstLine="1500" w:firstLineChars="469"/>
        <w:jc w:val="both"/>
        <w:textAlignment w:val="center"/>
        <w:rPr>
          <w:rFonts w:hint="default" w:ascii="宋体" w:hAnsi="宋体" w:eastAsia="仿宋_GB2312" w:cs="仿宋_GB2312"/>
          <w:b w:val="0"/>
          <w:bCs/>
          <w:i w:val="0"/>
          <w:color w:val="000000"/>
          <w:spacing w:val="-10"/>
          <w:kern w:val="0"/>
          <w:sz w:val="32"/>
          <w:szCs w:val="32"/>
          <w:u w:val="none"/>
          <w:vertAlign w:val="baseline"/>
          <w:lang w:val="en-US" w:eastAsia="zh-CN"/>
        </w:rPr>
      </w:pPr>
      <w:r>
        <w:rPr>
          <w:rFonts w:hint="eastAsia" w:ascii="宋体" w:hAnsi="宋体" w:eastAsia="仿宋_GB2312" w:cs="仿宋_GB2312"/>
          <w:b w:val="0"/>
          <w:bCs/>
          <w:i w:val="0"/>
          <w:color w:val="000000"/>
          <w:kern w:val="0"/>
          <w:sz w:val="32"/>
          <w:szCs w:val="32"/>
          <w:u w:val="none"/>
          <w:vertAlign w:val="baseline"/>
          <w:lang w:val="en-US" w:eastAsia="zh-CN"/>
        </w:rPr>
        <w:t>2.</w:t>
      </w:r>
      <w:r>
        <w:rPr>
          <w:rFonts w:hint="eastAsia" w:ascii="宋体" w:hAnsi="宋体" w:eastAsia="仿宋_GB2312" w:cs="仿宋_GB2312"/>
          <w:b w:val="0"/>
          <w:bCs/>
          <w:i w:val="0"/>
          <w:color w:val="000000"/>
          <w:spacing w:val="-10"/>
          <w:kern w:val="0"/>
          <w:sz w:val="32"/>
          <w:szCs w:val="32"/>
          <w:u w:val="none"/>
          <w:vertAlign w:val="baseline"/>
          <w:lang w:val="en-US" w:eastAsia="zh-CN"/>
        </w:rPr>
        <w:t>济源示范区危险废物自行利用处置专项整治问题台账</w:t>
      </w:r>
    </w:p>
    <w:p>
      <w:pPr>
        <w:keepNext w:val="0"/>
        <w:keepLines w:val="0"/>
        <w:pageBreakBefore w:val="0"/>
        <w:widowControl w:val="0"/>
        <w:suppressLineNumbers w:val="0"/>
        <w:kinsoku/>
        <w:wordWrap/>
        <w:overflowPunct/>
        <w:topLinePunct w:val="0"/>
        <w:autoSpaceDE/>
        <w:autoSpaceDN/>
        <w:bidi w:val="0"/>
        <w:adjustRightInd/>
        <w:snapToGrid/>
        <w:spacing w:line="590" w:lineRule="exact"/>
        <w:ind w:firstLine="640" w:firstLineChars="200"/>
        <w:jc w:val="both"/>
        <w:textAlignment w:val="center"/>
        <w:rPr>
          <w:rFonts w:hint="eastAsia" w:ascii="宋体" w:hAnsi="宋体" w:eastAsia="仿宋_GB2312" w:cs="仿宋_GB2312"/>
          <w:b w:val="0"/>
          <w:bCs/>
          <w:i w:val="0"/>
          <w:color w:val="000000"/>
          <w:kern w:val="0"/>
          <w:sz w:val="32"/>
          <w:szCs w:val="32"/>
          <w:u w:val="none"/>
          <w:vertAlign w:val="baseline"/>
          <w:lang w:val="en-US" w:eastAsia="zh-CN"/>
        </w:rPr>
      </w:pPr>
    </w:p>
    <w:p>
      <w:pPr>
        <w:keepNext w:val="0"/>
        <w:keepLines w:val="0"/>
        <w:pageBreakBefore w:val="0"/>
        <w:widowControl w:val="0"/>
        <w:suppressLineNumbers w:val="0"/>
        <w:kinsoku/>
        <w:wordWrap/>
        <w:overflowPunct/>
        <w:topLinePunct w:val="0"/>
        <w:autoSpaceDE/>
        <w:autoSpaceDN/>
        <w:bidi w:val="0"/>
        <w:adjustRightInd/>
        <w:snapToGrid/>
        <w:spacing w:line="590" w:lineRule="exact"/>
        <w:ind w:firstLine="640" w:firstLineChars="200"/>
        <w:jc w:val="both"/>
        <w:textAlignment w:val="center"/>
        <w:rPr>
          <w:rFonts w:hint="eastAsia" w:ascii="宋体" w:hAnsi="宋体" w:eastAsia="仿宋_GB2312" w:cs="仿宋_GB2312"/>
          <w:b w:val="0"/>
          <w:bCs/>
          <w:i w:val="0"/>
          <w:color w:val="000000"/>
          <w:kern w:val="0"/>
          <w:sz w:val="32"/>
          <w:szCs w:val="32"/>
          <w:u w:val="none"/>
          <w:vertAlign w:val="baseline"/>
          <w:lang w:val="en-US" w:eastAsia="zh-CN"/>
        </w:rPr>
      </w:pPr>
    </w:p>
    <w:p>
      <w:pPr>
        <w:keepNext w:val="0"/>
        <w:keepLines w:val="0"/>
        <w:pageBreakBefore w:val="0"/>
        <w:widowControl w:val="0"/>
        <w:suppressLineNumbers w:val="0"/>
        <w:kinsoku/>
        <w:wordWrap/>
        <w:overflowPunct/>
        <w:topLinePunct w:val="0"/>
        <w:autoSpaceDE/>
        <w:autoSpaceDN/>
        <w:bidi w:val="0"/>
        <w:adjustRightInd/>
        <w:snapToGrid/>
        <w:spacing w:line="590" w:lineRule="exact"/>
        <w:ind w:firstLine="640" w:firstLineChars="200"/>
        <w:jc w:val="both"/>
        <w:textAlignment w:val="center"/>
        <w:rPr>
          <w:rFonts w:hint="eastAsia" w:ascii="宋体" w:hAnsi="宋体" w:eastAsia="仿宋_GB2312" w:cs="仿宋_GB2312"/>
          <w:b w:val="0"/>
          <w:bCs/>
          <w:i w:val="0"/>
          <w:color w:val="000000"/>
          <w:kern w:val="0"/>
          <w:sz w:val="32"/>
          <w:szCs w:val="32"/>
          <w:u w:val="none"/>
          <w:vertAlign w:val="baseline"/>
          <w:lang w:val="en-US" w:eastAsia="zh-CN"/>
        </w:rPr>
      </w:pPr>
    </w:p>
    <w:p>
      <w:pPr>
        <w:keepNext w:val="0"/>
        <w:keepLines w:val="0"/>
        <w:pageBreakBefore w:val="0"/>
        <w:widowControl w:val="0"/>
        <w:suppressLineNumbers w:val="0"/>
        <w:kinsoku/>
        <w:wordWrap/>
        <w:overflowPunct/>
        <w:topLinePunct w:val="0"/>
        <w:autoSpaceDE/>
        <w:autoSpaceDN/>
        <w:bidi w:val="0"/>
        <w:adjustRightInd/>
        <w:snapToGrid/>
        <w:spacing w:line="590" w:lineRule="exact"/>
        <w:ind w:firstLine="640" w:firstLineChars="200"/>
        <w:jc w:val="both"/>
        <w:textAlignment w:val="center"/>
        <w:rPr>
          <w:rFonts w:hint="eastAsia" w:ascii="宋体" w:hAnsi="宋体" w:eastAsia="仿宋_GB2312" w:cs="仿宋_GB2312"/>
          <w:b w:val="0"/>
          <w:bCs/>
          <w:i w:val="0"/>
          <w:color w:val="000000"/>
          <w:kern w:val="0"/>
          <w:sz w:val="32"/>
          <w:szCs w:val="32"/>
          <w:u w:val="none"/>
          <w:vertAlign w:val="baseline"/>
          <w:lang w:val="en-US" w:eastAsia="zh-CN"/>
        </w:rPr>
      </w:pPr>
      <w:r>
        <w:rPr>
          <w:rFonts w:hint="eastAsia" w:ascii="宋体" w:hAnsi="宋体" w:eastAsia="仿宋_GB2312" w:cs="仿宋_GB2312"/>
          <w:b w:val="0"/>
          <w:bCs/>
          <w:i w:val="0"/>
          <w:color w:val="000000"/>
          <w:kern w:val="0"/>
          <w:sz w:val="32"/>
          <w:szCs w:val="32"/>
          <w:u w:val="none"/>
          <w:vertAlign w:val="baseline"/>
          <w:lang w:val="en-US" w:eastAsia="zh-CN"/>
        </w:rPr>
        <w:t xml:space="preserve">                            2024年4月1日</w:t>
      </w:r>
    </w:p>
    <w:p>
      <w:pPr>
        <w:pStyle w:val="2"/>
        <w:keepNext w:val="0"/>
        <w:keepLines w:val="0"/>
        <w:pageBreakBefore w:val="0"/>
        <w:widowControl w:val="0"/>
        <w:kinsoku/>
        <w:wordWrap/>
        <w:overflowPunct/>
        <w:topLinePunct w:val="0"/>
        <w:autoSpaceDE/>
        <w:autoSpaceDN/>
        <w:bidi w:val="0"/>
        <w:rPr>
          <w:rFonts w:hint="eastAsia" w:ascii="宋体" w:hAnsi="宋体" w:eastAsia="仿宋" w:cs="仿宋"/>
          <w:sz w:val="32"/>
          <w:szCs w:val="32"/>
          <w:lang w:val="en-US" w:eastAsia="zh-CN"/>
        </w:rPr>
      </w:pPr>
    </w:p>
    <w:p>
      <w:pPr>
        <w:pStyle w:val="2"/>
        <w:keepNext w:val="0"/>
        <w:keepLines w:val="0"/>
        <w:pageBreakBefore w:val="0"/>
        <w:widowControl w:val="0"/>
        <w:kinsoku/>
        <w:wordWrap/>
        <w:overflowPunct/>
        <w:topLinePunct w:val="0"/>
        <w:autoSpaceDE/>
        <w:autoSpaceDN/>
        <w:bidi w:val="0"/>
        <w:rPr>
          <w:rFonts w:hint="eastAsia" w:ascii="宋体" w:hAnsi="宋体" w:eastAsia="仿宋" w:cs="仿宋"/>
          <w:sz w:val="32"/>
          <w:szCs w:val="32"/>
          <w:lang w:val="en-US" w:eastAsia="zh-CN"/>
        </w:rPr>
      </w:pPr>
    </w:p>
    <w:p>
      <w:pPr>
        <w:pStyle w:val="2"/>
        <w:keepNext w:val="0"/>
        <w:keepLines w:val="0"/>
        <w:pageBreakBefore w:val="0"/>
        <w:widowControl w:val="0"/>
        <w:kinsoku/>
        <w:wordWrap/>
        <w:overflowPunct/>
        <w:topLinePunct w:val="0"/>
        <w:autoSpaceDE/>
        <w:autoSpaceDN/>
        <w:bidi w:val="0"/>
        <w:rPr>
          <w:rFonts w:hint="eastAsia" w:ascii="宋体" w:hAnsi="宋体" w:eastAsia="仿宋" w:cs="仿宋"/>
          <w:sz w:val="32"/>
          <w:szCs w:val="32"/>
          <w:lang w:val="en-US" w:eastAsia="zh-CN"/>
        </w:rPr>
      </w:pPr>
    </w:p>
    <w:p>
      <w:pPr>
        <w:pStyle w:val="2"/>
        <w:keepNext w:val="0"/>
        <w:keepLines w:val="0"/>
        <w:pageBreakBefore w:val="0"/>
        <w:widowControl w:val="0"/>
        <w:kinsoku/>
        <w:wordWrap/>
        <w:overflowPunct/>
        <w:topLinePunct w:val="0"/>
        <w:autoSpaceDE/>
        <w:autoSpaceDN/>
        <w:bidi w:val="0"/>
        <w:rPr>
          <w:rFonts w:hint="eastAsia" w:ascii="宋体" w:hAnsi="宋体" w:eastAsia="仿宋" w:cs="仿宋"/>
          <w:sz w:val="32"/>
          <w:szCs w:val="32"/>
          <w:lang w:val="en-US" w:eastAsia="zh-CN"/>
        </w:rPr>
      </w:pPr>
    </w:p>
    <w:p>
      <w:pPr>
        <w:pStyle w:val="2"/>
        <w:keepNext w:val="0"/>
        <w:keepLines w:val="0"/>
        <w:pageBreakBefore w:val="0"/>
        <w:widowControl w:val="0"/>
        <w:kinsoku/>
        <w:wordWrap/>
        <w:overflowPunct/>
        <w:topLinePunct w:val="0"/>
        <w:autoSpaceDE/>
        <w:autoSpaceDN/>
        <w:bidi w:val="0"/>
        <w:rPr>
          <w:rFonts w:hint="eastAsia" w:ascii="宋体" w:hAnsi="宋体" w:eastAsia="仿宋" w:cs="仿宋"/>
          <w:sz w:val="32"/>
          <w:szCs w:val="32"/>
          <w:lang w:val="en-US" w:eastAsia="zh-CN"/>
        </w:rPr>
      </w:pPr>
    </w:p>
    <w:p>
      <w:pPr>
        <w:pStyle w:val="2"/>
        <w:keepNext w:val="0"/>
        <w:keepLines w:val="0"/>
        <w:pageBreakBefore w:val="0"/>
        <w:widowControl w:val="0"/>
        <w:kinsoku/>
        <w:wordWrap/>
        <w:overflowPunct/>
        <w:topLinePunct w:val="0"/>
        <w:autoSpaceDE/>
        <w:autoSpaceDN/>
        <w:bidi w:val="0"/>
        <w:rPr>
          <w:rFonts w:hint="eastAsia" w:ascii="宋体" w:hAnsi="宋体" w:eastAsia="仿宋" w:cs="仿宋"/>
          <w:sz w:val="32"/>
          <w:szCs w:val="32"/>
          <w:lang w:val="en-US" w:eastAsia="zh-CN"/>
        </w:rPr>
      </w:pPr>
    </w:p>
    <w:p>
      <w:pPr>
        <w:pStyle w:val="2"/>
        <w:keepNext w:val="0"/>
        <w:keepLines w:val="0"/>
        <w:pageBreakBefore w:val="0"/>
        <w:widowControl w:val="0"/>
        <w:kinsoku/>
        <w:wordWrap/>
        <w:overflowPunct/>
        <w:topLinePunct w:val="0"/>
        <w:autoSpaceDE/>
        <w:autoSpaceDN/>
        <w:bidi w:val="0"/>
        <w:rPr>
          <w:rFonts w:hint="eastAsia" w:ascii="宋体" w:hAnsi="宋体" w:eastAsia="仿宋" w:cs="仿宋"/>
          <w:sz w:val="32"/>
          <w:szCs w:val="32"/>
          <w:lang w:val="en-US" w:eastAsia="zh-CN"/>
        </w:rPr>
      </w:pPr>
    </w:p>
    <w:p>
      <w:pPr>
        <w:pStyle w:val="2"/>
        <w:keepNext w:val="0"/>
        <w:keepLines w:val="0"/>
        <w:pageBreakBefore w:val="0"/>
        <w:widowControl w:val="0"/>
        <w:kinsoku/>
        <w:wordWrap/>
        <w:overflowPunct/>
        <w:topLinePunct w:val="0"/>
        <w:autoSpaceDE/>
        <w:autoSpaceDN/>
        <w:bidi w:val="0"/>
        <w:rPr>
          <w:rFonts w:hint="eastAsia" w:ascii="宋体" w:hAnsi="宋体" w:eastAsia="仿宋" w:cs="仿宋"/>
          <w:sz w:val="32"/>
          <w:szCs w:val="32"/>
          <w:lang w:val="en-US" w:eastAsia="zh-CN"/>
        </w:rPr>
      </w:pPr>
    </w:p>
    <w:p>
      <w:pPr>
        <w:rPr>
          <w:rFonts w:hint="eastAsia" w:ascii="宋体" w:hAnsi="宋体" w:eastAsia="仿宋" w:cs="仿宋"/>
          <w:color w:val="000000"/>
          <w:kern w:val="2"/>
          <w:sz w:val="32"/>
          <w:szCs w:val="32"/>
          <w:lang w:val="en-US" w:eastAsia="zh-CN" w:bidi="ar-SA"/>
        </w:rPr>
      </w:pPr>
      <w:r>
        <w:rPr>
          <w:rFonts w:hint="eastAsia" w:ascii="宋体" w:hAnsi="宋体" w:eastAsia="仿宋" w:cs="仿宋"/>
          <w:color w:val="000000"/>
          <w:kern w:val="2"/>
          <w:sz w:val="32"/>
          <w:szCs w:val="32"/>
          <w:lang w:val="en-US" w:eastAsia="zh-CN" w:bidi="ar-SA"/>
        </w:rPr>
        <w:br w:type="page"/>
      </w:r>
    </w:p>
    <w:p>
      <w:pPr>
        <w:pStyle w:val="2"/>
        <w:keepNext w:val="0"/>
        <w:keepLines w:val="0"/>
        <w:pageBreakBefore w:val="0"/>
        <w:widowControl w:val="0"/>
        <w:kinsoku/>
        <w:wordWrap/>
        <w:overflowPunct/>
        <w:topLinePunct w:val="0"/>
        <w:autoSpaceDE/>
        <w:autoSpaceDN/>
        <w:bidi w:val="0"/>
        <w:ind w:left="0" w:leftChars="0" w:firstLine="0" w:firstLineChars="0"/>
        <w:rPr>
          <w:rFonts w:hint="eastAsia" w:ascii="宋体" w:hAnsi="宋体" w:eastAsia="黑体" w:cs="黑体"/>
          <w:color w:val="000000"/>
          <w:kern w:val="2"/>
          <w:sz w:val="32"/>
          <w:szCs w:val="32"/>
          <w:lang w:val="en-US" w:eastAsia="zh-CN" w:bidi="ar-SA"/>
        </w:rPr>
      </w:pPr>
      <w:r>
        <w:rPr>
          <w:rFonts w:hint="eastAsia" w:ascii="宋体" w:hAnsi="宋体" w:eastAsia="黑体" w:cs="黑体"/>
          <w:color w:val="000000"/>
          <w:kern w:val="2"/>
          <w:sz w:val="32"/>
          <w:szCs w:val="32"/>
          <w:lang w:val="en-US" w:eastAsia="zh-CN" w:bidi="ar-SA"/>
        </w:rPr>
        <w:t>附件1</w:t>
      </w:r>
    </w:p>
    <w:p>
      <w:pPr>
        <w:pStyle w:val="2"/>
        <w:keepNext w:val="0"/>
        <w:keepLines w:val="0"/>
        <w:pageBreakBefore w:val="0"/>
        <w:widowControl w:val="0"/>
        <w:kinsoku/>
        <w:wordWrap/>
        <w:overflowPunct/>
        <w:topLinePunct w:val="0"/>
        <w:autoSpaceDE/>
        <w:autoSpaceDN/>
        <w:bidi w:val="0"/>
        <w:adjustRightInd/>
        <w:snapToGrid/>
        <w:spacing w:line="600" w:lineRule="exact"/>
        <w:ind w:left="0" w:leftChars="0" w:firstLine="0" w:firstLineChars="0"/>
        <w:jc w:val="center"/>
        <w:textAlignment w:val="baseline"/>
        <w:rPr>
          <w:rFonts w:hint="eastAsia" w:ascii="宋体" w:hAnsi="宋体" w:eastAsia="方正小标宋_GBK" w:cs="方正小标宋_GBK"/>
          <w:sz w:val="44"/>
          <w:szCs w:val="44"/>
          <w:lang w:val="en-US" w:eastAsia="zh-CN"/>
        </w:rPr>
      </w:pPr>
      <w:r>
        <w:rPr>
          <w:rFonts w:hint="eastAsia" w:ascii="宋体" w:hAnsi="宋体" w:eastAsia="方正小标宋_GBK" w:cs="方正小标宋_GBK"/>
          <w:sz w:val="44"/>
          <w:szCs w:val="44"/>
          <w:lang w:val="en-US" w:eastAsia="zh-CN"/>
        </w:rPr>
        <w:t>济源示范区危险废物自行利用处置</w:t>
      </w:r>
    </w:p>
    <w:p>
      <w:pPr>
        <w:pStyle w:val="2"/>
        <w:keepNext w:val="0"/>
        <w:keepLines w:val="0"/>
        <w:pageBreakBefore w:val="0"/>
        <w:widowControl w:val="0"/>
        <w:kinsoku/>
        <w:wordWrap/>
        <w:overflowPunct/>
        <w:topLinePunct w:val="0"/>
        <w:autoSpaceDE/>
        <w:autoSpaceDN/>
        <w:bidi w:val="0"/>
        <w:ind w:left="0" w:leftChars="0" w:firstLine="0" w:firstLineChars="0"/>
        <w:jc w:val="center"/>
        <w:rPr>
          <w:rFonts w:hint="eastAsia" w:ascii="宋体" w:hAnsi="宋体" w:eastAsia="方正小标宋_GBK" w:cs="方正小标宋_GBK"/>
          <w:sz w:val="44"/>
          <w:szCs w:val="44"/>
          <w:lang w:val="en-US" w:eastAsia="zh-CN"/>
        </w:rPr>
      </w:pPr>
      <w:r>
        <w:rPr>
          <w:rFonts w:hint="eastAsia" w:ascii="宋体" w:hAnsi="宋体" w:eastAsia="方正小标宋_GBK" w:cs="方正小标宋_GBK"/>
          <w:sz w:val="44"/>
          <w:szCs w:val="44"/>
          <w:lang w:val="en-US" w:eastAsia="zh-CN"/>
        </w:rPr>
        <w:t>专项整治目标单位清单</w:t>
      </w:r>
    </w:p>
    <w:tbl>
      <w:tblPr>
        <w:tblStyle w:val="20"/>
        <w:tblW w:w="87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7"/>
        <w:gridCol w:w="2880"/>
        <w:gridCol w:w="2355"/>
        <w:gridCol w:w="28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tblHeader/>
          <w:jc w:val="center"/>
        </w:trPr>
        <w:tc>
          <w:tcPr>
            <w:tcW w:w="687"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黑体" w:cs="黑体"/>
                <w:sz w:val="21"/>
                <w:szCs w:val="21"/>
                <w:vertAlign w:val="baseline"/>
                <w:lang w:val="en-US" w:eastAsia="zh-CN"/>
              </w:rPr>
            </w:pPr>
            <w:r>
              <w:rPr>
                <w:rFonts w:hint="eastAsia" w:ascii="宋体" w:hAnsi="宋体" w:eastAsia="黑体" w:cs="黑体"/>
                <w:sz w:val="21"/>
                <w:szCs w:val="21"/>
                <w:vertAlign w:val="baseline"/>
                <w:lang w:val="en-US" w:eastAsia="zh-CN"/>
              </w:rPr>
              <w:t>序号</w:t>
            </w:r>
          </w:p>
        </w:tc>
        <w:tc>
          <w:tcPr>
            <w:tcW w:w="2880"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黑体" w:cs="黑体"/>
                <w:sz w:val="21"/>
                <w:szCs w:val="21"/>
                <w:vertAlign w:val="baseline"/>
                <w:lang w:val="en-US" w:eastAsia="zh-CN"/>
              </w:rPr>
            </w:pPr>
            <w:r>
              <w:rPr>
                <w:rFonts w:hint="eastAsia" w:ascii="宋体" w:hAnsi="宋体" w:eastAsia="黑体" w:cs="黑体"/>
                <w:sz w:val="21"/>
                <w:szCs w:val="21"/>
                <w:vertAlign w:val="baseline"/>
                <w:lang w:val="en-US" w:eastAsia="zh-CN"/>
              </w:rPr>
              <w:t>企业名称</w:t>
            </w:r>
          </w:p>
        </w:tc>
        <w:tc>
          <w:tcPr>
            <w:tcW w:w="2355"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黑体" w:cs="黑体"/>
                <w:sz w:val="21"/>
                <w:szCs w:val="21"/>
                <w:vertAlign w:val="baseline"/>
                <w:lang w:val="en-US" w:eastAsia="zh-CN"/>
              </w:rPr>
            </w:pPr>
            <w:r>
              <w:rPr>
                <w:rFonts w:hint="eastAsia" w:ascii="宋体" w:hAnsi="宋体" w:eastAsia="黑体" w:cs="黑体"/>
                <w:sz w:val="21"/>
                <w:szCs w:val="21"/>
                <w:vertAlign w:val="baseline"/>
                <w:lang w:val="en-US" w:eastAsia="zh-CN"/>
              </w:rPr>
              <w:t>统一社会信用代码</w:t>
            </w:r>
          </w:p>
        </w:tc>
        <w:tc>
          <w:tcPr>
            <w:tcW w:w="2853"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黑体" w:cs="黑体"/>
                <w:sz w:val="21"/>
                <w:szCs w:val="21"/>
                <w:vertAlign w:val="baseline"/>
                <w:lang w:val="en-US" w:eastAsia="zh-CN"/>
              </w:rPr>
            </w:pPr>
            <w:r>
              <w:rPr>
                <w:rFonts w:hint="eastAsia" w:ascii="宋体" w:hAnsi="宋体" w:eastAsia="黑体" w:cs="黑体"/>
                <w:sz w:val="21"/>
                <w:szCs w:val="21"/>
                <w:vertAlign w:val="baseline"/>
                <w:lang w:val="en-US" w:eastAsia="zh-CN"/>
              </w:rPr>
              <w:t>企业类型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4" w:hRule="atLeast"/>
          <w:jc w:val="center"/>
        </w:trPr>
        <w:tc>
          <w:tcPr>
            <w:tcW w:w="687"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w:t>
            </w:r>
          </w:p>
        </w:tc>
        <w:tc>
          <w:tcPr>
            <w:tcW w:w="2880"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kern w:val="2"/>
                <w:sz w:val="21"/>
                <w:szCs w:val="21"/>
                <w:vertAlign w:val="baseline"/>
                <w:lang w:val="en-US" w:eastAsia="zh-CN" w:bidi="ar-SA"/>
              </w:rPr>
            </w:pPr>
            <w:r>
              <w:rPr>
                <w:rFonts w:hint="eastAsia" w:ascii="宋体" w:hAnsi="宋体" w:eastAsia="宋体" w:cs="宋体"/>
                <w:i w:val="0"/>
                <w:iCs w:val="0"/>
                <w:color w:val="000000"/>
                <w:kern w:val="0"/>
                <w:sz w:val="21"/>
                <w:szCs w:val="21"/>
                <w:u w:val="none"/>
                <w:lang w:val="en-US" w:eastAsia="zh-CN" w:bidi="ar"/>
              </w:rPr>
              <w:t>济源联合环保医疗废物处置有限公司</w:t>
            </w:r>
          </w:p>
        </w:tc>
        <w:tc>
          <w:tcPr>
            <w:tcW w:w="2355"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kern w:val="2"/>
                <w:sz w:val="21"/>
                <w:szCs w:val="21"/>
                <w:vertAlign w:val="baseline"/>
                <w:lang w:val="en-US" w:eastAsia="zh-CN" w:bidi="ar-SA"/>
              </w:rPr>
            </w:pPr>
            <w:r>
              <w:rPr>
                <w:rFonts w:hint="eastAsia" w:ascii="宋体" w:hAnsi="宋体" w:eastAsia="宋体" w:cs="宋体"/>
                <w:i w:val="0"/>
                <w:iCs w:val="0"/>
                <w:color w:val="000000"/>
                <w:kern w:val="0"/>
                <w:sz w:val="21"/>
                <w:szCs w:val="21"/>
                <w:u w:val="none"/>
                <w:lang w:val="en-US" w:eastAsia="zh-CN" w:bidi="ar"/>
              </w:rPr>
              <w:t>91419001MA3XENLN3X</w:t>
            </w:r>
          </w:p>
        </w:tc>
        <w:tc>
          <w:tcPr>
            <w:tcW w:w="2853"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医疗废物处置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687"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2</w:t>
            </w:r>
          </w:p>
        </w:tc>
        <w:tc>
          <w:tcPr>
            <w:tcW w:w="2880"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sz w:val="21"/>
                <w:szCs w:val="21"/>
                <w:vertAlign w:val="baseline"/>
                <w:lang w:val="en-US" w:eastAsia="zh-CN"/>
              </w:rPr>
            </w:pPr>
            <w:r>
              <w:rPr>
                <w:rFonts w:hint="eastAsia" w:ascii="宋体" w:hAnsi="宋体" w:eastAsia="宋体" w:cs="宋体"/>
                <w:i w:val="0"/>
                <w:iCs w:val="0"/>
                <w:color w:val="000000"/>
                <w:kern w:val="0"/>
                <w:sz w:val="21"/>
                <w:szCs w:val="21"/>
                <w:u w:val="none"/>
                <w:lang w:val="en-US" w:eastAsia="zh-CN" w:bidi="ar"/>
              </w:rPr>
              <w:t>济源海中环保科技有限责任公司</w:t>
            </w:r>
          </w:p>
        </w:tc>
        <w:tc>
          <w:tcPr>
            <w:tcW w:w="2355"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sz w:val="21"/>
                <w:szCs w:val="21"/>
                <w:vertAlign w:val="baseline"/>
                <w:lang w:val="en-US" w:eastAsia="zh-CN"/>
              </w:rPr>
            </w:pPr>
            <w:r>
              <w:rPr>
                <w:rFonts w:hint="eastAsia" w:ascii="宋体" w:hAnsi="宋体" w:eastAsia="宋体" w:cs="宋体"/>
                <w:i w:val="0"/>
                <w:iCs w:val="0"/>
                <w:color w:val="000000"/>
                <w:kern w:val="0"/>
                <w:sz w:val="21"/>
                <w:szCs w:val="21"/>
                <w:u w:val="none"/>
                <w:lang w:val="en-US" w:eastAsia="zh-CN" w:bidi="ar"/>
              </w:rPr>
              <w:t>91419001MA46YKQ130</w:t>
            </w:r>
          </w:p>
        </w:tc>
        <w:tc>
          <w:tcPr>
            <w:tcW w:w="2853"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水泥窑协同处置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687"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3</w:t>
            </w:r>
          </w:p>
        </w:tc>
        <w:tc>
          <w:tcPr>
            <w:tcW w:w="2880"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sz w:val="21"/>
                <w:szCs w:val="21"/>
                <w:vertAlign w:val="baseline"/>
                <w:lang w:val="en-US" w:eastAsia="zh-CN"/>
              </w:rPr>
            </w:pPr>
            <w:r>
              <w:rPr>
                <w:rFonts w:hint="eastAsia" w:ascii="宋体" w:hAnsi="宋体" w:eastAsia="宋体" w:cs="宋体"/>
                <w:i w:val="0"/>
                <w:iCs w:val="0"/>
                <w:color w:val="000000"/>
                <w:kern w:val="0"/>
                <w:sz w:val="21"/>
                <w:szCs w:val="21"/>
                <w:u w:val="none"/>
                <w:lang w:val="en-US" w:eastAsia="zh-CN" w:bidi="ar"/>
              </w:rPr>
              <w:t>济源柿槟实业有限公司</w:t>
            </w:r>
          </w:p>
        </w:tc>
        <w:tc>
          <w:tcPr>
            <w:tcW w:w="2355"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sz w:val="21"/>
                <w:szCs w:val="21"/>
                <w:vertAlign w:val="baseline"/>
                <w:lang w:val="en-US" w:eastAsia="zh-CN"/>
              </w:rPr>
            </w:pPr>
            <w:r>
              <w:rPr>
                <w:rFonts w:hint="eastAsia" w:ascii="宋体" w:hAnsi="宋体" w:eastAsia="宋体" w:cs="宋体"/>
                <w:i w:val="0"/>
                <w:iCs w:val="0"/>
                <w:color w:val="000000"/>
                <w:kern w:val="0"/>
                <w:sz w:val="21"/>
                <w:szCs w:val="21"/>
                <w:u w:val="none"/>
                <w:lang w:val="en-US" w:eastAsia="zh-CN" w:bidi="ar"/>
              </w:rPr>
              <w:t>914190017251256954</w:t>
            </w:r>
          </w:p>
        </w:tc>
        <w:tc>
          <w:tcPr>
            <w:tcW w:w="2853"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产废单位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687"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4</w:t>
            </w:r>
          </w:p>
        </w:tc>
        <w:tc>
          <w:tcPr>
            <w:tcW w:w="2880"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sz w:val="21"/>
                <w:szCs w:val="21"/>
                <w:vertAlign w:val="baseline"/>
                <w:lang w:val="en-US" w:eastAsia="zh-CN"/>
              </w:rPr>
            </w:pPr>
            <w:r>
              <w:rPr>
                <w:rFonts w:hint="eastAsia" w:ascii="宋体" w:hAnsi="宋体" w:eastAsia="宋体" w:cs="宋体"/>
                <w:i w:val="0"/>
                <w:iCs w:val="0"/>
                <w:color w:val="000000"/>
                <w:kern w:val="0"/>
                <w:sz w:val="21"/>
                <w:szCs w:val="21"/>
                <w:u w:val="none"/>
                <w:lang w:val="en-US" w:eastAsia="zh-CN" w:bidi="ar"/>
              </w:rPr>
              <w:t>济源恒丰科技发展有限公司</w:t>
            </w:r>
          </w:p>
        </w:tc>
        <w:tc>
          <w:tcPr>
            <w:tcW w:w="2355"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sz w:val="21"/>
                <w:szCs w:val="21"/>
                <w:vertAlign w:val="baseline"/>
                <w:lang w:val="en-US" w:eastAsia="zh-CN"/>
              </w:rPr>
            </w:pPr>
            <w:r>
              <w:rPr>
                <w:rFonts w:hint="eastAsia" w:ascii="宋体" w:hAnsi="宋体" w:eastAsia="宋体" w:cs="宋体"/>
                <w:i w:val="0"/>
                <w:iCs w:val="0"/>
                <w:color w:val="000000"/>
                <w:kern w:val="0"/>
                <w:sz w:val="21"/>
                <w:szCs w:val="21"/>
                <w:u w:val="none"/>
                <w:lang w:val="en-US" w:eastAsia="zh-CN" w:bidi="ar"/>
              </w:rPr>
              <w:t>914190017678402245</w:t>
            </w:r>
          </w:p>
        </w:tc>
        <w:tc>
          <w:tcPr>
            <w:tcW w:w="2853"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危险废物</w:t>
            </w:r>
          </w:p>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综合经营单位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687"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5</w:t>
            </w:r>
          </w:p>
        </w:tc>
        <w:tc>
          <w:tcPr>
            <w:tcW w:w="2880"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sz w:val="21"/>
                <w:szCs w:val="21"/>
                <w:vertAlign w:val="baseline"/>
                <w:lang w:val="en-US" w:eastAsia="zh-CN"/>
              </w:rPr>
            </w:pPr>
            <w:r>
              <w:rPr>
                <w:rFonts w:hint="eastAsia" w:ascii="宋体" w:hAnsi="宋体" w:eastAsia="宋体" w:cs="宋体"/>
                <w:i w:val="0"/>
                <w:iCs w:val="0"/>
                <w:color w:val="000000"/>
                <w:kern w:val="0"/>
                <w:sz w:val="21"/>
                <w:szCs w:val="21"/>
                <w:u w:val="none"/>
                <w:lang w:val="en-US" w:eastAsia="zh-CN" w:bidi="ar"/>
              </w:rPr>
              <w:t>济源市鸿达资源综合利用有限公司</w:t>
            </w:r>
          </w:p>
        </w:tc>
        <w:tc>
          <w:tcPr>
            <w:tcW w:w="2355"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sz w:val="21"/>
                <w:szCs w:val="21"/>
                <w:vertAlign w:val="baseline"/>
                <w:lang w:val="en-US" w:eastAsia="zh-CN"/>
              </w:rPr>
            </w:pPr>
            <w:r>
              <w:rPr>
                <w:rFonts w:hint="eastAsia" w:ascii="宋体" w:hAnsi="宋体" w:eastAsia="宋体" w:cs="宋体"/>
                <w:i w:val="0"/>
                <w:iCs w:val="0"/>
                <w:color w:val="000000"/>
                <w:kern w:val="0"/>
                <w:sz w:val="21"/>
                <w:szCs w:val="21"/>
                <w:u w:val="none"/>
                <w:lang w:val="en-US" w:eastAsia="zh-CN" w:bidi="ar"/>
              </w:rPr>
              <w:t>91419001MA3XA7YK6H</w:t>
            </w:r>
          </w:p>
        </w:tc>
        <w:tc>
          <w:tcPr>
            <w:tcW w:w="2853"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危险废物</w:t>
            </w:r>
          </w:p>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综合经营单位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687"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6</w:t>
            </w:r>
          </w:p>
        </w:tc>
        <w:tc>
          <w:tcPr>
            <w:tcW w:w="2880"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sz w:val="21"/>
                <w:szCs w:val="21"/>
                <w:vertAlign w:val="baseline"/>
                <w:lang w:val="en-US" w:eastAsia="zh-CN"/>
              </w:rPr>
            </w:pPr>
            <w:r>
              <w:rPr>
                <w:rFonts w:hint="eastAsia" w:ascii="宋体" w:hAnsi="宋体" w:eastAsia="宋体" w:cs="宋体"/>
                <w:i w:val="0"/>
                <w:iCs w:val="0"/>
                <w:color w:val="000000"/>
                <w:kern w:val="0"/>
                <w:sz w:val="21"/>
                <w:szCs w:val="21"/>
                <w:u w:val="none"/>
                <w:lang w:val="en-US" w:eastAsia="zh-CN" w:bidi="ar"/>
              </w:rPr>
              <w:t>济源市金达铜业有限公司</w:t>
            </w:r>
          </w:p>
        </w:tc>
        <w:tc>
          <w:tcPr>
            <w:tcW w:w="2355"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sz w:val="21"/>
                <w:szCs w:val="21"/>
                <w:vertAlign w:val="baseline"/>
                <w:lang w:val="en-US" w:eastAsia="zh-CN"/>
              </w:rPr>
            </w:pPr>
            <w:r>
              <w:rPr>
                <w:rFonts w:hint="eastAsia" w:ascii="宋体" w:hAnsi="宋体" w:eastAsia="宋体" w:cs="宋体"/>
                <w:i w:val="0"/>
                <w:iCs w:val="0"/>
                <w:color w:val="000000"/>
                <w:kern w:val="0"/>
                <w:sz w:val="21"/>
                <w:szCs w:val="21"/>
                <w:u w:val="none"/>
                <w:lang w:val="en-US" w:eastAsia="zh-CN" w:bidi="ar"/>
              </w:rPr>
              <w:t>914190017850655830</w:t>
            </w:r>
          </w:p>
        </w:tc>
        <w:tc>
          <w:tcPr>
            <w:tcW w:w="2853"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危险废物</w:t>
            </w:r>
          </w:p>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综合经营单位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687"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7</w:t>
            </w:r>
          </w:p>
        </w:tc>
        <w:tc>
          <w:tcPr>
            <w:tcW w:w="2880"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sz w:val="21"/>
                <w:szCs w:val="21"/>
                <w:vertAlign w:val="baseline"/>
                <w:lang w:val="en-US" w:eastAsia="zh-CN"/>
              </w:rPr>
            </w:pPr>
            <w:r>
              <w:rPr>
                <w:rFonts w:hint="eastAsia" w:ascii="宋体" w:hAnsi="宋体" w:eastAsia="宋体" w:cs="宋体"/>
                <w:i w:val="0"/>
                <w:iCs w:val="0"/>
                <w:color w:val="000000"/>
                <w:kern w:val="0"/>
                <w:sz w:val="21"/>
                <w:szCs w:val="21"/>
                <w:u w:val="none"/>
                <w:lang w:val="en-US" w:eastAsia="zh-CN" w:bidi="ar"/>
              </w:rPr>
              <w:t>济源市金惠铅业有限公司</w:t>
            </w:r>
          </w:p>
        </w:tc>
        <w:tc>
          <w:tcPr>
            <w:tcW w:w="2355"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sz w:val="21"/>
                <w:szCs w:val="21"/>
                <w:vertAlign w:val="baseline"/>
                <w:lang w:val="en-US" w:eastAsia="zh-CN"/>
              </w:rPr>
            </w:pPr>
            <w:r>
              <w:rPr>
                <w:rFonts w:hint="eastAsia" w:ascii="宋体" w:hAnsi="宋体" w:eastAsia="宋体" w:cs="宋体"/>
                <w:i w:val="0"/>
                <w:iCs w:val="0"/>
                <w:color w:val="000000"/>
                <w:kern w:val="0"/>
                <w:sz w:val="21"/>
                <w:szCs w:val="21"/>
                <w:u w:val="none"/>
                <w:lang w:val="en-US" w:eastAsia="zh-CN" w:bidi="ar"/>
              </w:rPr>
              <w:t>91419001798231472U</w:t>
            </w:r>
          </w:p>
        </w:tc>
        <w:tc>
          <w:tcPr>
            <w:tcW w:w="2853"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产废单位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687"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8</w:t>
            </w:r>
          </w:p>
        </w:tc>
        <w:tc>
          <w:tcPr>
            <w:tcW w:w="2880"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sz w:val="21"/>
                <w:szCs w:val="21"/>
                <w:vertAlign w:val="baseline"/>
                <w:lang w:val="en-US" w:eastAsia="zh-CN"/>
              </w:rPr>
            </w:pPr>
            <w:r>
              <w:rPr>
                <w:rFonts w:hint="eastAsia" w:ascii="宋体" w:hAnsi="宋体" w:eastAsia="宋体" w:cs="宋体"/>
                <w:i w:val="0"/>
                <w:iCs w:val="0"/>
                <w:color w:val="000000"/>
                <w:kern w:val="0"/>
                <w:sz w:val="21"/>
                <w:szCs w:val="21"/>
                <w:u w:val="none"/>
                <w:lang w:val="en-US" w:eastAsia="zh-CN" w:bidi="ar"/>
              </w:rPr>
              <w:t>济源市豫峰镍业有限公司</w:t>
            </w:r>
          </w:p>
        </w:tc>
        <w:tc>
          <w:tcPr>
            <w:tcW w:w="2355"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sz w:val="21"/>
                <w:szCs w:val="21"/>
                <w:vertAlign w:val="baseline"/>
                <w:lang w:val="en-US" w:eastAsia="zh-CN"/>
              </w:rPr>
            </w:pPr>
            <w:r>
              <w:rPr>
                <w:rFonts w:hint="eastAsia" w:ascii="宋体" w:hAnsi="宋体" w:eastAsia="宋体" w:cs="宋体"/>
                <w:i w:val="0"/>
                <w:iCs w:val="0"/>
                <w:color w:val="000000"/>
                <w:kern w:val="0"/>
                <w:sz w:val="21"/>
                <w:szCs w:val="21"/>
                <w:u w:val="none"/>
                <w:lang w:val="en-US" w:eastAsia="zh-CN" w:bidi="ar"/>
              </w:rPr>
              <w:t>914190016672193853</w:t>
            </w:r>
          </w:p>
        </w:tc>
        <w:tc>
          <w:tcPr>
            <w:tcW w:w="2853"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危险废物</w:t>
            </w:r>
          </w:p>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综合经营单位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687"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9</w:t>
            </w:r>
          </w:p>
        </w:tc>
        <w:tc>
          <w:tcPr>
            <w:tcW w:w="2880"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sz w:val="21"/>
                <w:szCs w:val="21"/>
                <w:vertAlign w:val="baseline"/>
                <w:lang w:val="en-US" w:eastAsia="zh-CN"/>
              </w:rPr>
            </w:pPr>
            <w:r>
              <w:rPr>
                <w:rFonts w:hint="eastAsia" w:ascii="宋体" w:hAnsi="宋体" w:eastAsia="宋体" w:cs="宋体"/>
                <w:i w:val="0"/>
                <w:iCs w:val="0"/>
                <w:color w:val="000000"/>
                <w:kern w:val="0"/>
                <w:sz w:val="21"/>
                <w:szCs w:val="21"/>
                <w:u w:val="none"/>
                <w:lang w:val="en-US" w:eastAsia="zh-CN" w:bidi="ar"/>
              </w:rPr>
              <w:t>济源市诚峰实业有限公司</w:t>
            </w:r>
          </w:p>
        </w:tc>
        <w:tc>
          <w:tcPr>
            <w:tcW w:w="2355"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sz w:val="21"/>
                <w:szCs w:val="21"/>
                <w:vertAlign w:val="baseline"/>
                <w:lang w:val="en-US" w:eastAsia="zh-CN"/>
              </w:rPr>
            </w:pPr>
            <w:r>
              <w:rPr>
                <w:rFonts w:hint="eastAsia" w:ascii="宋体" w:hAnsi="宋体" w:eastAsia="宋体" w:cs="宋体"/>
                <w:i w:val="0"/>
                <w:iCs w:val="0"/>
                <w:color w:val="000000"/>
                <w:kern w:val="0"/>
                <w:sz w:val="21"/>
                <w:szCs w:val="21"/>
                <w:u w:val="none"/>
                <w:lang w:val="en-US" w:eastAsia="zh-CN" w:bidi="ar"/>
              </w:rPr>
              <w:t>91419001MA40UTP49U</w:t>
            </w:r>
          </w:p>
        </w:tc>
        <w:tc>
          <w:tcPr>
            <w:tcW w:w="2853"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危险废物</w:t>
            </w:r>
          </w:p>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综合经营单位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687"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10</w:t>
            </w:r>
          </w:p>
        </w:tc>
        <w:tc>
          <w:tcPr>
            <w:tcW w:w="2880"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sz w:val="21"/>
                <w:szCs w:val="21"/>
                <w:vertAlign w:val="baseline"/>
                <w:lang w:val="en-US" w:eastAsia="zh-CN"/>
              </w:rPr>
            </w:pPr>
            <w:r>
              <w:rPr>
                <w:rFonts w:hint="eastAsia" w:ascii="宋体" w:hAnsi="宋体" w:eastAsia="宋体" w:cs="宋体"/>
                <w:i w:val="0"/>
                <w:iCs w:val="0"/>
                <w:color w:val="000000"/>
                <w:kern w:val="0"/>
                <w:sz w:val="21"/>
                <w:szCs w:val="21"/>
                <w:u w:val="none"/>
                <w:lang w:val="en-US" w:eastAsia="zh-CN" w:bidi="ar"/>
              </w:rPr>
              <w:t>济源市聚鑫资源综合利用有限公司</w:t>
            </w:r>
          </w:p>
        </w:tc>
        <w:tc>
          <w:tcPr>
            <w:tcW w:w="2355"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sz w:val="21"/>
                <w:szCs w:val="21"/>
                <w:vertAlign w:val="baseline"/>
                <w:lang w:val="en-US" w:eastAsia="zh-CN"/>
              </w:rPr>
            </w:pPr>
            <w:r>
              <w:rPr>
                <w:rFonts w:hint="eastAsia" w:ascii="宋体" w:hAnsi="宋体" w:eastAsia="宋体" w:cs="宋体"/>
                <w:i w:val="0"/>
                <w:iCs w:val="0"/>
                <w:color w:val="000000"/>
                <w:kern w:val="0"/>
                <w:sz w:val="21"/>
                <w:szCs w:val="21"/>
                <w:u w:val="none"/>
                <w:lang w:val="en-US" w:eastAsia="zh-CN" w:bidi="ar"/>
              </w:rPr>
              <w:t>91419001MA3XFLW13Y</w:t>
            </w:r>
          </w:p>
        </w:tc>
        <w:tc>
          <w:tcPr>
            <w:tcW w:w="2853"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危险废物</w:t>
            </w:r>
          </w:p>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综合经营单位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687"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11</w:t>
            </w:r>
          </w:p>
        </w:tc>
        <w:tc>
          <w:tcPr>
            <w:tcW w:w="2880"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sz w:val="21"/>
                <w:szCs w:val="21"/>
                <w:vertAlign w:val="baseline"/>
                <w:lang w:val="en-US" w:eastAsia="zh-CN"/>
              </w:rPr>
            </w:pPr>
            <w:r>
              <w:rPr>
                <w:rFonts w:hint="eastAsia" w:ascii="宋体" w:hAnsi="宋体" w:eastAsia="宋体" w:cs="宋体"/>
                <w:i w:val="0"/>
                <w:iCs w:val="0"/>
                <w:color w:val="000000"/>
                <w:kern w:val="0"/>
                <w:sz w:val="21"/>
                <w:szCs w:val="21"/>
                <w:u w:val="none"/>
                <w:lang w:val="en-US" w:eastAsia="zh-CN" w:bidi="ar"/>
              </w:rPr>
              <w:t>济源市瑞博能源有限公司</w:t>
            </w:r>
          </w:p>
        </w:tc>
        <w:tc>
          <w:tcPr>
            <w:tcW w:w="2355"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sz w:val="21"/>
                <w:szCs w:val="21"/>
                <w:vertAlign w:val="baseline"/>
                <w:lang w:val="en-US" w:eastAsia="zh-CN"/>
              </w:rPr>
            </w:pPr>
            <w:r>
              <w:rPr>
                <w:rFonts w:hint="eastAsia" w:ascii="宋体" w:hAnsi="宋体" w:eastAsia="宋体" w:cs="宋体"/>
                <w:i w:val="0"/>
                <w:iCs w:val="0"/>
                <w:color w:val="000000"/>
                <w:kern w:val="0"/>
                <w:sz w:val="21"/>
                <w:szCs w:val="21"/>
                <w:u w:val="none"/>
                <w:lang w:val="en-US" w:eastAsia="zh-CN" w:bidi="ar"/>
              </w:rPr>
              <w:t>91419001054742755F</w:t>
            </w:r>
          </w:p>
        </w:tc>
        <w:tc>
          <w:tcPr>
            <w:tcW w:w="2853"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危险废物</w:t>
            </w:r>
          </w:p>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综合经营单位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687"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12</w:t>
            </w:r>
          </w:p>
        </w:tc>
        <w:tc>
          <w:tcPr>
            <w:tcW w:w="2880"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sz w:val="21"/>
                <w:szCs w:val="21"/>
                <w:vertAlign w:val="baseline"/>
                <w:lang w:val="en-US" w:eastAsia="zh-CN"/>
              </w:rPr>
            </w:pPr>
            <w:r>
              <w:rPr>
                <w:rFonts w:hint="eastAsia" w:ascii="宋体" w:hAnsi="宋体" w:eastAsia="宋体" w:cs="宋体"/>
                <w:i w:val="0"/>
                <w:iCs w:val="0"/>
                <w:color w:val="000000"/>
                <w:kern w:val="0"/>
                <w:sz w:val="21"/>
                <w:szCs w:val="21"/>
                <w:u w:val="none"/>
                <w:lang w:val="en-US" w:eastAsia="zh-CN" w:bidi="ar"/>
              </w:rPr>
              <w:t>济源市欣欣实业有限公司</w:t>
            </w:r>
          </w:p>
        </w:tc>
        <w:tc>
          <w:tcPr>
            <w:tcW w:w="2355"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sz w:val="21"/>
                <w:szCs w:val="21"/>
                <w:vertAlign w:val="baseline"/>
                <w:lang w:val="en-US" w:eastAsia="zh-CN"/>
              </w:rPr>
            </w:pPr>
            <w:r>
              <w:rPr>
                <w:rFonts w:hint="eastAsia" w:ascii="宋体" w:hAnsi="宋体" w:eastAsia="宋体" w:cs="宋体"/>
                <w:i w:val="0"/>
                <w:iCs w:val="0"/>
                <w:color w:val="000000"/>
                <w:kern w:val="0"/>
                <w:sz w:val="21"/>
                <w:szCs w:val="21"/>
                <w:u w:val="none"/>
                <w:lang w:val="en-US" w:eastAsia="zh-CN" w:bidi="ar"/>
              </w:rPr>
              <w:t>914190016688589122</w:t>
            </w:r>
          </w:p>
        </w:tc>
        <w:tc>
          <w:tcPr>
            <w:tcW w:w="2853"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危险废物</w:t>
            </w:r>
          </w:p>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综合经营单位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687"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13</w:t>
            </w:r>
          </w:p>
        </w:tc>
        <w:tc>
          <w:tcPr>
            <w:tcW w:w="2880"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sz w:val="21"/>
                <w:szCs w:val="21"/>
                <w:vertAlign w:val="baseline"/>
                <w:lang w:val="en-US" w:eastAsia="zh-CN"/>
              </w:rPr>
            </w:pPr>
            <w:r>
              <w:rPr>
                <w:rFonts w:hint="eastAsia" w:ascii="宋体" w:hAnsi="宋体" w:eastAsia="宋体" w:cs="宋体"/>
                <w:i w:val="0"/>
                <w:iCs w:val="0"/>
                <w:color w:val="000000"/>
                <w:kern w:val="0"/>
                <w:sz w:val="21"/>
                <w:szCs w:val="21"/>
                <w:u w:val="none"/>
                <w:lang w:val="en-US" w:eastAsia="zh-CN" w:bidi="ar"/>
              </w:rPr>
              <w:t>济源市显扬金属科技有限公司</w:t>
            </w:r>
          </w:p>
        </w:tc>
        <w:tc>
          <w:tcPr>
            <w:tcW w:w="2355"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sz w:val="21"/>
                <w:szCs w:val="21"/>
                <w:vertAlign w:val="baseline"/>
                <w:lang w:val="en-US" w:eastAsia="zh-CN"/>
              </w:rPr>
            </w:pPr>
            <w:r>
              <w:rPr>
                <w:rFonts w:hint="eastAsia" w:ascii="宋体" w:hAnsi="宋体" w:eastAsia="宋体" w:cs="宋体"/>
                <w:i w:val="0"/>
                <w:iCs w:val="0"/>
                <w:color w:val="000000"/>
                <w:kern w:val="0"/>
                <w:sz w:val="21"/>
                <w:szCs w:val="21"/>
                <w:u w:val="none"/>
                <w:lang w:val="en-US" w:eastAsia="zh-CN" w:bidi="ar"/>
              </w:rPr>
              <w:t>91419001MA45L3028L</w:t>
            </w:r>
          </w:p>
        </w:tc>
        <w:tc>
          <w:tcPr>
            <w:tcW w:w="2853"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危险废物</w:t>
            </w:r>
          </w:p>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综合经营单位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687"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14</w:t>
            </w:r>
          </w:p>
        </w:tc>
        <w:tc>
          <w:tcPr>
            <w:tcW w:w="2880"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kern w:val="2"/>
                <w:sz w:val="21"/>
                <w:szCs w:val="21"/>
                <w:vertAlign w:val="baseline"/>
                <w:lang w:val="en-US" w:eastAsia="zh-CN" w:bidi="ar-SA"/>
              </w:rPr>
            </w:pPr>
            <w:r>
              <w:rPr>
                <w:rFonts w:hint="eastAsia" w:ascii="宋体" w:hAnsi="宋体" w:eastAsia="宋体" w:cs="宋体"/>
                <w:i w:val="0"/>
                <w:iCs w:val="0"/>
                <w:color w:val="000000"/>
                <w:kern w:val="0"/>
                <w:sz w:val="21"/>
                <w:szCs w:val="21"/>
                <w:u w:val="none"/>
                <w:lang w:val="en-US" w:eastAsia="zh-CN" w:bidi="ar"/>
              </w:rPr>
              <w:t>济源市宏达利镍业有限公司</w:t>
            </w:r>
          </w:p>
        </w:tc>
        <w:tc>
          <w:tcPr>
            <w:tcW w:w="2355"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kern w:val="2"/>
                <w:sz w:val="21"/>
                <w:szCs w:val="21"/>
                <w:vertAlign w:val="baseline"/>
                <w:lang w:val="en-US" w:eastAsia="zh-CN" w:bidi="ar-SA"/>
              </w:rPr>
            </w:pPr>
            <w:r>
              <w:rPr>
                <w:rFonts w:hint="eastAsia" w:ascii="宋体" w:hAnsi="宋体" w:eastAsia="宋体" w:cs="宋体"/>
                <w:i w:val="0"/>
                <w:iCs w:val="0"/>
                <w:color w:val="000000"/>
                <w:kern w:val="0"/>
                <w:sz w:val="21"/>
                <w:szCs w:val="21"/>
                <w:u w:val="none"/>
                <w:lang w:val="en-US" w:eastAsia="zh-CN" w:bidi="ar"/>
              </w:rPr>
              <w:t>91419001672852820Q</w:t>
            </w:r>
          </w:p>
        </w:tc>
        <w:tc>
          <w:tcPr>
            <w:tcW w:w="2853"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危险废物</w:t>
            </w:r>
          </w:p>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综合经营单位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687"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15</w:t>
            </w:r>
          </w:p>
        </w:tc>
        <w:tc>
          <w:tcPr>
            <w:tcW w:w="2880"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kern w:val="2"/>
                <w:sz w:val="21"/>
                <w:szCs w:val="21"/>
                <w:vertAlign w:val="baseline"/>
                <w:lang w:val="en-US" w:eastAsia="zh-CN" w:bidi="ar-SA"/>
              </w:rPr>
            </w:pPr>
            <w:r>
              <w:rPr>
                <w:rFonts w:hint="eastAsia" w:ascii="宋体" w:hAnsi="宋体" w:eastAsia="宋体" w:cs="宋体"/>
                <w:i w:val="0"/>
                <w:iCs w:val="0"/>
                <w:color w:val="000000"/>
                <w:kern w:val="0"/>
                <w:sz w:val="21"/>
                <w:szCs w:val="21"/>
                <w:u w:val="none"/>
                <w:lang w:val="en-US" w:eastAsia="zh-CN" w:bidi="ar"/>
              </w:rPr>
              <w:t>济源市太行锌业有限公司</w:t>
            </w:r>
          </w:p>
        </w:tc>
        <w:tc>
          <w:tcPr>
            <w:tcW w:w="2355"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kern w:val="2"/>
                <w:sz w:val="21"/>
                <w:szCs w:val="21"/>
                <w:vertAlign w:val="baseline"/>
                <w:lang w:val="en-US" w:eastAsia="zh-CN" w:bidi="ar-SA"/>
              </w:rPr>
            </w:pPr>
            <w:r>
              <w:rPr>
                <w:rFonts w:hint="eastAsia" w:ascii="宋体" w:hAnsi="宋体" w:eastAsia="宋体" w:cs="宋体"/>
                <w:i w:val="0"/>
                <w:iCs w:val="0"/>
                <w:color w:val="000000"/>
                <w:kern w:val="0"/>
                <w:sz w:val="21"/>
                <w:szCs w:val="21"/>
                <w:u w:val="none"/>
                <w:lang w:val="en-US" w:eastAsia="zh-CN" w:bidi="ar"/>
              </w:rPr>
              <w:t>91419001MA404CQ55Y</w:t>
            </w:r>
          </w:p>
        </w:tc>
        <w:tc>
          <w:tcPr>
            <w:tcW w:w="2853"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危险废物</w:t>
            </w:r>
          </w:p>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综合经营单位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687"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16</w:t>
            </w:r>
          </w:p>
        </w:tc>
        <w:tc>
          <w:tcPr>
            <w:tcW w:w="2880"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kern w:val="2"/>
                <w:sz w:val="21"/>
                <w:szCs w:val="21"/>
                <w:vertAlign w:val="baseline"/>
                <w:lang w:val="en-US" w:eastAsia="zh-CN" w:bidi="ar-SA"/>
              </w:rPr>
            </w:pPr>
            <w:r>
              <w:rPr>
                <w:rFonts w:hint="eastAsia" w:ascii="宋体" w:hAnsi="宋体" w:eastAsia="宋体" w:cs="宋体"/>
                <w:i w:val="0"/>
                <w:iCs w:val="0"/>
                <w:color w:val="000000"/>
                <w:kern w:val="0"/>
                <w:sz w:val="21"/>
                <w:szCs w:val="21"/>
                <w:u w:val="none"/>
                <w:lang w:val="en-US" w:eastAsia="zh-CN" w:bidi="ar"/>
              </w:rPr>
              <w:t>济源市天龙焦化有限公司</w:t>
            </w:r>
          </w:p>
        </w:tc>
        <w:tc>
          <w:tcPr>
            <w:tcW w:w="2355"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kern w:val="2"/>
                <w:sz w:val="21"/>
                <w:szCs w:val="21"/>
                <w:vertAlign w:val="baseline"/>
                <w:lang w:val="en-US" w:eastAsia="zh-CN" w:bidi="ar-SA"/>
              </w:rPr>
            </w:pPr>
            <w:r>
              <w:rPr>
                <w:rFonts w:hint="eastAsia" w:ascii="宋体" w:hAnsi="宋体" w:eastAsia="宋体" w:cs="宋体"/>
                <w:i w:val="0"/>
                <w:iCs w:val="0"/>
                <w:color w:val="000000"/>
                <w:kern w:val="0"/>
                <w:sz w:val="21"/>
                <w:szCs w:val="21"/>
                <w:u w:val="none"/>
                <w:lang w:val="en-US" w:eastAsia="zh-CN" w:bidi="ar"/>
              </w:rPr>
              <w:t>91419001755154024X</w:t>
            </w:r>
          </w:p>
        </w:tc>
        <w:tc>
          <w:tcPr>
            <w:tcW w:w="2853"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产废单位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687"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17</w:t>
            </w:r>
          </w:p>
        </w:tc>
        <w:tc>
          <w:tcPr>
            <w:tcW w:w="2880"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济源市伟鑫实业有限责任公司</w:t>
            </w:r>
          </w:p>
        </w:tc>
        <w:tc>
          <w:tcPr>
            <w:tcW w:w="2355"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91419001660925607K</w:t>
            </w:r>
          </w:p>
        </w:tc>
        <w:tc>
          <w:tcPr>
            <w:tcW w:w="2853"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危险废物</w:t>
            </w:r>
          </w:p>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综合经营单位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687"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18</w:t>
            </w:r>
          </w:p>
        </w:tc>
        <w:tc>
          <w:tcPr>
            <w:tcW w:w="2880"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济源市中辰环境科技有限公司</w:t>
            </w:r>
          </w:p>
        </w:tc>
        <w:tc>
          <w:tcPr>
            <w:tcW w:w="2355"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91419001MA46UFDX7N</w:t>
            </w:r>
          </w:p>
        </w:tc>
        <w:tc>
          <w:tcPr>
            <w:tcW w:w="2853"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焚烧填埋处置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687"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19</w:t>
            </w:r>
          </w:p>
        </w:tc>
        <w:tc>
          <w:tcPr>
            <w:tcW w:w="2880"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济源市中亿科技有限公司</w:t>
            </w:r>
          </w:p>
        </w:tc>
        <w:tc>
          <w:tcPr>
            <w:tcW w:w="2355"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91419001079409289H</w:t>
            </w:r>
          </w:p>
        </w:tc>
        <w:tc>
          <w:tcPr>
            <w:tcW w:w="2853"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危险废物</w:t>
            </w:r>
          </w:p>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综合经营单位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687"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20</w:t>
            </w:r>
          </w:p>
        </w:tc>
        <w:tc>
          <w:tcPr>
            <w:tcW w:w="2880"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济源市东方化工有限责任公司</w:t>
            </w:r>
          </w:p>
        </w:tc>
        <w:tc>
          <w:tcPr>
            <w:tcW w:w="2355"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91419001793242084C</w:t>
            </w:r>
          </w:p>
        </w:tc>
        <w:tc>
          <w:tcPr>
            <w:tcW w:w="2853"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危险废物</w:t>
            </w:r>
          </w:p>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综合经营单位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687"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21</w:t>
            </w:r>
          </w:p>
        </w:tc>
        <w:tc>
          <w:tcPr>
            <w:tcW w:w="2880"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济源市万洋冶炼（集团）有限公司</w:t>
            </w:r>
          </w:p>
        </w:tc>
        <w:tc>
          <w:tcPr>
            <w:tcW w:w="2355"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914190017338465481</w:t>
            </w:r>
          </w:p>
        </w:tc>
        <w:tc>
          <w:tcPr>
            <w:tcW w:w="2853"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危险废物</w:t>
            </w:r>
          </w:p>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综合经营单位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687"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22</w:t>
            </w:r>
          </w:p>
        </w:tc>
        <w:tc>
          <w:tcPr>
            <w:tcW w:w="2880"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河南鑫铖动力源有限公司</w:t>
            </w:r>
          </w:p>
        </w:tc>
        <w:tc>
          <w:tcPr>
            <w:tcW w:w="2355"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91419001760234168A</w:t>
            </w:r>
          </w:p>
        </w:tc>
        <w:tc>
          <w:tcPr>
            <w:tcW w:w="2853"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危险废物</w:t>
            </w:r>
          </w:p>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综合经营单位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687"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23</w:t>
            </w:r>
          </w:p>
        </w:tc>
        <w:tc>
          <w:tcPr>
            <w:tcW w:w="2880"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河南金马能源股份有限公司</w:t>
            </w:r>
          </w:p>
        </w:tc>
        <w:tc>
          <w:tcPr>
            <w:tcW w:w="2355"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91410000750738573C</w:t>
            </w:r>
          </w:p>
        </w:tc>
        <w:tc>
          <w:tcPr>
            <w:tcW w:w="2853"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产废单位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687"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24</w:t>
            </w:r>
          </w:p>
        </w:tc>
        <w:tc>
          <w:tcPr>
            <w:tcW w:w="2880"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河南金马中东能源有限公司</w:t>
            </w:r>
          </w:p>
        </w:tc>
        <w:tc>
          <w:tcPr>
            <w:tcW w:w="2355"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91419001MA46U1H8XN</w:t>
            </w:r>
          </w:p>
        </w:tc>
        <w:tc>
          <w:tcPr>
            <w:tcW w:w="2853"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产废单位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687"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25</w:t>
            </w:r>
          </w:p>
        </w:tc>
        <w:tc>
          <w:tcPr>
            <w:tcW w:w="2880"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河南金利金锌有限公司</w:t>
            </w:r>
          </w:p>
        </w:tc>
        <w:tc>
          <w:tcPr>
            <w:tcW w:w="2355"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91419001MA9FQPEN4L</w:t>
            </w:r>
          </w:p>
        </w:tc>
        <w:tc>
          <w:tcPr>
            <w:tcW w:w="2853"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危险废物</w:t>
            </w:r>
          </w:p>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综合经营单位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687"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26</w:t>
            </w:r>
          </w:p>
        </w:tc>
        <w:tc>
          <w:tcPr>
            <w:tcW w:w="2880"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河南金利金铅集团有限公司</w:t>
            </w:r>
          </w:p>
        </w:tc>
        <w:tc>
          <w:tcPr>
            <w:tcW w:w="2355"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914190017522837950</w:t>
            </w:r>
          </w:p>
        </w:tc>
        <w:tc>
          <w:tcPr>
            <w:tcW w:w="2853"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危险废物</w:t>
            </w:r>
          </w:p>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综合经营单位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687"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27</w:t>
            </w:r>
          </w:p>
        </w:tc>
        <w:tc>
          <w:tcPr>
            <w:tcW w:w="2880"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河南豫光锌业有限公司</w:t>
            </w:r>
          </w:p>
        </w:tc>
        <w:tc>
          <w:tcPr>
            <w:tcW w:w="2355"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91419001758377389H</w:t>
            </w:r>
          </w:p>
        </w:tc>
        <w:tc>
          <w:tcPr>
            <w:tcW w:w="2853"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危险废物</w:t>
            </w:r>
          </w:p>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综合经营单位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687"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28</w:t>
            </w:r>
          </w:p>
        </w:tc>
        <w:tc>
          <w:tcPr>
            <w:tcW w:w="2880"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河南豫光金铅股份有限公司</w:t>
            </w:r>
          </w:p>
        </w:tc>
        <w:tc>
          <w:tcPr>
            <w:tcW w:w="2355"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9141000071917196XY</w:t>
            </w:r>
          </w:p>
        </w:tc>
        <w:tc>
          <w:tcPr>
            <w:tcW w:w="2853"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危险废物</w:t>
            </w:r>
          </w:p>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综合经营单位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687"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29</w:t>
            </w:r>
          </w:p>
        </w:tc>
        <w:tc>
          <w:tcPr>
            <w:tcW w:w="2880"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济源市鑫旺资源再生利用有限公司</w:t>
            </w:r>
          </w:p>
        </w:tc>
        <w:tc>
          <w:tcPr>
            <w:tcW w:w="2355"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91419001MA3XALG65F</w:t>
            </w:r>
          </w:p>
        </w:tc>
        <w:tc>
          <w:tcPr>
            <w:tcW w:w="2853"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危险废物</w:t>
            </w:r>
          </w:p>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综合经营单位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687"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30</w:t>
            </w:r>
          </w:p>
        </w:tc>
        <w:tc>
          <w:tcPr>
            <w:tcW w:w="2880"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河南正铎银海实业有限公司</w:t>
            </w:r>
          </w:p>
        </w:tc>
        <w:tc>
          <w:tcPr>
            <w:tcW w:w="2355"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91419001MA47YUPK00</w:t>
            </w:r>
          </w:p>
        </w:tc>
        <w:tc>
          <w:tcPr>
            <w:tcW w:w="2853"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危险废物</w:t>
            </w:r>
          </w:p>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综合经营单位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687"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31</w:t>
            </w:r>
          </w:p>
        </w:tc>
        <w:tc>
          <w:tcPr>
            <w:tcW w:w="2880"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河南博海化工有限公司</w:t>
            </w:r>
          </w:p>
        </w:tc>
        <w:tc>
          <w:tcPr>
            <w:tcW w:w="2355"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914190017571111401</w:t>
            </w:r>
          </w:p>
        </w:tc>
        <w:tc>
          <w:tcPr>
            <w:tcW w:w="2853"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危险废物</w:t>
            </w:r>
          </w:p>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综合经营单位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687"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32</w:t>
            </w:r>
          </w:p>
        </w:tc>
        <w:tc>
          <w:tcPr>
            <w:tcW w:w="2880"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河南昌宜有色金属有限公司</w:t>
            </w:r>
          </w:p>
        </w:tc>
        <w:tc>
          <w:tcPr>
            <w:tcW w:w="2355"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91419001MA40HKR70E</w:t>
            </w:r>
          </w:p>
        </w:tc>
        <w:tc>
          <w:tcPr>
            <w:tcW w:w="2853"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危险废物</w:t>
            </w:r>
          </w:p>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综合经营单位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687"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33</w:t>
            </w:r>
          </w:p>
        </w:tc>
        <w:tc>
          <w:tcPr>
            <w:tcW w:w="2880"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河南青骐骥环保科技有限公司</w:t>
            </w:r>
          </w:p>
        </w:tc>
        <w:tc>
          <w:tcPr>
            <w:tcW w:w="2355"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91419001MA9GCL8H01</w:t>
            </w:r>
          </w:p>
        </w:tc>
        <w:tc>
          <w:tcPr>
            <w:tcW w:w="2853"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危险废物</w:t>
            </w:r>
          </w:p>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综合经营单位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687"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34</w:t>
            </w:r>
          </w:p>
        </w:tc>
        <w:tc>
          <w:tcPr>
            <w:tcW w:w="2880"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河南绿海再生资源回收有限公司</w:t>
            </w:r>
          </w:p>
        </w:tc>
        <w:tc>
          <w:tcPr>
            <w:tcW w:w="2355"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91419001MA47BHCX3R</w:t>
            </w:r>
          </w:p>
        </w:tc>
        <w:tc>
          <w:tcPr>
            <w:tcW w:w="2853"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危险废物</w:t>
            </w:r>
          </w:p>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收集单位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687"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35</w:t>
            </w:r>
          </w:p>
        </w:tc>
        <w:tc>
          <w:tcPr>
            <w:tcW w:w="2880"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河南长策环保科技有限公司</w:t>
            </w:r>
          </w:p>
        </w:tc>
        <w:tc>
          <w:tcPr>
            <w:tcW w:w="2355"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91419001MA9JWXG74J</w:t>
            </w:r>
          </w:p>
        </w:tc>
        <w:tc>
          <w:tcPr>
            <w:tcW w:w="2853"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铅蓄电池</w:t>
            </w:r>
          </w:p>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收集试点单位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687"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36</w:t>
            </w:r>
          </w:p>
        </w:tc>
        <w:tc>
          <w:tcPr>
            <w:tcW w:w="2880"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河南禾鹭源环保科技有限公司</w:t>
            </w:r>
          </w:p>
        </w:tc>
        <w:tc>
          <w:tcPr>
            <w:tcW w:w="2355"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91419001MA9G7MA50G</w:t>
            </w:r>
          </w:p>
        </w:tc>
        <w:tc>
          <w:tcPr>
            <w:tcW w:w="2853"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铅蓄电池</w:t>
            </w:r>
          </w:p>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收集试点单位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687"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37</w:t>
            </w:r>
          </w:p>
        </w:tc>
        <w:tc>
          <w:tcPr>
            <w:tcW w:w="2880"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济源市源信再生资源回收有限公司</w:t>
            </w:r>
          </w:p>
        </w:tc>
        <w:tc>
          <w:tcPr>
            <w:tcW w:w="2355"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91419001MACW57GL8P</w:t>
            </w:r>
          </w:p>
        </w:tc>
        <w:tc>
          <w:tcPr>
            <w:tcW w:w="2853"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铅蓄电池</w:t>
            </w:r>
          </w:p>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收集试点单位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687"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38</w:t>
            </w:r>
          </w:p>
        </w:tc>
        <w:tc>
          <w:tcPr>
            <w:tcW w:w="2880"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九域热能科技有限公司济源王屋山分公司</w:t>
            </w:r>
          </w:p>
        </w:tc>
        <w:tc>
          <w:tcPr>
            <w:tcW w:w="2355"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91419001MA9KXHN12U</w:t>
            </w:r>
          </w:p>
        </w:tc>
        <w:tc>
          <w:tcPr>
            <w:tcW w:w="2853"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铅蓄电池</w:t>
            </w:r>
          </w:p>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收集试点单位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687"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39</w:t>
            </w:r>
          </w:p>
        </w:tc>
        <w:tc>
          <w:tcPr>
            <w:tcW w:w="2880"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济源月华环保科技有限公司</w:t>
            </w:r>
          </w:p>
        </w:tc>
        <w:tc>
          <w:tcPr>
            <w:tcW w:w="2355"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91419001MA9M34T05Q</w:t>
            </w:r>
          </w:p>
        </w:tc>
        <w:tc>
          <w:tcPr>
            <w:tcW w:w="2853"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铅蓄电池</w:t>
            </w:r>
          </w:p>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收集试点单位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687"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40</w:t>
            </w:r>
          </w:p>
        </w:tc>
        <w:tc>
          <w:tcPr>
            <w:tcW w:w="2880"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济源市源清环保科技有限公司</w:t>
            </w:r>
          </w:p>
        </w:tc>
        <w:tc>
          <w:tcPr>
            <w:tcW w:w="2355"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91419001MA9F8HLM02</w:t>
            </w:r>
          </w:p>
        </w:tc>
        <w:tc>
          <w:tcPr>
            <w:tcW w:w="2853"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小微企业收集试点单位</w:t>
            </w:r>
          </w:p>
        </w:tc>
      </w:tr>
    </w:tbl>
    <w:p>
      <w:pPr>
        <w:pStyle w:val="2"/>
        <w:keepNext w:val="0"/>
        <w:keepLines w:val="0"/>
        <w:pageBreakBefore w:val="0"/>
        <w:widowControl w:val="0"/>
        <w:kinsoku/>
        <w:wordWrap/>
        <w:overflowPunct/>
        <w:topLinePunct w:val="0"/>
        <w:autoSpaceDE/>
        <w:autoSpaceDN/>
        <w:bidi w:val="0"/>
        <w:ind w:left="0" w:leftChars="0" w:firstLine="0" w:firstLineChars="0"/>
        <w:rPr>
          <w:rFonts w:hint="default" w:ascii="宋体" w:hAnsi="宋体" w:eastAsia="方正小标宋_GBK" w:cs="方正小标宋_GBK"/>
          <w:sz w:val="44"/>
          <w:szCs w:val="44"/>
          <w:lang w:val="en-US" w:eastAsia="zh-CN"/>
        </w:rPr>
      </w:pPr>
    </w:p>
    <w:p>
      <w:pPr>
        <w:pStyle w:val="2"/>
        <w:keepNext w:val="0"/>
        <w:keepLines w:val="0"/>
        <w:pageBreakBefore w:val="0"/>
        <w:widowControl w:val="0"/>
        <w:kinsoku/>
        <w:wordWrap/>
        <w:overflowPunct/>
        <w:topLinePunct w:val="0"/>
        <w:autoSpaceDE/>
        <w:autoSpaceDN/>
        <w:bidi w:val="0"/>
        <w:ind w:left="0" w:leftChars="0" w:firstLine="0" w:firstLineChars="0"/>
        <w:rPr>
          <w:rFonts w:hint="default" w:ascii="宋体" w:hAnsi="宋体" w:eastAsia="方正小标宋_GBK" w:cs="方正小标宋_GBK"/>
          <w:sz w:val="44"/>
          <w:szCs w:val="44"/>
          <w:lang w:val="en-US" w:eastAsia="zh-CN"/>
        </w:rPr>
      </w:pPr>
    </w:p>
    <w:p>
      <w:pPr>
        <w:pStyle w:val="2"/>
        <w:keepNext w:val="0"/>
        <w:keepLines w:val="0"/>
        <w:pageBreakBefore w:val="0"/>
        <w:widowControl w:val="0"/>
        <w:kinsoku/>
        <w:wordWrap/>
        <w:overflowPunct/>
        <w:topLinePunct w:val="0"/>
        <w:autoSpaceDE/>
        <w:autoSpaceDN/>
        <w:bidi w:val="0"/>
        <w:ind w:left="0" w:leftChars="0" w:firstLine="0" w:firstLineChars="0"/>
        <w:rPr>
          <w:rFonts w:hint="default" w:ascii="宋体" w:hAnsi="宋体" w:eastAsia="方正小标宋_GBK" w:cs="方正小标宋_GBK"/>
          <w:sz w:val="44"/>
          <w:szCs w:val="44"/>
          <w:lang w:val="en-US" w:eastAsia="zh-CN"/>
        </w:rPr>
        <w:sectPr>
          <w:footerReference r:id="rId3" w:type="default"/>
          <w:pgSz w:w="11906" w:h="16838"/>
          <w:pgMar w:top="1871" w:right="1474" w:bottom="1701" w:left="1587" w:header="851" w:footer="1531" w:gutter="0"/>
          <w:pgNumType w:fmt="decimal" w:start="1"/>
          <w:cols w:space="0" w:num="1"/>
          <w:rtlGutter w:val="0"/>
          <w:docGrid w:type="lines" w:linePitch="312" w:charSpace="0"/>
        </w:sectPr>
      </w:pPr>
    </w:p>
    <w:p>
      <w:pPr>
        <w:pStyle w:val="2"/>
        <w:keepNext w:val="0"/>
        <w:keepLines w:val="0"/>
        <w:pageBreakBefore w:val="0"/>
        <w:widowControl w:val="0"/>
        <w:kinsoku/>
        <w:wordWrap/>
        <w:overflowPunct/>
        <w:topLinePunct w:val="0"/>
        <w:autoSpaceDE/>
        <w:autoSpaceDN/>
        <w:bidi w:val="0"/>
        <w:ind w:left="0" w:leftChars="0" w:firstLine="0" w:firstLineChars="0"/>
        <w:rPr>
          <w:rFonts w:hint="eastAsia" w:ascii="宋体" w:hAnsi="宋体" w:eastAsia="黑体" w:cs="黑体"/>
          <w:color w:val="000000"/>
          <w:kern w:val="2"/>
          <w:sz w:val="32"/>
          <w:szCs w:val="32"/>
          <w:lang w:val="en-US" w:eastAsia="zh-CN" w:bidi="ar-SA"/>
        </w:rPr>
      </w:pPr>
      <w:r>
        <w:rPr>
          <w:rFonts w:hint="eastAsia" w:ascii="宋体" w:hAnsi="宋体" w:eastAsia="黑体" w:cs="黑体"/>
          <w:color w:val="000000"/>
          <w:kern w:val="2"/>
          <w:sz w:val="32"/>
          <w:szCs w:val="32"/>
          <w:lang w:val="en-US" w:eastAsia="zh-CN" w:bidi="ar-SA"/>
        </w:rPr>
        <w:t>附件2</w:t>
      </w:r>
    </w:p>
    <w:p>
      <w:pPr>
        <w:pStyle w:val="2"/>
        <w:keepNext w:val="0"/>
        <w:keepLines w:val="0"/>
        <w:pageBreakBefore w:val="0"/>
        <w:widowControl w:val="0"/>
        <w:kinsoku/>
        <w:wordWrap/>
        <w:overflowPunct/>
        <w:topLinePunct w:val="0"/>
        <w:autoSpaceDE/>
        <w:autoSpaceDN/>
        <w:bidi w:val="0"/>
        <w:adjustRightInd/>
        <w:snapToGrid/>
        <w:spacing w:line="600" w:lineRule="exact"/>
        <w:ind w:left="0" w:leftChars="0" w:firstLine="0" w:firstLineChars="0"/>
        <w:jc w:val="center"/>
        <w:textAlignment w:val="baseline"/>
        <w:rPr>
          <w:rFonts w:hint="eastAsia" w:ascii="宋体" w:hAnsi="宋体" w:eastAsia="方正小标宋_GBK" w:cs="方正小标宋_GBK"/>
          <w:color w:val="000000"/>
          <w:kern w:val="2"/>
          <w:sz w:val="44"/>
          <w:szCs w:val="44"/>
          <w:lang w:val="en-US" w:eastAsia="zh-CN" w:bidi="ar-SA"/>
        </w:rPr>
      </w:pPr>
      <w:r>
        <w:rPr>
          <w:rFonts w:hint="eastAsia" w:ascii="宋体" w:hAnsi="宋体" w:eastAsia="方正小标宋_GBK" w:cs="方正小标宋_GBK"/>
          <w:sz w:val="44"/>
          <w:szCs w:val="44"/>
          <w:lang w:val="en-US" w:eastAsia="zh-CN"/>
        </w:rPr>
        <w:t>济源示范区危险废物自行利用处置专项整治</w:t>
      </w:r>
      <w:r>
        <w:rPr>
          <w:rFonts w:hint="eastAsia" w:ascii="宋体" w:hAnsi="宋体" w:eastAsia="方正小标宋_GBK" w:cs="方正小标宋_GBK"/>
          <w:color w:val="000000"/>
          <w:kern w:val="2"/>
          <w:sz w:val="44"/>
          <w:szCs w:val="44"/>
          <w:lang w:val="en-US" w:eastAsia="zh-CN" w:bidi="ar-SA"/>
        </w:rPr>
        <w:t>问题台账</w:t>
      </w:r>
    </w:p>
    <w:p>
      <w:pPr>
        <w:pStyle w:val="2"/>
        <w:keepNext w:val="0"/>
        <w:keepLines w:val="0"/>
        <w:pageBreakBefore w:val="0"/>
        <w:widowControl w:val="0"/>
        <w:kinsoku/>
        <w:wordWrap/>
        <w:overflowPunct/>
        <w:topLinePunct w:val="0"/>
        <w:autoSpaceDE/>
        <w:autoSpaceDN/>
        <w:bidi w:val="0"/>
        <w:ind w:left="0" w:leftChars="0" w:firstLine="0" w:firstLineChars="0"/>
        <w:rPr>
          <w:rFonts w:hint="eastAsia" w:ascii="宋体" w:hAnsi="宋体" w:eastAsia="仿宋_GB2312" w:cs="仿宋_GB2312"/>
          <w:color w:val="000000"/>
          <w:kern w:val="2"/>
          <w:sz w:val="24"/>
          <w:szCs w:val="24"/>
          <w:lang w:val="en-US" w:eastAsia="zh-CN" w:bidi="ar-SA"/>
        </w:rPr>
      </w:pPr>
      <w:r>
        <w:rPr>
          <w:rFonts w:hint="eastAsia" w:ascii="宋体" w:hAnsi="宋体" w:eastAsia="仿宋_GB2312" w:cs="仿宋_GB2312"/>
          <w:color w:val="000000"/>
          <w:kern w:val="2"/>
          <w:sz w:val="24"/>
          <w:szCs w:val="24"/>
          <w:lang w:val="en-US" w:eastAsia="zh-CN" w:bidi="ar-SA"/>
        </w:rPr>
        <w:t>填报日期：</w:t>
      </w:r>
    </w:p>
    <w:tbl>
      <w:tblPr>
        <w:tblStyle w:val="20"/>
        <w:tblW w:w="1399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7"/>
        <w:gridCol w:w="1183"/>
        <w:gridCol w:w="1731"/>
        <w:gridCol w:w="1074"/>
        <w:gridCol w:w="1627"/>
        <w:gridCol w:w="1752"/>
        <w:gridCol w:w="2214"/>
        <w:gridCol w:w="1462"/>
        <w:gridCol w:w="1058"/>
        <w:gridCol w:w="10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857" w:type="dxa"/>
            <w:noWrap w:val="0"/>
            <w:vAlign w:val="center"/>
          </w:tcPr>
          <w:p>
            <w:pPr>
              <w:pStyle w:val="2"/>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baseline"/>
              <w:rPr>
                <w:rFonts w:hint="eastAsia" w:ascii="宋体" w:hAnsi="宋体" w:eastAsia="黑体" w:cs="黑体"/>
                <w:color w:val="000000"/>
                <w:kern w:val="2"/>
                <w:sz w:val="21"/>
                <w:szCs w:val="21"/>
                <w:vertAlign w:val="baseline"/>
                <w:lang w:val="en-US" w:eastAsia="zh-CN" w:bidi="ar-SA"/>
              </w:rPr>
            </w:pPr>
            <w:r>
              <w:rPr>
                <w:rFonts w:hint="eastAsia" w:ascii="宋体" w:hAnsi="宋体" w:eastAsia="黑体" w:cs="黑体"/>
                <w:color w:val="000000"/>
                <w:kern w:val="2"/>
                <w:sz w:val="21"/>
                <w:szCs w:val="21"/>
                <w:vertAlign w:val="baseline"/>
                <w:lang w:val="en-US" w:eastAsia="zh-CN" w:bidi="ar-SA"/>
              </w:rPr>
              <w:t>序号</w:t>
            </w:r>
          </w:p>
        </w:tc>
        <w:tc>
          <w:tcPr>
            <w:tcW w:w="1183" w:type="dxa"/>
            <w:noWrap w:val="0"/>
            <w:vAlign w:val="center"/>
          </w:tcPr>
          <w:p>
            <w:pPr>
              <w:pStyle w:val="2"/>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baseline"/>
              <w:rPr>
                <w:rFonts w:hint="eastAsia" w:ascii="宋体" w:hAnsi="宋体" w:eastAsia="黑体" w:cs="黑体"/>
                <w:color w:val="000000"/>
                <w:kern w:val="2"/>
                <w:sz w:val="21"/>
                <w:szCs w:val="21"/>
                <w:vertAlign w:val="baseline"/>
                <w:lang w:val="en-US" w:eastAsia="zh-CN" w:bidi="ar-SA"/>
              </w:rPr>
            </w:pPr>
            <w:r>
              <w:rPr>
                <w:rFonts w:hint="eastAsia" w:ascii="宋体" w:hAnsi="宋体" w:eastAsia="黑体" w:cs="黑体"/>
                <w:color w:val="000000"/>
                <w:kern w:val="2"/>
                <w:sz w:val="21"/>
                <w:szCs w:val="21"/>
                <w:vertAlign w:val="baseline"/>
                <w:lang w:val="en-US" w:eastAsia="zh-CN" w:bidi="ar-SA"/>
              </w:rPr>
              <w:t>所属市</w:t>
            </w:r>
          </w:p>
        </w:tc>
        <w:tc>
          <w:tcPr>
            <w:tcW w:w="1731" w:type="dxa"/>
            <w:noWrap w:val="0"/>
            <w:vAlign w:val="center"/>
          </w:tcPr>
          <w:p>
            <w:pPr>
              <w:pStyle w:val="2"/>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baseline"/>
              <w:rPr>
                <w:rFonts w:hint="eastAsia" w:ascii="宋体" w:hAnsi="宋体" w:eastAsia="黑体" w:cs="黑体"/>
                <w:color w:val="000000"/>
                <w:kern w:val="2"/>
                <w:sz w:val="21"/>
                <w:szCs w:val="21"/>
                <w:vertAlign w:val="baseline"/>
                <w:lang w:val="en-US" w:eastAsia="zh-CN" w:bidi="ar-SA"/>
              </w:rPr>
            </w:pPr>
            <w:r>
              <w:rPr>
                <w:rFonts w:hint="eastAsia" w:ascii="宋体" w:hAnsi="宋体" w:eastAsia="黑体" w:cs="黑体"/>
                <w:color w:val="000000"/>
                <w:kern w:val="2"/>
                <w:sz w:val="21"/>
                <w:szCs w:val="21"/>
                <w:vertAlign w:val="baseline"/>
                <w:lang w:val="en-US" w:eastAsia="zh-CN" w:bidi="ar-SA"/>
              </w:rPr>
              <w:t>企业名称</w:t>
            </w:r>
          </w:p>
        </w:tc>
        <w:tc>
          <w:tcPr>
            <w:tcW w:w="1074" w:type="dxa"/>
            <w:noWrap w:val="0"/>
            <w:vAlign w:val="center"/>
          </w:tcPr>
          <w:p>
            <w:pPr>
              <w:pStyle w:val="2"/>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baseline"/>
              <w:rPr>
                <w:rFonts w:hint="eastAsia" w:ascii="宋体" w:hAnsi="宋体" w:eastAsia="黑体" w:cs="黑体"/>
                <w:color w:val="000000"/>
                <w:kern w:val="2"/>
                <w:sz w:val="21"/>
                <w:szCs w:val="21"/>
                <w:vertAlign w:val="baseline"/>
                <w:lang w:val="en-US" w:eastAsia="zh-CN" w:bidi="ar-SA"/>
              </w:rPr>
            </w:pPr>
            <w:r>
              <w:rPr>
                <w:rFonts w:hint="eastAsia" w:ascii="宋体" w:hAnsi="宋体" w:eastAsia="黑体" w:cs="黑体"/>
                <w:color w:val="000000"/>
                <w:kern w:val="2"/>
                <w:sz w:val="21"/>
                <w:szCs w:val="21"/>
                <w:vertAlign w:val="baseline"/>
                <w:lang w:val="en-US" w:eastAsia="zh-CN" w:bidi="ar-SA"/>
              </w:rPr>
              <w:t>企业</w:t>
            </w:r>
          </w:p>
          <w:p>
            <w:pPr>
              <w:pStyle w:val="2"/>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baseline"/>
              <w:rPr>
                <w:rFonts w:hint="eastAsia" w:ascii="宋体" w:hAnsi="宋体" w:eastAsia="黑体" w:cs="黑体"/>
                <w:color w:val="000000"/>
                <w:kern w:val="2"/>
                <w:sz w:val="21"/>
                <w:szCs w:val="21"/>
                <w:u w:val="none" w:color="000000"/>
                <w:vertAlign w:val="baseline"/>
                <w:lang w:val="en-US" w:eastAsia="zh-CN" w:bidi="ar-SA"/>
              </w:rPr>
            </w:pPr>
            <w:r>
              <w:rPr>
                <w:rFonts w:hint="eastAsia" w:ascii="宋体" w:hAnsi="宋体" w:eastAsia="黑体" w:cs="黑体"/>
                <w:color w:val="000000"/>
                <w:kern w:val="2"/>
                <w:sz w:val="21"/>
                <w:szCs w:val="21"/>
                <w:vertAlign w:val="baseline"/>
                <w:lang w:val="en-US" w:eastAsia="zh-CN" w:bidi="ar-SA"/>
              </w:rPr>
              <w:t>类型</w:t>
            </w:r>
          </w:p>
        </w:tc>
        <w:tc>
          <w:tcPr>
            <w:tcW w:w="1627" w:type="dxa"/>
            <w:noWrap w:val="0"/>
            <w:vAlign w:val="center"/>
          </w:tcPr>
          <w:p>
            <w:pPr>
              <w:pStyle w:val="2"/>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baseline"/>
              <w:rPr>
                <w:rFonts w:hint="eastAsia" w:ascii="宋体" w:hAnsi="宋体" w:eastAsia="黑体" w:cs="黑体"/>
                <w:color w:val="000000"/>
                <w:kern w:val="2"/>
                <w:sz w:val="21"/>
                <w:szCs w:val="21"/>
                <w:u w:val="none" w:color="000000"/>
                <w:vertAlign w:val="baseline"/>
                <w:lang w:val="en-US" w:eastAsia="zh-CN" w:bidi="ar-SA"/>
              </w:rPr>
            </w:pPr>
            <w:r>
              <w:rPr>
                <w:rFonts w:hint="eastAsia" w:ascii="宋体" w:hAnsi="宋体" w:eastAsia="黑体" w:cs="黑体"/>
                <w:sz w:val="21"/>
                <w:szCs w:val="21"/>
                <w:vertAlign w:val="baseline"/>
                <w:lang w:val="en-US" w:eastAsia="zh-CN"/>
              </w:rPr>
              <w:t>是否拥有自行利用处置设施</w:t>
            </w:r>
          </w:p>
        </w:tc>
        <w:tc>
          <w:tcPr>
            <w:tcW w:w="1752" w:type="dxa"/>
            <w:noWrap w:val="0"/>
            <w:vAlign w:val="center"/>
          </w:tcPr>
          <w:p>
            <w:pPr>
              <w:pStyle w:val="2"/>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baseline"/>
              <w:rPr>
                <w:rFonts w:hint="eastAsia" w:ascii="宋体" w:hAnsi="宋体" w:eastAsia="黑体" w:cs="黑体"/>
                <w:color w:val="000000"/>
                <w:kern w:val="2"/>
                <w:sz w:val="21"/>
                <w:szCs w:val="21"/>
                <w:vertAlign w:val="baseline"/>
                <w:lang w:val="en-US" w:eastAsia="zh-CN" w:bidi="ar-SA"/>
              </w:rPr>
            </w:pPr>
            <w:r>
              <w:rPr>
                <w:rFonts w:hint="eastAsia" w:ascii="宋体" w:hAnsi="宋体" w:eastAsia="黑体" w:cs="黑体"/>
                <w:color w:val="000000"/>
                <w:kern w:val="2"/>
                <w:sz w:val="21"/>
                <w:szCs w:val="21"/>
                <w:vertAlign w:val="baseline"/>
                <w:lang w:val="en-US" w:eastAsia="zh-CN" w:bidi="ar-SA"/>
              </w:rPr>
              <w:t>主要利用处置</w:t>
            </w:r>
          </w:p>
          <w:p>
            <w:pPr>
              <w:pStyle w:val="2"/>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baseline"/>
              <w:rPr>
                <w:rFonts w:hint="eastAsia" w:ascii="宋体" w:hAnsi="宋体" w:eastAsia="黑体" w:cs="黑体"/>
                <w:color w:val="000000"/>
                <w:kern w:val="2"/>
                <w:sz w:val="21"/>
                <w:szCs w:val="21"/>
                <w:vertAlign w:val="baseline"/>
                <w:lang w:val="en-US" w:eastAsia="zh-CN" w:bidi="ar-SA"/>
              </w:rPr>
            </w:pPr>
            <w:r>
              <w:rPr>
                <w:rFonts w:hint="eastAsia" w:ascii="宋体" w:hAnsi="宋体" w:eastAsia="黑体" w:cs="黑体"/>
                <w:color w:val="000000"/>
                <w:kern w:val="2"/>
                <w:sz w:val="21"/>
                <w:szCs w:val="21"/>
                <w:vertAlign w:val="baseline"/>
                <w:lang w:val="en-US" w:eastAsia="zh-CN" w:bidi="ar-SA"/>
              </w:rPr>
              <w:t>设施名称</w:t>
            </w:r>
          </w:p>
        </w:tc>
        <w:tc>
          <w:tcPr>
            <w:tcW w:w="2214" w:type="dxa"/>
            <w:noWrap w:val="0"/>
            <w:vAlign w:val="center"/>
          </w:tcPr>
          <w:p>
            <w:pPr>
              <w:pStyle w:val="2"/>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baseline"/>
              <w:rPr>
                <w:rFonts w:hint="eastAsia" w:ascii="宋体" w:hAnsi="宋体" w:eastAsia="黑体" w:cs="黑体"/>
                <w:color w:val="000000"/>
                <w:kern w:val="2"/>
                <w:sz w:val="21"/>
                <w:szCs w:val="21"/>
                <w:vertAlign w:val="baseline"/>
                <w:lang w:val="en-US" w:eastAsia="zh-CN" w:bidi="ar-SA"/>
              </w:rPr>
            </w:pPr>
            <w:r>
              <w:rPr>
                <w:rFonts w:hint="eastAsia" w:ascii="宋体" w:hAnsi="宋体" w:eastAsia="黑体" w:cs="黑体"/>
                <w:color w:val="000000"/>
                <w:kern w:val="2"/>
                <w:sz w:val="21"/>
                <w:szCs w:val="21"/>
                <w:vertAlign w:val="baseline"/>
                <w:lang w:val="en-US" w:eastAsia="zh-CN" w:bidi="ar-SA"/>
              </w:rPr>
              <w:t>排查发现问题</w:t>
            </w:r>
          </w:p>
        </w:tc>
        <w:tc>
          <w:tcPr>
            <w:tcW w:w="1462" w:type="dxa"/>
            <w:noWrap w:val="0"/>
            <w:vAlign w:val="center"/>
          </w:tcPr>
          <w:p>
            <w:pPr>
              <w:pStyle w:val="2"/>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baseline"/>
              <w:rPr>
                <w:rFonts w:hint="eastAsia" w:ascii="宋体" w:hAnsi="宋体" w:eastAsia="黑体" w:cs="黑体"/>
                <w:color w:val="000000"/>
                <w:kern w:val="2"/>
                <w:sz w:val="21"/>
                <w:szCs w:val="21"/>
                <w:vertAlign w:val="baseline"/>
                <w:lang w:val="en-US" w:eastAsia="zh-CN" w:bidi="ar-SA"/>
              </w:rPr>
            </w:pPr>
            <w:r>
              <w:rPr>
                <w:rFonts w:hint="eastAsia" w:ascii="宋体" w:hAnsi="宋体" w:eastAsia="黑体" w:cs="黑体"/>
                <w:color w:val="000000"/>
                <w:kern w:val="2"/>
                <w:sz w:val="21"/>
                <w:szCs w:val="21"/>
                <w:vertAlign w:val="baseline"/>
                <w:lang w:val="en-US" w:eastAsia="zh-CN" w:bidi="ar-SA"/>
              </w:rPr>
              <w:t>整改措施</w:t>
            </w:r>
          </w:p>
        </w:tc>
        <w:tc>
          <w:tcPr>
            <w:tcW w:w="1058" w:type="dxa"/>
            <w:noWrap w:val="0"/>
            <w:vAlign w:val="center"/>
          </w:tcPr>
          <w:p>
            <w:pPr>
              <w:pStyle w:val="2"/>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baseline"/>
              <w:rPr>
                <w:rFonts w:hint="eastAsia" w:ascii="宋体" w:hAnsi="宋体" w:eastAsia="黑体" w:cs="黑体"/>
                <w:color w:val="000000"/>
                <w:kern w:val="2"/>
                <w:sz w:val="21"/>
                <w:szCs w:val="21"/>
                <w:vertAlign w:val="baseline"/>
                <w:lang w:val="en-US" w:eastAsia="zh-CN" w:bidi="ar-SA"/>
              </w:rPr>
            </w:pPr>
            <w:r>
              <w:rPr>
                <w:rFonts w:hint="eastAsia" w:ascii="宋体" w:hAnsi="宋体" w:eastAsia="黑体" w:cs="黑体"/>
                <w:color w:val="000000"/>
                <w:kern w:val="2"/>
                <w:sz w:val="21"/>
                <w:szCs w:val="21"/>
                <w:vertAlign w:val="baseline"/>
                <w:lang w:val="en-US" w:eastAsia="zh-CN" w:bidi="ar-SA"/>
              </w:rPr>
              <w:t>整改</w:t>
            </w:r>
          </w:p>
          <w:p>
            <w:pPr>
              <w:pStyle w:val="2"/>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baseline"/>
              <w:rPr>
                <w:rFonts w:hint="eastAsia" w:ascii="宋体" w:hAnsi="宋体" w:eastAsia="黑体" w:cs="黑体"/>
                <w:color w:val="000000"/>
                <w:kern w:val="2"/>
                <w:sz w:val="21"/>
                <w:szCs w:val="21"/>
                <w:vertAlign w:val="baseline"/>
                <w:lang w:val="en-US" w:eastAsia="zh-CN" w:bidi="ar-SA"/>
              </w:rPr>
            </w:pPr>
            <w:r>
              <w:rPr>
                <w:rFonts w:hint="eastAsia" w:ascii="宋体" w:hAnsi="宋体" w:eastAsia="黑体" w:cs="黑体"/>
                <w:color w:val="000000"/>
                <w:kern w:val="2"/>
                <w:sz w:val="21"/>
                <w:szCs w:val="21"/>
                <w:vertAlign w:val="baseline"/>
                <w:lang w:val="en-US" w:eastAsia="zh-CN" w:bidi="ar-SA"/>
              </w:rPr>
              <w:t>时限</w:t>
            </w:r>
          </w:p>
        </w:tc>
        <w:tc>
          <w:tcPr>
            <w:tcW w:w="1037" w:type="dxa"/>
            <w:noWrap w:val="0"/>
            <w:vAlign w:val="center"/>
          </w:tcPr>
          <w:p>
            <w:pPr>
              <w:pStyle w:val="2"/>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baseline"/>
              <w:rPr>
                <w:rFonts w:hint="eastAsia" w:ascii="宋体" w:hAnsi="宋体" w:eastAsia="黑体" w:cs="黑体"/>
                <w:color w:val="000000"/>
                <w:kern w:val="2"/>
                <w:sz w:val="21"/>
                <w:szCs w:val="21"/>
                <w:vertAlign w:val="baseline"/>
                <w:lang w:val="en-US" w:eastAsia="zh-CN" w:bidi="ar-SA"/>
              </w:rPr>
            </w:pPr>
            <w:r>
              <w:rPr>
                <w:rFonts w:hint="eastAsia" w:ascii="宋体" w:hAnsi="宋体" w:eastAsia="黑体" w:cs="黑体"/>
                <w:color w:val="000000"/>
                <w:kern w:val="2"/>
                <w:sz w:val="21"/>
                <w:szCs w:val="21"/>
                <w:vertAlign w:val="baseline"/>
                <w:lang w:val="en-US" w:eastAsia="zh-CN" w:bidi="ar-SA"/>
              </w:rPr>
              <w:t>是否完成整改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5" w:hRule="atLeast"/>
          <w:jc w:val="center"/>
        </w:trPr>
        <w:tc>
          <w:tcPr>
            <w:tcW w:w="857" w:type="dxa"/>
            <w:noWrap w:val="0"/>
            <w:vAlign w:val="center"/>
          </w:tcPr>
          <w:p>
            <w:pPr>
              <w:pStyle w:val="2"/>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baseline"/>
              <w:rPr>
                <w:rFonts w:hint="eastAsia" w:ascii="宋体" w:hAnsi="宋体" w:eastAsia="仿宋_GB2312" w:cs="仿宋_GB2312"/>
                <w:color w:val="000000"/>
                <w:kern w:val="2"/>
                <w:sz w:val="21"/>
                <w:szCs w:val="21"/>
                <w:vertAlign w:val="baseline"/>
                <w:lang w:val="en-US" w:eastAsia="zh-CN" w:bidi="ar-SA"/>
              </w:rPr>
            </w:pPr>
            <w:r>
              <w:rPr>
                <w:rFonts w:hint="eastAsia" w:ascii="宋体" w:hAnsi="宋体" w:eastAsia="仿宋_GB2312" w:cs="仿宋_GB2312"/>
                <w:color w:val="000000"/>
                <w:kern w:val="2"/>
                <w:sz w:val="21"/>
                <w:szCs w:val="21"/>
                <w:vertAlign w:val="baseline"/>
                <w:lang w:val="en-US" w:eastAsia="zh-CN" w:bidi="ar-SA"/>
              </w:rPr>
              <w:t>1</w:t>
            </w:r>
          </w:p>
        </w:tc>
        <w:tc>
          <w:tcPr>
            <w:tcW w:w="1183" w:type="dxa"/>
            <w:noWrap w:val="0"/>
            <w:vAlign w:val="center"/>
          </w:tcPr>
          <w:p>
            <w:pPr>
              <w:pStyle w:val="2"/>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baseline"/>
              <w:rPr>
                <w:rFonts w:hint="eastAsia" w:ascii="宋体" w:hAnsi="宋体" w:eastAsia="仿宋_GB2312" w:cs="仿宋_GB2312"/>
                <w:color w:val="000000"/>
                <w:kern w:val="2"/>
                <w:sz w:val="21"/>
                <w:szCs w:val="21"/>
                <w:vertAlign w:val="baseline"/>
                <w:lang w:val="en-US" w:eastAsia="zh-CN" w:bidi="ar-SA"/>
              </w:rPr>
            </w:pPr>
            <w:r>
              <w:rPr>
                <w:rFonts w:hint="eastAsia" w:ascii="宋体" w:hAnsi="宋体" w:eastAsia="仿宋_GB2312" w:cs="仿宋_GB2312"/>
                <w:color w:val="000000"/>
                <w:kern w:val="2"/>
                <w:sz w:val="21"/>
                <w:szCs w:val="21"/>
                <w:vertAlign w:val="baseline"/>
                <w:lang w:val="en-US" w:eastAsia="zh-CN" w:bidi="ar-SA"/>
              </w:rPr>
              <w:t>济源市</w:t>
            </w:r>
          </w:p>
        </w:tc>
        <w:tc>
          <w:tcPr>
            <w:tcW w:w="1731" w:type="dxa"/>
            <w:noWrap w:val="0"/>
            <w:vAlign w:val="center"/>
          </w:tcPr>
          <w:p>
            <w:pPr>
              <w:pStyle w:val="2"/>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baseline"/>
              <w:rPr>
                <w:rFonts w:hint="eastAsia" w:ascii="宋体" w:hAnsi="宋体" w:eastAsia="仿宋_GB2312" w:cs="仿宋_GB2312"/>
                <w:color w:val="000000"/>
                <w:kern w:val="2"/>
                <w:sz w:val="21"/>
                <w:szCs w:val="21"/>
                <w:vertAlign w:val="baseline"/>
                <w:lang w:val="en-US" w:eastAsia="zh-CN" w:bidi="ar-SA"/>
              </w:rPr>
            </w:pPr>
            <w:r>
              <w:rPr>
                <w:rFonts w:hint="eastAsia" w:ascii="宋体" w:hAnsi="宋体" w:eastAsia="仿宋_GB2312" w:cs="仿宋_GB2312"/>
                <w:color w:val="000000"/>
                <w:kern w:val="2"/>
                <w:sz w:val="21"/>
                <w:szCs w:val="21"/>
                <w:vertAlign w:val="baseline"/>
                <w:lang w:val="en-US" w:eastAsia="zh-CN" w:bidi="ar-SA"/>
              </w:rPr>
              <w:t>XXX</w:t>
            </w:r>
          </w:p>
        </w:tc>
        <w:tc>
          <w:tcPr>
            <w:tcW w:w="1074" w:type="dxa"/>
            <w:noWrap w:val="0"/>
            <w:vAlign w:val="center"/>
          </w:tcPr>
          <w:p>
            <w:pPr>
              <w:pStyle w:val="2"/>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baseline"/>
              <w:rPr>
                <w:rFonts w:hint="eastAsia" w:ascii="宋体" w:hAnsi="宋体" w:eastAsia="仿宋_GB2312" w:cs="仿宋_GB2312"/>
                <w:color w:val="000000"/>
                <w:kern w:val="0"/>
                <w:sz w:val="21"/>
                <w:szCs w:val="21"/>
                <w:lang w:val="en-US" w:eastAsia="zh-CN" w:bidi="ar"/>
              </w:rPr>
            </w:pPr>
            <w:r>
              <w:rPr>
                <w:rFonts w:hint="eastAsia" w:ascii="宋体" w:hAnsi="宋体" w:eastAsia="仿宋_GB2312" w:cs="仿宋_GB2312"/>
                <w:color w:val="000000"/>
                <w:kern w:val="0"/>
                <w:sz w:val="21"/>
                <w:szCs w:val="21"/>
                <w:lang w:val="en-US" w:eastAsia="zh-CN" w:bidi="ar"/>
              </w:rPr>
              <w:t>产废</w:t>
            </w:r>
          </w:p>
          <w:p>
            <w:pPr>
              <w:pStyle w:val="2"/>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baseline"/>
              <w:rPr>
                <w:rFonts w:hint="eastAsia" w:ascii="宋体" w:hAnsi="宋体" w:eastAsia="仿宋_GB2312" w:cs="仿宋_GB2312"/>
                <w:color w:val="000000"/>
                <w:kern w:val="2"/>
                <w:sz w:val="21"/>
                <w:szCs w:val="21"/>
                <w:u w:val="none" w:color="000000"/>
                <w:vertAlign w:val="baseline"/>
                <w:lang w:val="en-US" w:eastAsia="zh-CN" w:bidi="ar-SA"/>
              </w:rPr>
            </w:pPr>
            <w:r>
              <w:rPr>
                <w:rFonts w:hint="eastAsia" w:ascii="宋体" w:hAnsi="宋体" w:eastAsia="仿宋_GB2312" w:cs="仿宋_GB2312"/>
                <w:color w:val="000000"/>
                <w:kern w:val="0"/>
                <w:sz w:val="21"/>
                <w:szCs w:val="21"/>
                <w:lang w:val="en-US" w:eastAsia="zh-CN" w:bidi="ar"/>
              </w:rPr>
              <w:t>单位</w:t>
            </w:r>
          </w:p>
        </w:tc>
        <w:tc>
          <w:tcPr>
            <w:tcW w:w="1627" w:type="dxa"/>
            <w:noWrap w:val="0"/>
            <w:vAlign w:val="center"/>
          </w:tcPr>
          <w:p>
            <w:pPr>
              <w:keepNext w:val="0"/>
              <w:keepLines w:val="0"/>
              <w:pageBreakBefore w:val="0"/>
              <w:widowControl w:val="0"/>
              <w:suppressLineNumbers w:val="0"/>
              <w:kinsoku/>
              <w:wordWrap/>
              <w:overflowPunct/>
              <w:topLinePunct w:val="0"/>
              <w:autoSpaceDE/>
              <w:autoSpaceDN/>
              <w:bidi w:val="0"/>
              <w:jc w:val="left"/>
              <w:rPr>
                <w:rFonts w:hint="eastAsia" w:ascii="宋体" w:hAnsi="宋体" w:eastAsia="仿宋" w:cs="仿宋"/>
                <w:color w:val="000000"/>
                <w:kern w:val="2"/>
                <w:sz w:val="21"/>
                <w:szCs w:val="21"/>
                <w:vertAlign w:val="baseline"/>
                <w:lang w:val="en-US" w:eastAsia="zh-CN" w:bidi="ar-SA"/>
              </w:rPr>
            </w:pPr>
          </w:p>
        </w:tc>
        <w:tc>
          <w:tcPr>
            <w:tcW w:w="1752" w:type="dxa"/>
            <w:noWrap w:val="0"/>
            <w:vAlign w:val="center"/>
          </w:tcPr>
          <w:p>
            <w:pPr>
              <w:keepNext w:val="0"/>
              <w:keepLines w:val="0"/>
              <w:pageBreakBefore w:val="0"/>
              <w:widowControl w:val="0"/>
              <w:suppressLineNumbers w:val="0"/>
              <w:kinsoku/>
              <w:wordWrap/>
              <w:overflowPunct/>
              <w:topLinePunct w:val="0"/>
              <w:autoSpaceDE/>
              <w:autoSpaceDN/>
              <w:bidi w:val="0"/>
              <w:jc w:val="left"/>
              <w:rPr>
                <w:rFonts w:hint="default" w:ascii="宋体" w:hAnsi="宋体" w:eastAsia="仿宋" w:cs="仿宋"/>
                <w:color w:val="000000"/>
                <w:kern w:val="2"/>
                <w:sz w:val="21"/>
                <w:szCs w:val="21"/>
                <w:vertAlign w:val="baseline"/>
                <w:lang w:val="en-US" w:eastAsia="zh-CN" w:bidi="ar-SA"/>
              </w:rPr>
            </w:pPr>
          </w:p>
        </w:tc>
        <w:tc>
          <w:tcPr>
            <w:tcW w:w="2214" w:type="dxa"/>
            <w:noWrap w:val="0"/>
            <w:vAlign w:val="center"/>
          </w:tcPr>
          <w:p>
            <w:pPr>
              <w:pStyle w:val="2"/>
              <w:keepNext w:val="0"/>
              <w:keepLines w:val="0"/>
              <w:pageBreakBefore w:val="0"/>
              <w:widowControl w:val="0"/>
              <w:kinsoku/>
              <w:wordWrap/>
              <w:overflowPunct/>
              <w:topLinePunct w:val="0"/>
              <w:autoSpaceDE/>
              <w:autoSpaceDN/>
              <w:bidi w:val="0"/>
              <w:adjustRightInd/>
              <w:snapToGrid/>
              <w:spacing w:line="240" w:lineRule="auto"/>
              <w:ind w:firstLine="0"/>
              <w:jc w:val="left"/>
              <w:textAlignment w:val="baseline"/>
              <w:rPr>
                <w:rFonts w:hint="eastAsia" w:ascii="宋体" w:hAnsi="宋体" w:eastAsia="仿宋" w:cs="仿宋"/>
                <w:color w:val="000000"/>
                <w:kern w:val="2"/>
                <w:sz w:val="21"/>
                <w:szCs w:val="21"/>
                <w:vertAlign w:val="baseline"/>
                <w:lang w:val="en-US" w:eastAsia="zh-CN" w:bidi="ar-SA"/>
              </w:rPr>
            </w:pPr>
          </w:p>
        </w:tc>
        <w:tc>
          <w:tcPr>
            <w:tcW w:w="1462" w:type="dxa"/>
            <w:noWrap w:val="0"/>
            <w:vAlign w:val="center"/>
          </w:tcPr>
          <w:p>
            <w:pPr>
              <w:pStyle w:val="2"/>
              <w:keepNext w:val="0"/>
              <w:keepLines w:val="0"/>
              <w:pageBreakBefore w:val="0"/>
              <w:widowControl w:val="0"/>
              <w:kinsoku/>
              <w:wordWrap/>
              <w:overflowPunct/>
              <w:topLinePunct w:val="0"/>
              <w:autoSpaceDE/>
              <w:autoSpaceDN/>
              <w:bidi w:val="0"/>
              <w:adjustRightInd/>
              <w:snapToGrid/>
              <w:spacing w:line="240" w:lineRule="auto"/>
              <w:ind w:firstLine="0"/>
              <w:jc w:val="left"/>
              <w:textAlignment w:val="baseline"/>
              <w:rPr>
                <w:rFonts w:hint="eastAsia" w:ascii="宋体" w:hAnsi="宋体" w:eastAsia="仿宋" w:cs="仿宋"/>
                <w:color w:val="000000"/>
                <w:kern w:val="2"/>
                <w:sz w:val="21"/>
                <w:szCs w:val="21"/>
                <w:vertAlign w:val="baseline"/>
                <w:lang w:val="en-US" w:eastAsia="zh-CN" w:bidi="ar-SA"/>
              </w:rPr>
            </w:pPr>
          </w:p>
        </w:tc>
        <w:tc>
          <w:tcPr>
            <w:tcW w:w="1058" w:type="dxa"/>
            <w:noWrap w:val="0"/>
            <w:vAlign w:val="center"/>
          </w:tcPr>
          <w:p>
            <w:pPr>
              <w:pStyle w:val="2"/>
              <w:keepNext w:val="0"/>
              <w:keepLines w:val="0"/>
              <w:pageBreakBefore w:val="0"/>
              <w:widowControl w:val="0"/>
              <w:kinsoku/>
              <w:wordWrap/>
              <w:overflowPunct/>
              <w:topLinePunct w:val="0"/>
              <w:autoSpaceDE/>
              <w:autoSpaceDN/>
              <w:bidi w:val="0"/>
              <w:adjustRightInd/>
              <w:snapToGrid/>
              <w:spacing w:line="240" w:lineRule="auto"/>
              <w:ind w:firstLine="0"/>
              <w:jc w:val="left"/>
              <w:textAlignment w:val="baseline"/>
              <w:rPr>
                <w:rFonts w:hint="eastAsia" w:ascii="宋体" w:hAnsi="宋体" w:eastAsia="仿宋" w:cs="仿宋"/>
                <w:color w:val="000000"/>
                <w:kern w:val="2"/>
                <w:sz w:val="21"/>
                <w:szCs w:val="21"/>
                <w:vertAlign w:val="baseline"/>
                <w:lang w:val="en-US" w:eastAsia="zh-CN" w:bidi="ar-SA"/>
              </w:rPr>
            </w:pPr>
          </w:p>
        </w:tc>
        <w:tc>
          <w:tcPr>
            <w:tcW w:w="1037" w:type="dxa"/>
            <w:noWrap w:val="0"/>
            <w:vAlign w:val="center"/>
          </w:tcPr>
          <w:p>
            <w:pPr>
              <w:pStyle w:val="2"/>
              <w:keepNext w:val="0"/>
              <w:keepLines w:val="0"/>
              <w:pageBreakBefore w:val="0"/>
              <w:widowControl w:val="0"/>
              <w:kinsoku/>
              <w:wordWrap/>
              <w:overflowPunct/>
              <w:topLinePunct w:val="0"/>
              <w:autoSpaceDE/>
              <w:autoSpaceDN/>
              <w:bidi w:val="0"/>
              <w:adjustRightInd/>
              <w:snapToGrid/>
              <w:spacing w:line="240" w:lineRule="auto"/>
              <w:ind w:firstLine="0"/>
              <w:jc w:val="left"/>
              <w:textAlignment w:val="baseline"/>
              <w:rPr>
                <w:rFonts w:hint="eastAsia" w:ascii="宋体" w:hAnsi="宋体" w:eastAsia="仿宋" w:cs="仿宋"/>
                <w:color w:val="000000"/>
                <w:kern w:val="2"/>
                <w:sz w:val="21"/>
                <w:szCs w:val="21"/>
                <w:vertAlign w:val="baseli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857" w:type="dxa"/>
            <w:noWrap w:val="0"/>
            <w:vAlign w:val="center"/>
          </w:tcPr>
          <w:p>
            <w:pPr>
              <w:pStyle w:val="2"/>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baseline"/>
              <w:rPr>
                <w:rFonts w:hint="eastAsia" w:ascii="宋体" w:hAnsi="宋体" w:eastAsia="仿宋_GB2312" w:cs="仿宋_GB2312"/>
                <w:color w:val="000000"/>
                <w:kern w:val="2"/>
                <w:sz w:val="21"/>
                <w:szCs w:val="21"/>
                <w:vertAlign w:val="baseline"/>
                <w:lang w:val="en-US" w:eastAsia="zh-CN" w:bidi="ar-SA"/>
              </w:rPr>
            </w:pPr>
            <w:r>
              <w:rPr>
                <w:rFonts w:hint="eastAsia" w:ascii="宋体" w:hAnsi="宋体" w:eastAsia="仿宋_GB2312" w:cs="仿宋_GB2312"/>
                <w:color w:val="000000"/>
                <w:kern w:val="2"/>
                <w:sz w:val="21"/>
                <w:szCs w:val="21"/>
                <w:vertAlign w:val="baseline"/>
                <w:lang w:val="en-US" w:eastAsia="zh-CN" w:bidi="ar-SA"/>
              </w:rPr>
              <w:t>2</w:t>
            </w:r>
          </w:p>
        </w:tc>
        <w:tc>
          <w:tcPr>
            <w:tcW w:w="1183" w:type="dxa"/>
            <w:noWrap w:val="0"/>
            <w:vAlign w:val="center"/>
          </w:tcPr>
          <w:p>
            <w:pPr>
              <w:pStyle w:val="2"/>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baseline"/>
              <w:rPr>
                <w:rFonts w:hint="eastAsia" w:ascii="宋体" w:hAnsi="宋体" w:eastAsia="仿宋_GB2312" w:cs="仿宋_GB2312"/>
                <w:color w:val="000000"/>
                <w:kern w:val="2"/>
                <w:sz w:val="21"/>
                <w:szCs w:val="21"/>
                <w:vertAlign w:val="baseline"/>
                <w:lang w:val="en-US" w:eastAsia="zh-CN" w:bidi="ar-SA"/>
              </w:rPr>
            </w:pPr>
          </w:p>
        </w:tc>
        <w:tc>
          <w:tcPr>
            <w:tcW w:w="1731" w:type="dxa"/>
            <w:noWrap w:val="0"/>
            <w:vAlign w:val="center"/>
          </w:tcPr>
          <w:p>
            <w:pPr>
              <w:pStyle w:val="2"/>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baseline"/>
              <w:rPr>
                <w:rFonts w:hint="eastAsia" w:ascii="宋体" w:hAnsi="宋体" w:eastAsia="仿宋_GB2312" w:cs="仿宋_GB2312"/>
                <w:color w:val="000000"/>
                <w:kern w:val="2"/>
                <w:sz w:val="21"/>
                <w:szCs w:val="21"/>
                <w:vertAlign w:val="baseline"/>
                <w:lang w:val="en-US" w:eastAsia="zh-CN" w:bidi="ar-SA"/>
              </w:rPr>
            </w:pPr>
          </w:p>
        </w:tc>
        <w:tc>
          <w:tcPr>
            <w:tcW w:w="1074" w:type="dxa"/>
            <w:noWrap w:val="0"/>
            <w:vAlign w:val="center"/>
          </w:tcPr>
          <w:p>
            <w:pPr>
              <w:pStyle w:val="2"/>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baseline"/>
              <w:rPr>
                <w:rFonts w:hint="eastAsia" w:ascii="宋体" w:hAnsi="宋体" w:eastAsia="仿宋_GB2312" w:cs="仿宋_GB2312"/>
                <w:color w:val="000000"/>
                <w:kern w:val="2"/>
                <w:sz w:val="21"/>
                <w:szCs w:val="21"/>
                <w:vertAlign w:val="baseline"/>
                <w:lang w:val="en-US" w:eastAsia="zh-CN" w:bidi="ar-SA"/>
              </w:rPr>
            </w:pPr>
          </w:p>
        </w:tc>
        <w:tc>
          <w:tcPr>
            <w:tcW w:w="1627" w:type="dxa"/>
            <w:noWrap w:val="0"/>
            <w:vAlign w:val="center"/>
          </w:tcPr>
          <w:p>
            <w:pPr>
              <w:pStyle w:val="2"/>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baseline"/>
              <w:rPr>
                <w:rFonts w:hint="eastAsia" w:ascii="宋体" w:hAnsi="宋体" w:eastAsia="仿宋" w:cs="仿宋"/>
                <w:color w:val="000000"/>
                <w:kern w:val="2"/>
                <w:sz w:val="21"/>
                <w:szCs w:val="21"/>
                <w:vertAlign w:val="baseline"/>
                <w:lang w:val="en-US" w:eastAsia="zh-CN" w:bidi="ar-SA"/>
              </w:rPr>
            </w:pPr>
          </w:p>
        </w:tc>
        <w:tc>
          <w:tcPr>
            <w:tcW w:w="1752" w:type="dxa"/>
            <w:noWrap w:val="0"/>
            <w:vAlign w:val="center"/>
          </w:tcPr>
          <w:p>
            <w:pPr>
              <w:pStyle w:val="2"/>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baseline"/>
              <w:rPr>
                <w:rFonts w:hint="eastAsia" w:ascii="宋体" w:hAnsi="宋体" w:eastAsia="仿宋" w:cs="仿宋"/>
                <w:color w:val="000000"/>
                <w:kern w:val="2"/>
                <w:sz w:val="21"/>
                <w:szCs w:val="21"/>
                <w:vertAlign w:val="baseline"/>
                <w:lang w:val="en-US" w:eastAsia="zh-CN" w:bidi="ar-SA"/>
              </w:rPr>
            </w:pPr>
          </w:p>
        </w:tc>
        <w:tc>
          <w:tcPr>
            <w:tcW w:w="2214" w:type="dxa"/>
            <w:noWrap w:val="0"/>
            <w:vAlign w:val="center"/>
          </w:tcPr>
          <w:p>
            <w:pPr>
              <w:pStyle w:val="2"/>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baseline"/>
              <w:rPr>
                <w:rFonts w:hint="eastAsia" w:ascii="宋体" w:hAnsi="宋体" w:eastAsia="仿宋" w:cs="仿宋"/>
                <w:color w:val="000000"/>
                <w:kern w:val="2"/>
                <w:sz w:val="21"/>
                <w:szCs w:val="21"/>
                <w:vertAlign w:val="baseline"/>
                <w:lang w:val="en-US" w:eastAsia="zh-CN" w:bidi="ar-SA"/>
              </w:rPr>
            </w:pPr>
          </w:p>
        </w:tc>
        <w:tc>
          <w:tcPr>
            <w:tcW w:w="1462" w:type="dxa"/>
            <w:noWrap w:val="0"/>
            <w:vAlign w:val="center"/>
          </w:tcPr>
          <w:p>
            <w:pPr>
              <w:pStyle w:val="2"/>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baseline"/>
              <w:rPr>
                <w:rFonts w:hint="eastAsia" w:ascii="宋体" w:hAnsi="宋体" w:eastAsia="仿宋" w:cs="仿宋"/>
                <w:color w:val="000000"/>
                <w:kern w:val="2"/>
                <w:sz w:val="21"/>
                <w:szCs w:val="21"/>
                <w:vertAlign w:val="baseline"/>
                <w:lang w:val="en-US" w:eastAsia="zh-CN" w:bidi="ar-SA"/>
              </w:rPr>
            </w:pPr>
          </w:p>
        </w:tc>
        <w:tc>
          <w:tcPr>
            <w:tcW w:w="1058" w:type="dxa"/>
            <w:noWrap w:val="0"/>
            <w:vAlign w:val="center"/>
          </w:tcPr>
          <w:p>
            <w:pPr>
              <w:pStyle w:val="2"/>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baseline"/>
              <w:rPr>
                <w:rFonts w:hint="eastAsia" w:ascii="宋体" w:hAnsi="宋体" w:eastAsia="仿宋" w:cs="仿宋"/>
                <w:color w:val="000000"/>
                <w:kern w:val="2"/>
                <w:sz w:val="21"/>
                <w:szCs w:val="21"/>
                <w:vertAlign w:val="baseline"/>
                <w:lang w:val="en-US" w:eastAsia="zh-CN" w:bidi="ar-SA"/>
              </w:rPr>
            </w:pPr>
          </w:p>
        </w:tc>
        <w:tc>
          <w:tcPr>
            <w:tcW w:w="1037" w:type="dxa"/>
            <w:noWrap w:val="0"/>
            <w:vAlign w:val="center"/>
          </w:tcPr>
          <w:p>
            <w:pPr>
              <w:pStyle w:val="2"/>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baseline"/>
              <w:rPr>
                <w:rFonts w:hint="eastAsia" w:ascii="宋体" w:hAnsi="宋体" w:eastAsia="仿宋" w:cs="仿宋"/>
                <w:color w:val="000000"/>
                <w:kern w:val="2"/>
                <w:sz w:val="21"/>
                <w:szCs w:val="21"/>
                <w:vertAlign w:val="baseline"/>
                <w:lang w:val="en-US" w:eastAsia="zh-CN" w:bidi="ar-SA"/>
              </w:rPr>
            </w:pPr>
          </w:p>
        </w:tc>
      </w:tr>
    </w:tbl>
    <w:p>
      <w:pPr>
        <w:keepNext w:val="0"/>
        <w:keepLines w:val="0"/>
        <w:pageBreakBefore w:val="0"/>
        <w:widowControl w:val="0"/>
        <w:suppressLineNumbers w:val="0"/>
        <w:kinsoku/>
        <w:wordWrap/>
        <w:overflowPunct/>
        <w:topLinePunct w:val="0"/>
        <w:autoSpaceDE/>
        <w:autoSpaceDN/>
        <w:bidi w:val="0"/>
        <w:jc w:val="both"/>
        <w:textAlignment w:val="center"/>
        <w:rPr>
          <w:rFonts w:hint="eastAsia" w:ascii="宋体" w:hAnsi="宋体" w:eastAsia="仿宋_GB2312" w:cs="仿宋_GB2312"/>
          <w:b w:val="0"/>
          <w:bCs w:val="0"/>
          <w:color w:val="auto"/>
          <w:sz w:val="21"/>
          <w:szCs w:val="21"/>
        </w:rPr>
      </w:pPr>
      <w:r>
        <w:rPr>
          <w:rFonts w:hint="eastAsia" w:ascii="宋体" w:hAnsi="宋体" w:eastAsia="仿宋_GB2312" w:cs="仿宋_GB2312"/>
          <w:b w:val="0"/>
          <w:bCs w:val="0"/>
          <w:color w:val="000000"/>
          <w:kern w:val="0"/>
          <w:sz w:val="21"/>
          <w:szCs w:val="21"/>
          <w:lang w:val="en-US" w:eastAsia="zh-CN" w:bidi="ar"/>
        </w:rPr>
        <w:t>备注：</w:t>
      </w:r>
      <w:r>
        <w:rPr>
          <w:rFonts w:hint="eastAsia" w:ascii="宋体" w:hAnsi="宋体" w:eastAsia="仿宋_GB2312" w:cs="仿宋_GB2312"/>
          <w:b w:val="0"/>
          <w:bCs w:val="0"/>
          <w:color w:val="auto"/>
          <w:kern w:val="0"/>
          <w:sz w:val="21"/>
          <w:szCs w:val="21"/>
          <w:lang w:val="en-US" w:eastAsia="zh-CN" w:bidi="ar"/>
        </w:rPr>
        <w:t>1. 企业类型填写“产废单位”“综合经营单位”“收集单位”“</w:t>
      </w:r>
      <w:r>
        <w:rPr>
          <w:rFonts w:hint="eastAsia" w:ascii="宋体" w:hAnsi="宋体" w:eastAsia="仿宋_GB2312" w:cs="仿宋_GB2312"/>
          <w:b w:val="0"/>
          <w:bCs w:val="0"/>
          <w:i w:val="0"/>
          <w:iCs w:val="0"/>
          <w:color w:val="auto"/>
          <w:kern w:val="0"/>
          <w:sz w:val="21"/>
          <w:szCs w:val="21"/>
          <w:u w:val="none"/>
          <w:lang w:val="en-US" w:eastAsia="zh-CN" w:bidi="ar"/>
        </w:rPr>
        <w:t>铅蓄电池收集</w:t>
      </w:r>
      <w:r>
        <w:rPr>
          <w:rFonts w:hint="eastAsia" w:ascii="宋体" w:hAnsi="宋体" w:eastAsia="仿宋_GB2312" w:cs="仿宋_GB2312"/>
          <w:b w:val="0"/>
          <w:bCs w:val="0"/>
          <w:color w:val="auto"/>
          <w:kern w:val="0"/>
          <w:sz w:val="21"/>
          <w:szCs w:val="21"/>
          <w:lang w:val="en-US" w:eastAsia="zh-CN" w:bidi="ar"/>
        </w:rPr>
        <w:t xml:space="preserve">试点单位”； </w:t>
      </w:r>
    </w:p>
    <w:p>
      <w:pPr>
        <w:keepNext w:val="0"/>
        <w:keepLines w:val="0"/>
        <w:pageBreakBefore w:val="0"/>
        <w:widowControl w:val="0"/>
        <w:suppressLineNumbers w:val="0"/>
        <w:kinsoku/>
        <w:wordWrap/>
        <w:overflowPunct/>
        <w:topLinePunct w:val="0"/>
        <w:autoSpaceDE/>
        <w:autoSpaceDN/>
        <w:bidi w:val="0"/>
        <w:adjustRightInd w:val="0"/>
        <w:snapToGrid w:val="0"/>
        <w:ind w:firstLine="630" w:firstLineChars="300"/>
        <w:jc w:val="left"/>
        <w:textAlignment w:val="auto"/>
        <w:rPr>
          <w:rFonts w:hint="eastAsia" w:ascii="宋体" w:hAnsi="宋体" w:eastAsia="仿宋_GB2312" w:cs="仿宋_GB2312"/>
          <w:b w:val="0"/>
          <w:bCs w:val="0"/>
          <w:color w:val="auto"/>
          <w:sz w:val="21"/>
          <w:szCs w:val="21"/>
        </w:rPr>
      </w:pPr>
      <w:r>
        <w:rPr>
          <w:rFonts w:hint="eastAsia" w:ascii="宋体" w:hAnsi="宋体" w:eastAsia="仿宋_GB2312" w:cs="仿宋_GB2312"/>
          <w:b w:val="0"/>
          <w:bCs w:val="0"/>
          <w:color w:val="auto"/>
          <w:kern w:val="0"/>
          <w:sz w:val="21"/>
          <w:szCs w:val="21"/>
          <w:lang w:val="en-US" w:eastAsia="zh-CN" w:bidi="ar"/>
        </w:rPr>
        <w:t xml:space="preserve">2. 发现问题需要填报问题详细描述，整改措施需要与问题逐一对应； </w:t>
      </w:r>
    </w:p>
    <w:p>
      <w:pPr>
        <w:keepNext w:val="0"/>
        <w:keepLines w:val="0"/>
        <w:pageBreakBefore w:val="0"/>
        <w:widowControl w:val="0"/>
        <w:suppressLineNumbers w:val="0"/>
        <w:kinsoku/>
        <w:wordWrap/>
        <w:overflowPunct/>
        <w:topLinePunct w:val="0"/>
        <w:autoSpaceDE/>
        <w:autoSpaceDN/>
        <w:bidi w:val="0"/>
        <w:adjustRightInd w:val="0"/>
        <w:snapToGrid w:val="0"/>
        <w:ind w:firstLine="630" w:firstLineChars="300"/>
        <w:jc w:val="left"/>
        <w:textAlignment w:val="auto"/>
        <w:rPr>
          <w:rFonts w:hint="eastAsia" w:ascii="宋体" w:hAnsi="宋体" w:eastAsia="仿宋_GB2312" w:cs="仿宋_GB2312"/>
          <w:b w:val="0"/>
          <w:bCs w:val="0"/>
          <w:color w:val="auto"/>
          <w:sz w:val="21"/>
          <w:szCs w:val="21"/>
        </w:rPr>
      </w:pPr>
      <w:r>
        <w:rPr>
          <w:rFonts w:hint="eastAsia" w:ascii="宋体" w:hAnsi="宋体" w:eastAsia="仿宋_GB2312" w:cs="仿宋_GB2312"/>
          <w:b w:val="0"/>
          <w:bCs w:val="0"/>
          <w:color w:val="auto"/>
          <w:kern w:val="0"/>
          <w:sz w:val="21"/>
          <w:szCs w:val="21"/>
          <w:lang w:val="en-US" w:eastAsia="zh-CN" w:bidi="ar"/>
        </w:rPr>
        <w:t>3. 整改时限填报“立即整改”和“xx月xx日前完成”。</w:t>
      </w:r>
    </w:p>
    <w:p>
      <w:pPr>
        <w:pStyle w:val="26"/>
        <w:keepNext w:val="0"/>
        <w:keepLines w:val="0"/>
        <w:pageBreakBefore w:val="0"/>
        <w:widowControl w:val="0"/>
        <w:kinsoku/>
        <w:wordWrap/>
        <w:overflowPunct/>
        <w:topLinePunct w:val="0"/>
        <w:autoSpaceDE/>
        <w:autoSpaceDN/>
        <w:bidi w:val="0"/>
        <w:adjustRightInd/>
        <w:snapToGrid/>
        <w:spacing w:line="20" w:lineRule="exact"/>
        <w:ind w:left="0" w:leftChars="0" w:firstLine="0" w:firstLineChars="0"/>
        <w:textAlignment w:val="auto"/>
        <w:rPr>
          <w:rFonts w:ascii="宋体" w:hAnsi="宋体"/>
          <w:b w:val="0"/>
          <w:bCs/>
        </w:rPr>
      </w:pPr>
    </w:p>
    <w:sectPr>
      <w:headerReference r:id="rId4" w:type="default"/>
      <w:footerReference r:id="rId5" w:type="default"/>
      <w:pgSz w:w="16838" w:h="11905" w:orient="landscape"/>
      <w:pgMar w:top="1587" w:right="1871" w:bottom="1474" w:left="1701" w:header="850" w:footer="1531" w:gutter="0"/>
      <w:paperSrc/>
      <w:pgNumType w:fmt="decimal"/>
      <w:cols w:space="0" w:num="1"/>
      <w:rtlGutter w:val="0"/>
      <w:docGrid w:type="lines" w:linePitch="31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01"/>
    <w:family w:val="auto"/>
    <w:pitch w:val="default"/>
    <w:sig w:usb0="00000000" w:usb1="00000000" w:usb2="00000009" w:usb3="00000000" w:csb0="400001FF" w:csb1="FFFF0000"/>
  </w:font>
  <w:font w:name="宋体">
    <w:altName w:val="方正书宋_GBK"/>
    <w:panose1 w:val="02010600030101010101"/>
    <w:charset w:val="B1"/>
    <w:family w:val="auto"/>
    <w:pitch w:val="default"/>
    <w:sig w:usb0="00000000" w:usb1="0000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Nimbus Roman No9 L">
    <w:panose1 w:val="00000000000000000000"/>
    <w:charset w:val="00"/>
    <w:family w:val="auto"/>
    <w:pitch w:val="default"/>
    <w:sig w:usb0="00000000" w:usb1="00000000" w:usb2="00000000" w:usb3="00000000" w:csb0="0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6030804020204"/>
    <w:charset w:val="00"/>
    <w:family w:val="auto"/>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Microsoft JhengHei">
    <w:altName w:val="方正书宋_GBK"/>
    <w:panose1 w:val="020B0604030504040204"/>
    <w:charset w:val="88"/>
    <w:family w:val="swiss"/>
    <w:pitch w:val="default"/>
    <w:sig w:usb0="00000000" w:usb1="00000000" w:usb2="00000016" w:usb3="00000000" w:csb0="00100009" w:csb1="00000000"/>
  </w:font>
  <w:font w:name="仿宋_GB2312">
    <w:panose1 w:val="02010609030101010101"/>
    <w:charset w:val="86"/>
    <w:family w:val="modern"/>
    <w:pitch w:val="default"/>
    <w:sig w:usb0="00000001" w:usb1="080E0000" w:usb2="00000000" w:usb3="00000000" w:csb0="00040000" w:csb1="00000000"/>
  </w:font>
  <w:font w:name="ˎ̥">
    <w:altName w:val="华文仿宋"/>
    <w:panose1 w:val="00000000000000000000"/>
    <w:charset w:val="00"/>
    <w:family w:val="roman"/>
    <w:pitch w:val="default"/>
    <w:sig w:usb0="00000000" w:usb1="00000000" w:usb2="00000000" w:usb3="00000000" w:csb0="00040001" w:csb1="00000000"/>
  </w:font>
  <w:font w:name="华文仿宋">
    <w:panose1 w:val="02010600040101010101"/>
    <w:charset w:val="86"/>
    <w:family w:val="auto"/>
    <w:pitch w:val="default"/>
    <w:sig w:usb0="00000287" w:usb1="080F0000" w:usb2="00000000" w:usb3="00000000" w:csb0="0004009F" w:csb1="DFD70000"/>
  </w:font>
  <w:font w:name="Arial Unicode MS">
    <w:altName w:val="Nimbus Roman No9 L"/>
    <w:panose1 w:val="020B0604020202020204"/>
    <w:charset w:val="86"/>
    <w:family w:val="roman"/>
    <w:pitch w:val="default"/>
    <w:sig w:usb0="00000000" w:usb1="00000000" w:usb2="0000003F" w:usb3="00000000" w:csb0="603F01FF" w:csb1="FFFF0000"/>
  </w:font>
  <w:font w:name="华文新魏">
    <w:panose1 w:val="02010800040101010101"/>
    <w:charset w:val="86"/>
    <w:family w:val="auto"/>
    <w:pitch w:val="default"/>
    <w:sig w:usb0="00000001" w:usb1="080F0000" w:usb2="00000000" w:usb3="00000000" w:csb0="00040000" w:csb1="00000000"/>
  </w:font>
  <w:font w:name="Gungsuh">
    <w:altName w:val="方正书宋_GBK"/>
    <w:panose1 w:val="02030600000101010101"/>
    <w:charset w:val="81"/>
    <w:family w:val="roman"/>
    <w:pitch w:val="default"/>
    <w:sig w:usb0="00000000" w:usb1="00000000" w:usb2="00000030" w:usb3="00000000" w:csb0="4008009F" w:csb1="DFD70000"/>
  </w:font>
  <w:font w:name="PMingLiU">
    <w:altName w:val="Droid Sans Fallback"/>
    <w:panose1 w:val="02020500000000000000"/>
    <w:charset w:val="88"/>
    <w:family w:val="roman"/>
    <w:pitch w:val="default"/>
    <w:sig w:usb0="00000000" w:usb1="00000000" w:usb2="00000016" w:usb3="00000000" w:csb0="00100001" w:csb1="00000000"/>
  </w:font>
  <w:font w:name="Droid Sans Fallback">
    <w:panose1 w:val="020B0502000000000001"/>
    <w:charset w:val="86"/>
    <w:family w:val="auto"/>
    <w:pitch w:val="default"/>
    <w:sig w:usb0="910002FF" w:usb1="2BDFFCFB" w:usb2="00000036" w:usb3="00000000" w:csb0="203F01FF" w:csb1="D7FF0000"/>
  </w:font>
  <w:font w:name="华文中宋">
    <w:altName w:val="汉仪中宋简"/>
    <w:panose1 w:val="02010600040101010101"/>
    <w:charset w:val="86"/>
    <w:family w:val="auto"/>
    <w:pitch w:val="default"/>
    <w:sig w:usb0="00000000" w:usb1="00000000" w:usb2="00000000" w:usb3="00000000" w:csb0="0004009F" w:csb1="DFD70000"/>
  </w:font>
  <w:font w:name="汉仪中宋简">
    <w:panose1 w:val="02010600000101010101"/>
    <w:charset w:val="86"/>
    <w:family w:val="auto"/>
    <w:pitch w:val="default"/>
    <w:sig w:usb0="00000001" w:usb1="080E0800" w:usb2="00000002" w:usb3="00000000" w:csb0="00040000" w:csb1="00000000"/>
  </w:font>
  <w:font w:name="楷体">
    <w:panose1 w:val="02010609060101010101"/>
    <w:charset w:val="86"/>
    <w:family w:val="auto"/>
    <w:pitch w:val="default"/>
    <w:sig w:usb0="800002BF" w:usb1="38CF7CFA" w:usb2="00000016" w:usb3="00000000" w:csb0="00040001" w:csb1="00000000"/>
  </w:font>
  <w:font w:name="方正小标宋简体">
    <w:panose1 w:val="02000000000000000000"/>
    <w:charset w:val="86"/>
    <w:family w:val="auto"/>
    <w:pitch w:val="default"/>
    <w:sig w:usb0="A00002BF" w:usb1="184F6CFA" w:usb2="00000012" w:usb3="00000000" w:csb0="00040001" w:csb1="00000000"/>
  </w:font>
  <w:font w:name="方正小标宋_GBK">
    <w:panose1 w:val="02000000000000000000"/>
    <w:charset w:val="86"/>
    <w:family w:val="auto"/>
    <w:pitch w:val="default"/>
    <w:sig w:usb0="00000001" w:usb1="08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新宋体">
    <w:altName w:val="方正书宋_GBK"/>
    <w:panose1 w:val="02010609030101010101"/>
    <w:charset w:val="86"/>
    <w:family w:val="modern"/>
    <w:pitch w:val="default"/>
    <w:sig w:usb0="00000000" w:usb1="0000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1"/>
                            <w:keepNext w:val="0"/>
                            <w:keepLines w:val="0"/>
                            <w:pageBreakBefore w:val="0"/>
                            <w:widowControl w:val="0"/>
                            <w:kinsoku/>
                            <w:wordWrap/>
                            <w:overflowPunct/>
                            <w:topLinePunct w:val="0"/>
                            <w:bidi w:val="0"/>
                            <w:adjustRightInd/>
                            <w:snapToGrid w:val="0"/>
                            <w:ind w:left="210" w:leftChars="100" w:right="210" w:rightChars="100"/>
                            <w:textAlignment w:val="auto"/>
                            <w:rPr>
                              <w:rFonts w:hint="eastAsia" w:ascii="仿宋" w:hAnsi="仿宋" w:eastAsia="仿宋" w:cs="仿宋"/>
                              <w:sz w:val="28"/>
                              <w:szCs w:val="28"/>
                            </w:rPr>
                          </w:pPr>
                          <w:r>
                            <w:rPr>
                              <w:rFonts w:hint="eastAsia" w:ascii="仿宋" w:hAnsi="仿宋" w:eastAsia="仿宋" w:cs="仿宋"/>
                              <w:sz w:val="28"/>
                              <w:szCs w:val="28"/>
                            </w:rPr>
                            <w:t xml:space="preserve">— </w:t>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  \* MERGEFORMAT </w:instrText>
                          </w:r>
                          <w:r>
                            <w:rPr>
                              <w:rFonts w:hint="eastAsia" w:ascii="仿宋" w:hAnsi="仿宋" w:eastAsia="仿宋" w:cs="仿宋"/>
                              <w:sz w:val="28"/>
                              <w:szCs w:val="28"/>
                            </w:rPr>
                            <w:fldChar w:fldCharType="separate"/>
                          </w:r>
                          <w:r>
                            <w:rPr>
                              <w:rFonts w:hint="eastAsia" w:ascii="仿宋" w:hAnsi="仿宋" w:eastAsia="仿宋" w:cs="仿宋"/>
                              <w:sz w:val="28"/>
                              <w:szCs w:val="28"/>
                            </w:rPr>
                            <w:t>- 1 -</w:t>
                          </w:r>
                          <w:r>
                            <w:rPr>
                              <w:rFonts w:hint="eastAsia" w:ascii="仿宋" w:hAnsi="仿宋" w:eastAsia="仿宋" w:cs="仿宋"/>
                              <w:sz w:val="28"/>
                              <w:szCs w:val="28"/>
                            </w:rPr>
                            <w:fldChar w:fldCharType="end"/>
                          </w:r>
                          <w:r>
                            <w:rPr>
                              <w:rFonts w:hint="eastAsia" w:ascii="仿宋" w:hAnsi="仿宋" w:eastAsia="仿宋" w:cs="仿宋"/>
                              <w:sz w:val="28"/>
                              <w:szCs w:val="28"/>
                            </w:rPr>
                            <w:t xml:space="preserve"> —</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">
              <v:fill on="f" focussize="0,0"/>
              <v:stroke on="f"/>
              <v:imagedata o:title=""/>
              <o:lock v:ext="edit" aspectratio="f"/>
              <v:textbox inset="0mm,0mm,0mm,0mm" style="mso-fit-shape-to-text:t;">
                <w:txbxContent>
                  <w:p>
                    <w:pPr>
                      <w:pStyle w:val="11"/>
                      <w:keepNext w:val="0"/>
                      <w:keepLines w:val="0"/>
                      <w:pageBreakBefore w:val="0"/>
                      <w:widowControl w:val="0"/>
                      <w:kinsoku/>
                      <w:wordWrap/>
                      <w:overflowPunct/>
                      <w:topLinePunct w:val="0"/>
                      <w:bidi w:val="0"/>
                      <w:adjustRightInd/>
                      <w:snapToGrid w:val="0"/>
                      <w:ind w:left="210" w:leftChars="100" w:right="210" w:rightChars="100"/>
                      <w:textAlignment w:val="auto"/>
                      <w:rPr>
                        <w:rFonts w:hint="eastAsia" w:ascii="仿宋" w:hAnsi="仿宋" w:eastAsia="仿宋" w:cs="仿宋"/>
                        <w:sz w:val="28"/>
                        <w:szCs w:val="28"/>
                      </w:rPr>
                    </w:pPr>
                    <w:r>
                      <w:rPr>
                        <w:rFonts w:hint="eastAsia" w:ascii="仿宋" w:hAnsi="仿宋" w:eastAsia="仿宋" w:cs="仿宋"/>
                        <w:sz w:val="28"/>
                        <w:szCs w:val="28"/>
                      </w:rPr>
                      <w:t xml:space="preserve">— </w:t>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  \* MERGEFORMAT </w:instrText>
                    </w:r>
                    <w:r>
                      <w:rPr>
                        <w:rFonts w:hint="eastAsia" w:ascii="仿宋" w:hAnsi="仿宋" w:eastAsia="仿宋" w:cs="仿宋"/>
                        <w:sz w:val="28"/>
                        <w:szCs w:val="28"/>
                      </w:rPr>
                      <w:fldChar w:fldCharType="separate"/>
                    </w:r>
                    <w:r>
                      <w:rPr>
                        <w:rFonts w:hint="eastAsia" w:ascii="仿宋" w:hAnsi="仿宋" w:eastAsia="仿宋" w:cs="仿宋"/>
                        <w:sz w:val="28"/>
                        <w:szCs w:val="28"/>
                      </w:rPr>
                      <w:t>- 1 -</w:t>
                    </w:r>
                    <w:r>
                      <w:rPr>
                        <w:rFonts w:hint="eastAsia" w:ascii="仿宋" w:hAnsi="仿宋" w:eastAsia="仿宋" w:cs="仿宋"/>
                        <w:sz w:val="28"/>
                        <w:szCs w:val="28"/>
                      </w:rPr>
                      <w:fldChar w:fldCharType="end"/>
                    </w:r>
                    <w:r>
                      <w:rPr>
                        <w:rFonts w:hint="eastAsia" w:ascii="仿宋" w:hAnsi="仿宋" w:eastAsia="仿宋" w:cs="仿宋"/>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mirrorMargins w:val="1"/>
  <w:bordersDoNotSurroundHeader w:val="0"/>
  <w:bordersDoNotSurroundFooter w:val="0"/>
  <w:documentProtection w:enforcement="0"/>
  <w:defaultTabStop w:val="420"/>
  <w:drawingGridHorizontalSpacing w:val="210"/>
  <w:drawingGridVerticalSpacing w:val="158"/>
  <w:displayHorizontalDrawingGridEvery w:val="1"/>
  <w:displayVerticalDrawingGridEvery w:val="2"/>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c2ZWY4MmU4Y2U5YzQzZmRkODQwZDUyMzYyMTI5YTYifQ=="/>
  </w:docVars>
  <w:rsids>
    <w:rsidRoot w:val="00000000"/>
    <w:rsid w:val="00463FFF"/>
    <w:rsid w:val="00C46D24"/>
    <w:rsid w:val="01205F41"/>
    <w:rsid w:val="012918D1"/>
    <w:rsid w:val="015852EE"/>
    <w:rsid w:val="01F960DD"/>
    <w:rsid w:val="020F7907"/>
    <w:rsid w:val="02ED31B1"/>
    <w:rsid w:val="03424399"/>
    <w:rsid w:val="03A94635"/>
    <w:rsid w:val="03DD242F"/>
    <w:rsid w:val="04AB4BA9"/>
    <w:rsid w:val="04B312A8"/>
    <w:rsid w:val="05683DFA"/>
    <w:rsid w:val="058628CB"/>
    <w:rsid w:val="06216C82"/>
    <w:rsid w:val="06694ED4"/>
    <w:rsid w:val="07587F60"/>
    <w:rsid w:val="086D0162"/>
    <w:rsid w:val="08FD44CF"/>
    <w:rsid w:val="0932117A"/>
    <w:rsid w:val="09F8118D"/>
    <w:rsid w:val="0A430C43"/>
    <w:rsid w:val="0B1F42A5"/>
    <w:rsid w:val="0B640FB7"/>
    <w:rsid w:val="0B68626F"/>
    <w:rsid w:val="0C0F3A3B"/>
    <w:rsid w:val="0C242AC8"/>
    <w:rsid w:val="0CCC26B0"/>
    <w:rsid w:val="0D654EF3"/>
    <w:rsid w:val="0D8A4480"/>
    <w:rsid w:val="0DA51181"/>
    <w:rsid w:val="0DC42BB3"/>
    <w:rsid w:val="0DE411A4"/>
    <w:rsid w:val="0E05239E"/>
    <w:rsid w:val="0E666599"/>
    <w:rsid w:val="0E67314B"/>
    <w:rsid w:val="0EA51DCB"/>
    <w:rsid w:val="0EFE5C0E"/>
    <w:rsid w:val="0F7F3013"/>
    <w:rsid w:val="10211D87"/>
    <w:rsid w:val="10793E30"/>
    <w:rsid w:val="1098357A"/>
    <w:rsid w:val="10D83291"/>
    <w:rsid w:val="10EA099D"/>
    <w:rsid w:val="11211225"/>
    <w:rsid w:val="113D61FE"/>
    <w:rsid w:val="11566D6A"/>
    <w:rsid w:val="12B176E4"/>
    <w:rsid w:val="12D06571"/>
    <w:rsid w:val="131F623D"/>
    <w:rsid w:val="13821EBA"/>
    <w:rsid w:val="13AB6DD5"/>
    <w:rsid w:val="13DC051E"/>
    <w:rsid w:val="14A31C6A"/>
    <w:rsid w:val="14B97554"/>
    <w:rsid w:val="14BB6C25"/>
    <w:rsid w:val="14E6318E"/>
    <w:rsid w:val="15967D93"/>
    <w:rsid w:val="15C73357"/>
    <w:rsid w:val="15DB3091"/>
    <w:rsid w:val="16696A6C"/>
    <w:rsid w:val="16892356"/>
    <w:rsid w:val="169A580D"/>
    <w:rsid w:val="16A35E85"/>
    <w:rsid w:val="17011DD0"/>
    <w:rsid w:val="171B7E33"/>
    <w:rsid w:val="17467149"/>
    <w:rsid w:val="174B5616"/>
    <w:rsid w:val="179728E2"/>
    <w:rsid w:val="17E93546"/>
    <w:rsid w:val="18311EA3"/>
    <w:rsid w:val="195B1BCF"/>
    <w:rsid w:val="19E0014B"/>
    <w:rsid w:val="1A4D26BA"/>
    <w:rsid w:val="1A9D33B9"/>
    <w:rsid w:val="1CC935AA"/>
    <w:rsid w:val="1D220DAE"/>
    <w:rsid w:val="1D2D2112"/>
    <w:rsid w:val="1DA03128"/>
    <w:rsid w:val="1DFA645D"/>
    <w:rsid w:val="1E7B2B8C"/>
    <w:rsid w:val="1E8746C4"/>
    <w:rsid w:val="1E8A7C99"/>
    <w:rsid w:val="1EF15053"/>
    <w:rsid w:val="2003322B"/>
    <w:rsid w:val="205071A5"/>
    <w:rsid w:val="20584357"/>
    <w:rsid w:val="20CE073B"/>
    <w:rsid w:val="21110CA8"/>
    <w:rsid w:val="215E2A0F"/>
    <w:rsid w:val="223D6CB5"/>
    <w:rsid w:val="22C57EA9"/>
    <w:rsid w:val="22CA067A"/>
    <w:rsid w:val="22D82A30"/>
    <w:rsid w:val="23253C8C"/>
    <w:rsid w:val="23B614E5"/>
    <w:rsid w:val="23EC19E8"/>
    <w:rsid w:val="24DE3C89"/>
    <w:rsid w:val="260A77E9"/>
    <w:rsid w:val="265A2982"/>
    <w:rsid w:val="265E1C13"/>
    <w:rsid w:val="27317081"/>
    <w:rsid w:val="2738342B"/>
    <w:rsid w:val="276D691A"/>
    <w:rsid w:val="284702DA"/>
    <w:rsid w:val="288D08E8"/>
    <w:rsid w:val="2919289C"/>
    <w:rsid w:val="29C26535"/>
    <w:rsid w:val="2A163D32"/>
    <w:rsid w:val="2A586D72"/>
    <w:rsid w:val="2A8C6D98"/>
    <w:rsid w:val="2A927C7D"/>
    <w:rsid w:val="2AB247D5"/>
    <w:rsid w:val="2ABD68C6"/>
    <w:rsid w:val="2AF37417"/>
    <w:rsid w:val="2B4C560A"/>
    <w:rsid w:val="2BAC195C"/>
    <w:rsid w:val="2BD35769"/>
    <w:rsid w:val="2C767422"/>
    <w:rsid w:val="2DE41780"/>
    <w:rsid w:val="2DF829F8"/>
    <w:rsid w:val="2E3617F3"/>
    <w:rsid w:val="2EF746DE"/>
    <w:rsid w:val="2F3051E4"/>
    <w:rsid w:val="2F4147EB"/>
    <w:rsid w:val="2F4149B3"/>
    <w:rsid w:val="2FAF5D7C"/>
    <w:rsid w:val="300B6959"/>
    <w:rsid w:val="30320879"/>
    <w:rsid w:val="316B3A03"/>
    <w:rsid w:val="321069A7"/>
    <w:rsid w:val="335F3347"/>
    <w:rsid w:val="33922153"/>
    <w:rsid w:val="34182503"/>
    <w:rsid w:val="34AA0A8E"/>
    <w:rsid w:val="36137470"/>
    <w:rsid w:val="362578D7"/>
    <w:rsid w:val="3677219D"/>
    <w:rsid w:val="3678126C"/>
    <w:rsid w:val="36DC14FD"/>
    <w:rsid w:val="376015E3"/>
    <w:rsid w:val="38287961"/>
    <w:rsid w:val="38320130"/>
    <w:rsid w:val="38490C50"/>
    <w:rsid w:val="38EE7BF2"/>
    <w:rsid w:val="393A4EF2"/>
    <w:rsid w:val="393F1F7B"/>
    <w:rsid w:val="395B5E8C"/>
    <w:rsid w:val="396C7424"/>
    <w:rsid w:val="39C61742"/>
    <w:rsid w:val="3A130919"/>
    <w:rsid w:val="3A1D5C86"/>
    <w:rsid w:val="3BE6705D"/>
    <w:rsid w:val="3C152C44"/>
    <w:rsid w:val="3D1230DF"/>
    <w:rsid w:val="40B42029"/>
    <w:rsid w:val="41BF4347"/>
    <w:rsid w:val="42B45D29"/>
    <w:rsid w:val="43361DDD"/>
    <w:rsid w:val="45372790"/>
    <w:rsid w:val="4551186C"/>
    <w:rsid w:val="45853F74"/>
    <w:rsid w:val="45B83A6E"/>
    <w:rsid w:val="46B75A5A"/>
    <w:rsid w:val="46E42239"/>
    <w:rsid w:val="472C42FF"/>
    <w:rsid w:val="47590D17"/>
    <w:rsid w:val="475A1B48"/>
    <w:rsid w:val="47641A09"/>
    <w:rsid w:val="48865D5D"/>
    <w:rsid w:val="48EF4135"/>
    <w:rsid w:val="491F389A"/>
    <w:rsid w:val="49364747"/>
    <w:rsid w:val="49FC784A"/>
    <w:rsid w:val="4A2B4365"/>
    <w:rsid w:val="4A344593"/>
    <w:rsid w:val="4AC419F6"/>
    <w:rsid w:val="4AC60EB2"/>
    <w:rsid w:val="4AFF0BE2"/>
    <w:rsid w:val="4B9C7F6D"/>
    <w:rsid w:val="4BDF4C08"/>
    <w:rsid w:val="4BF67BB9"/>
    <w:rsid w:val="4C09042E"/>
    <w:rsid w:val="4CAB05E1"/>
    <w:rsid w:val="4D3229D5"/>
    <w:rsid w:val="4D734B9A"/>
    <w:rsid w:val="4DC65CF9"/>
    <w:rsid w:val="4E311B0B"/>
    <w:rsid w:val="4E685D41"/>
    <w:rsid w:val="4E7C6D86"/>
    <w:rsid w:val="4EDF48D6"/>
    <w:rsid w:val="4EFD4669"/>
    <w:rsid w:val="4FD51218"/>
    <w:rsid w:val="5031397A"/>
    <w:rsid w:val="505C6771"/>
    <w:rsid w:val="50647CCE"/>
    <w:rsid w:val="51352BB5"/>
    <w:rsid w:val="514C76A3"/>
    <w:rsid w:val="52376603"/>
    <w:rsid w:val="55867ACF"/>
    <w:rsid w:val="55EB0B18"/>
    <w:rsid w:val="55FF5FFE"/>
    <w:rsid w:val="57445CC3"/>
    <w:rsid w:val="57776F40"/>
    <w:rsid w:val="57AE6593"/>
    <w:rsid w:val="57CC7F01"/>
    <w:rsid w:val="58117549"/>
    <w:rsid w:val="58F6558E"/>
    <w:rsid w:val="596D6E44"/>
    <w:rsid w:val="598562FA"/>
    <w:rsid w:val="59D61A8F"/>
    <w:rsid w:val="59FB5B93"/>
    <w:rsid w:val="5AB16043"/>
    <w:rsid w:val="5B0411DE"/>
    <w:rsid w:val="5B3E1839"/>
    <w:rsid w:val="5BF36DE6"/>
    <w:rsid w:val="5C020AD0"/>
    <w:rsid w:val="5C3F0B9B"/>
    <w:rsid w:val="5C627C0F"/>
    <w:rsid w:val="5CBF537F"/>
    <w:rsid w:val="5D8447A8"/>
    <w:rsid w:val="5D905EFA"/>
    <w:rsid w:val="5DA245C2"/>
    <w:rsid w:val="5DE47A17"/>
    <w:rsid w:val="5E513803"/>
    <w:rsid w:val="5EB674B9"/>
    <w:rsid w:val="5EE32C8A"/>
    <w:rsid w:val="5EE94B54"/>
    <w:rsid w:val="5F0E3BDD"/>
    <w:rsid w:val="5F3D5080"/>
    <w:rsid w:val="60CA0560"/>
    <w:rsid w:val="62314166"/>
    <w:rsid w:val="62331932"/>
    <w:rsid w:val="6243208D"/>
    <w:rsid w:val="62C8466F"/>
    <w:rsid w:val="62F5221D"/>
    <w:rsid w:val="62F6254A"/>
    <w:rsid w:val="63514A7A"/>
    <w:rsid w:val="636931F0"/>
    <w:rsid w:val="65075A7F"/>
    <w:rsid w:val="65AE6621"/>
    <w:rsid w:val="66605802"/>
    <w:rsid w:val="674C2674"/>
    <w:rsid w:val="677B70EB"/>
    <w:rsid w:val="67FB5E4B"/>
    <w:rsid w:val="68094FAC"/>
    <w:rsid w:val="68480F25"/>
    <w:rsid w:val="69053799"/>
    <w:rsid w:val="69891B2D"/>
    <w:rsid w:val="69FC73E2"/>
    <w:rsid w:val="6A1012BC"/>
    <w:rsid w:val="6A5A0C52"/>
    <w:rsid w:val="6AD061CF"/>
    <w:rsid w:val="6CB0225E"/>
    <w:rsid w:val="6D6F3D9E"/>
    <w:rsid w:val="6DE64A30"/>
    <w:rsid w:val="6E45229C"/>
    <w:rsid w:val="6EE43E31"/>
    <w:rsid w:val="6F84542E"/>
    <w:rsid w:val="71286A35"/>
    <w:rsid w:val="712F155B"/>
    <w:rsid w:val="71D821D4"/>
    <w:rsid w:val="72987BA3"/>
    <w:rsid w:val="738A7EEB"/>
    <w:rsid w:val="73FB6CD7"/>
    <w:rsid w:val="741010FE"/>
    <w:rsid w:val="747043AB"/>
    <w:rsid w:val="74AB51AC"/>
    <w:rsid w:val="74D21349"/>
    <w:rsid w:val="751C3136"/>
    <w:rsid w:val="75601C5A"/>
    <w:rsid w:val="756857C4"/>
    <w:rsid w:val="766279D8"/>
    <w:rsid w:val="772820DE"/>
    <w:rsid w:val="77681C63"/>
    <w:rsid w:val="77FE037E"/>
    <w:rsid w:val="78092DF3"/>
    <w:rsid w:val="785C6D4C"/>
    <w:rsid w:val="788D60F9"/>
    <w:rsid w:val="78C479E6"/>
    <w:rsid w:val="7AA64095"/>
    <w:rsid w:val="7B2014A6"/>
    <w:rsid w:val="7C68383C"/>
    <w:rsid w:val="7CB65EF9"/>
    <w:rsid w:val="7D4A090E"/>
    <w:rsid w:val="7D6931C0"/>
    <w:rsid w:val="7DA11339"/>
    <w:rsid w:val="7DC74CC3"/>
    <w:rsid w:val="7DF7E3DB"/>
    <w:rsid w:val="7F435DEE"/>
    <w:rsid w:val="7FFB4923"/>
    <w:rsid w:val="FFBCA1E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1" w:semiHidden="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99"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99"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99"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宋体"/>
      <w:kern w:val="2"/>
      <w:sz w:val="21"/>
      <w:szCs w:val="22"/>
      <w:lang w:val="en-US" w:eastAsia="zh-CN" w:bidi="ar-SA"/>
    </w:rPr>
  </w:style>
  <w:style w:type="paragraph" w:styleId="3">
    <w:name w:val="heading 1"/>
    <w:basedOn w:val="1"/>
    <w:next w:val="1"/>
    <w:qFormat/>
    <w:uiPriority w:val="0"/>
    <w:pPr>
      <w:spacing w:before="141" w:beforeAutospacing="0" w:after="141" w:afterAutospacing="0"/>
      <w:ind w:left="0" w:right="0"/>
      <w:jc w:val="left"/>
    </w:pPr>
    <w:rPr>
      <w:rFonts w:hint="eastAsia" w:ascii="宋体" w:hAnsi="宋体" w:eastAsia="宋体" w:cs="宋体"/>
      <w:kern w:val="44"/>
      <w:sz w:val="30"/>
      <w:szCs w:val="30"/>
      <w:lang w:val="en-US" w:eastAsia="zh-CN" w:bidi="ar"/>
    </w:rPr>
  </w:style>
  <w:style w:type="paragraph" w:styleId="4">
    <w:name w:val="heading 2"/>
    <w:basedOn w:val="1"/>
    <w:next w:val="1"/>
    <w:qFormat/>
    <w:uiPriority w:val="1"/>
    <w:pPr>
      <w:ind w:left="751"/>
      <w:outlineLvl w:val="2"/>
    </w:pPr>
    <w:rPr>
      <w:rFonts w:ascii="Microsoft JhengHei" w:hAnsi="Microsoft JhengHei" w:eastAsia="Microsoft JhengHei" w:cs="Microsoft JhengHei"/>
      <w:b/>
      <w:bCs/>
      <w:sz w:val="32"/>
      <w:szCs w:val="32"/>
      <w:lang w:val="zh-CN" w:eastAsia="zh-CN" w:bidi="zh-CN"/>
    </w:rPr>
  </w:style>
  <w:style w:type="paragraph" w:styleId="5">
    <w:name w:val="heading 3"/>
    <w:basedOn w:val="1"/>
    <w:next w:val="1"/>
    <w:qFormat/>
    <w:uiPriority w:val="9"/>
    <w:pPr>
      <w:spacing w:beforeAutospacing="1" w:afterAutospacing="1"/>
      <w:jc w:val="left"/>
      <w:outlineLvl w:val="2"/>
    </w:pPr>
    <w:rPr>
      <w:rFonts w:hint="eastAsia" w:ascii="宋体" w:hAnsi="宋体" w:eastAsia="宋体" w:cs="Times New Roman"/>
      <w:b/>
      <w:kern w:val="0"/>
      <w:sz w:val="27"/>
      <w:szCs w:val="27"/>
    </w:rPr>
  </w:style>
  <w:style w:type="character" w:default="1" w:styleId="21">
    <w:name w:val="Default Paragraph Font"/>
    <w:link w:val="22"/>
    <w:qFormat/>
    <w:uiPriority w:val="1"/>
    <w:rPr>
      <w:rFonts w:ascii="Times New Roman" w:hAnsi="Times New Roman"/>
      <w:szCs w:val="24"/>
    </w:rPr>
  </w:style>
  <w:style w:type="table" w:default="1" w:styleId="19">
    <w:name w:val="Normal Table"/>
    <w:qFormat/>
    <w:uiPriority w:val="99"/>
    <w:tblPr>
      <w:tblCellMar>
        <w:top w:w="0" w:type="dxa"/>
        <w:left w:w="108" w:type="dxa"/>
        <w:bottom w:w="0" w:type="dxa"/>
        <w:right w:w="108" w:type="dxa"/>
      </w:tblCellMar>
    </w:tblPr>
  </w:style>
  <w:style w:type="paragraph" w:customStyle="1" w:styleId="2">
    <w:name w:val="_Style 1"/>
    <w:basedOn w:val="1"/>
    <w:qFormat/>
    <w:uiPriority w:val="0"/>
    <w:pPr>
      <w:spacing w:line="481" w:lineRule="atLeast"/>
      <w:ind w:firstLine="623"/>
      <w:jc w:val="both"/>
      <w:textAlignment w:val="baseline"/>
    </w:pPr>
    <w:rPr>
      <w:rFonts w:ascii="Times New Roman" w:eastAsia="仿宋_GB2312"/>
      <w:color w:val="000000"/>
      <w:sz w:val="31"/>
      <w:u w:val="none" w:color="000000"/>
      <w:vertAlign w:val="baseline"/>
      <w:lang w:val="en-US" w:eastAsia="zh-CN"/>
    </w:rPr>
  </w:style>
  <w:style w:type="paragraph" w:styleId="6">
    <w:name w:val="Normal Indent"/>
    <w:basedOn w:val="1"/>
    <w:qFormat/>
    <w:uiPriority w:val="0"/>
    <w:pPr>
      <w:ind w:firstLine="420" w:firstLineChars="200"/>
    </w:pPr>
  </w:style>
  <w:style w:type="paragraph" w:styleId="7">
    <w:name w:val="Body Text"/>
    <w:basedOn w:val="1"/>
    <w:next w:val="1"/>
    <w:qFormat/>
    <w:uiPriority w:val="0"/>
  </w:style>
  <w:style w:type="paragraph" w:styleId="8">
    <w:name w:val="Body Text Indent"/>
    <w:basedOn w:val="1"/>
    <w:qFormat/>
    <w:uiPriority w:val="0"/>
    <w:pPr>
      <w:ind w:left="570" w:firstLine="846" w:firstLineChars="302"/>
    </w:pPr>
    <w:rPr>
      <w:rFonts w:eastAsia="宋体"/>
      <w:bCs/>
      <w:kern w:val="2"/>
      <w:sz w:val="28"/>
      <w:lang w:val="en-US" w:eastAsia="zh-CN" w:bidi="ar-SA"/>
    </w:rPr>
  </w:style>
  <w:style w:type="paragraph" w:styleId="9">
    <w:name w:val="Date"/>
    <w:basedOn w:val="1"/>
    <w:next w:val="1"/>
    <w:link w:val="43"/>
    <w:qFormat/>
    <w:uiPriority w:val="0"/>
    <w:pPr>
      <w:ind w:left="100" w:leftChars="2500"/>
    </w:pPr>
  </w:style>
  <w:style w:type="paragraph" w:styleId="10">
    <w:name w:val="Balloon Text"/>
    <w:basedOn w:val="1"/>
    <w:link w:val="33"/>
    <w:qFormat/>
    <w:uiPriority w:val="99"/>
    <w:rPr>
      <w:sz w:val="18"/>
      <w:szCs w:val="18"/>
    </w:rPr>
  </w:style>
  <w:style w:type="paragraph" w:styleId="11">
    <w:name w:val="footer"/>
    <w:basedOn w:val="1"/>
    <w:link w:val="32"/>
    <w:qFormat/>
    <w:uiPriority w:val="99"/>
    <w:pPr>
      <w:tabs>
        <w:tab w:val="center" w:pos="4153"/>
        <w:tab w:val="right" w:pos="8306"/>
      </w:tabs>
      <w:snapToGrid w:val="0"/>
      <w:jc w:val="left"/>
    </w:pPr>
    <w:rPr>
      <w:sz w:val="18"/>
      <w:szCs w:val="18"/>
    </w:rPr>
  </w:style>
  <w:style w:type="paragraph" w:styleId="12">
    <w:name w:val="header"/>
    <w:basedOn w:val="1"/>
    <w:link w:val="31"/>
    <w:qFormat/>
    <w:uiPriority w:val="99"/>
    <w:pPr>
      <w:pBdr>
        <w:bottom w:val="single" w:color="auto" w:sz="6" w:space="1"/>
      </w:pBdr>
      <w:tabs>
        <w:tab w:val="center" w:pos="4153"/>
        <w:tab w:val="right" w:pos="8306"/>
      </w:tabs>
      <w:snapToGrid w:val="0"/>
      <w:jc w:val="center"/>
    </w:pPr>
    <w:rPr>
      <w:sz w:val="18"/>
      <w:szCs w:val="18"/>
    </w:rPr>
  </w:style>
  <w:style w:type="paragraph" w:styleId="13">
    <w:name w:val="footnote text"/>
    <w:basedOn w:val="1"/>
    <w:semiHidden/>
    <w:qFormat/>
    <w:uiPriority w:val="99"/>
    <w:pPr>
      <w:snapToGrid w:val="0"/>
      <w:jc w:val="left"/>
    </w:pPr>
    <w:rPr>
      <w:kern w:val="0"/>
      <w:sz w:val="18"/>
      <w:szCs w:val="18"/>
    </w:rPr>
  </w:style>
  <w:style w:type="paragraph" w:styleId="14">
    <w:name w:val="toc 2"/>
    <w:basedOn w:val="1"/>
    <w:next w:val="1"/>
    <w:qFormat/>
    <w:uiPriority w:val="39"/>
    <w:pPr>
      <w:ind w:left="210"/>
      <w:jc w:val="left"/>
    </w:pPr>
    <w:rPr>
      <w:rFonts w:ascii="Calibri" w:hAnsi="Calibri" w:cs="Calibri"/>
      <w:smallCaps/>
      <w:sz w:val="20"/>
      <w:szCs w:val="20"/>
    </w:rPr>
  </w:style>
  <w:style w:type="paragraph" w:styleId="15">
    <w:name w:val="HTML Preformatted"/>
    <w:basedOn w:val="1"/>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rPr>
  </w:style>
  <w:style w:type="paragraph" w:styleId="16">
    <w:name w:val="Normal (Web)"/>
    <w:basedOn w:val="1"/>
    <w:qFormat/>
    <w:uiPriority w:val="0"/>
    <w:pPr>
      <w:widowControl/>
      <w:spacing w:beforeAutospacing="1" w:afterAutospacing="1" w:line="360" w:lineRule="atLeast"/>
      <w:jc w:val="left"/>
    </w:pPr>
    <w:rPr>
      <w:rFonts w:ascii="ˎ̥" w:hAnsi="ˎ̥" w:eastAsia="宋体"/>
      <w:kern w:val="0"/>
      <w:sz w:val="18"/>
      <w:szCs w:val="18"/>
    </w:rPr>
  </w:style>
  <w:style w:type="paragraph" w:styleId="17">
    <w:name w:val="Body Text First Indent"/>
    <w:basedOn w:val="7"/>
    <w:next w:val="1"/>
    <w:unhideWhenUsed/>
    <w:qFormat/>
    <w:uiPriority w:val="99"/>
    <w:pPr>
      <w:ind w:firstLine="420" w:firstLineChars="100"/>
    </w:pPr>
  </w:style>
  <w:style w:type="paragraph" w:styleId="18">
    <w:name w:val="Body Text First Indent 2"/>
    <w:basedOn w:val="1"/>
    <w:next w:val="1"/>
    <w:qFormat/>
    <w:uiPriority w:val="0"/>
    <w:pPr>
      <w:ind w:firstLine="420" w:firstLineChars="200"/>
    </w:pPr>
  </w:style>
  <w:style w:type="table" w:styleId="20">
    <w:name w:val="Table Grid"/>
    <w:basedOn w:val="19"/>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22">
    <w:name w:val=" Char Char Char Char Char Char3 Char Char Char Char Char Char Char"/>
    <w:basedOn w:val="1"/>
    <w:next w:val="1"/>
    <w:link w:val="21"/>
    <w:qFormat/>
    <w:uiPriority w:val="0"/>
    <w:rPr>
      <w:rFonts w:ascii="Times New Roman" w:hAnsi="Times New Roman"/>
      <w:szCs w:val="24"/>
    </w:rPr>
  </w:style>
  <w:style w:type="character" w:styleId="23">
    <w:name w:val="Strong"/>
    <w:basedOn w:val="21"/>
    <w:qFormat/>
    <w:uiPriority w:val="0"/>
    <w:rPr>
      <w:b/>
    </w:rPr>
  </w:style>
  <w:style w:type="character" w:styleId="24">
    <w:name w:val="page number"/>
    <w:basedOn w:val="21"/>
    <w:qFormat/>
    <w:uiPriority w:val="99"/>
  </w:style>
  <w:style w:type="character" w:styleId="25">
    <w:name w:val="Hyperlink"/>
    <w:basedOn w:val="21"/>
    <w:qFormat/>
    <w:uiPriority w:val="99"/>
    <w:rPr>
      <w:color w:val="0000FF"/>
      <w:u w:val="single"/>
    </w:rPr>
  </w:style>
  <w:style w:type="paragraph" w:customStyle="1" w:styleId="26">
    <w:name w:val="1正文1"/>
    <w:basedOn w:val="6"/>
    <w:qFormat/>
    <w:uiPriority w:val="0"/>
    <w:pPr>
      <w:ind w:firstLine="480"/>
    </w:pPr>
  </w:style>
  <w:style w:type="paragraph" w:customStyle="1" w:styleId="27">
    <w:name w:val="BodyText1I2"/>
    <w:basedOn w:val="28"/>
    <w:qFormat/>
    <w:uiPriority w:val="0"/>
    <w:pPr>
      <w:ind w:firstLine="420" w:firstLineChars="200"/>
      <w:textAlignment w:val="baseline"/>
    </w:pPr>
    <w:rPr>
      <w:rFonts w:ascii="仿宋_GB2312" w:eastAsia="仿宋_GB2312"/>
      <w:sz w:val="32"/>
    </w:rPr>
  </w:style>
  <w:style w:type="paragraph" w:customStyle="1" w:styleId="28">
    <w:name w:val="BodyTextIndent"/>
    <w:basedOn w:val="1"/>
    <w:qFormat/>
    <w:uiPriority w:val="0"/>
    <w:pPr>
      <w:ind w:firstLine="645"/>
      <w:textAlignment w:val="baseline"/>
    </w:pPr>
    <w:rPr>
      <w:rFonts w:ascii="Times New Roman" w:hAnsi="Times New Roman" w:eastAsia="宋体" w:cs="Times New Roman"/>
      <w:sz w:val="32"/>
      <w:szCs w:val="24"/>
    </w:rPr>
  </w:style>
  <w:style w:type="paragraph" w:customStyle="1" w:styleId="29">
    <w:name w:val="Body Text First Indent1"/>
    <w:basedOn w:val="7"/>
    <w:next w:val="1"/>
    <w:qFormat/>
    <w:uiPriority w:val="0"/>
    <w:pPr>
      <w:ind w:firstLine="420" w:firstLineChars="100"/>
    </w:pPr>
  </w:style>
  <w:style w:type="paragraph" w:customStyle="1" w:styleId="30">
    <w:name w:val="Char Char Char"/>
    <w:basedOn w:val="1"/>
    <w:qFormat/>
    <w:uiPriority w:val="0"/>
  </w:style>
  <w:style w:type="character" w:customStyle="1" w:styleId="31">
    <w:name w:val="页眉 Char"/>
    <w:basedOn w:val="21"/>
    <w:link w:val="12"/>
    <w:qFormat/>
    <w:uiPriority w:val="99"/>
    <w:rPr>
      <w:sz w:val="18"/>
      <w:szCs w:val="18"/>
    </w:rPr>
  </w:style>
  <w:style w:type="character" w:customStyle="1" w:styleId="32">
    <w:name w:val="页脚 Char"/>
    <w:basedOn w:val="21"/>
    <w:link w:val="11"/>
    <w:qFormat/>
    <w:uiPriority w:val="99"/>
    <w:rPr>
      <w:sz w:val="18"/>
      <w:szCs w:val="18"/>
    </w:rPr>
  </w:style>
  <w:style w:type="character" w:customStyle="1" w:styleId="33">
    <w:name w:val="批注框文本 Char"/>
    <w:basedOn w:val="21"/>
    <w:link w:val="10"/>
    <w:qFormat/>
    <w:uiPriority w:val="99"/>
    <w:rPr>
      <w:sz w:val="18"/>
      <w:szCs w:val="18"/>
    </w:rPr>
  </w:style>
  <w:style w:type="character" w:customStyle="1" w:styleId="34">
    <w:name w:val="font31"/>
    <w:basedOn w:val="21"/>
    <w:qFormat/>
    <w:uiPriority w:val="0"/>
    <w:rPr>
      <w:rFonts w:hint="eastAsia" w:ascii="宋体" w:hAnsi="宋体" w:eastAsia="宋体" w:cs="宋体"/>
      <w:color w:val="000000"/>
      <w:sz w:val="22"/>
      <w:szCs w:val="22"/>
      <w:u w:val="none"/>
    </w:rPr>
  </w:style>
  <w:style w:type="character" w:customStyle="1" w:styleId="35">
    <w:name w:val="font01"/>
    <w:basedOn w:val="21"/>
    <w:qFormat/>
    <w:uiPriority w:val="0"/>
    <w:rPr>
      <w:rFonts w:hint="eastAsia" w:ascii="宋体" w:hAnsi="宋体" w:eastAsia="宋体" w:cs="宋体"/>
      <w:color w:val="000000"/>
      <w:sz w:val="22"/>
      <w:szCs w:val="22"/>
      <w:u w:val="none"/>
      <w:vertAlign w:val="subscript"/>
    </w:rPr>
  </w:style>
  <w:style w:type="paragraph" w:styleId="36">
    <w:name w:val="List Paragraph"/>
    <w:basedOn w:val="1"/>
    <w:qFormat/>
    <w:uiPriority w:val="99"/>
    <w:pPr>
      <w:ind w:firstLine="420" w:firstLineChars="200"/>
    </w:pPr>
  </w:style>
  <w:style w:type="paragraph" w:customStyle="1" w:styleId="37">
    <w:name w:val="正文 New New New New New New New New New New New New New New New New New New New New New New"/>
    <w:qFormat/>
    <w:uiPriority w:val="0"/>
    <w:pPr>
      <w:widowControl w:val="0"/>
      <w:jc w:val="both"/>
    </w:pPr>
    <w:rPr>
      <w:rFonts w:ascii="Calibri" w:hAnsi="Calibri" w:eastAsia="宋体" w:cs="黑体"/>
      <w:kern w:val="2"/>
      <w:sz w:val="21"/>
      <w:szCs w:val="24"/>
      <w:lang w:val="en-US" w:eastAsia="zh-CN" w:bidi="ar-SA"/>
    </w:rPr>
  </w:style>
  <w:style w:type="paragraph" w:customStyle="1" w:styleId="38">
    <w:name w:val="正文 New New New New New New New New New New New New New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39">
    <w:name w:val="p0"/>
    <w:basedOn w:val="1"/>
    <w:qFormat/>
    <w:uiPriority w:val="0"/>
    <w:pPr>
      <w:widowControl/>
    </w:pPr>
    <w:rPr>
      <w:rFonts w:ascii="Times New Roman" w:hAnsi="Times New Roman" w:eastAsia="宋体"/>
      <w:kern w:val="0"/>
      <w:szCs w:val="21"/>
    </w:rPr>
  </w:style>
  <w:style w:type="character" w:customStyle="1" w:styleId="40">
    <w:name w:val="font21"/>
    <w:basedOn w:val="21"/>
    <w:qFormat/>
    <w:uiPriority w:val="0"/>
    <w:rPr>
      <w:rFonts w:hint="default" w:ascii="Arial" w:hAnsi="Arial" w:cs="Arial"/>
      <w:color w:val="000000"/>
      <w:sz w:val="24"/>
      <w:szCs w:val="24"/>
      <w:u w:val="none"/>
    </w:rPr>
  </w:style>
  <w:style w:type="character" w:customStyle="1" w:styleId="41">
    <w:name w:val="font11"/>
    <w:basedOn w:val="21"/>
    <w:qFormat/>
    <w:uiPriority w:val="0"/>
    <w:rPr>
      <w:rFonts w:hint="eastAsia" w:ascii="Arial Unicode MS" w:hAnsi="Arial Unicode MS" w:eastAsia="Arial Unicode MS" w:cs="Arial Unicode MS"/>
      <w:color w:val="000000"/>
      <w:sz w:val="24"/>
      <w:szCs w:val="24"/>
      <w:u w:val="none"/>
    </w:rPr>
  </w:style>
  <w:style w:type="character" w:customStyle="1" w:styleId="42">
    <w:name w:val="font91"/>
    <w:basedOn w:val="21"/>
    <w:qFormat/>
    <w:uiPriority w:val="0"/>
    <w:rPr>
      <w:rFonts w:ascii="仿宋_GB2312" w:eastAsia="仿宋_GB2312" w:cs="仿宋_GB2312"/>
      <w:b/>
      <w:color w:val="000000"/>
      <w:sz w:val="22"/>
      <w:szCs w:val="22"/>
      <w:u w:val="none"/>
    </w:rPr>
  </w:style>
  <w:style w:type="character" w:customStyle="1" w:styleId="43">
    <w:name w:val="日期 Char"/>
    <w:basedOn w:val="21"/>
    <w:link w:val="9"/>
    <w:qFormat/>
    <w:uiPriority w:val="0"/>
    <w:rPr>
      <w:rFonts w:ascii="Calibri" w:hAnsi="Calibri" w:eastAsia="宋体" w:cs="宋体"/>
      <w:kern w:val="2"/>
      <w:sz w:val="21"/>
      <w:szCs w:val="22"/>
    </w:rPr>
  </w:style>
  <w:style w:type="character" w:customStyle="1" w:styleId="44">
    <w:name w:val="font51"/>
    <w:basedOn w:val="21"/>
    <w:qFormat/>
    <w:uiPriority w:val="0"/>
    <w:rPr>
      <w:rFonts w:hint="eastAsia" w:ascii="宋体" w:hAnsi="宋体" w:eastAsia="宋体" w:cs="宋体"/>
      <w:b/>
      <w:color w:val="000000"/>
      <w:sz w:val="36"/>
      <w:szCs w:val="36"/>
      <w:u w:val="none"/>
    </w:rPr>
  </w:style>
  <w:style w:type="paragraph" w:customStyle="1" w:styleId="45">
    <w:name w:val=" Char Char Char Char Char Char Char"/>
    <w:basedOn w:val="1"/>
    <w:qFormat/>
    <w:uiPriority w:val="0"/>
    <w:rPr>
      <w:szCs w:val="21"/>
    </w:rPr>
  </w:style>
  <w:style w:type="paragraph" w:customStyle="1" w:styleId="46">
    <w:name w:val="封面3"/>
    <w:basedOn w:val="47"/>
    <w:next w:val="1"/>
    <w:qFormat/>
    <w:uiPriority w:val="0"/>
    <w:rPr>
      <w:rFonts w:ascii="Times New Roman" w:hAnsi="Times New Roman" w:eastAsia="宋体"/>
      <w:spacing w:val="0"/>
      <w:w w:val="100"/>
      <w:sz w:val="44"/>
      <w:szCs w:val="20"/>
    </w:rPr>
  </w:style>
  <w:style w:type="paragraph" w:customStyle="1" w:styleId="47">
    <w:name w:val="封面1"/>
    <w:qFormat/>
    <w:uiPriority w:val="0"/>
    <w:pPr>
      <w:jc w:val="center"/>
    </w:pPr>
    <w:rPr>
      <w:rFonts w:ascii="华文新魏" w:hAnsi="Gungsuh" w:eastAsia="华文新魏" w:cs="Times New Roman"/>
      <w:spacing w:val="4"/>
      <w:w w:val="88"/>
      <w:sz w:val="52"/>
      <w:szCs w:val="24"/>
      <w:lang w:val="en-US" w:eastAsia="zh-CN" w:bidi="ar-SA"/>
    </w:rPr>
  </w:style>
  <w:style w:type="paragraph" w:customStyle="1" w:styleId="48">
    <w:name w:val="Header or footer|2"/>
    <w:basedOn w:val="1"/>
    <w:qFormat/>
    <w:uiPriority w:val="0"/>
    <w:pPr>
      <w:widowControl w:val="0"/>
      <w:shd w:val="clear" w:color="auto" w:fill="auto"/>
    </w:pPr>
    <w:rPr>
      <w:sz w:val="20"/>
      <w:szCs w:val="20"/>
      <w:u w:val="none"/>
      <w:shd w:val="clear" w:color="auto" w:fill="auto"/>
      <w:lang w:val="zh-TW" w:eastAsia="zh-TW" w:bidi="zh-TW"/>
    </w:rPr>
  </w:style>
  <w:style w:type="paragraph" w:customStyle="1" w:styleId="49">
    <w:name w:val="Body text|1"/>
    <w:basedOn w:val="1"/>
    <w:qFormat/>
    <w:uiPriority w:val="0"/>
    <w:pPr>
      <w:spacing w:line="458" w:lineRule="auto"/>
      <w:ind w:firstLine="400"/>
      <w:jc w:val="left"/>
    </w:pPr>
    <w:rPr>
      <w:rFonts w:ascii="宋体" w:hAnsi="宋体" w:eastAsia="宋体" w:cs="宋体"/>
      <w:kern w:val="0"/>
      <w:sz w:val="28"/>
      <w:szCs w:val="28"/>
      <w:lang w:val="zh-TW" w:eastAsia="zh-TW" w:bidi="zh-TW"/>
    </w:rPr>
  </w:style>
  <w:style w:type="paragraph" w:customStyle="1" w:styleId="50">
    <w:name w:val="Heading #2|1"/>
    <w:basedOn w:val="1"/>
    <w:qFormat/>
    <w:uiPriority w:val="0"/>
    <w:pPr>
      <w:widowControl w:val="0"/>
      <w:shd w:val="clear" w:color="auto" w:fill="auto"/>
      <w:spacing w:after="480" w:afterLines="0" w:line="552" w:lineRule="exact"/>
      <w:ind w:left="2280" w:hanging="990"/>
      <w:outlineLvl w:val="1"/>
    </w:pPr>
    <w:rPr>
      <w:rFonts w:ascii="宋体" w:hAnsi="宋体" w:eastAsia="宋体" w:cs="宋体"/>
      <w:sz w:val="42"/>
      <w:szCs w:val="42"/>
      <w:u w:val="none"/>
      <w:shd w:val="clear" w:color="auto" w:fill="auto"/>
      <w:lang w:val="zh-TW" w:eastAsia="zh-TW" w:bidi="zh-TW"/>
    </w:rPr>
  </w:style>
  <w:style w:type="paragraph" w:customStyle="1" w:styleId="51">
    <w:name w:val="p15"/>
    <w:basedOn w:val="1"/>
    <w:unhideWhenUsed/>
    <w:qFormat/>
    <w:uiPriority w:val="0"/>
    <w:pPr>
      <w:widowControl/>
    </w:pPr>
    <w:rPr>
      <w:rFonts w:hint="eastAsia"/>
    </w:rPr>
  </w:style>
  <w:style w:type="paragraph" w:customStyle="1" w:styleId="52">
    <w:name w:val="Table Paragraph"/>
    <w:basedOn w:val="1"/>
    <w:qFormat/>
    <w:uiPriority w:val="1"/>
    <w:rPr>
      <w:rFonts w:ascii="宋体" w:hAnsi="宋体" w:eastAsia="宋体" w:cs="宋体"/>
      <w:lang w:val="zh-CN" w:eastAsia="zh-CN" w:bidi="zh-CN"/>
    </w:rPr>
  </w:style>
  <w:style w:type="character" w:customStyle="1" w:styleId="53">
    <w:name w:val="font41"/>
    <w:basedOn w:val="21"/>
    <w:qFormat/>
    <w:uiPriority w:val="0"/>
    <w:rPr>
      <w:rFonts w:ascii="Arial" w:hAnsi="Arial" w:cs="Arial"/>
      <w:color w:val="000000"/>
      <w:sz w:val="24"/>
      <w:szCs w:val="24"/>
      <w:u w:val="none"/>
    </w:rPr>
  </w:style>
  <w:style w:type="paragraph" w:customStyle="1" w:styleId="54">
    <w:name w:val="MSG_EN_FONT_STYLE_NAME_TEMPLATE_ROLE_LEVEL MSG_EN_FONT_STYLE_NAME_BY_ROLE_HEADING 2|1"/>
    <w:basedOn w:val="1"/>
    <w:qFormat/>
    <w:uiPriority w:val="0"/>
    <w:pPr>
      <w:shd w:val="clear" w:color="auto" w:fill="FFFFFF"/>
      <w:spacing w:before="320" w:after="540" w:line="653" w:lineRule="exact"/>
      <w:jc w:val="center"/>
      <w:outlineLvl w:val="1"/>
    </w:pPr>
    <w:rPr>
      <w:rFonts w:ascii="宋体" w:hAnsi="宋体" w:cs="宋体"/>
      <w:kern w:val="0"/>
      <w:sz w:val="42"/>
      <w:szCs w:val="42"/>
    </w:rPr>
  </w:style>
  <w:style w:type="paragraph" w:customStyle="1" w:styleId="55">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56">
    <w:name w:val="NormalCharacter"/>
    <w:qFormat/>
    <w:uiPriority w:val="0"/>
  </w:style>
  <w:style w:type="character" w:customStyle="1" w:styleId="57">
    <w:name w:val="bjh-strong"/>
    <w:qFormat/>
    <w:uiPriority w:val="0"/>
  </w:style>
  <w:style w:type="table" w:customStyle="1" w:styleId="58">
    <w:name w:val="Table Normal"/>
    <w:semiHidden/>
    <w:unhideWhenUsed/>
    <w:qFormat/>
    <w:uiPriority w:val="0"/>
    <w:tblPr>
      <w:tblCellMar>
        <w:top w:w="0" w:type="dxa"/>
        <w:left w:w="0" w:type="dxa"/>
        <w:bottom w:w="0" w:type="dxa"/>
        <w:right w:w="0" w:type="dxa"/>
      </w:tblCellMar>
    </w:tblPr>
  </w:style>
  <w:style w:type="paragraph" w:customStyle="1" w:styleId="59">
    <w:name w:val="标题 #3"/>
    <w:basedOn w:val="1"/>
    <w:qFormat/>
    <w:uiPriority w:val="0"/>
    <w:pPr>
      <w:widowControl w:val="0"/>
      <w:shd w:val="clear" w:color="auto" w:fill="auto"/>
      <w:spacing w:after="140"/>
      <w:jc w:val="center"/>
      <w:outlineLvl w:val="2"/>
    </w:pPr>
    <w:rPr>
      <w:rFonts w:ascii="宋体" w:hAnsi="宋体" w:eastAsia="宋体" w:cs="宋体"/>
      <w:sz w:val="42"/>
      <w:szCs w:val="42"/>
      <w:u w:val="none"/>
      <w:lang w:val="zh-CN" w:eastAsia="zh-CN" w:bidi="zh-CN"/>
    </w:rPr>
  </w:style>
  <w:style w:type="paragraph" w:customStyle="1" w:styleId="60">
    <w:name w:val="正文文本1"/>
    <w:basedOn w:val="1"/>
    <w:qFormat/>
    <w:uiPriority w:val="0"/>
    <w:pPr>
      <w:widowControl w:val="0"/>
      <w:shd w:val="clear" w:color="auto" w:fill="auto"/>
      <w:spacing w:line="408" w:lineRule="auto"/>
      <w:ind w:firstLine="400"/>
    </w:pPr>
    <w:rPr>
      <w:rFonts w:ascii="宋体" w:hAnsi="宋体" w:eastAsia="宋体" w:cs="宋体"/>
      <w:sz w:val="30"/>
      <w:szCs w:val="30"/>
      <w:u w:val="none"/>
      <w:lang w:val="zh-CN" w:eastAsia="zh-CN" w:bidi="zh-CN"/>
    </w:rPr>
  </w:style>
  <w:style w:type="paragraph" w:customStyle="1" w:styleId="61">
    <w:name w:val="正文文本 (2)"/>
    <w:basedOn w:val="1"/>
    <w:qFormat/>
    <w:uiPriority w:val="0"/>
    <w:pPr>
      <w:widowControl w:val="0"/>
      <w:shd w:val="clear" w:color="auto" w:fill="auto"/>
      <w:spacing w:line="581" w:lineRule="exact"/>
      <w:ind w:firstLine="660"/>
    </w:pPr>
    <w:rPr>
      <w:rFonts w:ascii="黑体" w:hAnsi="黑体" w:eastAsia="黑体" w:cs="黑体"/>
      <w:sz w:val="32"/>
      <w:szCs w:val="32"/>
      <w:u w:val="none"/>
      <w:lang w:val="zh-CN" w:eastAsia="zh-CN" w:bidi="zh-CN"/>
    </w:rPr>
  </w:style>
  <w:style w:type="paragraph" w:customStyle="1" w:styleId="62">
    <w:name w:val="页眉或页脚 (2)"/>
    <w:basedOn w:val="1"/>
    <w:qFormat/>
    <w:uiPriority w:val="0"/>
    <w:pPr>
      <w:widowControl w:val="0"/>
      <w:shd w:val="clear" w:color="auto" w:fill="auto"/>
    </w:pPr>
    <w:rPr>
      <w:rFonts w:ascii="Times New Roman" w:hAnsi="Times New Roman" w:eastAsia="Times New Roman" w:cs="Times New Roman"/>
      <w:sz w:val="20"/>
      <w:szCs w:val="20"/>
      <w:u w:val="none"/>
      <w:lang w:val="zh-CN" w:eastAsia="zh-CN" w:bidi="zh-CN"/>
    </w:rPr>
  </w:style>
  <w:style w:type="character" w:customStyle="1" w:styleId="63">
    <w:name w:val="MSG_EN_FONT_STYLE_NAME_TEMPLATE_ROLE MSG_EN_FONT_STYLE_NAME_BY_ROLE_TEXT|6_"/>
    <w:basedOn w:val="21"/>
    <w:link w:val="64"/>
    <w:qFormat/>
    <w:locked/>
    <w:uiPriority w:val="99"/>
    <w:rPr>
      <w:rFonts w:ascii="PMingLiU" w:eastAsia="PMingLiU" w:cs="PMingLiU"/>
      <w:kern w:val="0"/>
      <w:sz w:val="22"/>
    </w:rPr>
  </w:style>
  <w:style w:type="paragraph" w:customStyle="1" w:styleId="64">
    <w:name w:val="MSG_EN_FONT_STYLE_NAME_TEMPLATE_ROLE MSG_EN_FONT_STYLE_NAME_BY_ROLE_TEXT|61"/>
    <w:basedOn w:val="1"/>
    <w:link w:val="63"/>
    <w:qFormat/>
    <w:uiPriority w:val="99"/>
    <w:pPr>
      <w:shd w:val="clear" w:color="auto" w:fill="FFFFFF"/>
      <w:spacing w:line="466" w:lineRule="exact"/>
      <w:ind w:firstLine="200" w:firstLineChars="200"/>
      <w:jc w:val="distribute"/>
    </w:pPr>
    <w:rPr>
      <w:rFonts w:ascii="PMingLiU" w:eastAsia="PMingLiU" w:cs="PMingLiU"/>
      <w:kern w:val="0"/>
      <w:sz w:val="22"/>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14</Pages>
  <Words>4806</Words>
  <Characters>5666</Characters>
  <Paragraphs>71</Paragraphs>
  <TotalTime>82</TotalTime>
  <ScaleCrop>false</ScaleCrop>
  <LinksUpToDate>false</LinksUpToDate>
  <CharactersWithSpaces>5725</CharactersWithSpaces>
  <Application>WPS Office_11.8.2.11625_F1E327BC-269C-435d-A152-05C5408002CA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2019-05-22T19:55:00Z</dcterms:created>
  <dc:creator>user</dc:creator>
  <cp:lastModifiedBy>greatwall</cp:lastModifiedBy>
  <cp:lastPrinted>2024-04-24T11:32:00Z</cp:lastPrinted>
  <dcterms:modified xsi:type="dcterms:W3CDTF">2024-07-08T09:07:25Z</dcterms:modified>
  <cp:revision>79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2052-11.8.2.11625</vt:lpwstr>
  </property>
  <property fmtid="{D5CDD505-2E9C-101B-9397-08002B2CF9AE}" pid="3" name="KSOSaveFontToCloudKey">
    <vt:lpwstr>548920287_embed</vt:lpwstr>
  </property>
  <property fmtid="{D5CDD505-2E9C-101B-9397-08002B2CF9AE}" pid="4" name="ICV">
    <vt:lpwstr>50413CBA66494A48B5A74A6EE3322F33_13</vt:lpwstr>
  </property>
</Properties>
</file>