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hAnsi="宋体" w:eastAsia="华文中宋" w:cs="宋体"/>
          <w:b w:val="0"/>
          <w:bCs/>
          <w:smallCaps w:val="0"/>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宋体" w:hAnsi="宋体" w:eastAsia="华文中宋" w:cs="宋体"/>
          <w:b w:val="0"/>
          <w:bCs/>
          <w:smallCaps w:val="0"/>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宋体" w:hAnsi="宋体" w:eastAsia="华文中宋" w:cs="宋体"/>
          <w:b w:val="0"/>
          <w:bCs/>
          <w:smallCaps w:val="0"/>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宋体" w:hAnsi="宋体" w:eastAsia="华文中宋" w:cs="宋体"/>
          <w:b w:val="0"/>
          <w:bCs/>
          <w:smallCaps w:val="0"/>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宋体" w:hAnsi="宋体" w:eastAsia="华文中宋" w:cs="宋体"/>
          <w:b w:val="0"/>
          <w:bCs/>
          <w:smallCaps w:val="0"/>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ascii="宋体" w:hAnsi="宋体" w:eastAsia="华文中宋" w:cs="宋体"/>
          <w:b w:val="0"/>
          <w:bCs/>
          <w:smallCaps w:val="0"/>
          <w:color w:val="000000" w:themeColor="text1"/>
          <w:sz w:val="44"/>
          <w:szCs w:val="44"/>
          <w14:textFill>
            <w14:solidFill>
              <w14:schemeClr w14:val="tx1"/>
            </w14:solidFill>
          </w14:textFill>
        </w:rPr>
      </w:pPr>
      <w:r>
        <w:rPr>
          <w:rFonts w:ascii="宋体" w:hAnsi="宋体"/>
          <w:b w:val="0"/>
          <w:bCs/>
          <w:smallCaps w:val="0"/>
          <w:color w:val="000000" w:themeColor="text1"/>
          <w:sz w:val="44"/>
          <w14:textFill>
            <w14:solidFill>
              <w14:schemeClr w14:val="tx1"/>
            </w14:solidFill>
          </w14:textFill>
        </w:rPr>
        <mc:AlternateContent>
          <mc:Choice Requires="wps">
            <w:drawing>
              <wp:anchor distT="0" distB="0" distL="0" distR="0" simplePos="0" relativeHeight="251660288" behindDoc="0" locked="0" layoutInCell="1" allowOverlap="1">
                <wp:simplePos x="0" y="0"/>
                <wp:positionH relativeFrom="column">
                  <wp:posOffset>-930275</wp:posOffset>
                </wp:positionH>
                <wp:positionV relativeFrom="paragraph">
                  <wp:posOffset>366395</wp:posOffset>
                </wp:positionV>
                <wp:extent cx="7571740" cy="427990"/>
                <wp:effectExtent l="0" t="0" r="0" b="0"/>
                <wp:wrapNone/>
                <wp:docPr id="1026" name="文本框 2"/>
                <wp:cNvGraphicFramePr/>
                <a:graphic xmlns:a="http://schemas.openxmlformats.org/drawingml/2006/main">
                  <a:graphicData uri="http://schemas.microsoft.com/office/word/2010/wordprocessingShape">
                    <wps:wsp>
                      <wps:cNvSpPr/>
                      <wps:spPr>
                        <a:xfrm>
                          <a:off x="0" y="0"/>
                          <a:ext cx="7571740" cy="427990"/>
                        </a:xfrm>
                        <a:prstGeom prst="rect">
                          <a:avLst/>
                        </a:prstGeom>
                        <a:ln>
                          <a:noFill/>
                        </a:ln>
                      </wps:spPr>
                      <wps:txbx>
                        <w:txbxContent>
                          <w:p>
                            <w:pPr>
                              <w:spacing w:line="580" w:lineRule="exact"/>
                              <w:ind w:left="-194" w:leftChars="-95" w:hanging="5"/>
                              <w:jc w:val="center"/>
                              <w:rPr>
                                <w:rFonts w:hint="eastAsia" w:ascii="宋体" w:hAnsi="宋体" w:eastAsia="仿宋_GB2312"/>
                                <w:sz w:val="32"/>
                                <w:szCs w:val="32"/>
                                <w:lang w:eastAsia="zh-CN"/>
                              </w:rPr>
                            </w:pPr>
                            <w:r>
                              <w:rPr>
                                <w:rFonts w:hint="eastAsia" w:ascii="宋体" w:hAnsi="宋体" w:eastAsia="仿宋_GB2312" w:cs="仿宋_GB2312"/>
                                <w:sz w:val="32"/>
                                <w:szCs w:val="32"/>
                              </w:rPr>
                              <w:t>济管环</w:t>
                            </w:r>
                            <w:r>
                              <w:rPr>
                                <w:rFonts w:hint="eastAsia" w:ascii="宋体" w:hAnsi="宋体" w:eastAsia="仿宋_GB2312"/>
                                <w:sz w:val="32"/>
                                <w:szCs w:val="32"/>
                              </w:rPr>
                              <w:t>〔</w:t>
                            </w:r>
                            <w:r>
                              <w:rPr>
                                <w:rFonts w:hint="eastAsia" w:ascii="宋体" w:hAnsi="宋体" w:eastAsia="宋体" w:cs="宋体"/>
                                <w:sz w:val="32"/>
                                <w:szCs w:val="32"/>
                              </w:rPr>
                              <w:t>202</w:t>
                            </w:r>
                            <w:r>
                              <w:rPr>
                                <w:rFonts w:hint="eastAsia" w:ascii="宋体" w:hAnsi="宋体" w:cs="宋体"/>
                                <w:sz w:val="32"/>
                                <w:szCs w:val="32"/>
                                <w:lang w:val="en-US" w:eastAsia="zh-CN"/>
                              </w:rPr>
                              <w:t>4</w:t>
                            </w:r>
                            <w:r>
                              <w:rPr>
                                <w:rFonts w:hint="eastAsia" w:ascii="宋体" w:hAnsi="宋体" w:eastAsia="仿宋_GB2312"/>
                                <w:sz w:val="32"/>
                                <w:szCs w:val="32"/>
                              </w:rPr>
                              <w:t>〕</w:t>
                            </w:r>
                            <w:r>
                              <w:rPr>
                                <w:rFonts w:hint="eastAsia" w:ascii="宋体" w:hAnsi="宋体" w:cs="宋体"/>
                                <w:sz w:val="32"/>
                                <w:szCs w:val="32"/>
                                <w:lang w:val="en-US" w:eastAsia="zh-CN"/>
                              </w:rPr>
                              <w:t>16</w:t>
                            </w:r>
                            <w:r>
                              <w:rPr>
                                <w:rFonts w:hint="eastAsia" w:ascii="宋体" w:hAnsi="宋体" w:eastAsia="仿宋_GB2312"/>
                                <w:sz w:val="32"/>
                                <w:szCs w:val="32"/>
                              </w:rPr>
                              <w:t xml:space="preserve">号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p>
                          <w:p/>
                        </w:txbxContent>
                      </wps:txbx>
                      <wps:bodyPr vert="horz" wrap="square" lIns="91440" tIns="45720" rIns="91440" bIns="45720" anchor="t">
                        <a:noAutofit/>
                      </wps:bodyPr>
                    </wps:wsp>
                  </a:graphicData>
                </a:graphic>
              </wp:anchor>
            </w:drawing>
          </mc:Choice>
          <mc:Fallback>
            <w:pict>
              <v:rect id="文本框 2" o:spid="_x0000_s1026" o:spt="1" style="position:absolute;left:0pt;margin-left:-73.25pt;margin-top:28.85pt;height:33.7pt;width:596.2pt;z-index:251660288;mso-width-relative:page;mso-height-relative:page;" filled="f" stroked="f" coordsize="21600,21600" o:gfxdata="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CKv5W3QAAAAwBAAAP&#10;AAAAAAAAAAEAIAAAACIAAABkcnMvZG93bnJldi54bWxQSwECFAAUAAAACACHTuJAx5QfMtoBAACj&#10;AwAADgAAAAAAAAABACAAAAAsAQAAZHJzL2Uyb0RvYy54bWxQSwUGAAAAAAYABgBZAQAAeAUAAAAA&#10;">
                <v:fill on="f" focussize="0,0"/>
                <v:stroke on="f"/>
                <v:imagedata o:title=""/>
                <o:lock v:ext="edit" aspectratio="f"/>
                <v:textbox>
                  <w:txbxContent>
                    <w:p>
                      <w:pPr>
                        <w:spacing w:line="580" w:lineRule="exact"/>
                        <w:ind w:left="-194" w:leftChars="-95" w:hanging="5"/>
                        <w:jc w:val="center"/>
                        <w:rPr>
                          <w:rFonts w:hint="eastAsia" w:ascii="宋体" w:hAnsi="宋体" w:eastAsia="仿宋_GB2312"/>
                          <w:sz w:val="32"/>
                          <w:szCs w:val="32"/>
                          <w:lang w:eastAsia="zh-CN"/>
                        </w:rPr>
                      </w:pPr>
                      <w:r>
                        <w:rPr>
                          <w:rFonts w:hint="eastAsia" w:ascii="宋体" w:hAnsi="宋体" w:eastAsia="仿宋_GB2312" w:cs="仿宋_GB2312"/>
                          <w:sz w:val="32"/>
                          <w:szCs w:val="32"/>
                        </w:rPr>
                        <w:t>济管环</w:t>
                      </w:r>
                      <w:r>
                        <w:rPr>
                          <w:rFonts w:hint="eastAsia" w:ascii="宋体" w:hAnsi="宋体" w:eastAsia="仿宋_GB2312"/>
                          <w:sz w:val="32"/>
                          <w:szCs w:val="32"/>
                        </w:rPr>
                        <w:t>〔</w:t>
                      </w:r>
                      <w:r>
                        <w:rPr>
                          <w:rFonts w:hint="eastAsia" w:ascii="宋体" w:hAnsi="宋体" w:eastAsia="宋体" w:cs="宋体"/>
                          <w:sz w:val="32"/>
                          <w:szCs w:val="32"/>
                        </w:rPr>
                        <w:t>202</w:t>
                      </w:r>
                      <w:r>
                        <w:rPr>
                          <w:rFonts w:hint="eastAsia" w:ascii="宋体" w:hAnsi="宋体" w:cs="宋体"/>
                          <w:sz w:val="32"/>
                          <w:szCs w:val="32"/>
                          <w:lang w:val="en-US" w:eastAsia="zh-CN"/>
                        </w:rPr>
                        <w:t>4</w:t>
                      </w:r>
                      <w:r>
                        <w:rPr>
                          <w:rFonts w:hint="eastAsia" w:ascii="宋体" w:hAnsi="宋体" w:eastAsia="仿宋_GB2312"/>
                          <w:sz w:val="32"/>
                          <w:szCs w:val="32"/>
                        </w:rPr>
                        <w:t>〕</w:t>
                      </w:r>
                      <w:r>
                        <w:rPr>
                          <w:rFonts w:hint="eastAsia" w:ascii="宋体" w:hAnsi="宋体" w:cs="宋体"/>
                          <w:sz w:val="32"/>
                          <w:szCs w:val="32"/>
                          <w:lang w:val="en-US" w:eastAsia="zh-CN"/>
                        </w:rPr>
                        <w:t>16</w:t>
                      </w:r>
                      <w:r>
                        <w:rPr>
                          <w:rFonts w:hint="eastAsia" w:ascii="宋体" w:hAnsi="宋体" w:eastAsia="仿宋_GB2312"/>
                          <w:sz w:val="32"/>
                          <w:szCs w:val="32"/>
                        </w:rPr>
                        <w:t xml:space="preserve">号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r>
                        <w:rPr>
                          <w:rFonts w:ascii="宋体" w:hAnsi="宋体" w:eastAsia="仿宋_GB2312"/>
                          <w:sz w:val="32"/>
                          <w:szCs w:val="32"/>
                        </w:rPr>
                        <w:t xml:space="preserve"> </w:t>
                      </w:r>
                      <w:r>
                        <w:rPr>
                          <w:rFonts w:hint="eastAsia" w:ascii="宋体" w:hAnsi="宋体" w:eastAsia="仿宋_GB2312"/>
                          <w:sz w:val="32"/>
                          <w:szCs w:val="32"/>
                          <w:lang w:val="en-US" w:eastAsia="zh-CN"/>
                        </w:rPr>
                        <w:t xml:space="preserve"> </w:t>
                      </w:r>
                    </w:p>
                    <w:p/>
                  </w:txbxContent>
                </v:textbox>
              </v:rect>
            </w:pict>
          </mc:Fallback>
        </mc:AlternateContent>
      </w:r>
    </w:p>
    <w:p>
      <w:pPr>
        <w:keepNext w:val="0"/>
        <w:keepLines w:val="0"/>
        <w:pageBreakBefore w:val="0"/>
        <w:widowControl w:val="0"/>
        <w:kinsoku/>
        <w:wordWrap/>
        <w:overflowPunct/>
        <w:topLinePunct w:val="0"/>
        <w:autoSpaceDE/>
        <w:autoSpaceDN/>
        <w:bidi w:val="0"/>
        <w:adjustRightInd/>
        <w:snapToGrid/>
        <w:spacing w:line="580" w:lineRule="exact"/>
        <w:ind w:left="-194" w:leftChars="-95" w:hanging="5"/>
        <w:jc w:val="center"/>
        <w:textAlignment w:val="auto"/>
        <w:rPr>
          <w:rFonts w:ascii="宋体" w:hAnsi="宋体" w:eastAsia="楷体"/>
          <w:b w:val="0"/>
          <w:bCs/>
          <w:smallCap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方正小标宋简体" w:cs="方正小标宋简体"/>
          <w:b w:val="0"/>
          <w:bCs/>
          <w:smallCaps w:val="0"/>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方正小标宋简体" w:cs="方正小标宋简体"/>
          <w:b w:val="0"/>
          <w:bCs/>
          <w:smallCaps w:val="0"/>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b w:val="0"/>
          <w:bCs/>
          <w:smallCaps w:val="0"/>
          <w:color w:val="000000" w:themeColor="text1"/>
          <w:sz w:val="44"/>
          <w:szCs w:val="44"/>
          <w14:textFill>
            <w14:solidFill>
              <w14:schemeClr w14:val="tx1"/>
            </w14:solidFill>
          </w14:textFill>
        </w:rPr>
      </w:pPr>
      <w:r>
        <w:rPr>
          <w:rFonts w:hint="eastAsia" w:ascii="宋体" w:hAnsi="宋体" w:eastAsia="方正小标宋简体" w:cs="方正小标宋简体"/>
          <w:b w:val="0"/>
          <w:bCs/>
          <w:smallCaps w:val="0"/>
          <w:color w:val="000000" w:themeColor="text1"/>
          <w:sz w:val="44"/>
          <w:szCs w:val="44"/>
          <w14:textFill>
            <w14:solidFill>
              <w14:schemeClr w14:val="tx1"/>
            </w14:solidFill>
          </w14:textFill>
        </w:rPr>
        <w:t>济源</w:t>
      </w:r>
      <w:r>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t>产城融合</w:t>
      </w:r>
      <w:r>
        <w:rPr>
          <w:rFonts w:hint="eastAsia" w:ascii="宋体" w:hAnsi="宋体" w:eastAsia="方正小标宋简体" w:cs="方正小标宋简体"/>
          <w:b w:val="0"/>
          <w:bCs/>
          <w:smallCaps w:val="0"/>
          <w:color w:val="000000" w:themeColor="text1"/>
          <w:sz w:val="44"/>
          <w:szCs w:val="44"/>
          <w14:textFill>
            <w14:solidFill>
              <w14:schemeClr w14:val="tx1"/>
            </w14:solidFill>
          </w14:textFill>
        </w:rPr>
        <w:t>示范区生态环境局</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pPr>
      <w:r>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t>关于进一步规范专项资金项目管理若干规定的通  知</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ascii="宋体" w:hAnsi="宋体" w:eastAsia="仿宋_GB2312"/>
          <w:sz w:val="32"/>
        </w:rPr>
      </w:pPr>
      <w:r>
        <w:rPr>
          <w:rFonts w:ascii="宋体" w:hAnsi="宋体" w:eastAsia="仿宋_GB2312"/>
          <w:sz w:val="32"/>
        </w:rPr>
        <w:t>为进一步规范</w:t>
      </w:r>
      <w:r>
        <w:rPr>
          <w:rFonts w:hint="eastAsia" w:ascii="宋体" w:hAnsi="宋体" w:eastAsia="仿宋_GB2312"/>
          <w:sz w:val="32"/>
          <w:lang w:val="en-US" w:eastAsia="zh-CN"/>
        </w:rPr>
        <w:t>上级专项资金项目全过程管理</w:t>
      </w:r>
      <w:r>
        <w:rPr>
          <w:rFonts w:ascii="宋体" w:hAnsi="宋体" w:eastAsia="仿宋_GB2312"/>
          <w:sz w:val="32"/>
        </w:rPr>
        <w:t>，提高资金使用效益，有效预防廉政风险，根据法律法规</w:t>
      </w:r>
      <w:r>
        <w:rPr>
          <w:rFonts w:hint="eastAsia" w:ascii="宋体" w:hAnsi="宋体" w:eastAsia="仿宋_GB2312"/>
          <w:sz w:val="32"/>
          <w:lang w:val="en-US" w:eastAsia="zh-CN"/>
        </w:rPr>
        <w:t>和各级财政、生态环境部门</w:t>
      </w:r>
      <w:r>
        <w:rPr>
          <w:rFonts w:ascii="宋体" w:hAnsi="宋体" w:eastAsia="仿宋_GB2312"/>
          <w:sz w:val="32"/>
        </w:rPr>
        <w:t>有关规定</w:t>
      </w:r>
      <w:r>
        <w:rPr>
          <w:rFonts w:hint="eastAsia" w:ascii="宋体" w:hAnsi="宋体" w:eastAsia="仿宋_GB2312"/>
          <w:sz w:val="32"/>
          <w:lang w:eastAsia="zh-CN"/>
        </w:rPr>
        <w:t>，</w:t>
      </w:r>
      <w:r>
        <w:rPr>
          <w:rFonts w:ascii="宋体" w:hAnsi="宋体" w:eastAsia="仿宋_GB2312"/>
          <w:sz w:val="32"/>
        </w:rPr>
        <w:t>结合我局实际，</w:t>
      </w:r>
      <w:r>
        <w:rPr>
          <w:rFonts w:hint="eastAsia" w:ascii="宋体" w:hAnsi="宋体" w:eastAsia="仿宋_GB2312"/>
          <w:sz w:val="32"/>
          <w:lang w:val="en-US" w:eastAsia="zh-CN"/>
        </w:rPr>
        <w:t>制定</w:t>
      </w:r>
      <w:r>
        <w:rPr>
          <w:rFonts w:ascii="宋体" w:hAnsi="宋体" w:eastAsia="仿宋_GB2312"/>
          <w:sz w:val="32"/>
        </w:rPr>
        <w:t>以下规定：</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lang w:val="en-US" w:eastAsia="zh-CN"/>
        </w:rPr>
      </w:pPr>
      <w:r>
        <w:rPr>
          <w:rFonts w:hint="eastAsia" w:ascii="宋体" w:hAnsi="宋体" w:eastAsia="黑体" w:cs="黑体"/>
          <w:sz w:val="32"/>
          <w:lang w:val="en-US" w:eastAsia="zh-CN"/>
        </w:rPr>
        <w:t>一、成立招投标领导小组。</w:t>
      </w:r>
      <w:r>
        <w:rPr>
          <w:rFonts w:hint="eastAsia" w:ascii="宋体" w:hAnsi="宋体" w:eastAsia="仿宋_GB2312"/>
          <w:sz w:val="32"/>
          <w:lang w:val="en-US" w:eastAsia="zh-CN"/>
        </w:rPr>
        <w:t>成立由党组书记、局长任组长，其他班子成员任副组长的领导小组，领导小组下设招投标办公室和专家组。（详见附件）</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宋体" w:hAnsi="宋体" w:eastAsia="仿宋_GB2312"/>
          <w:sz w:val="32"/>
          <w:lang w:val="en-US" w:eastAsia="zh-CN"/>
        </w:rPr>
      </w:pPr>
      <w:r>
        <w:rPr>
          <w:rFonts w:hint="eastAsia" w:ascii="宋体" w:hAnsi="宋体" w:eastAsia="黑体" w:cs="黑体"/>
          <w:sz w:val="32"/>
          <w:lang w:val="en-US" w:eastAsia="zh-CN"/>
        </w:rPr>
        <w:t>二、项目申报原则。</w:t>
      </w:r>
      <w:r>
        <w:rPr>
          <w:rFonts w:hint="eastAsia" w:ascii="宋体" w:hAnsi="宋体" w:eastAsia="仿宋_GB2312"/>
          <w:sz w:val="32"/>
          <w:lang w:val="en-US" w:eastAsia="zh-CN"/>
        </w:rPr>
        <w:t>各业务科室应强化政策研究，加大项目储备力度，确保符合上级资金支持的项目应入尽入，所有项目在申报入库前，业务科室（二级机构）必须报局党组会议研究同意，如需申请财政配套资金，须经示范区管委会书面批复后方可入库。</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lang w:val="en-US" w:eastAsia="zh-CN"/>
        </w:rPr>
      </w:pPr>
      <w:r>
        <w:rPr>
          <w:rFonts w:hint="eastAsia" w:ascii="宋体" w:hAnsi="宋体" w:eastAsia="黑体" w:cs="黑体"/>
          <w:sz w:val="32"/>
          <w:lang w:val="en-US" w:eastAsia="zh-CN"/>
        </w:rPr>
        <w:t>三、资金分配原则。</w:t>
      </w:r>
      <w:r>
        <w:rPr>
          <w:rFonts w:hint="eastAsia" w:ascii="宋体" w:hAnsi="宋体" w:eastAsia="仿宋_GB2312"/>
          <w:sz w:val="32"/>
        </w:rPr>
        <w:t>上级资金文件已明确具体使用项目</w:t>
      </w:r>
      <w:r>
        <w:rPr>
          <w:rFonts w:hint="eastAsia" w:ascii="宋体" w:hAnsi="宋体" w:eastAsia="仿宋_GB2312"/>
          <w:sz w:val="32"/>
          <w:lang w:val="en-US" w:eastAsia="zh-CN"/>
        </w:rPr>
        <w:t>的</w:t>
      </w:r>
      <w:r>
        <w:rPr>
          <w:rFonts w:hint="eastAsia" w:ascii="宋体" w:hAnsi="宋体" w:eastAsia="仿宋_GB2312"/>
          <w:sz w:val="32"/>
        </w:rPr>
        <w:t>，由业务科室</w:t>
      </w:r>
      <w:r>
        <w:rPr>
          <w:rFonts w:hint="eastAsia" w:ascii="宋体" w:hAnsi="宋体" w:eastAsia="仿宋_GB2312"/>
          <w:sz w:val="32"/>
          <w:lang w:val="en-US" w:eastAsia="zh-CN"/>
        </w:rPr>
        <w:t>在十个工作日内</w:t>
      </w:r>
      <w:r>
        <w:rPr>
          <w:rFonts w:hint="eastAsia" w:ascii="宋体" w:hAnsi="宋体" w:eastAsia="仿宋_GB2312"/>
          <w:sz w:val="32"/>
        </w:rPr>
        <w:t>提供项目具体内容</w:t>
      </w:r>
      <w:r>
        <w:rPr>
          <w:rFonts w:hint="eastAsia" w:ascii="宋体" w:hAnsi="宋体" w:eastAsia="仿宋_GB2312"/>
          <w:sz w:val="32"/>
          <w:lang w:eastAsia="zh-CN"/>
        </w:rPr>
        <w:t>、</w:t>
      </w:r>
      <w:r>
        <w:rPr>
          <w:rFonts w:hint="eastAsia" w:ascii="宋体" w:hAnsi="宋体" w:eastAsia="仿宋_GB2312"/>
          <w:sz w:val="32"/>
        </w:rPr>
        <w:t>绩效目标</w:t>
      </w:r>
      <w:r>
        <w:rPr>
          <w:rFonts w:hint="eastAsia" w:ascii="宋体" w:hAnsi="宋体" w:eastAsia="仿宋_GB2312"/>
          <w:sz w:val="32"/>
          <w:lang w:val="en-US" w:eastAsia="zh-CN"/>
        </w:rPr>
        <w:t>申报表，财务审计科审核后，列出</w:t>
      </w:r>
      <w:r>
        <w:rPr>
          <w:rFonts w:hint="eastAsia" w:ascii="宋体" w:hAnsi="宋体" w:eastAsia="仿宋_GB2312"/>
          <w:sz w:val="32"/>
        </w:rPr>
        <w:t>经济分类</w:t>
      </w:r>
      <w:r>
        <w:rPr>
          <w:rFonts w:hint="eastAsia" w:ascii="宋体" w:hAnsi="宋体" w:eastAsia="仿宋_GB2312"/>
          <w:sz w:val="32"/>
          <w:lang w:eastAsia="zh-CN"/>
        </w:rPr>
        <w:t>，</w:t>
      </w:r>
      <w:r>
        <w:rPr>
          <w:rFonts w:hint="eastAsia" w:ascii="宋体" w:hAnsi="宋体" w:eastAsia="仿宋_GB2312"/>
          <w:sz w:val="32"/>
        </w:rPr>
        <w:t>经局党组会议同意，</w:t>
      </w:r>
      <w:r>
        <w:rPr>
          <w:rFonts w:hint="eastAsia" w:ascii="宋体" w:hAnsi="宋体" w:eastAsia="仿宋_GB2312"/>
          <w:sz w:val="32"/>
          <w:lang w:val="en-US" w:eastAsia="zh-CN"/>
        </w:rPr>
        <w:t>上</w:t>
      </w:r>
      <w:r>
        <w:rPr>
          <w:rFonts w:hint="eastAsia" w:ascii="宋体" w:hAnsi="宋体" w:eastAsia="仿宋_GB2312"/>
          <w:sz w:val="32"/>
        </w:rPr>
        <w:t>报财政金融局</w:t>
      </w:r>
      <w:r>
        <w:rPr>
          <w:rFonts w:hint="eastAsia" w:ascii="宋体" w:hAnsi="宋体" w:eastAsia="仿宋_GB2312"/>
          <w:sz w:val="32"/>
          <w:lang w:val="en-US" w:eastAsia="zh-CN"/>
        </w:rPr>
        <w:t>后，在预算一体化管理系统中录入项目库，业务科室负责实施。</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lang w:val="en-US" w:eastAsia="zh-CN"/>
        </w:rPr>
      </w:pPr>
      <w:r>
        <w:rPr>
          <w:rFonts w:hint="eastAsia" w:ascii="宋体" w:hAnsi="宋体" w:eastAsia="仿宋_GB2312"/>
          <w:sz w:val="32"/>
        </w:rPr>
        <w:t>上级资金文件没有明确具体使用项目</w:t>
      </w:r>
      <w:r>
        <w:rPr>
          <w:rFonts w:hint="eastAsia" w:ascii="宋体" w:hAnsi="宋体" w:eastAsia="仿宋_GB2312"/>
          <w:sz w:val="32"/>
          <w:lang w:val="en-US" w:eastAsia="zh-CN"/>
        </w:rPr>
        <w:t>的</w:t>
      </w:r>
      <w:r>
        <w:rPr>
          <w:rFonts w:hint="eastAsia" w:ascii="宋体" w:hAnsi="宋体" w:eastAsia="仿宋_GB2312"/>
          <w:sz w:val="32"/>
        </w:rPr>
        <w:t>，由业务科室</w:t>
      </w:r>
      <w:r>
        <w:rPr>
          <w:rFonts w:hint="eastAsia" w:ascii="宋体" w:hAnsi="宋体" w:eastAsia="仿宋_GB2312"/>
          <w:sz w:val="32"/>
          <w:lang w:val="en-US" w:eastAsia="zh-CN"/>
        </w:rPr>
        <w:t>在十五个工作日内</w:t>
      </w:r>
      <w:r>
        <w:rPr>
          <w:rFonts w:hint="eastAsia" w:ascii="宋体" w:hAnsi="宋体" w:eastAsia="仿宋_GB2312"/>
          <w:sz w:val="32"/>
        </w:rPr>
        <w:t>提</w:t>
      </w:r>
      <w:r>
        <w:rPr>
          <w:rFonts w:hint="eastAsia" w:ascii="宋体" w:hAnsi="宋体" w:eastAsia="仿宋_GB2312"/>
          <w:sz w:val="32"/>
          <w:lang w:val="en-US" w:eastAsia="zh-CN"/>
        </w:rPr>
        <w:t>出</w:t>
      </w:r>
      <w:r>
        <w:rPr>
          <w:rFonts w:hint="eastAsia" w:ascii="宋体" w:hAnsi="宋体" w:eastAsia="仿宋_GB2312"/>
          <w:sz w:val="32"/>
        </w:rPr>
        <w:t>资金分配</w:t>
      </w:r>
      <w:r>
        <w:rPr>
          <w:rFonts w:hint="eastAsia" w:ascii="宋体" w:hAnsi="宋体" w:eastAsia="仿宋_GB2312"/>
          <w:sz w:val="32"/>
          <w:lang w:val="en-US" w:eastAsia="zh-CN"/>
        </w:rPr>
        <w:t>方案</w:t>
      </w:r>
      <w:r>
        <w:rPr>
          <w:rFonts w:hint="eastAsia" w:ascii="宋体" w:hAnsi="宋体" w:eastAsia="仿宋_GB2312"/>
          <w:sz w:val="32"/>
        </w:rPr>
        <w:t>，包括资金支持的具体方向、范围、重点以及支持标准等，经</w:t>
      </w:r>
      <w:r>
        <w:rPr>
          <w:rFonts w:hint="eastAsia" w:ascii="宋体" w:hAnsi="宋体" w:eastAsia="仿宋_GB2312"/>
          <w:sz w:val="32"/>
          <w:lang w:eastAsia="zh-CN"/>
        </w:rPr>
        <w:t>局</w:t>
      </w:r>
      <w:r>
        <w:rPr>
          <w:rFonts w:hint="eastAsia" w:ascii="宋体" w:hAnsi="宋体" w:eastAsia="仿宋_GB2312"/>
          <w:sz w:val="32"/>
        </w:rPr>
        <w:t>党组会议</w:t>
      </w:r>
      <w:r>
        <w:rPr>
          <w:rFonts w:hint="eastAsia" w:ascii="宋体" w:hAnsi="宋体" w:eastAsia="仿宋_GB2312"/>
          <w:sz w:val="32"/>
          <w:lang w:val="en-US" w:eastAsia="zh-CN"/>
        </w:rPr>
        <w:t>研究</w:t>
      </w:r>
      <w:r>
        <w:rPr>
          <w:rFonts w:hint="eastAsia" w:ascii="宋体" w:hAnsi="宋体" w:eastAsia="仿宋_GB2312"/>
          <w:sz w:val="32"/>
          <w:lang w:eastAsia="zh-CN"/>
        </w:rPr>
        <w:t>，</w:t>
      </w:r>
      <w:r>
        <w:rPr>
          <w:rFonts w:hint="eastAsia" w:ascii="宋体" w:hAnsi="宋体" w:eastAsia="仿宋_GB2312"/>
          <w:sz w:val="32"/>
          <w:lang w:val="en-US" w:eastAsia="zh-CN"/>
        </w:rPr>
        <w:t>商财政金融局同意</w:t>
      </w:r>
      <w:r>
        <w:rPr>
          <w:rFonts w:hint="eastAsia" w:ascii="宋体" w:hAnsi="宋体" w:eastAsia="仿宋_GB2312"/>
          <w:sz w:val="32"/>
        </w:rPr>
        <w:t>报示范区管委会</w:t>
      </w:r>
      <w:r>
        <w:rPr>
          <w:rFonts w:hint="eastAsia" w:ascii="宋体" w:hAnsi="宋体" w:eastAsia="仿宋_GB2312"/>
          <w:sz w:val="32"/>
          <w:lang w:val="en-US" w:eastAsia="zh-CN"/>
        </w:rPr>
        <w:t>批准后</w:t>
      </w:r>
      <w:r>
        <w:rPr>
          <w:rFonts w:hint="eastAsia" w:ascii="宋体" w:hAnsi="宋体" w:eastAsia="仿宋_GB2312"/>
          <w:sz w:val="32"/>
        </w:rPr>
        <w:t>，由业务科室提供绩效目标</w:t>
      </w:r>
      <w:r>
        <w:rPr>
          <w:rFonts w:hint="eastAsia" w:ascii="宋体" w:hAnsi="宋体" w:eastAsia="仿宋_GB2312"/>
          <w:sz w:val="32"/>
          <w:lang w:val="en-US" w:eastAsia="zh-CN"/>
        </w:rPr>
        <w:t>申报表，财务审计科审核后，列出</w:t>
      </w:r>
      <w:r>
        <w:rPr>
          <w:rFonts w:hint="eastAsia" w:ascii="宋体" w:hAnsi="宋体" w:eastAsia="仿宋_GB2312"/>
          <w:sz w:val="32"/>
        </w:rPr>
        <w:t>经济分类</w:t>
      </w:r>
      <w:r>
        <w:rPr>
          <w:rFonts w:hint="eastAsia" w:ascii="宋体" w:hAnsi="宋体" w:eastAsia="仿宋_GB2312"/>
          <w:sz w:val="32"/>
          <w:lang w:eastAsia="zh-CN"/>
        </w:rPr>
        <w:t>，</w:t>
      </w:r>
      <w:r>
        <w:rPr>
          <w:rFonts w:hint="eastAsia" w:ascii="宋体" w:hAnsi="宋体" w:eastAsia="仿宋_GB2312"/>
          <w:sz w:val="32"/>
          <w:lang w:val="en-US" w:eastAsia="zh-CN"/>
        </w:rPr>
        <w:t>在预算一体化管理系统中录入项目库，业务科室负责实施。</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宋体" w:hAnsi="宋体" w:eastAsia="仿宋_GB2312"/>
          <w:sz w:val="32"/>
          <w:lang w:val="en-US" w:eastAsia="zh-CN"/>
        </w:rPr>
      </w:pPr>
      <w:r>
        <w:rPr>
          <w:rFonts w:hint="eastAsia" w:ascii="宋体" w:hAnsi="宋体" w:eastAsia="仿宋_GB2312"/>
          <w:sz w:val="32"/>
          <w:lang w:val="en-US" w:eastAsia="zh-CN"/>
        </w:rPr>
        <w:t>对本级应实施的项目要在市级预算中报送，预算下达后要严格按照批复的项目、用途、科目使用，不得随意变更；对财政部门未批复的预算项目，需经党组研究后由业务科室申请上报示范区管委会。</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宋体" w:hAnsi="宋体" w:eastAsia="仿宋_GB2312"/>
          <w:sz w:val="32"/>
          <w:lang w:val="en-US" w:eastAsia="zh-CN"/>
        </w:rPr>
      </w:pPr>
      <w:r>
        <w:rPr>
          <w:rFonts w:hint="eastAsia" w:ascii="宋体" w:hAnsi="宋体" w:eastAsia="黑体" w:cs="黑体"/>
          <w:sz w:val="32"/>
          <w:lang w:val="en-US" w:eastAsia="zh-CN"/>
        </w:rPr>
        <w:t>四、项目采购方式。</w:t>
      </w:r>
      <w:r>
        <w:rPr>
          <w:rFonts w:hint="eastAsia" w:ascii="宋体" w:hAnsi="宋体" w:eastAsia="仿宋_GB2312"/>
          <w:sz w:val="32"/>
          <w:lang w:val="en-US" w:eastAsia="zh-CN"/>
        </w:rPr>
        <w:t>严格执行河南省政府集中采购目录及标准，目录内的品目必须按规定委托集中采购机构代理采购。除集中采购机构采购项目外，采购单项或批量预算金额达到采购限额标准的项目，应当按照《中华人民共和国政府采购法》有关规定，实行分散采购。集中采购机构采购项目以外、采购限额标准以下的采购项目，由局招投标领导小组根据项目具体情况确定采购方式。</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lang w:val="en-US" w:eastAsia="zh-CN"/>
        </w:rPr>
      </w:pPr>
      <w:r>
        <w:rPr>
          <w:rFonts w:hint="eastAsia" w:ascii="宋体" w:hAnsi="宋体" w:eastAsia="仿宋_GB2312"/>
          <w:sz w:val="32"/>
          <w:lang w:val="en-US" w:eastAsia="zh-CN"/>
        </w:rPr>
        <w:t>分散采购</w:t>
      </w:r>
      <w:r>
        <w:rPr>
          <w:rFonts w:hint="eastAsia" w:ascii="宋体" w:hAnsi="宋体" w:eastAsia="仿宋_GB2312"/>
          <w:sz w:val="32"/>
        </w:rPr>
        <w:t>货物、服务项目限额为</w:t>
      </w:r>
      <w:r>
        <w:rPr>
          <w:rFonts w:hint="eastAsia" w:ascii="宋体" w:hAnsi="宋体" w:eastAsia="仿宋_GB2312"/>
          <w:sz w:val="32"/>
          <w:lang w:val="en-US" w:eastAsia="zh-CN"/>
        </w:rPr>
        <w:t>5</w:t>
      </w:r>
      <w:r>
        <w:rPr>
          <w:rFonts w:hint="eastAsia" w:ascii="宋体" w:hAnsi="宋体" w:eastAsia="仿宋_GB2312"/>
          <w:sz w:val="32"/>
        </w:rPr>
        <w:t>0</w:t>
      </w:r>
      <w:r>
        <w:rPr>
          <w:rFonts w:hint="eastAsia" w:ascii="宋体" w:hAnsi="宋体" w:eastAsia="仿宋_GB2312"/>
          <w:sz w:val="32"/>
          <w:lang w:eastAsia="zh-CN"/>
        </w:rPr>
        <w:t>（</w:t>
      </w:r>
      <w:r>
        <w:rPr>
          <w:rFonts w:hint="eastAsia" w:ascii="宋体" w:hAnsi="宋体" w:eastAsia="仿宋_GB2312"/>
          <w:sz w:val="32"/>
          <w:lang w:val="en-US" w:eastAsia="zh-CN"/>
        </w:rPr>
        <w:t>含）</w:t>
      </w:r>
      <w:r>
        <w:rPr>
          <w:rFonts w:hint="eastAsia" w:ascii="宋体" w:hAnsi="宋体" w:eastAsia="仿宋_GB2312"/>
          <w:sz w:val="32"/>
        </w:rPr>
        <w:t>万元</w:t>
      </w:r>
      <w:r>
        <w:rPr>
          <w:rFonts w:hint="eastAsia" w:ascii="宋体" w:hAnsi="宋体" w:eastAsia="仿宋_GB2312"/>
          <w:sz w:val="32"/>
          <w:lang w:eastAsia="zh-CN"/>
        </w:rPr>
        <w:t>—</w:t>
      </w:r>
      <w:r>
        <w:rPr>
          <w:rFonts w:hint="eastAsia" w:ascii="宋体" w:hAnsi="宋体" w:eastAsia="仿宋_GB2312"/>
          <w:sz w:val="32"/>
          <w:lang w:val="en-US" w:eastAsia="zh-CN"/>
        </w:rPr>
        <w:t>200万元</w:t>
      </w:r>
      <w:r>
        <w:rPr>
          <w:rFonts w:hint="eastAsia" w:ascii="宋体" w:hAnsi="宋体" w:eastAsia="仿宋_GB2312"/>
          <w:sz w:val="32"/>
          <w:lang w:eastAsia="zh-CN"/>
        </w:rPr>
        <w:t>、</w:t>
      </w:r>
      <w:r>
        <w:rPr>
          <w:rFonts w:hint="eastAsia" w:ascii="宋体" w:hAnsi="宋体" w:eastAsia="仿宋_GB2312"/>
          <w:sz w:val="32"/>
        </w:rPr>
        <w:t>工程项目限额为</w:t>
      </w:r>
      <w:r>
        <w:rPr>
          <w:rFonts w:hint="eastAsia" w:ascii="宋体" w:hAnsi="宋体" w:eastAsia="仿宋_GB2312"/>
          <w:sz w:val="32"/>
          <w:lang w:val="en-US" w:eastAsia="zh-CN"/>
        </w:rPr>
        <w:t>6</w:t>
      </w:r>
      <w:r>
        <w:rPr>
          <w:rFonts w:hint="eastAsia" w:ascii="宋体" w:hAnsi="宋体" w:eastAsia="仿宋_GB2312"/>
          <w:sz w:val="32"/>
        </w:rPr>
        <w:t>0</w:t>
      </w:r>
      <w:r>
        <w:rPr>
          <w:rFonts w:hint="eastAsia" w:ascii="宋体" w:hAnsi="宋体" w:eastAsia="仿宋_GB2312"/>
          <w:sz w:val="32"/>
          <w:lang w:eastAsia="zh-CN"/>
        </w:rPr>
        <w:t>（</w:t>
      </w:r>
      <w:r>
        <w:rPr>
          <w:rFonts w:hint="eastAsia" w:ascii="宋体" w:hAnsi="宋体" w:eastAsia="仿宋_GB2312"/>
          <w:sz w:val="32"/>
          <w:lang w:val="en-US" w:eastAsia="zh-CN"/>
        </w:rPr>
        <w:t>含）</w:t>
      </w:r>
      <w:r>
        <w:rPr>
          <w:rFonts w:hint="eastAsia" w:ascii="宋体" w:hAnsi="宋体" w:eastAsia="仿宋_GB2312"/>
          <w:sz w:val="32"/>
        </w:rPr>
        <w:t>万元</w:t>
      </w:r>
      <w:r>
        <w:rPr>
          <w:rFonts w:hint="eastAsia" w:ascii="宋体" w:hAnsi="宋体" w:eastAsia="仿宋_GB2312"/>
          <w:sz w:val="32"/>
          <w:lang w:eastAsia="zh-CN"/>
        </w:rPr>
        <w:t>—</w:t>
      </w:r>
      <w:r>
        <w:rPr>
          <w:rFonts w:hint="eastAsia" w:ascii="宋体" w:hAnsi="宋体" w:eastAsia="仿宋_GB2312"/>
          <w:sz w:val="32"/>
          <w:lang w:val="en-US" w:eastAsia="zh-CN"/>
        </w:rPr>
        <w:t>400万元，可以采用公开招标方式，也可以采用非招标采购方式，非招标采购方式包含竞争性谈判、竞争性磋商、单一来源和询价等采购方式。</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lang w:val="en-US" w:eastAsia="zh-CN"/>
        </w:rPr>
      </w:pPr>
      <w:r>
        <w:rPr>
          <w:rFonts w:hint="eastAsia" w:ascii="宋体" w:hAnsi="宋体" w:eastAsia="仿宋_GB2312"/>
          <w:sz w:val="32"/>
          <w:lang w:val="en-US" w:eastAsia="zh-CN"/>
        </w:rPr>
        <w:t>分散采购货物、服务项目单项或批量预算金额达到200（含）万元以上、工程项目招标金额达到400（含）万元以上的，必须采用公开招标方式或邀请招标方式。</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黑体" w:cs="黑体"/>
          <w:sz w:val="32"/>
          <w:lang w:val="en-US" w:eastAsia="zh-CN"/>
        </w:rPr>
      </w:pPr>
      <w:r>
        <w:rPr>
          <w:rFonts w:hint="eastAsia" w:ascii="宋体" w:hAnsi="宋体" w:eastAsia="黑体" w:cs="黑体"/>
          <w:sz w:val="32"/>
          <w:lang w:val="en-US" w:eastAsia="zh-CN"/>
        </w:rPr>
        <w:t>五、项目采购程序</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宋体" w:hAnsi="宋体" w:eastAsia="仿宋_GB2312"/>
          <w:sz w:val="32"/>
          <w:lang w:val="en-US" w:eastAsia="zh-CN"/>
        </w:rPr>
      </w:pPr>
      <w:r>
        <w:rPr>
          <w:rFonts w:hint="eastAsia" w:ascii="宋体" w:hAnsi="宋体" w:eastAsia="楷体_GB2312" w:cs="楷体_GB2312"/>
          <w:sz w:val="32"/>
          <w:lang w:val="en-US" w:eastAsia="zh-CN"/>
        </w:rPr>
        <w:t>（一）代理公司选取。</w:t>
      </w:r>
      <w:r>
        <w:rPr>
          <w:rFonts w:hint="eastAsia" w:ascii="宋体" w:hAnsi="宋体" w:eastAsia="仿宋_GB2312"/>
          <w:sz w:val="32"/>
          <w:lang w:val="en-US" w:eastAsia="zh-CN"/>
        </w:rPr>
        <w:t>项目经招投标领导小组同意后，工程项目在300（不含）万元以上的，由招投标办公室选择评审机构进行前期项目预算评审，并在财政部门公布的代理机构中择优选取代理机构进行项目招标；货物和服务项目以及采购限额以下的，招投标办公室直接从财政部门公布的代理机构中择优选取代理机构进行项目招标，确保工程预算评审、招投标代理、工程决算和监理等环节确定的代理公司不能重复。分期实施的采购项目，考虑项目的连续性，原则上选择同一家代理机构。</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lang w:eastAsia="zh-CN"/>
        </w:rPr>
      </w:pPr>
      <w:r>
        <w:rPr>
          <w:rFonts w:hint="eastAsia" w:ascii="宋体" w:hAnsi="宋体" w:eastAsia="楷体_GB2312" w:cs="楷体_GB2312"/>
          <w:sz w:val="32"/>
          <w:lang w:val="en-US" w:eastAsia="zh-CN"/>
        </w:rPr>
        <w:t>（二）采购文件编制。</w:t>
      </w:r>
      <w:r>
        <w:rPr>
          <w:rFonts w:hint="eastAsia" w:ascii="宋体" w:hAnsi="宋体" w:eastAsia="仿宋_GB2312"/>
          <w:sz w:val="32"/>
          <w:lang w:val="en-US" w:eastAsia="zh-CN"/>
        </w:rPr>
        <w:t>业务科室</w:t>
      </w:r>
      <w:r>
        <w:rPr>
          <w:rFonts w:ascii="宋体" w:hAnsi="宋体" w:eastAsia="仿宋_GB2312"/>
          <w:sz w:val="32"/>
        </w:rPr>
        <w:t>根据项目情况，提出科学、合理的项目技术参数或采购需求，</w:t>
      </w:r>
      <w:r>
        <w:rPr>
          <w:rFonts w:hint="eastAsia" w:ascii="宋体" w:hAnsi="宋体" w:eastAsia="仿宋_GB2312"/>
          <w:sz w:val="32"/>
          <w:lang w:val="en-US" w:eastAsia="zh-CN"/>
        </w:rPr>
        <w:t>由代理公司依法依规</w:t>
      </w:r>
      <w:r>
        <w:rPr>
          <w:rFonts w:ascii="宋体" w:hAnsi="宋体" w:eastAsia="仿宋_GB2312"/>
          <w:sz w:val="32"/>
        </w:rPr>
        <w:t>编制采购文件。采购</w:t>
      </w:r>
      <w:r>
        <w:rPr>
          <w:rFonts w:hint="eastAsia" w:ascii="宋体" w:hAnsi="宋体" w:eastAsia="仿宋_GB2312"/>
          <w:sz w:val="32"/>
          <w:lang w:val="en-US" w:eastAsia="zh-CN"/>
        </w:rPr>
        <w:t>文件</w:t>
      </w:r>
      <w:r>
        <w:rPr>
          <w:rFonts w:ascii="宋体" w:hAnsi="宋体" w:eastAsia="仿宋_GB2312"/>
          <w:sz w:val="32"/>
        </w:rPr>
        <w:t>应当符合法律法规以及政府采购政策规定的技术、服务、安全等要求</w:t>
      </w:r>
      <w:r>
        <w:rPr>
          <w:rFonts w:hint="eastAsia" w:ascii="宋体" w:hAnsi="宋体" w:eastAsia="仿宋_GB2312"/>
          <w:sz w:val="32"/>
          <w:lang w:eastAsia="zh-CN"/>
        </w:rPr>
        <w:t>，</w:t>
      </w:r>
      <w:r>
        <w:rPr>
          <w:rFonts w:ascii="宋体" w:hAnsi="宋体" w:eastAsia="仿宋_GB2312"/>
          <w:sz w:val="32"/>
        </w:rPr>
        <w:t>采购文件编制完成后，</w:t>
      </w:r>
      <w:r>
        <w:rPr>
          <w:rFonts w:hint="eastAsia" w:ascii="宋体" w:hAnsi="宋体" w:eastAsia="仿宋_GB2312"/>
          <w:sz w:val="32"/>
          <w:lang w:val="en-US" w:eastAsia="zh-CN"/>
        </w:rPr>
        <w:t>经招投标办公室审核后</w:t>
      </w:r>
      <w:r>
        <w:rPr>
          <w:rFonts w:ascii="宋体" w:hAnsi="宋体" w:eastAsia="仿宋_GB2312"/>
          <w:sz w:val="32"/>
        </w:rPr>
        <w:t>，发布采购文件公告</w:t>
      </w:r>
      <w:r>
        <w:rPr>
          <w:rFonts w:hint="eastAsia" w:ascii="宋体" w:hAnsi="宋体" w:eastAsia="仿宋_GB2312"/>
          <w:sz w:val="32"/>
          <w:lang w:eastAsia="zh-CN"/>
        </w:rPr>
        <w:t>，同时将采购文件相关资料提前告知专家组成员。</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ascii="宋体" w:hAnsi="宋体" w:eastAsia="仿宋_GB2312"/>
          <w:sz w:val="32"/>
        </w:rPr>
      </w:pPr>
      <w:r>
        <w:rPr>
          <w:rFonts w:hint="eastAsia" w:ascii="宋体" w:hAnsi="宋体" w:eastAsia="楷体_GB2312" w:cs="楷体_GB2312"/>
          <w:sz w:val="32"/>
          <w:lang w:val="en-US" w:eastAsia="zh-CN"/>
        </w:rPr>
        <w:t>（三）开标评标。</w:t>
      </w:r>
      <w:r>
        <w:rPr>
          <w:rFonts w:ascii="宋体" w:hAnsi="宋体" w:eastAsia="仿宋_GB2312"/>
          <w:sz w:val="32"/>
        </w:rPr>
        <w:t>开标由采购代理机构主持，邀请投标人参加。</w:t>
      </w:r>
      <w:r>
        <w:rPr>
          <w:rFonts w:hint="eastAsia" w:ascii="宋体" w:hAnsi="宋体" w:eastAsia="仿宋_GB2312"/>
          <w:sz w:val="32"/>
          <w:lang w:val="en-US" w:eastAsia="zh-CN"/>
        </w:rPr>
        <w:t>招投标办公室从专家组中随机选取</w:t>
      </w:r>
      <w:r>
        <w:rPr>
          <w:rFonts w:hint="eastAsia" w:ascii="宋体" w:hAnsi="宋体" w:eastAsia="仿宋_GB2312"/>
          <w:sz w:val="32"/>
          <w:lang w:eastAsia="zh-CN"/>
        </w:rPr>
        <w:t>专家</w:t>
      </w:r>
      <w:r>
        <w:rPr>
          <w:rFonts w:ascii="宋体" w:hAnsi="宋体" w:eastAsia="仿宋_GB2312"/>
          <w:sz w:val="32"/>
        </w:rPr>
        <w:t>作为采购人代表参与开标和评标</w:t>
      </w:r>
      <w:r>
        <w:rPr>
          <w:rFonts w:hint="eastAsia" w:ascii="宋体" w:hAnsi="宋体" w:eastAsia="仿宋_GB2312"/>
          <w:sz w:val="32"/>
          <w:lang w:eastAsia="zh-CN"/>
        </w:rPr>
        <w:t>，</w:t>
      </w:r>
      <w:r>
        <w:rPr>
          <w:rFonts w:hint="eastAsia" w:ascii="宋体" w:hAnsi="宋体" w:eastAsia="仿宋_GB2312"/>
          <w:sz w:val="32"/>
          <w:lang w:val="en-US" w:eastAsia="zh-CN"/>
        </w:rPr>
        <w:t>党建办、驻局纪检组</w:t>
      </w:r>
      <w:r>
        <w:rPr>
          <w:rFonts w:ascii="宋体" w:hAnsi="宋体" w:eastAsia="仿宋_GB2312"/>
          <w:sz w:val="32"/>
        </w:rPr>
        <w:t>对开标评标环节进行全程监督。</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rPr>
      </w:pPr>
      <w:r>
        <w:rPr>
          <w:rFonts w:hint="eastAsia" w:ascii="宋体" w:hAnsi="宋体" w:eastAsia="楷体_GB2312" w:cs="楷体_GB2312"/>
          <w:sz w:val="32"/>
          <w:lang w:val="en-US" w:eastAsia="zh-CN"/>
        </w:rPr>
        <w:t>（四）确认中标结果。</w:t>
      </w:r>
      <w:r>
        <w:rPr>
          <w:rFonts w:ascii="宋体" w:hAnsi="宋体" w:eastAsia="仿宋_GB2312"/>
          <w:sz w:val="32"/>
        </w:rPr>
        <w:t>评审结束</w:t>
      </w:r>
      <w:r>
        <w:rPr>
          <w:rFonts w:hint="eastAsia" w:ascii="宋体" w:hAnsi="宋体" w:eastAsia="仿宋_GB2312"/>
          <w:sz w:val="32"/>
          <w:lang w:val="en-US" w:eastAsia="zh-CN"/>
        </w:rPr>
        <w:t>之日起1个工作日内确定采购结果，对中标供应商发出中标通知书，并在“河南省政府采购网”上公告中标结果。</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rPr>
      </w:pPr>
      <w:r>
        <w:rPr>
          <w:rFonts w:hint="eastAsia" w:ascii="宋体" w:hAnsi="宋体" w:eastAsia="楷体_GB2312" w:cs="楷体_GB2312"/>
          <w:sz w:val="32"/>
          <w:lang w:val="en-US" w:eastAsia="zh-CN"/>
        </w:rPr>
        <w:t>（五）合同签订和备案。</w:t>
      </w:r>
      <w:r>
        <w:rPr>
          <w:rFonts w:hint="eastAsia" w:ascii="宋体" w:hAnsi="宋体" w:eastAsia="仿宋_GB2312"/>
          <w:sz w:val="32"/>
          <w:lang w:val="en-US" w:eastAsia="zh-CN"/>
        </w:rPr>
        <w:t>中标通知书发出之日起1个工作日内，按照采购文件确定的事项与中标供应商签订政府采购合同，由财务审计科在“河南省政府采购网”上进行备案。</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宋体" w:hAnsi="宋体" w:eastAsia="仿宋_GB2312"/>
          <w:sz w:val="32"/>
          <w:lang w:val="en-US" w:eastAsia="zh-CN"/>
        </w:rPr>
      </w:pPr>
      <w:r>
        <w:rPr>
          <w:rFonts w:hint="eastAsia" w:ascii="宋体" w:hAnsi="宋体" w:eastAsia="楷体_GB2312" w:cs="楷体_GB2312"/>
          <w:sz w:val="32"/>
          <w:lang w:val="en-US" w:eastAsia="zh-CN"/>
        </w:rPr>
        <w:t>（六）项目日常管理。</w:t>
      </w:r>
      <w:r>
        <w:rPr>
          <w:rFonts w:hint="eastAsia" w:ascii="宋体" w:hAnsi="宋体" w:eastAsia="仿宋_GB2312"/>
          <w:sz w:val="32"/>
          <w:lang w:val="en-US" w:eastAsia="zh-CN"/>
        </w:rPr>
        <w:t>业务科室根据合同约定，对项目实施方进行日常管理，发现未按合同约定实施的及时纠正，需要变更合同约定的，报请局党组会议（局长办公会议）研究同意后，由业务科室与项目实施方签订补充协议。</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ascii="宋体" w:hAnsi="宋体" w:eastAsia="仿宋_GB2312"/>
          <w:sz w:val="32"/>
        </w:rPr>
      </w:pPr>
      <w:r>
        <w:rPr>
          <w:rFonts w:hint="eastAsia" w:ascii="宋体" w:hAnsi="宋体" w:eastAsia="楷体_GB2312" w:cs="楷体_GB2312"/>
          <w:sz w:val="32"/>
          <w:lang w:val="en-US" w:eastAsia="zh-CN"/>
        </w:rPr>
        <w:t>（七）项目验收。</w:t>
      </w:r>
      <w:r>
        <w:rPr>
          <w:rFonts w:hint="eastAsia" w:ascii="宋体" w:hAnsi="宋体" w:eastAsia="仿宋_GB2312"/>
          <w:sz w:val="32"/>
          <w:lang w:val="en-US" w:eastAsia="zh-CN"/>
        </w:rPr>
        <w:t>业务</w:t>
      </w:r>
      <w:r>
        <w:rPr>
          <w:rFonts w:ascii="宋体" w:hAnsi="宋体" w:eastAsia="仿宋_GB2312"/>
          <w:sz w:val="32"/>
        </w:rPr>
        <w:t>科室</w:t>
      </w:r>
      <w:r>
        <w:rPr>
          <w:rFonts w:hint="eastAsia" w:ascii="宋体" w:hAnsi="宋体" w:eastAsia="仿宋_GB2312"/>
          <w:sz w:val="32"/>
          <w:lang w:val="en-US" w:eastAsia="zh-CN"/>
        </w:rPr>
        <w:t>在项目完成后，</w:t>
      </w:r>
      <w:r>
        <w:rPr>
          <w:rFonts w:ascii="宋体" w:hAnsi="宋体" w:eastAsia="仿宋_GB2312"/>
          <w:sz w:val="32"/>
        </w:rPr>
        <w:t>应当</w:t>
      </w:r>
      <w:r>
        <w:rPr>
          <w:rFonts w:hint="eastAsia" w:ascii="宋体" w:hAnsi="宋体" w:eastAsia="仿宋_GB2312"/>
          <w:sz w:val="32"/>
          <w:lang w:val="en-US" w:eastAsia="zh-CN"/>
        </w:rPr>
        <w:t>会同局招投标办公室</w:t>
      </w:r>
      <w:r>
        <w:rPr>
          <w:rFonts w:ascii="宋体" w:hAnsi="宋体" w:eastAsia="仿宋_GB2312"/>
          <w:sz w:val="32"/>
        </w:rPr>
        <w:t>根据采购项目的具体情况，自行组织项目验收或者委托</w:t>
      </w:r>
      <w:r>
        <w:rPr>
          <w:rFonts w:hint="eastAsia" w:ascii="宋体" w:hAnsi="宋体" w:eastAsia="仿宋_GB2312"/>
          <w:sz w:val="32"/>
          <w:lang w:val="en-US" w:eastAsia="zh-CN"/>
        </w:rPr>
        <w:t>第三方</w:t>
      </w:r>
      <w:r>
        <w:rPr>
          <w:rFonts w:ascii="宋体" w:hAnsi="宋体" w:eastAsia="仿宋_GB2312"/>
          <w:sz w:val="32"/>
        </w:rPr>
        <w:t>代理机构验收；委托机构进行履约验收的，应当对验收结果进行书面确认。验收工作应当包括合同规定的技术、服务、安全标准等方面内容。技术复杂、社会影响较大的货物类项目，可以根据需要设置出厂检验、到货检验、安装调试检验、配套服务检验等多重验收环节；服务类项目，可根据项目特点对服务期内的服务实施情况进行分期考核,结合考核情况和服务效果进行验收；工程类项目应当按照行业管理部门规定的标准、方法和内容进行验收。</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rPr>
      </w:pPr>
      <w:r>
        <w:rPr>
          <w:rFonts w:hint="eastAsia" w:ascii="宋体" w:hAnsi="宋体" w:eastAsia="楷体_GB2312" w:cs="楷体_GB2312"/>
          <w:sz w:val="32"/>
          <w:lang w:val="en-US" w:eastAsia="zh-CN"/>
        </w:rPr>
        <w:t>（八）资料归档。</w:t>
      </w:r>
      <w:r>
        <w:rPr>
          <w:rFonts w:hint="eastAsia" w:ascii="宋体" w:hAnsi="宋体" w:eastAsia="仿宋_GB2312"/>
          <w:sz w:val="32"/>
          <w:lang w:val="en-US" w:eastAsia="zh-CN"/>
        </w:rPr>
        <w:t>业务</w:t>
      </w:r>
      <w:r>
        <w:rPr>
          <w:rFonts w:hint="eastAsia" w:ascii="宋体" w:hAnsi="宋体" w:eastAsia="仿宋_GB2312"/>
          <w:sz w:val="32"/>
        </w:rPr>
        <w:t>科室在项目</w:t>
      </w:r>
      <w:r>
        <w:rPr>
          <w:rFonts w:hint="eastAsia" w:ascii="宋体" w:hAnsi="宋体" w:eastAsia="仿宋_GB2312"/>
          <w:sz w:val="32"/>
          <w:lang w:val="en-US" w:eastAsia="zh-CN"/>
        </w:rPr>
        <w:t>完成后，</w:t>
      </w:r>
      <w:r>
        <w:rPr>
          <w:rFonts w:hint="eastAsia" w:ascii="宋体" w:hAnsi="宋体" w:eastAsia="仿宋_GB2312"/>
          <w:sz w:val="32"/>
        </w:rPr>
        <w:t>应及时</w:t>
      </w:r>
      <w:r>
        <w:rPr>
          <w:rFonts w:hint="eastAsia" w:ascii="宋体" w:hAnsi="宋体" w:eastAsia="仿宋_GB2312"/>
          <w:sz w:val="32"/>
          <w:lang w:val="en-US" w:eastAsia="zh-CN"/>
        </w:rPr>
        <w:t>将项目全部资料</w:t>
      </w:r>
      <w:r>
        <w:rPr>
          <w:rFonts w:hint="eastAsia" w:ascii="宋体" w:hAnsi="宋体" w:eastAsia="仿宋_GB2312"/>
          <w:sz w:val="32"/>
        </w:rPr>
        <w:t>整理、移交</w:t>
      </w:r>
      <w:r>
        <w:rPr>
          <w:rFonts w:hint="eastAsia" w:ascii="宋体" w:hAnsi="宋体" w:eastAsia="仿宋_GB2312"/>
          <w:sz w:val="32"/>
          <w:lang w:val="en-US" w:eastAsia="zh-CN"/>
        </w:rPr>
        <w:t>局档案室后，再支付项目尾款，并做好</w:t>
      </w:r>
      <w:r>
        <w:rPr>
          <w:rFonts w:hint="eastAsia" w:ascii="宋体" w:hAnsi="宋体" w:eastAsia="仿宋_GB2312"/>
          <w:sz w:val="32"/>
        </w:rPr>
        <w:t xml:space="preserve">归档和资产登记等。   </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宋体" w:hAnsi="宋体" w:eastAsia="仿宋_GB2312"/>
          <w:sz w:val="32"/>
          <w:lang w:val="en-US" w:eastAsia="zh-CN"/>
        </w:rPr>
      </w:pPr>
      <w:r>
        <w:rPr>
          <w:rFonts w:hint="eastAsia" w:ascii="宋体" w:hAnsi="宋体" w:eastAsia="楷体_GB2312" w:cs="楷体_GB2312"/>
          <w:sz w:val="32"/>
          <w:lang w:val="en-US" w:eastAsia="zh-CN"/>
        </w:rPr>
        <w:t>（九）</w:t>
      </w:r>
      <w:r>
        <w:rPr>
          <w:rFonts w:hint="eastAsia" w:ascii="宋体" w:hAnsi="宋体" w:eastAsia="仿宋_GB2312"/>
          <w:sz w:val="32"/>
          <w:lang w:val="en-US" w:eastAsia="zh-CN"/>
        </w:rPr>
        <w:t>本《通知》仅适用于生态环境局实施的项目。</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eastAsia" w:ascii="宋体" w:hAnsi="宋体"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宋体" w:hAnsi="宋体" w:eastAsia="仿宋_GB2312"/>
          <w:sz w:val="32"/>
          <w:lang w:val="en-US" w:eastAsia="zh-CN"/>
        </w:rPr>
      </w:pPr>
      <w:r>
        <w:rPr>
          <w:rFonts w:hint="eastAsia" w:ascii="宋体" w:hAnsi="宋体" w:eastAsia="仿宋_GB2312"/>
          <w:sz w:val="32"/>
          <w:lang w:val="en-US" w:eastAsia="zh-CN"/>
        </w:rPr>
        <w:t>附件：关于成立招投标领导小组的通知</w:t>
      </w:r>
    </w:p>
    <w:p>
      <w:pPr>
        <w:keepNext w:val="0"/>
        <w:keepLines w:val="0"/>
        <w:pageBreakBefore w:val="0"/>
        <w:widowControl w:val="0"/>
        <w:kinsoku/>
        <w:wordWrap/>
        <w:overflowPunct/>
        <w:topLinePunct w:val="0"/>
        <w:autoSpaceDE/>
        <w:autoSpaceDN/>
        <w:bidi w:val="0"/>
        <w:adjustRightInd/>
        <w:snapToGrid/>
        <w:spacing w:line="590" w:lineRule="exact"/>
        <w:textAlignment w:val="auto"/>
        <w:rPr>
          <w:rFonts w:hint="eastAsia" w:ascii="宋体" w:hAnsi="宋体"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rPr>
      </w:pP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sz w:val="32"/>
        </w:rPr>
      </w:pPr>
    </w:p>
    <w:p>
      <w:pPr>
        <w:keepNext w:val="0"/>
        <w:keepLines w:val="0"/>
        <w:pageBreakBefore w:val="0"/>
        <w:widowControl w:val="0"/>
        <w:kinsoku/>
        <w:wordWrap/>
        <w:overflowPunct/>
        <w:topLinePunct w:val="0"/>
        <w:autoSpaceDE/>
        <w:autoSpaceDN/>
        <w:bidi w:val="0"/>
        <w:adjustRightInd/>
        <w:snapToGrid/>
        <w:spacing w:line="590" w:lineRule="exact"/>
        <w:ind w:firstLine="5120" w:firstLineChars="1600"/>
        <w:textAlignment w:val="auto"/>
        <w:rPr>
          <w:rFonts w:hint="eastAsia" w:ascii="宋体" w:hAnsi="宋体" w:eastAsia="仿宋_GB2312"/>
          <w:sz w:val="32"/>
        </w:rPr>
        <w:sectPr>
          <w:headerReference r:id="rId3" w:type="default"/>
          <w:footerReference r:id="rId4" w:type="default"/>
          <w:pgSz w:w="11905" w:h="16838"/>
          <w:pgMar w:top="1871" w:right="1474" w:bottom="1701" w:left="1587" w:header="850" w:footer="1531" w:gutter="0"/>
          <w:pgNumType w:fmt="decimal"/>
          <w:cols w:space="0" w:num="1"/>
          <w:rtlGutter w:val="0"/>
          <w:docGrid w:type="lines" w:linePitch="315" w:charSpace="0"/>
        </w:sectPr>
      </w:pPr>
      <w:r>
        <w:rPr>
          <w:rFonts w:hint="eastAsia" w:ascii="宋体" w:hAnsi="宋体" w:eastAsia="仿宋_GB2312"/>
          <w:sz w:val="32"/>
        </w:rPr>
        <w:t>202</w:t>
      </w:r>
      <w:r>
        <w:rPr>
          <w:rFonts w:hint="eastAsia" w:ascii="宋体" w:hAnsi="宋体" w:eastAsia="仿宋_GB2312"/>
          <w:sz w:val="32"/>
          <w:lang w:val="en-US" w:eastAsia="zh-CN"/>
        </w:rPr>
        <w:t>4</w:t>
      </w:r>
      <w:r>
        <w:rPr>
          <w:rFonts w:hint="eastAsia" w:ascii="宋体" w:hAnsi="宋体" w:eastAsia="仿宋_GB2312"/>
          <w:sz w:val="32"/>
        </w:rPr>
        <w:t>年</w:t>
      </w:r>
      <w:r>
        <w:rPr>
          <w:rFonts w:hint="eastAsia" w:ascii="宋体" w:hAnsi="宋体" w:eastAsia="仿宋_GB2312"/>
          <w:sz w:val="32"/>
          <w:lang w:val="en-US" w:eastAsia="zh-CN"/>
        </w:rPr>
        <w:t>1</w:t>
      </w:r>
      <w:r>
        <w:rPr>
          <w:rFonts w:hint="eastAsia" w:ascii="宋体" w:hAnsi="宋体" w:eastAsia="仿宋_GB2312"/>
          <w:sz w:val="32"/>
        </w:rPr>
        <w:t>月</w:t>
      </w:r>
      <w:r>
        <w:rPr>
          <w:rFonts w:hint="eastAsia" w:ascii="宋体" w:hAnsi="宋体" w:eastAsia="仿宋_GB2312"/>
          <w:sz w:val="32"/>
          <w:lang w:val="en-US" w:eastAsia="zh-CN"/>
        </w:rPr>
        <w:t>9</w:t>
      </w:r>
      <w:r>
        <w:rPr>
          <w:rFonts w:hint="eastAsia" w:ascii="宋体" w:hAnsi="宋体" w:eastAsia="仿宋_GB2312"/>
          <w:sz w:val="32"/>
        </w:rPr>
        <w:t>日</w:t>
      </w:r>
    </w:p>
    <w:p>
      <w:pPr>
        <w:keepNext w:val="0"/>
        <w:keepLines w:val="0"/>
        <w:pageBreakBefore w:val="0"/>
        <w:widowControl w:val="0"/>
        <w:kinsoku/>
        <w:wordWrap/>
        <w:overflowPunct/>
        <w:topLinePunct w:val="0"/>
        <w:autoSpaceDE/>
        <w:autoSpaceDN/>
        <w:bidi w:val="0"/>
        <w:adjustRightInd/>
        <w:snapToGrid/>
        <w:spacing w:line="700" w:lineRule="exact"/>
        <w:jc w:val="both"/>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附 件</w:t>
      </w:r>
    </w:p>
    <w:p>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eastAsia" w:ascii="黑体" w:hAnsi="黑体" w:eastAsia="黑体" w:cs="黑体"/>
          <w:sz w:val="3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宋体" w:hAnsi="宋体" w:eastAsia="方正小标宋简体" w:cs="方正小标宋简体"/>
          <w:b w:val="0"/>
          <w:bCs/>
          <w:smallCaps w:val="0"/>
          <w:color w:val="000000" w:themeColor="text1"/>
          <w:sz w:val="44"/>
          <w:szCs w:val="44"/>
          <w14:textFill>
            <w14:solidFill>
              <w14:schemeClr w14:val="tx1"/>
            </w14:solidFill>
          </w14:textFill>
        </w:rPr>
      </w:pPr>
      <w:r>
        <w:rPr>
          <w:rFonts w:hint="eastAsia" w:ascii="宋体" w:hAnsi="宋体" w:eastAsia="方正小标宋简体" w:cs="方正小标宋简体"/>
          <w:b w:val="0"/>
          <w:bCs/>
          <w:smallCaps w:val="0"/>
          <w:color w:val="000000" w:themeColor="text1"/>
          <w:sz w:val="44"/>
          <w:szCs w:val="44"/>
          <w14:textFill>
            <w14:solidFill>
              <w14:schemeClr w14:val="tx1"/>
            </w14:solidFill>
          </w14:textFill>
        </w:rPr>
        <w:t>济源示范区生态环境局</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pPr>
      <w:r>
        <w:rPr>
          <w:rFonts w:hint="eastAsia" w:ascii="宋体" w:hAnsi="宋体" w:eastAsia="方正小标宋简体" w:cs="方正小标宋简体"/>
          <w:b w:val="0"/>
          <w:bCs/>
          <w:smallCaps w:val="0"/>
          <w:color w:val="000000" w:themeColor="text1"/>
          <w:sz w:val="44"/>
          <w:szCs w:val="44"/>
          <w:lang w:val="en-US" w:eastAsia="zh-CN"/>
          <w14:textFill>
            <w14:solidFill>
              <w14:schemeClr w14:val="tx1"/>
            </w14:solidFill>
          </w14:textFill>
        </w:rPr>
        <w:t>关于成立招投标领导小组的通知</w:t>
      </w:r>
    </w:p>
    <w:p>
      <w:pPr>
        <w:keepNext w:val="0"/>
        <w:keepLines w:val="0"/>
        <w:pageBreakBefore w:val="0"/>
        <w:widowControl w:val="0"/>
        <w:kinsoku/>
        <w:wordWrap/>
        <w:overflowPunct/>
        <w:topLinePunct w:val="0"/>
        <w:autoSpaceDE/>
        <w:autoSpaceDN/>
        <w:bidi w:val="0"/>
        <w:adjustRightInd/>
        <w:snapToGrid/>
        <w:spacing w:line="300" w:lineRule="exact"/>
        <w:ind w:firstLine="640" w:firstLineChars="200"/>
        <w:textAlignment w:val="auto"/>
        <w:rPr>
          <w:rFonts w:hint="eastAsia" w:ascii="宋体" w:hAnsi="宋体" w:eastAsia="仿宋_GB2312"/>
          <w:sz w:val="32"/>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ascii="宋体" w:hAnsi="宋体" w:eastAsia="仿宋_GB2312"/>
          <w:sz w:val="32"/>
          <w:lang w:val="en-US" w:eastAsia="zh-CN"/>
        </w:rPr>
      </w:pPr>
      <w:r>
        <w:rPr>
          <w:rFonts w:hint="eastAsia" w:ascii="宋体" w:hAnsi="宋体" w:eastAsia="仿宋_GB2312"/>
          <w:sz w:val="32"/>
          <w:lang w:val="en-US" w:eastAsia="zh-CN"/>
        </w:rPr>
        <w:t>机关各科室，局属各二级机构：</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宋体" w:hAnsi="宋体" w:eastAsia="仿宋_GB2312"/>
          <w:sz w:val="32"/>
          <w:lang w:val="en-US" w:eastAsia="zh-CN"/>
        </w:rPr>
      </w:pPr>
      <w:r>
        <w:rPr>
          <w:rFonts w:ascii="宋体" w:hAnsi="宋体" w:eastAsia="仿宋_GB2312"/>
          <w:sz w:val="32"/>
        </w:rPr>
        <w:t>为进一步规范</w:t>
      </w:r>
      <w:r>
        <w:rPr>
          <w:rFonts w:hint="eastAsia" w:ascii="宋体" w:hAnsi="宋体" w:eastAsia="仿宋_GB2312"/>
          <w:sz w:val="32"/>
          <w:lang w:val="en-US" w:eastAsia="zh-CN"/>
        </w:rPr>
        <w:t>上级专项资金项目全过程管理</w:t>
      </w:r>
      <w:r>
        <w:rPr>
          <w:rFonts w:ascii="宋体" w:hAnsi="宋体" w:eastAsia="仿宋_GB2312"/>
          <w:sz w:val="32"/>
        </w:rPr>
        <w:t>，提高资金使用效益，有效预防廉政风险，</w:t>
      </w:r>
      <w:r>
        <w:rPr>
          <w:rFonts w:hint="eastAsia" w:ascii="宋体" w:hAnsi="宋体" w:eastAsia="仿宋_GB2312"/>
          <w:sz w:val="32"/>
          <w:lang w:val="en-US" w:eastAsia="zh-CN"/>
        </w:rPr>
        <w:t>现</w:t>
      </w:r>
      <w:bookmarkStart w:id="0" w:name="_GoBack"/>
      <w:bookmarkEnd w:id="0"/>
      <w:r>
        <w:rPr>
          <w:rFonts w:hint="eastAsia" w:ascii="宋体" w:hAnsi="宋体" w:eastAsia="仿宋_GB2312"/>
          <w:sz w:val="32"/>
          <w:lang w:val="en-US" w:eastAsia="zh-CN"/>
        </w:rPr>
        <w:t>成立招投标领导小组：</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宋体" w:hAnsi="宋体" w:eastAsia="仿宋_GB2312"/>
          <w:sz w:val="32"/>
          <w:lang w:val="en-US" w:eastAsia="zh-CN"/>
        </w:rPr>
      </w:pPr>
      <w:r>
        <w:rPr>
          <w:rFonts w:hint="eastAsia" w:ascii="宋体" w:hAnsi="宋体" w:eastAsia="仿宋_GB2312"/>
          <w:sz w:val="32"/>
          <w:lang w:val="en-US" w:eastAsia="zh-CN"/>
        </w:rPr>
        <w:t>组  长：赵中兴  杨  峰</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宋体" w:hAnsi="宋体" w:eastAsia="仿宋_GB2312"/>
          <w:sz w:val="32"/>
          <w:lang w:val="en-US" w:eastAsia="zh-CN"/>
        </w:rPr>
      </w:pPr>
      <w:r>
        <w:rPr>
          <w:rFonts w:hint="eastAsia" w:ascii="宋体" w:hAnsi="宋体" w:eastAsia="仿宋_GB2312"/>
          <w:sz w:val="32"/>
          <w:lang w:val="en-US" w:eastAsia="zh-CN"/>
        </w:rPr>
        <w:t xml:space="preserve">副组长：卢  强  李真理  杨志成  王雪峰  </w:t>
      </w:r>
    </w:p>
    <w:p>
      <w:pPr>
        <w:keepNext w:val="0"/>
        <w:keepLines w:val="0"/>
        <w:pageBreakBefore w:val="0"/>
        <w:widowControl w:val="0"/>
        <w:kinsoku/>
        <w:wordWrap/>
        <w:overflowPunct/>
        <w:topLinePunct w:val="0"/>
        <w:autoSpaceDE/>
        <w:autoSpaceDN/>
        <w:bidi w:val="0"/>
        <w:adjustRightInd/>
        <w:snapToGrid/>
        <w:spacing w:line="580" w:lineRule="exact"/>
        <w:ind w:firstLine="1920" w:firstLineChars="600"/>
        <w:textAlignment w:val="auto"/>
        <w:rPr>
          <w:rFonts w:hint="eastAsia" w:ascii="宋体" w:hAnsi="宋体" w:eastAsia="仿宋_GB2312"/>
          <w:sz w:val="32"/>
          <w:lang w:val="en-US" w:eastAsia="zh-CN"/>
        </w:rPr>
      </w:pPr>
      <w:r>
        <w:rPr>
          <w:rFonts w:hint="eastAsia" w:ascii="宋体" w:hAnsi="宋体" w:eastAsia="仿宋_GB2312"/>
          <w:sz w:val="32"/>
          <w:lang w:val="en-US" w:eastAsia="zh-CN"/>
        </w:rPr>
        <w:t>赵宗生  李海建  晁海燕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宋体" w:hAnsi="宋体" w:eastAsia="仿宋_GB2312"/>
          <w:sz w:val="32"/>
          <w:lang w:val="en-US" w:eastAsia="zh-CN"/>
        </w:rPr>
      </w:pPr>
      <w:r>
        <w:rPr>
          <w:rFonts w:hint="eastAsia" w:ascii="宋体" w:hAnsi="宋体" w:eastAsia="仿宋_GB2312"/>
          <w:sz w:val="32"/>
          <w:lang w:val="en-US" w:eastAsia="zh-CN"/>
        </w:rPr>
        <w:t>领导小组下设招投标办公室和专家组，招投标办公室设在局办公室，李真理任办公室主任，常丽任办公室副主任，成员由局办公室（财务审计科）、综合科相关人员组成。招投标办公室负责项目采购管理工作，具体负责项目预算评审、代理机构选取、意向发布。</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宋体" w:hAnsi="宋体" w:eastAsia="仿宋_GB2312"/>
          <w:sz w:val="32"/>
          <w:lang w:val="en-US" w:eastAsia="zh-CN"/>
        </w:rPr>
      </w:pPr>
      <w:r>
        <w:rPr>
          <w:rFonts w:hint="eastAsia" w:ascii="宋体" w:hAnsi="宋体" w:eastAsia="仿宋_GB2312"/>
          <w:sz w:val="32"/>
          <w:lang w:val="en-US" w:eastAsia="zh-CN"/>
        </w:rPr>
        <w:t>专家组由具有高级以上职称的专业技术人员和局机关科级以上干部或科室负责人组成，全程负责项目的技术支持，作为业主代表参加评标，并参与项目验收。（具有高级以上职称人员：陈建民、卢一富、刘海珍、姚东平、李继明、马诗院、汤争争、赵永军、焦玉字、周鹏、刘滨、曹柳、李爱霞、原周、郑伟、琚会艳）</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宋体" w:hAnsi="宋体" w:eastAsia="仿宋" w:cs="仿宋_GB2312"/>
          <w:szCs w:val="32"/>
          <w:u w:val="none"/>
          <w:lang w:val="en-US" w:eastAsia="zh-CN"/>
        </w:rPr>
      </w:pPr>
      <w:r>
        <w:rPr>
          <w:rFonts w:hint="eastAsia" w:ascii="宋体" w:hAnsi="宋体" w:eastAsia="仿宋_GB2312"/>
          <w:sz w:val="32"/>
          <w:lang w:val="en-US" w:eastAsia="zh-CN"/>
        </w:rPr>
        <w:t>局党建办、驻局纪检组负责项目开标监督。</w:t>
      </w:r>
    </w:p>
    <w:p>
      <w:pPr>
        <w:keepNext w:val="0"/>
        <w:keepLines w:val="0"/>
        <w:pageBreakBefore w:val="0"/>
        <w:widowControl w:val="0"/>
        <w:kinsoku/>
        <w:wordWrap/>
        <w:overflowPunct/>
        <w:topLinePunct w:val="0"/>
        <w:autoSpaceDE/>
        <w:autoSpaceDN/>
        <w:bidi w:val="0"/>
        <w:adjustRightInd/>
        <w:snapToGrid/>
        <w:spacing w:line="580" w:lineRule="exact"/>
        <w:ind w:firstLine="5440" w:firstLineChars="1700"/>
        <w:textAlignment w:val="auto"/>
        <w:rPr>
          <w:rFonts w:hint="eastAsia" w:ascii="宋体" w:hAnsi="宋体" w:eastAsia="仿宋_GB2312" w:cs="仿宋_GB2312"/>
          <w:sz w:val="32"/>
          <w:szCs w:val="32"/>
        </w:rPr>
        <w:sectPr>
          <w:pgSz w:w="11905" w:h="16838"/>
          <w:pgMar w:top="1871" w:right="1474" w:bottom="1701" w:left="1587" w:header="850" w:footer="1531" w:gutter="0"/>
          <w:pgNumType w:fmt="decimal"/>
          <w:cols w:space="0" w:num="1"/>
          <w:rtlGutter w:val="0"/>
          <w:docGrid w:type="lines" w:linePitch="315" w:charSpace="0"/>
        </w:sect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9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900" w:lineRule="exact"/>
        <w:ind w:firstLine="5440" w:firstLineChars="1700"/>
        <w:textAlignment w:val="auto"/>
        <w:rPr>
          <w:rFonts w:hint="eastAsia" w:ascii="宋体" w:hAnsi="宋体"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仿宋_GB2312" w:cs="仿宋_GB2312"/>
          <w:sz w:val="32"/>
          <w:szCs w:val="32"/>
          <w:lang w:val="en-US" w:eastAsia="zh-CN"/>
        </w:rPr>
      </w:pPr>
    </w:p>
    <w:tbl>
      <w:tblPr>
        <w:tblStyle w:val="19"/>
        <w:tblW w:w="8740" w:type="dxa"/>
        <w:jc w:val="center"/>
        <w:tblBorders>
          <w:top w:val="single" w:color="auto" w:sz="4" w:space="0"/>
          <w:left w:val="none" w:color="auto" w:sz="0" w:space="0"/>
          <w:bottom w:val="single" w:color="auto" w:sz="4" w:space="0"/>
          <w:right w:val="none" w:color="auto" w:sz="0" w:space="0"/>
          <w:insideH w:val="single" w:color="auto" w:sz="4" w:space="0"/>
          <w:insideV w:val="none" w:color="auto" w:sz="0" w:space="0"/>
        </w:tblBorders>
        <w:tblLayout w:type="fixed"/>
        <w:tblCellMar>
          <w:top w:w="0" w:type="dxa"/>
          <w:left w:w="108" w:type="dxa"/>
          <w:bottom w:w="0" w:type="dxa"/>
          <w:right w:w="108" w:type="dxa"/>
        </w:tblCellMar>
      </w:tblPr>
      <w:tblGrid>
        <w:gridCol w:w="8740"/>
      </w:tblGrid>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CellMar>
            <w:top w:w="0" w:type="dxa"/>
            <w:left w:w="108" w:type="dxa"/>
            <w:bottom w:w="0" w:type="dxa"/>
            <w:right w:w="108" w:type="dxa"/>
          </w:tblCellMar>
        </w:tblPrEx>
        <w:trPr>
          <w:trHeight w:val="567" w:hRule="exact"/>
          <w:jc w:val="center"/>
        </w:trPr>
        <w:tc>
          <w:tcPr>
            <w:tcW w:w="87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159" w:firstLineChars="60"/>
              <w:jc w:val="left"/>
              <w:textAlignment w:val="auto"/>
              <w:rPr>
                <w:rFonts w:hint="eastAsia" w:ascii="宋体" w:hAnsi="宋体" w:eastAsia="仿宋_GB2312"/>
                <w:b w:val="0"/>
                <w:bCs/>
                <w:smallCaps w:val="0"/>
                <w:color w:val="000000" w:themeColor="text1"/>
                <w:spacing w:val="-9"/>
                <w:sz w:val="28"/>
                <w:szCs w:val="28"/>
                <w:lang w:eastAsia="zh-CN"/>
                <w14:textFill>
                  <w14:solidFill>
                    <w14:schemeClr w14:val="tx1"/>
                  </w14:solidFill>
                </w14:textFill>
              </w:rPr>
            </w:pPr>
            <w:r>
              <w:rPr>
                <w:rFonts w:hint="eastAsia" w:ascii="宋体" w:hAnsi="宋体" w:eastAsia="仿宋_GB2312" w:cs="仿宋_GB2312"/>
                <w:b w:val="0"/>
                <w:bCs/>
                <w:smallCaps w:val="0"/>
                <w:color w:val="000000" w:themeColor="text1"/>
                <w:spacing w:val="-7"/>
                <w:sz w:val="28"/>
                <w:szCs w:val="28"/>
                <w14:textFill>
                  <w14:solidFill>
                    <w14:schemeClr w14:val="tx1"/>
                  </w14:solidFill>
                </w14:textFill>
              </w:rPr>
              <w:t>济源产城融合示范区生态环境局办公室</w:t>
            </w:r>
            <w:r>
              <w:rPr>
                <w:rFonts w:hint="eastAsia" w:ascii="宋体" w:hAnsi="宋体" w:eastAsia="仿宋_GB2312" w:cs="仿宋_GB2312"/>
                <w:b w:val="0"/>
                <w:bCs/>
                <w:smallCaps w:val="0"/>
                <w:color w:val="000000" w:themeColor="text1"/>
                <w:spacing w:val="-7"/>
                <w:sz w:val="28"/>
                <w:szCs w:val="28"/>
                <w:lang w:val="en-US" w:eastAsia="zh-CN"/>
                <w14:textFill>
                  <w14:solidFill>
                    <w14:schemeClr w14:val="tx1"/>
                  </w14:solidFill>
                </w14:textFill>
              </w:rPr>
              <w:t xml:space="preserve">           </w:t>
            </w:r>
            <w:r>
              <w:rPr>
                <w:rFonts w:hint="eastAsia" w:ascii="宋体" w:hAnsi="宋体" w:eastAsia="新宋体" w:cs="宋体"/>
                <w:b w:val="0"/>
                <w:bCs/>
                <w:smallCaps w:val="0"/>
                <w:color w:val="000000" w:themeColor="text1"/>
                <w:spacing w:val="-7"/>
                <w:sz w:val="28"/>
                <w:szCs w:val="28"/>
                <w14:textFill>
                  <w14:solidFill>
                    <w14:schemeClr w14:val="tx1"/>
                  </w14:solidFill>
                </w14:textFill>
              </w:rPr>
              <w:t>202</w:t>
            </w:r>
            <w:r>
              <w:rPr>
                <w:rFonts w:hint="eastAsia" w:ascii="宋体" w:hAnsi="宋体" w:eastAsia="新宋体" w:cs="宋体"/>
                <w:b w:val="0"/>
                <w:bCs/>
                <w:smallCaps w:val="0"/>
                <w:color w:val="000000" w:themeColor="text1"/>
                <w:spacing w:val="-7"/>
                <w:sz w:val="28"/>
                <w:szCs w:val="28"/>
                <w:lang w:val="en-US" w:eastAsia="zh-CN"/>
                <w14:textFill>
                  <w14:solidFill>
                    <w14:schemeClr w14:val="tx1"/>
                  </w14:solidFill>
                </w14:textFill>
              </w:rPr>
              <w:t>4</w:t>
            </w:r>
            <w:r>
              <w:rPr>
                <w:rFonts w:hint="eastAsia" w:ascii="宋体" w:hAnsi="宋体" w:eastAsia="仿宋_GB2312" w:cs="仿宋_GB2312"/>
                <w:b w:val="0"/>
                <w:bCs/>
                <w:smallCaps w:val="0"/>
                <w:color w:val="000000" w:themeColor="text1"/>
                <w:spacing w:val="-7"/>
                <w:sz w:val="28"/>
                <w:szCs w:val="28"/>
                <w14:textFill>
                  <w14:solidFill>
                    <w14:schemeClr w14:val="tx1"/>
                  </w14:solidFill>
                </w14:textFill>
              </w:rPr>
              <w:t>年</w:t>
            </w:r>
            <w:r>
              <w:rPr>
                <w:rFonts w:hint="eastAsia" w:ascii="宋体" w:hAnsi="宋体" w:eastAsia="仿宋_GB2312" w:cs="仿宋_GB2312"/>
                <w:b w:val="0"/>
                <w:bCs/>
                <w:smallCaps w:val="0"/>
                <w:color w:val="000000" w:themeColor="text1"/>
                <w:spacing w:val="-7"/>
                <w:sz w:val="28"/>
                <w:szCs w:val="28"/>
                <w:lang w:val="en-US" w:eastAsia="zh-CN"/>
                <w14:textFill>
                  <w14:solidFill>
                    <w14:schemeClr w14:val="tx1"/>
                  </w14:solidFill>
                </w14:textFill>
              </w:rPr>
              <w:t>1月9</w:t>
            </w:r>
            <w:r>
              <w:rPr>
                <w:rFonts w:hint="eastAsia" w:ascii="宋体" w:hAnsi="宋体" w:eastAsia="仿宋_GB2312" w:cs="仿宋_GB2312"/>
                <w:b w:val="0"/>
                <w:bCs/>
                <w:smallCaps w:val="0"/>
                <w:color w:val="000000" w:themeColor="text1"/>
                <w:spacing w:val="-7"/>
                <w:sz w:val="28"/>
                <w:szCs w:val="28"/>
                <w14:textFill>
                  <w14:solidFill>
                    <w14:schemeClr w14:val="tx1"/>
                  </w14:solidFill>
                </w14:textFill>
              </w:rPr>
              <w:t>日印</w:t>
            </w:r>
            <w:r>
              <w:rPr>
                <w:rFonts w:hint="eastAsia" w:ascii="宋体" w:hAnsi="宋体" w:eastAsia="仿宋_GB2312" w:cs="仿宋_GB2312"/>
                <w:b w:val="0"/>
                <w:bCs/>
                <w:smallCaps w:val="0"/>
                <w:color w:val="000000" w:themeColor="text1"/>
                <w:spacing w:val="-7"/>
                <w:sz w:val="28"/>
                <w:szCs w:val="28"/>
                <w:lang w:eastAsia="zh-CN"/>
                <w14:textFill>
                  <w14:solidFill>
                    <w14:schemeClr w14:val="tx1"/>
                  </w14:solidFill>
                </w14:textFill>
              </w:rPr>
              <w:t>发</w:t>
            </w:r>
          </w:p>
        </w:tc>
      </w:tr>
    </w:tbl>
    <w:p>
      <w:pPr>
        <w:pStyle w:val="25"/>
        <w:keepNext w:val="0"/>
        <w:keepLines w:val="0"/>
        <w:pageBreakBefore w:val="0"/>
        <w:widowControl w:val="0"/>
        <w:kinsoku/>
        <w:wordWrap/>
        <w:overflowPunct/>
        <w:topLinePunct w:val="0"/>
        <w:autoSpaceDE/>
        <w:autoSpaceDN/>
        <w:bidi w:val="0"/>
        <w:adjustRightInd/>
        <w:snapToGrid/>
        <w:spacing w:line="20" w:lineRule="exact"/>
        <w:ind w:left="0" w:leftChars="0" w:firstLine="0" w:firstLineChars="0"/>
        <w:textAlignment w:val="auto"/>
        <w:rPr>
          <w:rFonts w:ascii="宋体" w:hAnsi="宋体"/>
        </w:rPr>
      </w:pPr>
    </w:p>
    <w:sectPr>
      <w:footerReference r:id="rId5" w:type="default"/>
      <w:pgSz w:w="11905" w:h="16838"/>
      <w:pgMar w:top="1871" w:right="1474" w:bottom="1701" w:left="1587" w:header="850" w:footer="1531" w:gutter="0"/>
      <w:pgNumType w:fmt="decimal"/>
      <w:cols w:space="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1C51C094-0418-4BF3-A993-8E85A31769E2}"/>
  </w:font>
  <w:font w:name="Arial">
    <w:panose1 w:val="020B0604020202020204"/>
    <w:charset w:val="01"/>
    <w:family w:val="swiss"/>
    <w:pitch w:val="default"/>
    <w:sig w:usb0="E0002AFF" w:usb1="C0007843" w:usb2="00000009" w:usb3="00000000" w:csb0="400001FF" w:csb1="FFFF0000"/>
    <w:embedRegular r:id="rId2" w:fontKey="{937DB0CA-7225-423E-9A2B-6BD9AF3D74DD}"/>
  </w:font>
  <w:font w:name="黑体">
    <w:panose1 w:val="02010609060101010101"/>
    <w:charset w:val="86"/>
    <w:family w:val="auto"/>
    <w:pitch w:val="default"/>
    <w:sig w:usb0="800002BF" w:usb1="38CF7CFA" w:usb2="00000016" w:usb3="00000000" w:csb0="00040001" w:csb1="00000000"/>
    <w:embedRegular r:id="rId3" w:fontKey="{0A175A70-33D1-47D7-B865-977BABEB2B1F}"/>
  </w:font>
  <w:font w:name="Courier New">
    <w:panose1 w:val="02070309020205020404"/>
    <w:charset w:val="01"/>
    <w:family w:val="modern"/>
    <w:pitch w:val="default"/>
    <w:sig w:usb0="E0002AFF" w:usb1="C0007843" w:usb2="00000009" w:usb3="00000000" w:csb0="400001FF" w:csb1="FFFF0000"/>
    <w:embedRegular r:id="rId4" w:fontKey="{DE221E4A-F961-407C-9974-1F58083ECBBC}"/>
  </w:font>
  <w:font w:name="Symbol">
    <w:panose1 w:val="05050102010706020507"/>
    <w:charset w:val="02"/>
    <w:family w:val="roman"/>
    <w:pitch w:val="default"/>
    <w:sig w:usb0="00000000" w:usb1="00000000" w:usb2="00000000" w:usb3="00000000" w:csb0="80000000" w:csb1="00000000"/>
    <w:embedRegular r:id="rId5" w:fontKey="{8CB07364-9208-4B02-B074-03EBE62D0BAD}"/>
  </w:font>
  <w:font w:name="Calibri">
    <w:panose1 w:val="020F0502020204030204"/>
    <w:charset w:val="00"/>
    <w:family w:val="swiss"/>
    <w:pitch w:val="default"/>
    <w:sig w:usb0="E00002FF" w:usb1="4000ACFF" w:usb2="00000001" w:usb3="00000000" w:csb0="2000019F" w:csb1="00000000"/>
    <w:embedRegular r:id="rId6" w:fontKey="{44877DBF-09F0-417B-9CB1-E0503CE0DD89}"/>
  </w:font>
  <w:font w:name="方正小标宋简体">
    <w:panose1 w:val="03000509000000000000"/>
    <w:charset w:val="86"/>
    <w:family w:val="auto"/>
    <w:pitch w:val="default"/>
    <w:sig w:usb0="00000001" w:usb1="080E0000" w:usb2="00000000" w:usb3="00000000" w:csb0="00040000" w:csb1="00000000"/>
    <w:embedRegular r:id="rId7" w:fontKey="{C057747C-81F6-41EE-B031-C002AC1992EC}"/>
  </w:font>
  <w:font w:name="楷体">
    <w:panose1 w:val="02010609060101010101"/>
    <w:charset w:val="86"/>
    <w:family w:val="auto"/>
    <w:pitch w:val="default"/>
    <w:sig w:usb0="800002BF" w:usb1="38CF7CFA" w:usb2="00000016" w:usb3="00000000" w:csb0="00040001" w:csb1="00000000"/>
    <w:embedRegular r:id="rId8" w:fontKey="{2F216102-5894-4E07-99FA-A49233656AC2}"/>
  </w:font>
  <w:font w:name="Lucida Sans">
    <w:panose1 w:val="020B0602030504020204"/>
    <w:charset w:val="00"/>
    <w:family w:val="auto"/>
    <w:pitch w:val="default"/>
    <w:sig w:usb0="00000000" w:usb1="00000000" w:usb2="00000000" w:usb3="00000000" w:csb0="00000000" w:csb1="00000000"/>
    <w:embedRegular r:id="rId9" w:fontKey="{49325E04-372C-4A24-ACA8-CA459CD29B75}"/>
  </w:font>
  <w:font w:name="仿宋_GB2312">
    <w:panose1 w:val="02010609030101010101"/>
    <w:charset w:val="86"/>
    <w:family w:val="modern"/>
    <w:pitch w:val="default"/>
    <w:sig w:usb0="00000001" w:usb1="080E0000" w:usb2="00000000" w:usb3="00000000" w:csb0="00040000" w:csb1="00000000"/>
    <w:embedRegular r:id="rId10" w:fontKey="{5EE2A5DC-B050-4054-9FDA-E9BCE56CEC66}"/>
  </w:font>
  <w:font w:name="楷体_GB2312">
    <w:panose1 w:val="02010609030101010101"/>
    <w:charset w:val="86"/>
    <w:family w:val="auto"/>
    <w:pitch w:val="default"/>
    <w:sig w:usb0="00000001" w:usb1="080E0000" w:usb2="00000000" w:usb3="00000000" w:csb0="00040000" w:csb1="00000000"/>
    <w:embedRegular r:id="rId11" w:fontKey="{E59A802E-78D6-4B41-A227-5203C97303CD}"/>
  </w:font>
  <w:font w:name="Microsoft JhengHei">
    <w:panose1 w:val="020B0604030504040204"/>
    <w:charset w:val="88"/>
    <w:family w:val="swiss"/>
    <w:pitch w:val="default"/>
    <w:sig w:usb0="00000087" w:usb1="28AF4000" w:usb2="00000016" w:usb3="00000000" w:csb0="00100009" w:csb1="00000000"/>
  </w:font>
  <w:font w:name="ˎ̥">
    <w:altName w:val="华文仿宋"/>
    <w:panose1 w:val="00000000000000000000"/>
    <w:charset w:val="00"/>
    <w:family w:val="roman"/>
    <w:pitch w:val="default"/>
    <w:sig w:usb0="00000000" w:usb1="00000000" w:usb2="00000000" w:usb3="00000000" w:csb0="00040001" w:csb1="00000000"/>
  </w:font>
  <w:font w:name="Arial Unicode MS">
    <w:panose1 w:val="020B0604020202020204"/>
    <w:charset w:val="86"/>
    <w:family w:val="roman"/>
    <w:pitch w:val="default"/>
    <w:sig w:usb0="FFFFFFFF" w:usb1="E9FFFFFF" w:usb2="0000003F" w:usb3="00000000" w:csb0="603F01FF" w:csb1="FFFF0000"/>
  </w:font>
  <w:font w:name="华文新魏">
    <w:panose1 w:val="02010800040101010101"/>
    <w:charset w:val="86"/>
    <w:family w:val="auto"/>
    <w:pitch w:val="default"/>
    <w:sig w:usb0="00000001" w:usb1="080F0000" w:usb2="00000000" w:usb3="00000000" w:csb0="00040000" w:csb1="00000000"/>
  </w:font>
  <w:font w:name="Gungsuh">
    <w:panose1 w:val="02030600000101010101"/>
    <w:charset w:val="81"/>
    <w:family w:val="roman"/>
    <w:pitch w:val="default"/>
    <w:sig w:usb0="B00002AF" w:usb1="69D77CFB" w:usb2="00000030" w:usb3="00000000" w:csb0="4008009F" w:csb1="DFD70000"/>
  </w:font>
  <w:font w:name="PMingLiU">
    <w:panose1 w:val="02020500000000000000"/>
    <w:charset w:val="88"/>
    <w:family w:val="roman"/>
    <w:pitch w:val="default"/>
    <w:sig w:usb0="A00002FF" w:usb1="28CFFCFA" w:usb2="00000016" w:usb3="00000000" w:csb0="00100001" w:csb1="00000000"/>
  </w:font>
  <w:font w:name="华文中宋">
    <w:panose1 w:val="02010600040101010101"/>
    <w:charset w:val="86"/>
    <w:family w:val="auto"/>
    <w:pitch w:val="default"/>
    <w:sig w:usb0="00000287" w:usb1="080F0000" w:usb2="00000000" w:usb3="00000000" w:csb0="0004009F" w:csb1="DFD70000"/>
    <w:embedRegular r:id="rId12" w:fontKey="{7FF42002-7435-493D-8591-21DAFCBE1665}"/>
  </w:font>
  <w:font w:name="仿宋">
    <w:panose1 w:val="02010609060101010101"/>
    <w:charset w:val="86"/>
    <w:family w:val="modern"/>
    <w:pitch w:val="default"/>
    <w:sig w:usb0="800002BF" w:usb1="38CF7CFA" w:usb2="00000016" w:usb3="00000000" w:csb0="00040001" w:csb1="00000000"/>
    <w:embedRegular r:id="rId13" w:fontKey="{3891C177-D590-4DFE-B4BD-76F1785C6197}"/>
  </w:font>
  <w:font w:name="新宋体">
    <w:panose1 w:val="02010609030101010101"/>
    <w:charset w:val="86"/>
    <w:family w:val="modern"/>
    <w:pitch w:val="default"/>
    <w:sig w:usb0="00000003" w:usb1="288F0000" w:usb2="00000006" w:usb3="00000000" w:csb0="00040001" w:csb1="00000000"/>
    <w:embedRegular r:id="rId14" w:fontKey="{F207EE1E-4078-40D7-A3D3-3BA410BA56C7}"/>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embedRegular r:id="rId15" w:fontKey="{5DB2676A-C7C0-48EE-A58E-262B525A8F92}"/>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ind w:right="277" w:rightChars="132"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0"/>
                      <w:ind w:right="277" w:rightChars="132" w:firstLine="280" w:firstLineChars="10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TrueTypeFonts/>
  <w:mirrorMargins w:val="1"/>
  <w:bordersDoNotSurroundHeader w:val="0"/>
  <w:bordersDoNotSurroundFooter w:val="0"/>
  <w:documentProtection w:enforcement="0"/>
  <w:defaultTabStop w:val="420"/>
  <w:drawingGridHorizontalSpacing w:val="210"/>
  <w:drawingGridVerticalSpacing w:val="158"/>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c2ZWY4MmU4Y2U5YzQzZmRkODQwZDUyMzYyMTI5YTYifQ=="/>
  </w:docVars>
  <w:rsids>
    <w:rsidRoot w:val="00000000"/>
    <w:rsid w:val="00463FFF"/>
    <w:rsid w:val="00C46D24"/>
    <w:rsid w:val="01205F41"/>
    <w:rsid w:val="012918D1"/>
    <w:rsid w:val="015852EE"/>
    <w:rsid w:val="01F960DD"/>
    <w:rsid w:val="020F7907"/>
    <w:rsid w:val="02ED31B1"/>
    <w:rsid w:val="03424399"/>
    <w:rsid w:val="03A94635"/>
    <w:rsid w:val="03DD242F"/>
    <w:rsid w:val="04AB4BA9"/>
    <w:rsid w:val="04B312A8"/>
    <w:rsid w:val="05683DFA"/>
    <w:rsid w:val="058628CB"/>
    <w:rsid w:val="06216C82"/>
    <w:rsid w:val="06694ED4"/>
    <w:rsid w:val="07587F60"/>
    <w:rsid w:val="086D0162"/>
    <w:rsid w:val="08FD44CF"/>
    <w:rsid w:val="0932117A"/>
    <w:rsid w:val="09F8118D"/>
    <w:rsid w:val="0A430C43"/>
    <w:rsid w:val="0B1F42A5"/>
    <w:rsid w:val="0B640FB7"/>
    <w:rsid w:val="0B68626F"/>
    <w:rsid w:val="0C0F3A3B"/>
    <w:rsid w:val="0C242AC8"/>
    <w:rsid w:val="0CCC26B0"/>
    <w:rsid w:val="0D654EF3"/>
    <w:rsid w:val="0D8A4480"/>
    <w:rsid w:val="0DA51181"/>
    <w:rsid w:val="0DC42BB3"/>
    <w:rsid w:val="0DE411A4"/>
    <w:rsid w:val="0E05239E"/>
    <w:rsid w:val="0E666599"/>
    <w:rsid w:val="0E67314B"/>
    <w:rsid w:val="0EA51DCB"/>
    <w:rsid w:val="0EFE5C0E"/>
    <w:rsid w:val="0F7F3013"/>
    <w:rsid w:val="10114392"/>
    <w:rsid w:val="10211D87"/>
    <w:rsid w:val="10793E30"/>
    <w:rsid w:val="1098357A"/>
    <w:rsid w:val="10D83291"/>
    <w:rsid w:val="10EA099D"/>
    <w:rsid w:val="11211225"/>
    <w:rsid w:val="113D61FE"/>
    <w:rsid w:val="11566D6A"/>
    <w:rsid w:val="12B176E4"/>
    <w:rsid w:val="131F623D"/>
    <w:rsid w:val="13AB6DD5"/>
    <w:rsid w:val="13DC051E"/>
    <w:rsid w:val="14A31C6A"/>
    <w:rsid w:val="14B97554"/>
    <w:rsid w:val="14BB6C25"/>
    <w:rsid w:val="14E6318E"/>
    <w:rsid w:val="15967D93"/>
    <w:rsid w:val="15C73357"/>
    <w:rsid w:val="15DB3091"/>
    <w:rsid w:val="16696A6C"/>
    <w:rsid w:val="16892356"/>
    <w:rsid w:val="169A580D"/>
    <w:rsid w:val="16A35E85"/>
    <w:rsid w:val="17011DD0"/>
    <w:rsid w:val="171B7E33"/>
    <w:rsid w:val="17467149"/>
    <w:rsid w:val="174B5616"/>
    <w:rsid w:val="179728E2"/>
    <w:rsid w:val="17E93546"/>
    <w:rsid w:val="18311EA3"/>
    <w:rsid w:val="19E0014B"/>
    <w:rsid w:val="1A4D26BA"/>
    <w:rsid w:val="1A9D33B9"/>
    <w:rsid w:val="1CC935AA"/>
    <w:rsid w:val="1D220DAE"/>
    <w:rsid w:val="1D2D2112"/>
    <w:rsid w:val="1DA03128"/>
    <w:rsid w:val="1E7B2B8C"/>
    <w:rsid w:val="1E8746C4"/>
    <w:rsid w:val="1E8A7C99"/>
    <w:rsid w:val="1EF15053"/>
    <w:rsid w:val="2003322B"/>
    <w:rsid w:val="205071A5"/>
    <w:rsid w:val="20584357"/>
    <w:rsid w:val="20CE073B"/>
    <w:rsid w:val="21110CA8"/>
    <w:rsid w:val="215E2A0F"/>
    <w:rsid w:val="223D6CB5"/>
    <w:rsid w:val="22C57EA9"/>
    <w:rsid w:val="22D82A30"/>
    <w:rsid w:val="23253C8C"/>
    <w:rsid w:val="23B614E5"/>
    <w:rsid w:val="23EC19E8"/>
    <w:rsid w:val="24B95FB9"/>
    <w:rsid w:val="24DE3C89"/>
    <w:rsid w:val="260A77E9"/>
    <w:rsid w:val="265A2982"/>
    <w:rsid w:val="265E1C13"/>
    <w:rsid w:val="27317081"/>
    <w:rsid w:val="2738342B"/>
    <w:rsid w:val="276D691A"/>
    <w:rsid w:val="284702DA"/>
    <w:rsid w:val="288D08E8"/>
    <w:rsid w:val="2919289C"/>
    <w:rsid w:val="29C26535"/>
    <w:rsid w:val="2A163D32"/>
    <w:rsid w:val="2A586D72"/>
    <w:rsid w:val="2A8C6D98"/>
    <w:rsid w:val="2A927C7D"/>
    <w:rsid w:val="2AB247D5"/>
    <w:rsid w:val="2ABD68C6"/>
    <w:rsid w:val="2AF37417"/>
    <w:rsid w:val="2B4C560A"/>
    <w:rsid w:val="2BAC195C"/>
    <w:rsid w:val="2BD35769"/>
    <w:rsid w:val="2C767422"/>
    <w:rsid w:val="2CD93F98"/>
    <w:rsid w:val="2DE41780"/>
    <w:rsid w:val="2E3617F3"/>
    <w:rsid w:val="2EF746DE"/>
    <w:rsid w:val="2F3051E4"/>
    <w:rsid w:val="2F4147EB"/>
    <w:rsid w:val="2F4149B3"/>
    <w:rsid w:val="2FAF5D7C"/>
    <w:rsid w:val="300B6959"/>
    <w:rsid w:val="30320879"/>
    <w:rsid w:val="316B3A03"/>
    <w:rsid w:val="321069A7"/>
    <w:rsid w:val="335F3347"/>
    <w:rsid w:val="33922153"/>
    <w:rsid w:val="34182503"/>
    <w:rsid w:val="34AA0A8E"/>
    <w:rsid w:val="36137470"/>
    <w:rsid w:val="362578D7"/>
    <w:rsid w:val="3677219D"/>
    <w:rsid w:val="3678126C"/>
    <w:rsid w:val="36DC14FD"/>
    <w:rsid w:val="38287961"/>
    <w:rsid w:val="38320130"/>
    <w:rsid w:val="38490C50"/>
    <w:rsid w:val="38EE7BF2"/>
    <w:rsid w:val="393A4EF2"/>
    <w:rsid w:val="393F1F7B"/>
    <w:rsid w:val="395B5E8C"/>
    <w:rsid w:val="396C7424"/>
    <w:rsid w:val="39C61742"/>
    <w:rsid w:val="3A130919"/>
    <w:rsid w:val="3A1D5C86"/>
    <w:rsid w:val="3BE6705D"/>
    <w:rsid w:val="3C152C44"/>
    <w:rsid w:val="3D1230DF"/>
    <w:rsid w:val="40B42029"/>
    <w:rsid w:val="41BF4347"/>
    <w:rsid w:val="42B45D29"/>
    <w:rsid w:val="43361DDD"/>
    <w:rsid w:val="45372790"/>
    <w:rsid w:val="4551186C"/>
    <w:rsid w:val="45853F74"/>
    <w:rsid w:val="45B83A6E"/>
    <w:rsid w:val="46B75A5A"/>
    <w:rsid w:val="46E42239"/>
    <w:rsid w:val="472C42FF"/>
    <w:rsid w:val="47590D17"/>
    <w:rsid w:val="475A1B48"/>
    <w:rsid w:val="47641A09"/>
    <w:rsid w:val="48865D5D"/>
    <w:rsid w:val="48EF4135"/>
    <w:rsid w:val="491F389A"/>
    <w:rsid w:val="49296771"/>
    <w:rsid w:val="49364747"/>
    <w:rsid w:val="4A2B4365"/>
    <w:rsid w:val="4A344593"/>
    <w:rsid w:val="4AC419F6"/>
    <w:rsid w:val="4AC60EB2"/>
    <w:rsid w:val="4AFF0BE2"/>
    <w:rsid w:val="4B9C7F6D"/>
    <w:rsid w:val="4BF67BB9"/>
    <w:rsid w:val="4C09042E"/>
    <w:rsid w:val="4CAB05E1"/>
    <w:rsid w:val="4D3229D5"/>
    <w:rsid w:val="4D734B9A"/>
    <w:rsid w:val="4DC65CF9"/>
    <w:rsid w:val="4E311B0B"/>
    <w:rsid w:val="4E685D41"/>
    <w:rsid w:val="4E7C6D86"/>
    <w:rsid w:val="4EFD4669"/>
    <w:rsid w:val="4F2A06BF"/>
    <w:rsid w:val="4FD51218"/>
    <w:rsid w:val="5031397A"/>
    <w:rsid w:val="505C6771"/>
    <w:rsid w:val="51352BB5"/>
    <w:rsid w:val="514C76A3"/>
    <w:rsid w:val="52376603"/>
    <w:rsid w:val="5498521D"/>
    <w:rsid w:val="55867ACF"/>
    <w:rsid w:val="55EB0B18"/>
    <w:rsid w:val="55FF5FFE"/>
    <w:rsid w:val="57445CC3"/>
    <w:rsid w:val="57776F40"/>
    <w:rsid w:val="57AE6593"/>
    <w:rsid w:val="57CC7F01"/>
    <w:rsid w:val="58117549"/>
    <w:rsid w:val="58F6558E"/>
    <w:rsid w:val="596D6E44"/>
    <w:rsid w:val="598562FA"/>
    <w:rsid w:val="59D61A8F"/>
    <w:rsid w:val="59FB5B93"/>
    <w:rsid w:val="5AB16043"/>
    <w:rsid w:val="5B0411DE"/>
    <w:rsid w:val="5B3E1839"/>
    <w:rsid w:val="5BF36DE6"/>
    <w:rsid w:val="5C020AD0"/>
    <w:rsid w:val="5C3F0B9B"/>
    <w:rsid w:val="5CBF537F"/>
    <w:rsid w:val="5D8447A8"/>
    <w:rsid w:val="5D905EFA"/>
    <w:rsid w:val="5DA245C2"/>
    <w:rsid w:val="5DE47A17"/>
    <w:rsid w:val="5E513803"/>
    <w:rsid w:val="5EB674B9"/>
    <w:rsid w:val="5EE94B54"/>
    <w:rsid w:val="5F0E3BDD"/>
    <w:rsid w:val="5F3D5080"/>
    <w:rsid w:val="60CA0560"/>
    <w:rsid w:val="62314166"/>
    <w:rsid w:val="62331932"/>
    <w:rsid w:val="6243208D"/>
    <w:rsid w:val="62C8466F"/>
    <w:rsid w:val="62F5221D"/>
    <w:rsid w:val="62F6254A"/>
    <w:rsid w:val="63514A7A"/>
    <w:rsid w:val="65075A7F"/>
    <w:rsid w:val="65AE6621"/>
    <w:rsid w:val="66605802"/>
    <w:rsid w:val="674C2674"/>
    <w:rsid w:val="677B70EB"/>
    <w:rsid w:val="67FB5E4B"/>
    <w:rsid w:val="68094FAC"/>
    <w:rsid w:val="68480F25"/>
    <w:rsid w:val="69053799"/>
    <w:rsid w:val="69891B2D"/>
    <w:rsid w:val="69FC73E2"/>
    <w:rsid w:val="6A1012BC"/>
    <w:rsid w:val="6A5A0C52"/>
    <w:rsid w:val="6AD061CF"/>
    <w:rsid w:val="6CB0225E"/>
    <w:rsid w:val="6D6F3D9E"/>
    <w:rsid w:val="6DE64A30"/>
    <w:rsid w:val="6E45229C"/>
    <w:rsid w:val="6EE43E31"/>
    <w:rsid w:val="6F272E53"/>
    <w:rsid w:val="6F84542E"/>
    <w:rsid w:val="71286A35"/>
    <w:rsid w:val="712A66B5"/>
    <w:rsid w:val="712F155B"/>
    <w:rsid w:val="71D821D4"/>
    <w:rsid w:val="72987BA3"/>
    <w:rsid w:val="738A7EEB"/>
    <w:rsid w:val="73FB6CD7"/>
    <w:rsid w:val="741010FE"/>
    <w:rsid w:val="747043AB"/>
    <w:rsid w:val="74AB51AC"/>
    <w:rsid w:val="751C3136"/>
    <w:rsid w:val="75601C5A"/>
    <w:rsid w:val="756857C4"/>
    <w:rsid w:val="766279D8"/>
    <w:rsid w:val="772820DE"/>
    <w:rsid w:val="77681C63"/>
    <w:rsid w:val="77E15388"/>
    <w:rsid w:val="77FE037E"/>
    <w:rsid w:val="78092DF3"/>
    <w:rsid w:val="785C6D4C"/>
    <w:rsid w:val="78C479E6"/>
    <w:rsid w:val="7AA64095"/>
    <w:rsid w:val="7B2014A6"/>
    <w:rsid w:val="7C587256"/>
    <w:rsid w:val="7C68383C"/>
    <w:rsid w:val="7CB65EF9"/>
    <w:rsid w:val="7D4A090E"/>
    <w:rsid w:val="7D6931C0"/>
    <w:rsid w:val="7DC74CC3"/>
    <w:rsid w:val="7F435DEE"/>
    <w:rsid w:val="7FFB4923"/>
    <w:rsid w:val="FFBCA1E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宋体"/>
      <w:kern w:val="2"/>
      <w:sz w:val="21"/>
      <w:szCs w:val="22"/>
      <w:lang w:val="en-US" w:eastAsia="zh-CN" w:bidi="ar-SA"/>
    </w:rPr>
  </w:style>
  <w:style w:type="paragraph" w:styleId="2">
    <w:name w:val="heading 1"/>
    <w:basedOn w:val="1"/>
    <w:next w:val="1"/>
    <w:autoRedefine/>
    <w:qFormat/>
    <w:uiPriority w:val="0"/>
    <w:pPr>
      <w:spacing w:before="141" w:beforeAutospacing="0" w:after="141" w:afterAutospacing="0"/>
      <w:ind w:left="0" w:right="0"/>
      <w:jc w:val="left"/>
    </w:pPr>
    <w:rPr>
      <w:rFonts w:hint="eastAsia" w:ascii="宋体" w:hAnsi="宋体" w:eastAsia="宋体" w:cs="宋体"/>
      <w:kern w:val="44"/>
      <w:sz w:val="30"/>
      <w:szCs w:val="30"/>
      <w:lang w:val="en-US" w:eastAsia="zh-CN" w:bidi="ar"/>
    </w:rPr>
  </w:style>
  <w:style w:type="paragraph" w:styleId="3">
    <w:name w:val="heading 2"/>
    <w:basedOn w:val="1"/>
    <w:next w:val="1"/>
    <w:autoRedefine/>
    <w:qFormat/>
    <w:uiPriority w:val="1"/>
    <w:pPr>
      <w:ind w:left="751"/>
      <w:outlineLvl w:val="2"/>
    </w:pPr>
    <w:rPr>
      <w:rFonts w:ascii="Microsoft JhengHei" w:hAnsi="Microsoft JhengHei" w:eastAsia="Microsoft JhengHei" w:cs="Microsoft JhengHei"/>
      <w:b/>
      <w:bCs/>
      <w:sz w:val="32"/>
      <w:szCs w:val="32"/>
      <w:lang w:val="zh-CN" w:eastAsia="zh-CN" w:bidi="zh-CN"/>
    </w:rPr>
  </w:style>
  <w:style w:type="paragraph" w:styleId="4">
    <w:name w:val="heading 3"/>
    <w:basedOn w:val="1"/>
    <w:next w:val="1"/>
    <w:autoRedefine/>
    <w:qFormat/>
    <w:uiPriority w:val="9"/>
    <w:pPr>
      <w:spacing w:beforeAutospacing="1" w:afterAutospacing="1"/>
      <w:jc w:val="left"/>
      <w:outlineLvl w:val="2"/>
    </w:pPr>
    <w:rPr>
      <w:rFonts w:hint="eastAsia" w:ascii="宋体" w:hAnsi="宋体" w:eastAsia="宋体" w:cs="Times New Roman"/>
      <w:b/>
      <w:kern w:val="0"/>
      <w:sz w:val="27"/>
      <w:szCs w:val="27"/>
    </w:rPr>
  </w:style>
  <w:style w:type="character" w:default="1" w:styleId="20">
    <w:name w:val="Default Paragraph Font"/>
    <w:link w:val="21"/>
    <w:autoRedefine/>
    <w:qFormat/>
    <w:uiPriority w:val="1"/>
    <w:rPr>
      <w:rFonts w:ascii="Times New Roman" w:hAnsi="Times New Roman"/>
      <w:szCs w:val="24"/>
    </w:rPr>
  </w:style>
  <w:style w:type="table" w:default="1" w:styleId="18">
    <w:name w:val="Normal Table"/>
    <w:autoRedefine/>
    <w:qFormat/>
    <w:uiPriority w:val="99"/>
    <w:tblPr>
      <w:tblCellMar>
        <w:top w:w="0" w:type="dxa"/>
        <w:left w:w="108" w:type="dxa"/>
        <w:bottom w:w="0" w:type="dxa"/>
        <w:right w:w="108" w:type="dxa"/>
      </w:tblCellMar>
    </w:tblPr>
  </w:style>
  <w:style w:type="paragraph" w:styleId="5">
    <w:name w:val="Normal Indent"/>
    <w:basedOn w:val="1"/>
    <w:autoRedefine/>
    <w:qFormat/>
    <w:uiPriority w:val="0"/>
    <w:pPr>
      <w:ind w:firstLine="420" w:firstLineChars="200"/>
    </w:pPr>
  </w:style>
  <w:style w:type="paragraph" w:styleId="6">
    <w:name w:val="Body Text"/>
    <w:basedOn w:val="1"/>
    <w:autoRedefine/>
    <w:qFormat/>
    <w:uiPriority w:val="0"/>
  </w:style>
  <w:style w:type="paragraph" w:styleId="7">
    <w:name w:val="Body Text Indent"/>
    <w:basedOn w:val="1"/>
    <w:autoRedefine/>
    <w:qFormat/>
    <w:uiPriority w:val="0"/>
    <w:pPr>
      <w:ind w:left="570" w:firstLine="846" w:firstLineChars="302"/>
    </w:pPr>
    <w:rPr>
      <w:rFonts w:eastAsia="宋体"/>
      <w:bCs/>
      <w:kern w:val="2"/>
      <w:sz w:val="28"/>
      <w:lang w:val="en-US" w:eastAsia="zh-CN" w:bidi="ar-SA"/>
    </w:rPr>
  </w:style>
  <w:style w:type="paragraph" w:styleId="8">
    <w:name w:val="Date"/>
    <w:basedOn w:val="1"/>
    <w:next w:val="1"/>
    <w:link w:val="42"/>
    <w:autoRedefine/>
    <w:qFormat/>
    <w:uiPriority w:val="0"/>
    <w:pPr>
      <w:ind w:left="100" w:leftChars="2500"/>
    </w:pPr>
  </w:style>
  <w:style w:type="paragraph" w:styleId="9">
    <w:name w:val="Balloon Text"/>
    <w:basedOn w:val="1"/>
    <w:link w:val="32"/>
    <w:autoRedefine/>
    <w:qFormat/>
    <w:uiPriority w:val="99"/>
    <w:rPr>
      <w:sz w:val="18"/>
      <w:szCs w:val="18"/>
    </w:rPr>
  </w:style>
  <w:style w:type="paragraph" w:styleId="10">
    <w:name w:val="footer"/>
    <w:basedOn w:val="1"/>
    <w:link w:val="31"/>
    <w:autoRedefine/>
    <w:qFormat/>
    <w:uiPriority w:val="99"/>
    <w:pPr>
      <w:tabs>
        <w:tab w:val="center" w:pos="4153"/>
        <w:tab w:val="right" w:pos="8306"/>
      </w:tabs>
      <w:snapToGrid w:val="0"/>
      <w:jc w:val="left"/>
    </w:pPr>
    <w:rPr>
      <w:sz w:val="18"/>
      <w:szCs w:val="18"/>
    </w:rPr>
  </w:style>
  <w:style w:type="paragraph" w:styleId="11">
    <w:name w:val="header"/>
    <w:basedOn w:val="1"/>
    <w:link w:val="30"/>
    <w:autoRedefine/>
    <w:qFormat/>
    <w:uiPriority w:val="99"/>
    <w:pPr>
      <w:pBdr>
        <w:bottom w:val="single" w:color="auto" w:sz="6" w:space="1"/>
      </w:pBdr>
      <w:tabs>
        <w:tab w:val="center" w:pos="4153"/>
        <w:tab w:val="right" w:pos="8306"/>
      </w:tabs>
      <w:snapToGrid w:val="0"/>
      <w:jc w:val="center"/>
    </w:pPr>
    <w:rPr>
      <w:sz w:val="18"/>
      <w:szCs w:val="18"/>
    </w:rPr>
  </w:style>
  <w:style w:type="paragraph" w:styleId="12">
    <w:name w:val="footnote text"/>
    <w:basedOn w:val="1"/>
    <w:autoRedefine/>
    <w:semiHidden/>
    <w:qFormat/>
    <w:uiPriority w:val="99"/>
    <w:pPr>
      <w:snapToGrid w:val="0"/>
      <w:jc w:val="left"/>
    </w:pPr>
    <w:rPr>
      <w:kern w:val="0"/>
      <w:sz w:val="18"/>
      <w:szCs w:val="18"/>
    </w:rPr>
  </w:style>
  <w:style w:type="paragraph" w:styleId="13">
    <w:name w:val="toc 2"/>
    <w:basedOn w:val="1"/>
    <w:next w:val="1"/>
    <w:autoRedefine/>
    <w:qFormat/>
    <w:uiPriority w:val="39"/>
    <w:pPr>
      <w:ind w:left="210"/>
      <w:jc w:val="left"/>
    </w:pPr>
    <w:rPr>
      <w:rFonts w:ascii="Calibri" w:hAnsi="Calibri" w:cs="Calibri"/>
      <w:smallCaps/>
      <w:sz w:val="20"/>
      <w:szCs w:val="20"/>
    </w:rPr>
  </w:style>
  <w:style w:type="paragraph" w:styleId="14">
    <w:name w:val="HTML Preformatted"/>
    <w:basedOn w:val="1"/>
    <w:autoRedefine/>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rPr>
  </w:style>
  <w:style w:type="paragraph" w:styleId="15">
    <w:name w:val="Normal (Web)"/>
    <w:basedOn w:val="1"/>
    <w:autoRedefine/>
    <w:qFormat/>
    <w:uiPriority w:val="0"/>
    <w:pPr>
      <w:widowControl/>
      <w:spacing w:beforeAutospacing="1" w:afterAutospacing="1" w:line="360" w:lineRule="atLeast"/>
      <w:jc w:val="left"/>
    </w:pPr>
    <w:rPr>
      <w:rFonts w:ascii="ˎ̥" w:hAnsi="ˎ̥" w:eastAsia="宋体"/>
      <w:kern w:val="0"/>
      <w:sz w:val="18"/>
      <w:szCs w:val="18"/>
    </w:rPr>
  </w:style>
  <w:style w:type="paragraph" w:styleId="16">
    <w:name w:val="Body Text First Indent"/>
    <w:basedOn w:val="6"/>
    <w:next w:val="1"/>
    <w:autoRedefine/>
    <w:unhideWhenUsed/>
    <w:qFormat/>
    <w:uiPriority w:val="99"/>
    <w:pPr>
      <w:ind w:firstLine="420" w:firstLineChars="100"/>
    </w:pPr>
  </w:style>
  <w:style w:type="paragraph" w:styleId="17">
    <w:name w:val="Body Text First Indent 2"/>
    <w:basedOn w:val="1"/>
    <w:next w:val="1"/>
    <w:autoRedefine/>
    <w:qFormat/>
    <w:uiPriority w:val="0"/>
    <w:pPr>
      <w:ind w:firstLine="420" w:firstLineChars="200"/>
    </w:pPr>
  </w:style>
  <w:style w:type="table" w:styleId="19">
    <w:name w:val="Table Grid"/>
    <w:basedOn w:val="18"/>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1">
    <w:name w:val=" Char Char Char Char Char Char3 Char Char Char Char Char Char Char"/>
    <w:basedOn w:val="1"/>
    <w:next w:val="1"/>
    <w:link w:val="20"/>
    <w:autoRedefine/>
    <w:qFormat/>
    <w:uiPriority w:val="0"/>
    <w:rPr>
      <w:rFonts w:ascii="Times New Roman" w:hAnsi="Times New Roman"/>
      <w:szCs w:val="24"/>
    </w:rPr>
  </w:style>
  <w:style w:type="character" w:styleId="22">
    <w:name w:val="Strong"/>
    <w:basedOn w:val="20"/>
    <w:autoRedefine/>
    <w:qFormat/>
    <w:uiPriority w:val="0"/>
    <w:rPr>
      <w:b/>
    </w:rPr>
  </w:style>
  <w:style w:type="character" w:styleId="23">
    <w:name w:val="page number"/>
    <w:basedOn w:val="20"/>
    <w:autoRedefine/>
    <w:qFormat/>
    <w:uiPriority w:val="99"/>
  </w:style>
  <w:style w:type="character" w:styleId="24">
    <w:name w:val="Hyperlink"/>
    <w:basedOn w:val="20"/>
    <w:autoRedefine/>
    <w:qFormat/>
    <w:uiPriority w:val="99"/>
    <w:rPr>
      <w:color w:val="0000FF"/>
      <w:u w:val="single"/>
    </w:rPr>
  </w:style>
  <w:style w:type="paragraph" w:customStyle="1" w:styleId="25">
    <w:name w:val="1正文1"/>
    <w:basedOn w:val="5"/>
    <w:autoRedefine/>
    <w:qFormat/>
    <w:uiPriority w:val="0"/>
    <w:pPr>
      <w:ind w:firstLine="480"/>
    </w:pPr>
  </w:style>
  <w:style w:type="paragraph" w:customStyle="1" w:styleId="26">
    <w:name w:val="BodyText1I2"/>
    <w:basedOn w:val="27"/>
    <w:autoRedefine/>
    <w:qFormat/>
    <w:uiPriority w:val="0"/>
    <w:pPr>
      <w:ind w:firstLine="420" w:firstLineChars="200"/>
      <w:textAlignment w:val="baseline"/>
    </w:pPr>
    <w:rPr>
      <w:rFonts w:ascii="仿宋_GB2312" w:eastAsia="仿宋_GB2312"/>
      <w:sz w:val="32"/>
    </w:rPr>
  </w:style>
  <w:style w:type="paragraph" w:customStyle="1" w:styleId="27">
    <w:name w:val="BodyTextIndent"/>
    <w:basedOn w:val="1"/>
    <w:autoRedefine/>
    <w:qFormat/>
    <w:uiPriority w:val="0"/>
    <w:pPr>
      <w:ind w:firstLine="645"/>
      <w:textAlignment w:val="baseline"/>
    </w:pPr>
    <w:rPr>
      <w:rFonts w:ascii="Times New Roman" w:hAnsi="Times New Roman" w:eastAsia="宋体" w:cs="Times New Roman"/>
      <w:sz w:val="32"/>
      <w:szCs w:val="24"/>
    </w:rPr>
  </w:style>
  <w:style w:type="paragraph" w:customStyle="1" w:styleId="28">
    <w:name w:val="Body Text First Indent1"/>
    <w:basedOn w:val="6"/>
    <w:next w:val="1"/>
    <w:autoRedefine/>
    <w:qFormat/>
    <w:uiPriority w:val="0"/>
    <w:pPr>
      <w:ind w:firstLine="420" w:firstLineChars="100"/>
    </w:pPr>
  </w:style>
  <w:style w:type="paragraph" w:customStyle="1" w:styleId="29">
    <w:name w:val="Char Char Char"/>
    <w:basedOn w:val="1"/>
    <w:autoRedefine/>
    <w:qFormat/>
    <w:uiPriority w:val="0"/>
  </w:style>
  <w:style w:type="character" w:customStyle="1" w:styleId="30">
    <w:name w:val="页眉 Char"/>
    <w:basedOn w:val="20"/>
    <w:link w:val="11"/>
    <w:autoRedefine/>
    <w:qFormat/>
    <w:uiPriority w:val="99"/>
    <w:rPr>
      <w:sz w:val="18"/>
      <w:szCs w:val="18"/>
    </w:rPr>
  </w:style>
  <w:style w:type="character" w:customStyle="1" w:styleId="31">
    <w:name w:val="页脚 Char"/>
    <w:basedOn w:val="20"/>
    <w:link w:val="10"/>
    <w:autoRedefine/>
    <w:qFormat/>
    <w:uiPriority w:val="99"/>
    <w:rPr>
      <w:sz w:val="18"/>
      <w:szCs w:val="18"/>
    </w:rPr>
  </w:style>
  <w:style w:type="character" w:customStyle="1" w:styleId="32">
    <w:name w:val="批注框文本 Char"/>
    <w:basedOn w:val="20"/>
    <w:link w:val="9"/>
    <w:autoRedefine/>
    <w:qFormat/>
    <w:uiPriority w:val="99"/>
    <w:rPr>
      <w:sz w:val="18"/>
      <w:szCs w:val="18"/>
    </w:rPr>
  </w:style>
  <w:style w:type="character" w:customStyle="1" w:styleId="33">
    <w:name w:val="font31"/>
    <w:basedOn w:val="20"/>
    <w:autoRedefine/>
    <w:qFormat/>
    <w:uiPriority w:val="0"/>
    <w:rPr>
      <w:rFonts w:hint="eastAsia" w:ascii="宋体" w:hAnsi="宋体" w:eastAsia="宋体" w:cs="宋体"/>
      <w:color w:val="000000"/>
      <w:sz w:val="22"/>
      <w:szCs w:val="22"/>
      <w:u w:val="none"/>
    </w:rPr>
  </w:style>
  <w:style w:type="character" w:customStyle="1" w:styleId="34">
    <w:name w:val="font01"/>
    <w:basedOn w:val="20"/>
    <w:autoRedefine/>
    <w:qFormat/>
    <w:uiPriority w:val="0"/>
    <w:rPr>
      <w:rFonts w:hint="eastAsia" w:ascii="宋体" w:hAnsi="宋体" w:eastAsia="宋体" w:cs="宋体"/>
      <w:color w:val="000000"/>
      <w:sz w:val="22"/>
      <w:szCs w:val="22"/>
      <w:u w:val="none"/>
      <w:vertAlign w:val="subscript"/>
    </w:rPr>
  </w:style>
  <w:style w:type="paragraph" w:styleId="35">
    <w:name w:val="List Paragraph"/>
    <w:basedOn w:val="1"/>
    <w:autoRedefine/>
    <w:qFormat/>
    <w:uiPriority w:val="99"/>
    <w:pPr>
      <w:ind w:firstLine="420" w:firstLineChars="200"/>
    </w:pPr>
  </w:style>
  <w:style w:type="paragraph" w:customStyle="1" w:styleId="36">
    <w:name w:val="正文 New New New New New New New New New New New New New New New New New New New New New New"/>
    <w:autoRedefine/>
    <w:qFormat/>
    <w:uiPriority w:val="0"/>
    <w:pPr>
      <w:widowControl w:val="0"/>
      <w:jc w:val="both"/>
    </w:pPr>
    <w:rPr>
      <w:rFonts w:ascii="Calibri" w:hAnsi="Calibri" w:eastAsia="宋体" w:cs="黑体"/>
      <w:kern w:val="2"/>
      <w:sz w:val="21"/>
      <w:szCs w:val="24"/>
      <w:lang w:val="en-US" w:eastAsia="zh-CN" w:bidi="ar-SA"/>
    </w:rPr>
  </w:style>
  <w:style w:type="paragraph" w:customStyle="1" w:styleId="37">
    <w:name w:val="正文 New New New New New New New New New New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8">
    <w:name w:val="p0"/>
    <w:basedOn w:val="1"/>
    <w:autoRedefine/>
    <w:qFormat/>
    <w:uiPriority w:val="0"/>
    <w:pPr>
      <w:widowControl/>
    </w:pPr>
    <w:rPr>
      <w:rFonts w:ascii="Times New Roman" w:hAnsi="Times New Roman" w:eastAsia="宋体"/>
      <w:kern w:val="0"/>
      <w:szCs w:val="21"/>
    </w:rPr>
  </w:style>
  <w:style w:type="character" w:customStyle="1" w:styleId="39">
    <w:name w:val="font21"/>
    <w:basedOn w:val="20"/>
    <w:autoRedefine/>
    <w:qFormat/>
    <w:uiPriority w:val="0"/>
    <w:rPr>
      <w:rFonts w:hint="default" w:ascii="Arial" w:hAnsi="Arial" w:cs="Arial"/>
      <w:color w:val="000000"/>
      <w:sz w:val="24"/>
      <w:szCs w:val="24"/>
      <w:u w:val="none"/>
    </w:rPr>
  </w:style>
  <w:style w:type="character" w:customStyle="1" w:styleId="40">
    <w:name w:val="font11"/>
    <w:basedOn w:val="20"/>
    <w:autoRedefine/>
    <w:qFormat/>
    <w:uiPriority w:val="0"/>
    <w:rPr>
      <w:rFonts w:hint="eastAsia" w:ascii="Arial Unicode MS" w:hAnsi="Arial Unicode MS" w:eastAsia="Arial Unicode MS" w:cs="Arial Unicode MS"/>
      <w:color w:val="000000"/>
      <w:sz w:val="24"/>
      <w:szCs w:val="24"/>
      <w:u w:val="none"/>
    </w:rPr>
  </w:style>
  <w:style w:type="character" w:customStyle="1" w:styleId="41">
    <w:name w:val="font91"/>
    <w:basedOn w:val="20"/>
    <w:autoRedefine/>
    <w:qFormat/>
    <w:uiPriority w:val="0"/>
    <w:rPr>
      <w:rFonts w:ascii="仿宋_GB2312" w:eastAsia="仿宋_GB2312" w:cs="仿宋_GB2312"/>
      <w:b/>
      <w:color w:val="000000"/>
      <w:sz w:val="22"/>
      <w:szCs w:val="22"/>
      <w:u w:val="none"/>
    </w:rPr>
  </w:style>
  <w:style w:type="character" w:customStyle="1" w:styleId="42">
    <w:name w:val="日期 Char"/>
    <w:basedOn w:val="20"/>
    <w:link w:val="8"/>
    <w:autoRedefine/>
    <w:qFormat/>
    <w:uiPriority w:val="0"/>
    <w:rPr>
      <w:rFonts w:ascii="Calibri" w:hAnsi="Calibri" w:eastAsia="宋体" w:cs="宋体"/>
      <w:kern w:val="2"/>
      <w:sz w:val="21"/>
      <w:szCs w:val="22"/>
    </w:rPr>
  </w:style>
  <w:style w:type="character" w:customStyle="1" w:styleId="43">
    <w:name w:val="font51"/>
    <w:basedOn w:val="20"/>
    <w:autoRedefine/>
    <w:qFormat/>
    <w:uiPriority w:val="0"/>
    <w:rPr>
      <w:rFonts w:hint="eastAsia" w:ascii="宋体" w:hAnsi="宋体" w:eastAsia="宋体" w:cs="宋体"/>
      <w:b/>
      <w:color w:val="000000"/>
      <w:sz w:val="36"/>
      <w:szCs w:val="36"/>
      <w:u w:val="none"/>
    </w:rPr>
  </w:style>
  <w:style w:type="paragraph" w:customStyle="1" w:styleId="44">
    <w:name w:val=" Char Char Char Char Char Char Char"/>
    <w:basedOn w:val="1"/>
    <w:autoRedefine/>
    <w:qFormat/>
    <w:uiPriority w:val="0"/>
    <w:rPr>
      <w:szCs w:val="21"/>
    </w:rPr>
  </w:style>
  <w:style w:type="paragraph" w:customStyle="1" w:styleId="45">
    <w:name w:val="封面3"/>
    <w:basedOn w:val="46"/>
    <w:next w:val="1"/>
    <w:autoRedefine/>
    <w:qFormat/>
    <w:uiPriority w:val="0"/>
    <w:rPr>
      <w:rFonts w:ascii="Times New Roman" w:hAnsi="Times New Roman" w:eastAsia="宋体"/>
      <w:spacing w:val="0"/>
      <w:w w:val="100"/>
      <w:sz w:val="44"/>
      <w:szCs w:val="20"/>
    </w:rPr>
  </w:style>
  <w:style w:type="paragraph" w:customStyle="1" w:styleId="46">
    <w:name w:val="封面1"/>
    <w:autoRedefine/>
    <w:qFormat/>
    <w:uiPriority w:val="0"/>
    <w:pPr>
      <w:jc w:val="center"/>
    </w:pPr>
    <w:rPr>
      <w:rFonts w:ascii="华文新魏" w:hAnsi="Gungsuh" w:eastAsia="华文新魏" w:cs="Times New Roman"/>
      <w:spacing w:val="4"/>
      <w:w w:val="88"/>
      <w:sz w:val="52"/>
      <w:szCs w:val="24"/>
      <w:lang w:val="en-US" w:eastAsia="zh-CN" w:bidi="ar-SA"/>
    </w:rPr>
  </w:style>
  <w:style w:type="paragraph" w:customStyle="1" w:styleId="47">
    <w:name w:val="Header or footer|2"/>
    <w:basedOn w:val="1"/>
    <w:autoRedefine/>
    <w:qFormat/>
    <w:uiPriority w:val="0"/>
    <w:pPr>
      <w:widowControl w:val="0"/>
      <w:shd w:val="clear" w:color="auto" w:fill="auto"/>
    </w:pPr>
    <w:rPr>
      <w:sz w:val="20"/>
      <w:szCs w:val="20"/>
      <w:u w:val="none"/>
      <w:shd w:val="clear" w:color="auto" w:fill="auto"/>
      <w:lang w:val="zh-TW" w:eastAsia="zh-TW" w:bidi="zh-TW"/>
    </w:rPr>
  </w:style>
  <w:style w:type="paragraph" w:customStyle="1" w:styleId="48">
    <w:name w:val="Body text|1"/>
    <w:basedOn w:val="1"/>
    <w:autoRedefine/>
    <w:qFormat/>
    <w:uiPriority w:val="0"/>
    <w:pPr>
      <w:spacing w:line="458" w:lineRule="auto"/>
      <w:ind w:firstLine="400"/>
      <w:jc w:val="left"/>
    </w:pPr>
    <w:rPr>
      <w:rFonts w:ascii="宋体" w:hAnsi="宋体" w:eastAsia="宋体" w:cs="宋体"/>
      <w:kern w:val="0"/>
      <w:sz w:val="28"/>
      <w:szCs w:val="28"/>
      <w:lang w:val="zh-TW" w:eastAsia="zh-TW" w:bidi="zh-TW"/>
    </w:rPr>
  </w:style>
  <w:style w:type="paragraph" w:customStyle="1" w:styleId="49">
    <w:name w:val="Heading #2|1"/>
    <w:basedOn w:val="1"/>
    <w:autoRedefine/>
    <w:qFormat/>
    <w:uiPriority w:val="0"/>
    <w:pPr>
      <w:widowControl w:val="0"/>
      <w:shd w:val="clear" w:color="auto" w:fill="auto"/>
      <w:spacing w:after="480" w:afterLines="0" w:line="552" w:lineRule="exact"/>
      <w:ind w:left="2280" w:hanging="990"/>
      <w:outlineLvl w:val="1"/>
    </w:pPr>
    <w:rPr>
      <w:rFonts w:ascii="宋体" w:hAnsi="宋体" w:eastAsia="宋体" w:cs="宋体"/>
      <w:sz w:val="42"/>
      <w:szCs w:val="42"/>
      <w:u w:val="none"/>
      <w:shd w:val="clear" w:color="auto" w:fill="auto"/>
      <w:lang w:val="zh-TW" w:eastAsia="zh-TW" w:bidi="zh-TW"/>
    </w:rPr>
  </w:style>
  <w:style w:type="paragraph" w:customStyle="1" w:styleId="50">
    <w:name w:val="p15"/>
    <w:basedOn w:val="1"/>
    <w:autoRedefine/>
    <w:unhideWhenUsed/>
    <w:qFormat/>
    <w:uiPriority w:val="0"/>
    <w:pPr>
      <w:widowControl/>
    </w:pPr>
    <w:rPr>
      <w:rFonts w:hint="eastAsia"/>
    </w:rPr>
  </w:style>
  <w:style w:type="paragraph" w:customStyle="1" w:styleId="51">
    <w:name w:val="Table Paragraph"/>
    <w:basedOn w:val="1"/>
    <w:autoRedefine/>
    <w:qFormat/>
    <w:uiPriority w:val="1"/>
    <w:rPr>
      <w:rFonts w:ascii="宋体" w:hAnsi="宋体" w:eastAsia="宋体" w:cs="宋体"/>
      <w:lang w:val="zh-CN" w:eastAsia="zh-CN" w:bidi="zh-CN"/>
    </w:rPr>
  </w:style>
  <w:style w:type="character" w:customStyle="1" w:styleId="52">
    <w:name w:val="font41"/>
    <w:basedOn w:val="20"/>
    <w:autoRedefine/>
    <w:qFormat/>
    <w:uiPriority w:val="0"/>
    <w:rPr>
      <w:rFonts w:ascii="Arial" w:hAnsi="Arial" w:cs="Arial"/>
      <w:color w:val="000000"/>
      <w:sz w:val="24"/>
      <w:szCs w:val="24"/>
      <w:u w:val="none"/>
    </w:rPr>
  </w:style>
  <w:style w:type="paragraph" w:customStyle="1" w:styleId="53">
    <w:name w:val="MSG_EN_FONT_STYLE_NAME_TEMPLATE_ROLE_LEVEL MSG_EN_FONT_STYLE_NAME_BY_ROLE_HEADING 2|1"/>
    <w:basedOn w:val="1"/>
    <w:autoRedefine/>
    <w:qFormat/>
    <w:uiPriority w:val="0"/>
    <w:pPr>
      <w:shd w:val="clear" w:color="auto" w:fill="FFFFFF"/>
      <w:spacing w:before="320" w:after="540" w:line="653" w:lineRule="exact"/>
      <w:jc w:val="center"/>
      <w:outlineLvl w:val="1"/>
    </w:pPr>
    <w:rPr>
      <w:rFonts w:ascii="宋体" w:hAnsi="宋体" w:cs="宋体"/>
      <w:kern w:val="0"/>
      <w:sz w:val="42"/>
      <w:szCs w:val="42"/>
    </w:rPr>
  </w:style>
  <w:style w:type="paragraph" w:customStyle="1" w:styleId="54">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5">
    <w:name w:val="NormalCharacter"/>
    <w:autoRedefine/>
    <w:qFormat/>
    <w:uiPriority w:val="0"/>
  </w:style>
  <w:style w:type="character" w:customStyle="1" w:styleId="56">
    <w:name w:val="bjh-strong"/>
    <w:autoRedefine/>
    <w:qFormat/>
    <w:uiPriority w:val="0"/>
  </w:style>
  <w:style w:type="table" w:customStyle="1" w:styleId="57">
    <w:name w:val="Table Normal"/>
    <w:autoRedefine/>
    <w:semiHidden/>
    <w:unhideWhenUsed/>
    <w:qFormat/>
    <w:uiPriority w:val="0"/>
    <w:tblPr>
      <w:tblCellMar>
        <w:top w:w="0" w:type="dxa"/>
        <w:left w:w="0" w:type="dxa"/>
        <w:bottom w:w="0" w:type="dxa"/>
        <w:right w:w="0" w:type="dxa"/>
      </w:tblCellMar>
    </w:tblPr>
  </w:style>
  <w:style w:type="paragraph" w:customStyle="1" w:styleId="58">
    <w:name w:val="标题 #3"/>
    <w:basedOn w:val="1"/>
    <w:autoRedefine/>
    <w:qFormat/>
    <w:uiPriority w:val="0"/>
    <w:pPr>
      <w:widowControl w:val="0"/>
      <w:shd w:val="clear" w:color="auto" w:fill="auto"/>
      <w:spacing w:after="140"/>
      <w:jc w:val="center"/>
      <w:outlineLvl w:val="2"/>
    </w:pPr>
    <w:rPr>
      <w:rFonts w:ascii="宋体" w:hAnsi="宋体" w:eastAsia="宋体" w:cs="宋体"/>
      <w:sz w:val="42"/>
      <w:szCs w:val="42"/>
      <w:u w:val="none"/>
      <w:lang w:val="zh-CN" w:eastAsia="zh-CN" w:bidi="zh-CN"/>
    </w:rPr>
  </w:style>
  <w:style w:type="paragraph" w:customStyle="1" w:styleId="59">
    <w:name w:val="正文文本1"/>
    <w:basedOn w:val="1"/>
    <w:autoRedefine/>
    <w:qFormat/>
    <w:uiPriority w:val="0"/>
    <w:pPr>
      <w:widowControl w:val="0"/>
      <w:shd w:val="clear" w:color="auto" w:fill="auto"/>
      <w:spacing w:line="408" w:lineRule="auto"/>
      <w:ind w:firstLine="400"/>
    </w:pPr>
    <w:rPr>
      <w:rFonts w:ascii="宋体" w:hAnsi="宋体" w:eastAsia="宋体" w:cs="宋体"/>
      <w:sz w:val="30"/>
      <w:szCs w:val="30"/>
      <w:u w:val="none"/>
      <w:lang w:val="zh-CN" w:eastAsia="zh-CN" w:bidi="zh-CN"/>
    </w:rPr>
  </w:style>
  <w:style w:type="paragraph" w:customStyle="1" w:styleId="60">
    <w:name w:val="正文文本 (2)"/>
    <w:basedOn w:val="1"/>
    <w:autoRedefine/>
    <w:qFormat/>
    <w:uiPriority w:val="0"/>
    <w:pPr>
      <w:widowControl w:val="0"/>
      <w:shd w:val="clear" w:color="auto" w:fill="auto"/>
      <w:spacing w:line="581" w:lineRule="exact"/>
      <w:ind w:firstLine="660"/>
    </w:pPr>
    <w:rPr>
      <w:rFonts w:ascii="黑体" w:hAnsi="黑体" w:eastAsia="黑体" w:cs="黑体"/>
      <w:sz w:val="32"/>
      <w:szCs w:val="32"/>
      <w:u w:val="none"/>
      <w:lang w:val="zh-CN" w:eastAsia="zh-CN" w:bidi="zh-CN"/>
    </w:rPr>
  </w:style>
  <w:style w:type="paragraph" w:customStyle="1" w:styleId="61">
    <w:name w:val="页眉或页脚 (2)"/>
    <w:basedOn w:val="1"/>
    <w:autoRedefine/>
    <w:qFormat/>
    <w:uiPriority w:val="0"/>
    <w:pPr>
      <w:widowControl w:val="0"/>
      <w:shd w:val="clear" w:color="auto" w:fill="auto"/>
    </w:pPr>
    <w:rPr>
      <w:rFonts w:ascii="Times New Roman" w:hAnsi="Times New Roman" w:eastAsia="Times New Roman" w:cs="Times New Roman"/>
      <w:sz w:val="20"/>
      <w:szCs w:val="20"/>
      <w:u w:val="none"/>
      <w:lang w:val="zh-CN" w:eastAsia="zh-CN" w:bidi="zh-CN"/>
    </w:rPr>
  </w:style>
  <w:style w:type="character" w:customStyle="1" w:styleId="62">
    <w:name w:val="MSG_EN_FONT_STYLE_NAME_TEMPLATE_ROLE MSG_EN_FONT_STYLE_NAME_BY_ROLE_TEXT|6_"/>
    <w:basedOn w:val="20"/>
    <w:link w:val="63"/>
    <w:autoRedefine/>
    <w:qFormat/>
    <w:locked/>
    <w:uiPriority w:val="99"/>
    <w:rPr>
      <w:rFonts w:ascii="PMingLiU" w:eastAsia="PMingLiU" w:cs="PMingLiU"/>
      <w:kern w:val="0"/>
      <w:sz w:val="22"/>
    </w:rPr>
  </w:style>
  <w:style w:type="paragraph" w:customStyle="1" w:styleId="63">
    <w:name w:val="MSG_EN_FONT_STYLE_NAME_TEMPLATE_ROLE MSG_EN_FONT_STYLE_NAME_BY_ROLE_TEXT|61"/>
    <w:basedOn w:val="1"/>
    <w:link w:val="62"/>
    <w:autoRedefine/>
    <w:qFormat/>
    <w:uiPriority w:val="99"/>
    <w:pPr>
      <w:shd w:val="clear" w:color="auto" w:fill="FFFFFF"/>
      <w:spacing w:line="466" w:lineRule="exact"/>
      <w:ind w:firstLine="200" w:firstLineChars="200"/>
      <w:jc w:val="distribute"/>
    </w:pPr>
    <w:rPr>
      <w:rFonts w:ascii="PMingLiU" w:eastAsia="PMingLiU" w:cs="PMingLiU"/>
      <w:kern w:val="0"/>
      <w:sz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5" Type="http://schemas.openxmlformats.org/officeDocument/2006/relationships/font" Target="fonts/font15.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304</Words>
  <Characters>342</Characters>
  <Paragraphs>71</Paragraphs>
  <TotalTime>8</TotalTime>
  <ScaleCrop>false</ScaleCrop>
  <LinksUpToDate>false</LinksUpToDate>
  <CharactersWithSpaces>363</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2019-05-22T11:55:00Z</dcterms:created>
  <dc:creator>user</dc:creator>
  <cp:lastModifiedBy>笑傲江湖</cp:lastModifiedBy>
  <cp:lastPrinted>2024-02-28T00:24:33Z</cp:lastPrinted>
  <dcterms:modified xsi:type="dcterms:W3CDTF">2024-02-28T00:25:19Z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KSOSaveFontToCloudKey">
    <vt:lpwstr>548920287_embed</vt:lpwstr>
  </property>
  <property fmtid="{D5CDD505-2E9C-101B-9397-08002B2CF9AE}" pid="4" name="ICV">
    <vt:lpwstr>1E5228100A3849AE904FFA940683010D_13</vt:lpwstr>
  </property>
</Properties>
</file>