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Theme="majorEastAsia" w:hAnsiTheme="majorEastAsia" w:eastAsiaTheme="majorEastAsia"/>
          <w:b/>
          <w:color w:val="auto"/>
          <w:sz w:val="44"/>
          <w:szCs w:val="44"/>
        </w:rPr>
      </w:pPr>
    </w:p>
    <w:p>
      <w:pPr>
        <w:spacing w:line="620" w:lineRule="exact"/>
        <w:jc w:val="center"/>
        <w:rPr>
          <w:rFonts w:hint="eastAsia" w:asciiTheme="majorEastAsia" w:hAnsiTheme="majorEastAsia" w:eastAsiaTheme="majorEastAsia"/>
          <w:b/>
          <w:color w:val="auto"/>
          <w:sz w:val="44"/>
          <w:szCs w:val="44"/>
        </w:rPr>
      </w:pPr>
    </w:p>
    <w:p>
      <w:pPr>
        <w:spacing w:line="620" w:lineRule="exact"/>
        <w:jc w:val="center"/>
        <w:rPr>
          <w:rFonts w:hint="eastAsia" w:asciiTheme="majorEastAsia" w:hAnsiTheme="majorEastAsia" w:eastAsiaTheme="majorEastAsia"/>
          <w:b/>
          <w:color w:val="auto"/>
          <w:sz w:val="44"/>
          <w:szCs w:val="44"/>
        </w:rPr>
      </w:pPr>
    </w:p>
    <w:p>
      <w:pPr>
        <w:spacing w:line="620" w:lineRule="exact"/>
        <w:jc w:val="center"/>
        <w:rPr>
          <w:rFonts w:hint="eastAsia" w:asciiTheme="majorEastAsia" w:hAnsiTheme="majorEastAsia" w:eastAsiaTheme="majorEastAsia"/>
          <w:b/>
          <w:color w:val="auto"/>
          <w:sz w:val="44"/>
          <w:szCs w:val="44"/>
        </w:rPr>
      </w:pPr>
    </w:p>
    <w:p>
      <w:pPr>
        <w:spacing w:line="620" w:lineRule="exact"/>
        <w:jc w:val="center"/>
        <w:rPr>
          <w:rFonts w:asciiTheme="majorEastAsia" w:hAnsiTheme="majorEastAsia" w:eastAsiaTheme="majorEastAsia"/>
          <w:b/>
          <w:color w:val="auto"/>
          <w:sz w:val="44"/>
          <w:szCs w:val="44"/>
        </w:rPr>
      </w:pPr>
    </w:p>
    <w:p>
      <w:pPr>
        <w:spacing w:line="620" w:lineRule="exact"/>
        <w:jc w:val="center"/>
        <w:rPr>
          <w:rFonts w:hint="eastAsia" w:ascii="华文中宋" w:hAnsi="华文中宋" w:eastAsia="华文中宋"/>
          <w:b/>
          <w:color w:val="auto"/>
          <w:sz w:val="32"/>
          <w:szCs w:val="32"/>
          <w:lang w:eastAsia="zh-CN"/>
        </w:rPr>
      </w:pPr>
      <w:r>
        <w:rPr>
          <w:rFonts w:ascii="宋体" w:hAnsi="宋体"/>
          <w:b w:val="0"/>
          <w:bCs/>
          <w:smallCaps w:val="0"/>
          <w:color w:val="000000" w:themeColor="text1"/>
          <w:sz w:val="44"/>
          <w14:textFill>
            <w14:solidFill>
              <w14:schemeClr w14:val="tx1"/>
            </w14:solidFill>
          </w14:textFill>
        </w:rPr>
        <mc:AlternateContent>
          <mc:Choice Requires="wps">
            <w:drawing>
              <wp:anchor distT="0" distB="0" distL="0" distR="0" simplePos="0" relativeHeight="251660288" behindDoc="0" locked="0" layoutInCell="1" allowOverlap="1">
                <wp:simplePos x="0" y="0"/>
                <wp:positionH relativeFrom="column">
                  <wp:posOffset>-1083945</wp:posOffset>
                </wp:positionH>
                <wp:positionV relativeFrom="paragraph">
                  <wp:posOffset>524510</wp:posOffset>
                </wp:positionV>
                <wp:extent cx="7571740" cy="427990"/>
                <wp:effectExtent l="0" t="0" r="0" b="0"/>
                <wp:wrapNone/>
                <wp:docPr id="1026" name="文本框 2"/>
                <wp:cNvGraphicFramePr/>
                <a:graphic xmlns:a="http://schemas.openxmlformats.org/drawingml/2006/main">
                  <a:graphicData uri="http://schemas.microsoft.com/office/word/2010/wordprocessingShape">
                    <wps:wsp>
                      <wps:cNvSpPr/>
                      <wps:spPr>
                        <a:xfrm>
                          <a:off x="0" y="0"/>
                          <a:ext cx="7571740" cy="427990"/>
                        </a:xfrm>
                        <a:prstGeom prst="rect">
                          <a:avLst/>
                        </a:prstGeom>
                        <a:ln>
                          <a:noFill/>
                        </a:ln>
                      </wps:spPr>
                      <wps:txbx>
                        <w:txbxContent>
                          <w:p>
                            <w:pPr>
                              <w:spacing w:line="580" w:lineRule="exact"/>
                              <w:ind w:left="-194" w:leftChars="-95" w:hanging="5"/>
                              <w:jc w:val="center"/>
                              <w:rPr>
                                <w:rFonts w:ascii="宋体" w:hAnsi="宋体" w:eastAsia="楷体"/>
                                <w:sz w:val="32"/>
                                <w:szCs w:val="32"/>
                              </w:rPr>
                            </w:pPr>
                            <w:r>
                              <w:rPr>
                                <w:rFonts w:hint="eastAsia" w:ascii="宋体" w:hAnsi="宋体" w:eastAsia="仿宋_GB2312" w:cs="仿宋_GB2312"/>
                                <w:sz w:val="32"/>
                                <w:szCs w:val="32"/>
                              </w:rPr>
                              <w:t>济管环</w:t>
                            </w:r>
                            <w:r>
                              <w:rPr>
                                <w:rFonts w:hint="eastAsia" w:ascii="宋体" w:hAnsi="宋体" w:eastAsia="仿宋_GB2312"/>
                                <w:sz w:val="32"/>
                                <w:szCs w:val="32"/>
                              </w:rPr>
                              <w:t>〔</w:t>
                            </w:r>
                            <w:r>
                              <w:rPr>
                                <w:rFonts w:hint="eastAsia" w:ascii="宋体" w:hAnsi="宋体" w:eastAsia="宋体" w:cs="宋体"/>
                                <w:sz w:val="32"/>
                                <w:szCs w:val="32"/>
                              </w:rPr>
                              <w:t>202</w:t>
                            </w:r>
                            <w:r>
                              <w:rPr>
                                <w:rFonts w:hint="eastAsia" w:ascii="宋体" w:hAnsi="宋体" w:cs="宋体"/>
                                <w:sz w:val="32"/>
                                <w:szCs w:val="32"/>
                                <w:lang w:val="en-US" w:eastAsia="zh-CN"/>
                              </w:rPr>
                              <w:t>3</w:t>
                            </w:r>
                            <w:r>
                              <w:rPr>
                                <w:rFonts w:hint="eastAsia" w:ascii="宋体" w:hAnsi="宋体" w:eastAsia="仿宋_GB2312"/>
                                <w:sz w:val="32"/>
                                <w:szCs w:val="32"/>
                              </w:rPr>
                              <w:t>〕</w:t>
                            </w:r>
                            <w:r>
                              <w:rPr>
                                <w:rFonts w:hint="eastAsia" w:ascii="宋体" w:hAnsi="宋体" w:eastAsia="仿宋_GB2312"/>
                                <w:sz w:val="32"/>
                                <w:szCs w:val="32"/>
                                <w:highlight w:val="none"/>
                                <w:lang w:val="en-US" w:eastAsia="zh-CN"/>
                              </w:rPr>
                              <w:t>59</w:t>
                            </w:r>
                            <w:r>
                              <w:rPr>
                                <w:rFonts w:hint="eastAsia" w:ascii="宋体" w:hAnsi="宋体" w:eastAsia="仿宋_GB2312"/>
                                <w:sz w:val="32"/>
                                <w:szCs w:val="32"/>
                              </w:rPr>
                              <w:t xml:space="preserve">号 </w:t>
                            </w:r>
                          </w:p>
                          <w:p/>
                        </w:txbxContent>
                      </wps:txbx>
                      <wps:bodyPr vert="horz" wrap="square" lIns="91440" tIns="45720" rIns="91440" bIns="45720" anchor="t">
                        <a:noAutofit/>
                      </wps:bodyPr>
                    </wps:wsp>
                  </a:graphicData>
                </a:graphic>
              </wp:anchor>
            </w:drawing>
          </mc:Choice>
          <mc:Fallback>
            <w:pict>
              <v:rect id="文本框 2" o:spid="_x0000_s1026" o:spt="1" style="position:absolute;left:0pt;margin-left:-85.35pt;margin-top:41.3pt;height:33.7pt;width:596.2pt;z-index:251660288;mso-width-relative:page;mso-height-relative:page;" filled="f" stroked="f" coordsize="21600,21600" o:gfxdata="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oOKJ9sAAAAMAQAADwAA&#10;AAAAAAABACAAAAAiAAAAZHJzL2Rvd25yZXYueG1sUEsBAhQAFAAAAAgAh07iQMeUHzLaAQAAowMA&#10;AA4AAAAAAAAAAQAgAAAAKgEAAGRycy9lMm9Eb2MueG1sUEsFBgAAAAAGAAYAWQEAAHYFAAAAAA==&#10;">
                <v:fill on="f" focussize="0,0"/>
                <v:stroke on="f"/>
                <v:imagedata o:title=""/>
                <o:lock v:ext="edit" aspectratio="f"/>
                <v:textbox>
                  <w:txbxContent>
                    <w:p>
                      <w:pPr>
                        <w:spacing w:line="580" w:lineRule="exact"/>
                        <w:ind w:left="-194" w:leftChars="-95" w:hanging="5"/>
                        <w:jc w:val="center"/>
                        <w:rPr>
                          <w:rFonts w:ascii="宋体" w:hAnsi="宋体" w:eastAsia="楷体"/>
                          <w:sz w:val="32"/>
                          <w:szCs w:val="32"/>
                        </w:rPr>
                      </w:pPr>
                      <w:r>
                        <w:rPr>
                          <w:rFonts w:hint="eastAsia" w:ascii="宋体" w:hAnsi="宋体" w:eastAsia="仿宋_GB2312" w:cs="仿宋_GB2312"/>
                          <w:sz w:val="32"/>
                          <w:szCs w:val="32"/>
                        </w:rPr>
                        <w:t>济管环</w:t>
                      </w:r>
                      <w:r>
                        <w:rPr>
                          <w:rFonts w:hint="eastAsia" w:ascii="宋体" w:hAnsi="宋体" w:eastAsia="仿宋_GB2312"/>
                          <w:sz w:val="32"/>
                          <w:szCs w:val="32"/>
                        </w:rPr>
                        <w:t>〔</w:t>
                      </w:r>
                      <w:r>
                        <w:rPr>
                          <w:rFonts w:hint="eastAsia" w:ascii="宋体" w:hAnsi="宋体" w:eastAsia="宋体" w:cs="宋体"/>
                          <w:sz w:val="32"/>
                          <w:szCs w:val="32"/>
                        </w:rPr>
                        <w:t>202</w:t>
                      </w:r>
                      <w:r>
                        <w:rPr>
                          <w:rFonts w:hint="eastAsia" w:ascii="宋体" w:hAnsi="宋体" w:cs="宋体"/>
                          <w:sz w:val="32"/>
                          <w:szCs w:val="32"/>
                          <w:lang w:val="en-US" w:eastAsia="zh-CN"/>
                        </w:rPr>
                        <w:t>3</w:t>
                      </w:r>
                      <w:r>
                        <w:rPr>
                          <w:rFonts w:hint="eastAsia" w:ascii="宋体" w:hAnsi="宋体" w:eastAsia="仿宋_GB2312"/>
                          <w:sz w:val="32"/>
                          <w:szCs w:val="32"/>
                        </w:rPr>
                        <w:t>〕</w:t>
                      </w:r>
                      <w:r>
                        <w:rPr>
                          <w:rFonts w:hint="eastAsia" w:ascii="宋体" w:hAnsi="宋体" w:eastAsia="仿宋_GB2312"/>
                          <w:sz w:val="32"/>
                          <w:szCs w:val="32"/>
                          <w:highlight w:val="none"/>
                          <w:lang w:val="en-US" w:eastAsia="zh-CN"/>
                        </w:rPr>
                        <w:t>59</w:t>
                      </w:r>
                      <w:r>
                        <w:rPr>
                          <w:rFonts w:hint="eastAsia" w:ascii="宋体" w:hAnsi="宋体" w:eastAsia="仿宋_GB2312"/>
                          <w:sz w:val="32"/>
                          <w:szCs w:val="32"/>
                        </w:rPr>
                        <w:t xml:space="preserve">号 </w:t>
                      </w:r>
                    </w:p>
                    <w:p/>
                  </w:txbxContent>
                </v:textbox>
              </v:rect>
            </w:pict>
          </mc:Fallback>
        </mc:AlternateContent>
      </w:r>
    </w:p>
    <w:p>
      <w:pPr>
        <w:spacing w:line="620" w:lineRule="exact"/>
        <w:jc w:val="center"/>
        <w:rPr>
          <w:rFonts w:hint="eastAsia" w:ascii="华文中宋" w:hAnsi="华文中宋" w:eastAsia="华文中宋"/>
          <w:b/>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华文中宋" w:hAnsi="华文中宋" w:eastAsia="华文中宋"/>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华文中宋" w:hAnsi="华文中宋" w:eastAsia="华文中宋"/>
          <w:b w:val="0"/>
          <w:bCs/>
          <w:color w:val="auto"/>
          <w:sz w:val="44"/>
          <w:szCs w:val="44"/>
          <w:lang w:eastAsia="zh-CN"/>
        </w:rPr>
      </w:pPr>
      <w:r>
        <w:rPr>
          <w:rFonts w:hint="eastAsia" w:ascii="华文中宋" w:hAnsi="华文中宋" w:eastAsia="华文中宋"/>
          <w:b w:val="0"/>
          <w:bCs/>
          <w:color w:val="auto"/>
          <w:sz w:val="44"/>
          <w:szCs w:val="44"/>
          <w:lang w:eastAsia="zh-CN"/>
        </w:rPr>
        <w:t>济源产城融合示范区生态环境局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华文中宋" w:hAnsi="华文中宋" w:eastAsia="华文中宋"/>
          <w:b w:val="0"/>
          <w:bCs/>
          <w:color w:val="auto"/>
          <w:sz w:val="44"/>
          <w:szCs w:val="44"/>
        </w:rPr>
      </w:pPr>
      <w:r>
        <w:rPr>
          <w:rFonts w:hint="eastAsia" w:ascii="华文中宋" w:hAnsi="华文中宋" w:eastAsia="华文中宋"/>
          <w:b w:val="0"/>
          <w:bCs/>
          <w:color w:val="auto"/>
          <w:sz w:val="44"/>
          <w:szCs w:val="44"/>
        </w:rPr>
        <w:t>关于印发</w:t>
      </w:r>
      <w:r>
        <w:rPr>
          <w:rFonts w:hint="eastAsia" w:ascii="华文中宋" w:hAnsi="华文中宋" w:eastAsia="华文中宋"/>
          <w:b w:val="0"/>
          <w:bCs/>
          <w:color w:val="auto"/>
          <w:sz w:val="44"/>
          <w:szCs w:val="44"/>
          <w:lang w:eastAsia="zh-CN"/>
        </w:rPr>
        <w:t>济源示范区生态环境局</w:t>
      </w:r>
      <w:r>
        <w:rPr>
          <w:rFonts w:hint="eastAsia" w:ascii="华文中宋" w:hAnsi="华文中宋" w:eastAsia="华文中宋"/>
          <w:b w:val="0"/>
          <w:bCs/>
          <w:color w:val="auto"/>
          <w:sz w:val="44"/>
          <w:szCs w:val="44"/>
        </w:rPr>
        <w:t>202</w:t>
      </w:r>
      <w:r>
        <w:rPr>
          <w:rFonts w:hint="eastAsia" w:ascii="华文中宋" w:hAnsi="华文中宋" w:eastAsia="华文中宋"/>
          <w:b w:val="0"/>
          <w:bCs/>
          <w:color w:val="auto"/>
          <w:sz w:val="44"/>
          <w:szCs w:val="44"/>
          <w:lang w:val="en-US" w:eastAsia="zh-CN"/>
        </w:rPr>
        <w:t>3</w:t>
      </w:r>
      <w:r>
        <w:rPr>
          <w:rFonts w:hint="eastAsia" w:ascii="华文中宋" w:hAnsi="华文中宋" w:eastAsia="华文中宋"/>
          <w:b w:val="0"/>
          <w:bCs/>
          <w:color w:val="auto"/>
          <w:sz w:val="44"/>
          <w:szCs w:val="44"/>
        </w:rPr>
        <w:t>年度</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华文中宋" w:hAnsi="华文中宋" w:eastAsia="华文中宋"/>
          <w:b w:val="0"/>
          <w:bCs/>
          <w:color w:val="auto"/>
          <w:sz w:val="44"/>
          <w:szCs w:val="44"/>
        </w:rPr>
      </w:pPr>
      <w:r>
        <w:rPr>
          <w:rFonts w:hint="eastAsia" w:ascii="华文中宋" w:hAnsi="华文中宋" w:eastAsia="华文中宋"/>
          <w:b w:val="0"/>
          <w:bCs/>
          <w:color w:val="auto"/>
          <w:sz w:val="44"/>
          <w:szCs w:val="44"/>
        </w:rPr>
        <w:t>法治（法治政府）建设工作</w:t>
      </w:r>
      <w:r>
        <w:rPr>
          <w:rFonts w:hint="eastAsia" w:ascii="华文中宋" w:hAnsi="华文中宋" w:eastAsia="华文中宋"/>
          <w:b w:val="0"/>
          <w:bCs/>
          <w:color w:val="auto"/>
          <w:sz w:val="44"/>
          <w:szCs w:val="44"/>
          <w:lang w:val="en-US" w:eastAsia="zh-CN"/>
        </w:rPr>
        <w:t>安排</w:t>
      </w:r>
      <w:r>
        <w:rPr>
          <w:rFonts w:hint="eastAsia" w:ascii="华文中宋" w:hAnsi="华文中宋" w:eastAsia="华文中宋"/>
          <w:b w:val="0"/>
          <w:bCs/>
          <w:color w:val="auto"/>
          <w:sz w:val="44"/>
          <w:szCs w:val="44"/>
        </w:rPr>
        <w:t>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ajorEastAsia" w:hAnsiTheme="majorEastAsia" w:eastAsiaTheme="majorEastAsia"/>
          <w:b/>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olor w:val="auto"/>
          <w:sz w:val="32"/>
          <w:szCs w:val="32"/>
        </w:rPr>
      </w:pPr>
      <w:r>
        <w:rPr>
          <w:rFonts w:hint="eastAsia" w:ascii="仿宋" w:hAnsi="仿宋" w:eastAsia="仿宋"/>
          <w:color w:val="auto"/>
          <w:sz w:val="32"/>
          <w:szCs w:val="32"/>
          <w:lang w:eastAsia="zh-CN"/>
        </w:rPr>
        <w:t>各分局，局机关各科室，局属各二级机构</w:t>
      </w:r>
      <w:r>
        <w:rPr>
          <w:rFonts w:hint="eastAsia" w:ascii="仿宋" w:hAnsi="仿宋" w:eastAsia="仿宋"/>
          <w:color w:val="auto"/>
          <w:sz w:val="32"/>
          <w:szCs w:val="32"/>
        </w:rPr>
        <w:t>：</w:t>
      </w:r>
    </w:p>
    <w:p>
      <w:pPr>
        <w:pStyle w:val="5"/>
        <w:keepNext w:val="0"/>
        <w:keepLines w:val="0"/>
        <w:widowControl/>
        <w:suppressLineNumbers w:val="0"/>
        <w:spacing w:before="0" w:beforeAutospacing="0" w:after="0" w:afterAutospacing="0"/>
        <w:ind w:left="0" w:right="0" w:firstLine="640" w:firstLineChars="200"/>
        <w:jc w:val="both"/>
        <w:rPr>
          <w:rFonts w:hint="eastAsia" w:ascii="仿宋" w:hAnsi="仿宋" w:eastAsia="仿宋" w:cstheme="minorBidi"/>
          <w:color w:val="auto"/>
          <w:kern w:val="2"/>
          <w:sz w:val="32"/>
          <w:szCs w:val="32"/>
          <w:lang w:val="en-US" w:eastAsia="zh-CN" w:bidi="ar-SA"/>
        </w:rPr>
      </w:pPr>
      <w:r>
        <w:rPr>
          <w:rFonts w:hint="eastAsia" w:ascii="仿宋" w:hAnsi="仿宋" w:eastAsia="仿宋" w:cstheme="minorBidi"/>
          <w:color w:val="auto"/>
          <w:kern w:val="2"/>
          <w:sz w:val="32"/>
          <w:szCs w:val="32"/>
          <w:lang w:val="en-US" w:eastAsia="zh-CN" w:bidi="ar-SA"/>
        </w:rPr>
        <w:t>根据《济源示范区(济源市)法治政府建设领导小组关于印发&lt;济源示范区2023年度法治政府建设工作安排&gt;的通知》（济法政〔2023〕1号）和《河南省生态环境厅关于印发河南省生态环境系统2023年度法治（法治政府）建设工作安排的通知》（豫环办〔2023〕60号）精神，我局制定了《济源示范区生态环境局2023年度法治（法治政府）建设工作安排》，现印发给你们，请结合实际，认真贯彻执行。</w:t>
      </w:r>
    </w:p>
    <w:p>
      <w:pPr>
        <w:keepNext w:val="0"/>
        <w:keepLines w:val="0"/>
        <w:pageBreakBefore w:val="0"/>
        <w:widowControl w:val="0"/>
        <w:kinsoku/>
        <w:wordWrap/>
        <w:overflowPunct/>
        <w:topLinePunct w:val="0"/>
        <w:autoSpaceDE/>
        <w:autoSpaceDN/>
        <w:bidi w:val="0"/>
        <w:adjustRightInd/>
        <w:snapToGrid/>
        <w:spacing w:line="240" w:lineRule="auto"/>
        <w:ind w:firstLine="600"/>
        <w:jc w:val="left"/>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120" w:firstLineChars="1600"/>
        <w:jc w:val="left"/>
        <w:textAlignment w:val="auto"/>
        <w:rPr>
          <w:rFonts w:ascii="仿宋" w:hAnsi="仿宋" w:eastAsia="仿宋"/>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日</w:t>
      </w:r>
    </w:p>
    <w:p>
      <w:pPr>
        <w:widowControl/>
        <w:spacing w:line="620" w:lineRule="exact"/>
        <w:jc w:val="left"/>
        <w:rPr>
          <w:rFonts w:hint="eastAsia"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br w:type="page"/>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华文中宋" w:hAnsi="华文中宋" w:eastAsia="华文中宋" w:cs="华文中宋"/>
          <w:b w:val="0"/>
          <w:bCs/>
          <w:color w:val="auto"/>
          <w:sz w:val="44"/>
          <w:szCs w:val="44"/>
          <w:lang w:eastAsia="zh-CN"/>
        </w:rPr>
      </w:pPr>
      <w:r>
        <w:rPr>
          <w:rFonts w:hint="eastAsia" w:ascii="华文中宋" w:hAnsi="华文中宋" w:eastAsia="华文中宋" w:cs="华文中宋"/>
          <w:b w:val="0"/>
          <w:bCs/>
          <w:color w:val="auto"/>
          <w:sz w:val="44"/>
          <w:szCs w:val="44"/>
          <w:lang w:eastAsia="zh-CN"/>
        </w:rPr>
        <w:t>济源示范区生态环境局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华文中宋" w:hAnsi="华文中宋" w:eastAsia="华文中宋" w:cs="华文中宋"/>
          <w:b w:val="0"/>
          <w:bCs/>
          <w:color w:val="auto"/>
          <w:sz w:val="44"/>
          <w:szCs w:val="44"/>
        </w:rPr>
      </w:pPr>
      <w:r>
        <w:rPr>
          <w:rFonts w:hint="eastAsia" w:ascii="华文中宋" w:hAnsi="华文中宋" w:eastAsia="华文中宋" w:cs="华文中宋"/>
          <w:b w:val="0"/>
          <w:bCs/>
          <w:color w:val="auto"/>
          <w:sz w:val="44"/>
          <w:szCs w:val="44"/>
        </w:rPr>
        <w:t>202</w:t>
      </w:r>
      <w:r>
        <w:rPr>
          <w:rFonts w:hint="eastAsia" w:ascii="华文中宋" w:hAnsi="华文中宋" w:eastAsia="华文中宋" w:cs="华文中宋"/>
          <w:b w:val="0"/>
          <w:bCs/>
          <w:color w:val="auto"/>
          <w:sz w:val="44"/>
          <w:szCs w:val="44"/>
          <w:lang w:val="en-US" w:eastAsia="zh-CN"/>
        </w:rPr>
        <w:t>3</w:t>
      </w:r>
      <w:r>
        <w:rPr>
          <w:rFonts w:hint="eastAsia" w:ascii="华文中宋" w:hAnsi="华文中宋" w:eastAsia="华文中宋" w:cs="华文中宋"/>
          <w:b w:val="0"/>
          <w:bCs/>
          <w:color w:val="auto"/>
          <w:sz w:val="44"/>
          <w:szCs w:val="44"/>
        </w:rPr>
        <w:t>年度法治（法治政府）建设</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华文中宋" w:hAnsi="华文中宋" w:eastAsia="华文中宋" w:cs="华文中宋"/>
          <w:b w:val="0"/>
          <w:bCs/>
          <w:color w:val="auto"/>
          <w:sz w:val="44"/>
          <w:szCs w:val="44"/>
          <w:lang w:eastAsia="zh-CN"/>
        </w:rPr>
      </w:pPr>
      <w:bookmarkStart w:id="0" w:name="_GoBack"/>
      <w:bookmarkEnd w:id="0"/>
      <w:r>
        <w:rPr>
          <w:rFonts w:hint="eastAsia" w:ascii="华文中宋" w:hAnsi="华文中宋" w:eastAsia="华文中宋" w:cs="华文中宋"/>
          <w:b w:val="0"/>
          <w:bCs/>
          <w:color w:val="auto"/>
          <w:sz w:val="44"/>
          <w:szCs w:val="44"/>
        </w:rPr>
        <w:t>工作</w:t>
      </w:r>
      <w:r>
        <w:rPr>
          <w:rFonts w:hint="eastAsia" w:ascii="华文中宋" w:hAnsi="华文中宋" w:eastAsia="华文中宋" w:cs="华文中宋"/>
          <w:b w:val="0"/>
          <w:bCs/>
          <w:color w:val="auto"/>
          <w:sz w:val="44"/>
          <w:szCs w:val="44"/>
          <w:lang w:eastAsia="zh-CN"/>
        </w:rPr>
        <w:t>安排</w:t>
      </w:r>
    </w:p>
    <w:p>
      <w:pPr>
        <w:spacing w:line="620" w:lineRule="exact"/>
        <w:ind w:firstLine="320" w:firstLineChars="100"/>
        <w:jc w:val="left"/>
        <w:rPr>
          <w:rFonts w:asciiTheme="majorEastAsia" w:hAnsiTheme="majorEastAsia" w:eastAsiaTheme="major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2023年是全面贯彻落实党的二十大精神的开局之年，是实施"十四五"规划承上启下的关键之年。示范区生态环境系统法治政府建设要坚持以习近平新时代中国特色社会主义思想为指导，深入学习贯彻习近平法治思想，全面贯彻落实党的二十大精神，坚决落实习近平总书记关于法治政府建设重要讲话精神，深刻领悟“两个确立”的决定性意义，立足济源实际，紧紧围绕服务“两个确保”、实施“十大战略”,聚焦重点任务、关键环节，树立大局意识、服务意识，坚持问题导向、结果导向，不断开拓创新，进一步推动全系统法治政府建设工作再上新台阶、取得新发展。现就做好2023年度生态环境系统法治(法治政府)建设工作安排如下：</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w:t>
      </w:r>
      <w:r>
        <w:rPr>
          <w:rFonts w:hint="eastAsia" w:ascii="黑体" w:hAnsi="黑体" w:eastAsia="黑体" w:cs="黑体"/>
          <w:b w:val="0"/>
          <w:bCs/>
          <w:color w:val="auto"/>
          <w:sz w:val="32"/>
          <w:szCs w:val="32"/>
          <w:lang w:val="en-US" w:eastAsia="zh-CN"/>
        </w:rPr>
        <w:t>深入学习贯彻习近平法治思想</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theme="minorBidi"/>
          <w:color w:val="auto"/>
          <w:kern w:val="2"/>
          <w:sz w:val="32"/>
          <w:szCs w:val="32"/>
          <w:lang w:val="en-US" w:eastAsia="zh-CN" w:bidi="ar-SA"/>
        </w:rPr>
      </w:pPr>
      <w:r>
        <w:rPr>
          <w:rFonts w:hint="eastAsia" w:ascii="楷体" w:hAnsi="楷体" w:eastAsia="楷体" w:cs="楷体"/>
          <w:b/>
          <w:color w:val="auto"/>
          <w:lang w:val="en-US" w:eastAsia="zh-CN"/>
        </w:rPr>
        <w:t>（一）坚持以习近平法治思想为推进法治政府建设的根本遵循和行动指南。</w:t>
      </w:r>
      <w:r>
        <w:rPr>
          <w:rFonts w:hint="eastAsia" w:ascii="仿宋" w:hAnsi="仿宋" w:eastAsia="仿宋" w:cs="仿宋"/>
          <w:b w:val="0"/>
          <w:bCs/>
          <w:color w:val="auto"/>
          <w:lang w:val="en-US" w:eastAsia="zh-CN"/>
        </w:rPr>
        <w:t>把深入学习贯彻习近平法治思想作为重要政治任务，深刻领会蕴含其</w:t>
      </w:r>
      <w:r>
        <w:rPr>
          <w:rFonts w:hint="eastAsia" w:ascii="仿宋" w:hAnsi="仿宋" w:eastAsia="仿宋" w:cstheme="minorBidi"/>
          <w:color w:val="auto"/>
          <w:kern w:val="2"/>
          <w:sz w:val="32"/>
          <w:szCs w:val="32"/>
          <w:lang w:val="en-US" w:eastAsia="zh-CN" w:bidi="ar-SA"/>
        </w:rPr>
        <w:t xml:space="preserve">中的科学内涵、精神实质、实践要求，准确把握贯穿其中的马克思主义立场、观点和方法，切实提高政治判断力、政治领悟力、政治执行力，增强“四个意识”、坚定“四个自信”、做到“两个维护”，真正把这一重要思想转化为法治政府建设的强大动力和生动实践。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责任单位：党建办、法规与科技标准科</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（二）强化习近平法治思想学习培训。</w:t>
      </w:r>
      <w:r>
        <w:rPr>
          <w:rFonts w:hint="eastAsia" w:ascii="仿宋" w:hAnsi="仿宋" w:eastAsia="仿宋" w:cs="仿宋"/>
          <w:b w:val="0"/>
          <w:bCs/>
          <w:color w:val="auto"/>
          <w:lang w:val="en-US" w:eastAsia="zh-CN"/>
        </w:rPr>
        <w:t>将习近平法治思想作为学习党的二十大精神的重要内容，严格落实“第一议题”制度，纳入理论学习中心组学习计划。严格落实领导干部学法制度，建立领导干部应知应会学法用法清单，将习近平法治思想纳入领导干部学法计划。把习近平法治思想纳入教育培训的重要内容，通过个人自学、集体学习、深度研讨等方式，切实推动党员、干部用习近平法治思想武装头脑、指导实践、开展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责任单位：党建办、法规与科技标准科</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二、健全政府机构职能体系，推动更好发挥政府作用</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（三）推进政府机构职能优化协同高效。</w:t>
      </w:r>
      <w:r>
        <w:rPr>
          <w:rFonts w:hint="eastAsia" w:ascii="仿宋" w:hAnsi="仿宋" w:eastAsia="仿宋" w:cs="仿宋"/>
          <w:b w:val="0"/>
          <w:bCs/>
          <w:color w:val="auto"/>
          <w:lang w:val="en-US" w:eastAsia="zh-CN"/>
        </w:rPr>
        <w:t xml:space="preserve">全面落实依法行政职能，真正做到法定职责必须为、法无授权不可为。落实权责清单公开、动态管理和考核评估机制，根据法律法规规章立改废释情况、机构和职能调整情况，以及省取消、下放行政许可事项等情况，及时对权责清单进行调整完善并依法公开，确保权责清单的权威性、时效性和准确性。严格落实市场准入负面清单制度，切实解决市场主体准入困难问题。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Times New Roman"/>
          <w:b/>
          <w:color w:val="auto"/>
          <w:sz w:val="32"/>
          <w:szCs w:val="32"/>
        </w:rPr>
      </w:pPr>
      <w:r>
        <w:rPr>
          <w:rFonts w:hint="eastAsia" w:ascii="楷体" w:hAnsi="楷体" w:eastAsia="楷体" w:cs="楷体"/>
          <w:color w:val="auto"/>
          <w:sz w:val="32"/>
          <w:szCs w:val="32"/>
          <w:lang w:val="en-US" w:eastAsia="zh-CN"/>
        </w:rPr>
        <w:t>责任单位：环境影响评价与排放管理科、综合行政执法支队、环境监测与辐射管理科、法规与科技标准科、高新分局、经开分局</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（四）深入推进</w:t>
      </w:r>
      <w:r>
        <w:rPr>
          <w:rFonts w:hint="default" w:ascii="楷体" w:hAnsi="楷体" w:eastAsia="楷体" w:cs="楷体"/>
          <w:b/>
          <w:color w:val="auto"/>
          <w:lang w:val="en-US" w:eastAsia="zh-CN"/>
        </w:rPr>
        <w:t>“放管服”改革。</w:t>
      </w:r>
      <w:r>
        <w:rPr>
          <w:rFonts w:hint="eastAsia" w:ascii="仿宋" w:hAnsi="仿宋" w:eastAsia="仿宋" w:cs="仿宋"/>
          <w:b w:val="0"/>
          <w:bCs/>
          <w:color w:val="auto"/>
          <w:lang w:val="en-US" w:eastAsia="zh-CN"/>
        </w:rPr>
        <w:t>持续做好重大项目环评审批服务，依法做好重大项目环评保障，守住生态环境底线，不断提升审批质效。优化环境执法监管方式，完善生态环境监督执法正面清单制度，加强信息公开与共享，逐步构建分级分类差别化监管模式，推行远程执法、非现场执法、无打扰执法，坚持分类分级、精准化环境管理，切实提高执法效能。用实用好 12369 热线，做到举报及时受理，检查结果及时公开，举报奖励及时发放，依法保护投诉、举报人的合法权益，切实把 12369 热线作为解决群众急难愁盼问题和发现重大环境问题线索的有力抓手。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val="en-US" w:eastAsia="zh-CN"/>
        </w:rPr>
        <w:t>责任单位：环境影响评价与排放管理科、综合行政执法支队、高新分局、经开分局</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（五）持续优化法治化营商环境。</w:t>
      </w:r>
      <w:r>
        <w:rPr>
          <w:rFonts w:hint="eastAsia" w:ascii="仿宋" w:hAnsi="仿宋" w:eastAsia="仿宋" w:cs="仿宋"/>
          <w:b w:val="0"/>
          <w:bCs/>
          <w:color w:val="auto"/>
          <w:lang w:val="en-US" w:eastAsia="zh-CN"/>
        </w:rPr>
        <w:t>持续深化国务院《优化营商环境条例》《河南省优化营商环境条例》贯彻落实，优化包容审慎、稳商助商的依法行政环境。深入推进“执法+服务”的执法理念，施行宽柔相济的监管执法政策，全面落实监督执法正面清单管理制度，规范免于处罚、从轻处罚、减轻处罚的适用情形。继续落实行政指导责任制，对企业污染防治和环境管理中的短板提出针对性建议，帮扶打造生态环境管理标杆企业，将标杆企业优先考虑纳入正面清单，实现生态环境保护和企业绿色发展有机衔接，进一步提升服务企业质效，激发市场主体活力，打造公平、透明、可预期的法治化营商环境。</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Times New Roman"/>
          <w:b/>
          <w:color w:val="auto"/>
          <w:sz w:val="32"/>
          <w:szCs w:val="32"/>
        </w:rPr>
      </w:pPr>
      <w:r>
        <w:rPr>
          <w:rFonts w:hint="eastAsia" w:ascii="楷体" w:hAnsi="楷体" w:eastAsia="楷体" w:cs="楷体"/>
          <w:color w:val="auto"/>
          <w:sz w:val="32"/>
          <w:szCs w:val="32"/>
          <w:lang w:val="en-US" w:eastAsia="zh-CN"/>
        </w:rPr>
        <w:t>责任单位：环境影响评价与排放管理科、综合行政执法支队、大气环境管理科、水生态环境科、土壤环境管理科、环境监测与辐射管理科、固体废物与化学品管理科、环境监测和技术中心、高新分局、经开分局</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三、健全依法行政制度体系，加快推进政府治理规范化程序</w:t>
      </w:r>
      <w:r>
        <w:rPr>
          <w:rFonts w:hint="default" w:ascii="黑体" w:hAnsi="黑体" w:eastAsia="黑体" w:cs="黑体"/>
          <w:b w:val="0"/>
          <w:bCs/>
          <w:color w:val="auto"/>
          <w:sz w:val="32"/>
          <w:szCs w:val="32"/>
          <w:lang w:val="en-US" w:eastAsia="zh-CN"/>
        </w:rPr>
        <w:t>化法治化</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（六）健全生态环境治理政策体系。</w:t>
      </w:r>
      <w:r>
        <w:rPr>
          <w:rFonts w:hint="eastAsia" w:ascii="仿宋" w:hAnsi="仿宋" w:eastAsia="仿宋" w:cs="仿宋"/>
          <w:b w:val="0"/>
          <w:bCs/>
          <w:color w:val="auto"/>
          <w:lang w:val="en-US" w:eastAsia="zh-CN"/>
        </w:rPr>
        <w:t>围绕党中央国务院、省委省政府决策部署和示范区中心工作，聚焦人民群众关心的焦点难点问题，根据济源实际，不断完善生态环境标准体系建设。推进生态文明体制改革，深化生态保护补偿制度改革，落实生态环境损害赔偿制度。不断强化生态环境行政执法与刑事司法衔接和执法联动，开展严厉打击危险废物环境违法犯罪和自动监测数据弄虚作假违法犯罪专项行动，依法严厉打击生态环境违法犯罪行为。按照省厅要求，修改完善“三线一单”，严格执行排污许可证制度，坚决遏制“两高一低”项目盲目发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Times New Roman"/>
          <w:b/>
          <w:color w:val="auto"/>
          <w:sz w:val="32"/>
          <w:szCs w:val="32"/>
        </w:rPr>
      </w:pPr>
      <w:r>
        <w:rPr>
          <w:rFonts w:hint="eastAsia" w:ascii="楷体" w:hAnsi="楷体" w:eastAsia="楷体" w:cs="楷体"/>
          <w:color w:val="auto"/>
          <w:sz w:val="32"/>
          <w:szCs w:val="32"/>
          <w:lang w:val="en-US" w:eastAsia="zh-CN"/>
        </w:rPr>
        <w:t>责任单位：法规与科技标准科、环境影响评价与排放管理科、综合行政执法支队、大气环境管理科、水生态环境科、土壤环境管理科、环境监测与辐射管理科、固体废物与化学品管理科、环境监测和技术中心、高新分局、经开分局</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（七）配合省厅加强重点领域立法。</w:t>
      </w:r>
      <w:r>
        <w:rPr>
          <w:rFonts w:hint="eastAsia" w:ascii="仿宋" w:hAnsi="仿宋" w:eastAsia="仿宋" w:cs="仿宋"/>
          <w:b w:val="0"/>
          <w:bCs/>
          <w:color w:val="auto"/>
          <w:lang w:val="en-US" w:eastAsia="zh-CN"/>
        </w:rPr>
        <w:t>遵循科学立法、民主立法、依法立法的有关要求，积极配合省厅围绕黄河流域生态保护和高质量发展、生态文明建设等重大课题，着力推动黄河保护、固体废物污染防治、噪声污染防治等环境保护法规立法进程，配合省厅制定出台《河南省生态环境损害赔偿修复管理办法》，持续提升在法治轨道上解决生态环境问题的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责任单位：法规与科技标准科、大气环境管理科、固体废物与化学品管理科、环境监测和技术中心。</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楷体" w:hAnsi="楷体" w:eastAsia="楷体" w:cs="楷体"/>
          <w:b/>
          <w:color w:val="auto"/>
          <w:lang w:val="en-US" w:eastAsia="zh-CN"/>
        </w:rPr>
      </w:pPr>
      <w:r>
        <w:rPr>
          <w:rFonts w:hint="eastAsia" w:ascii="楷体" w:hAnsi="楷体" w:eastAsia="楷体" w:cs="楷体"/>
          <w:b/>
          <w:color w:val="auto"/>
          <w:lang w:val="en-US" w:eastAsia="zh-CN"/>
        </w:rPr>
        <w:t>（八）加强行政规范性文件制定监督管理。</w:t>
      </w:r>
      <w:r>
        <w:rPr>
          <w:rFonts w:hint="eastAsia" w:ascii="仿宋" w:hAnsi="仿宋" w:eastAsia="仿宋" w:cs="仿宋"/>
          <w:b w:val="0"/>
          <w:bCs/>
          <w:color w:val="auto"/>
          <w:lang w:val="en-US" w:eastAsia="zh-CN"/>
        </w:rPr>
        <w:t>全面落实行政规范性文件“统一登记、统一编号、统一印发”制度。严格执行评估论证、公开征求意见、合法性审核、集体审议决定、向社会公开发布等行政规范性文件制发程序。及时组织清理本单位行政规范性文件，严格落实行政规范性文件备案审查制度，做到“有件必备、有备必审、有错必纠”。及时向有关部门报送发文目录和相关文件，并积极配合对行政规范性文件制定和备案情况开展监督检查。根据《生态环境行政处罚办法》有关规定，修订《重大行政执法决定法制审核办法》，加强对重大行政执法行为的监督，保护公民、法人和其他组织的合法权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b/>
          <w:color w:val="auto"/>
          <w:sz w:val="32"/>
          <w:szCs w:val="32"/>
        </w:rPr>
      </w:pPr>
      <w:r>
        <w:rPr>
          <w:rFonts w:hint="eastAsia" w:ascii="楷体" w:hAnsi="楷体" w:eastAsia="楷体" w:cs="楷体"/>
          <w:color w:val="auto"/>
          <w:sz w:val="32"/>
          <w:szCs w:val="32"/>
          <w:lang w:val="en-US" w:eastAsia="zh-CN"/>
        </w:rPr>
        <w:t>责任单位：办公室、综合管理科、法规与科技标准科、环境影响评价与排放管理科、综合行政执法支队、大气环境管理科、水生态环境科、土壤环境管理科、环境监测与辐射管理科、固体废物与化学品管理科、移动源污染监管科、环境监测和技术中心、高新分局、经开分局</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四、健全行政决策制度体系，不断提升行政决策公信力和执</w:t>
      </w:r>
      <w:r>
        <w:rPr>
          <w:rFonts w:hint="default" w:ascii="黑体" w:hAnsi="黑体" w:eastAsia="黑体" w:cs="黑体"/>
          <w:b w:val="0"/>
          <w:bCs/>
          <w:color w:val="auto"/>
          <w:sz w:val="32"/>
          <w:szCs w:val="32"/>
          <w:lang w:val="en-US" w:eastAsia="zh-CN"/>
        </w:rPr>
        <w:t>行力</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（九）强化依法决策意识。</w:t>
      </w:r>
      <w:r>
        <w:rPr>
          <w:rFonts w:hint="eastAsia" w:ascii="仿宋" w:hAnsi="仿宋" w:eastAsia="仿宋" w:cs="仿宋"/>
          <w:b w:val="0"/>
          <w:bCs/>
          <w:color w:val="auto"/>
          <w:lang w:val="en-US" w:eastAsia="zh-CN"/>
        </w:rPr>
        <w:t>我局（主要负责人）作出重大行政决策前，应当听取合法性审查机构的意见。充分发挥法律顾问、公职律师的作用，贯彻国家关于加强党政机关法律顾问工作的有关要求，将法律顾问参与决策过程、提出法律意见作为依法决策的重要程序。</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color w:val="auto"/>
          <w:sz w:val="32"/>
          <w:szCs w:val="32"/>
          <w:lang w:val="en-US" w:eastAsia="zh-CN"/>
        </w:rPr>
        <w:t>责任单位：法规与科技标准科、办公室、综合管理科、环境影响评价与排放管理科、综合行政执法支队、大气环境管理科、水生态环境科、土壤环境管理科、环境监测与辐射管理科、固体废物与化学品管理科、移动源污染监管科、环境监测和技术中心、高新分局、经开分局</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default" w:ascii="仿宋" w:hAnsi="仿宋" w:eastAsia="仿宋" w:cs="仿宋"/>
          <w:b w:val="0"/>
          <w:bCs/>
          <w:color w:val="auto"/>
          <w:lang w:val="en-US" w:eastAsia="zh-CN"/>
        </w:rPr>
      </w:pPr>
      <w:r>
        <w:rPr>
          <w:rFonts w:hint="eastAsia" w:ascii="楷体" w:hAnsi="楷体" w:eastAsia="楷体" w:cs="楷体"/>
          <w:b/>
          <w:color w:val="auto"/>
          <w:lang w:val="en-US" w:eastAsia="zh-CN"/>
        </w:rPr>
        <w:t>（十）健全落实政府法律顾问制度。</w:t>
      </w:r>
      <w:r>
        <w:rPr>
          <w:rFonts w:hint="eastAsia" w:ascii="仿宋" w:hAnsi="仿宋" w:eastAsia="仿宋" w:cs="仿宋"/>
          <w:b w:val="0"/>
          <w:bCs/>
          <w:color w:val="auto"/>
          <w:lang w:val="en-US" w:eastAsia="zh-CN"/>
        </w:rPr>
        <w:t>贯彻国家关于加强党政</w:t>
      </w:r>
      <w:r>
        <w:rPr>
          <w:rFonts w:hint="default" w:ascii="仿宋" w:hAnsi="仿宋" w:eastAsia="仿宋" w:cs="仿宋"/>
          <w:b w:val="0"/>
          <w:bCs/>
          <w:color w:val="auto"/>
          <w:lang w:val="en-US" w:eastAsia="zh-CN"/>
        </w:rPr>
        <w:t>机关法律顾问工作的有关要求，持续推行法律顾问和公职律师制度，认真落实《河南省政府法律顾问工作规定》，加强日常管理和科学运用，做好法律顾问的遴选聘任、日常管理和服务工作，充分发挥法律顾问和公职律师在重大行政决策、重要行政行为等方面的服务保障和智囊智库作用。</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color w:val="auto"/>
          <w:sz w:val="32"/>
          <w:szCs w:val="32"/>
          <w:lang w:val="en-US" w:eastAsia="zh-CN"/>
        </w:rPr>
        <w:t>责任单位：法规与科技标准科</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（十一）严格落实重大行政决策程序。</w:t>
      </w:r>
      <w:r>
        <w:rPr>
          <w:rFonts w:hint="eastAsia" w:ascii="仿宋" w:hAnsi="仿宋" w:eastAsia="仿宋" w:cs="仿宋"/>
          <w:b w:val="0"/>
          <w:bCs/>
          <w:color w:val="auto"/>
          <w:lang w:val="en-US" w:eastAsia="zh-CN"/>
        </w:rPr>
        <w:t>认真贯彻落实国务院</w:t>
      </w:r>
      <w:r>
        <w:rPr>
          <w:rFonts w:hint="default" w:ascii="仿宋" w:hAnsi="仿宋" w:eastAsia="仿宋" w:cs="仿宋"/>
          <w:b w:val="0"/>
          <w:bCs/>
          <w:color w:val="auto"/>
          <w:lang w:val="en-US" w:eastAsia="zh-CN"/>
        </w:rPr>
        <w:t>《重大行政决策程序暂行条例》《河南省重大行政决策程序规定》，按照公众参与、专家论证、风险评估、合法性审查、集体讨论决定等程序，强化决策法定程序刚性约束，规范重大行政决策行为，提高决策质量和效率。</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color w:val="auto"/>
          <w:sz w:val="32"/>
          <w:szCs w:val="32"/>
          <w:lang w:val="en-US" w:eastAsia="zh-CN"/>
        </w:rPr>
        <w:t>责任单位：办公室、综合管理科、法规与科技标准科、环境影响评价与排放管理科、综合行政执法支队、大气环境管理科、水生态环境科、土壤环境管理科、环境监测与辐射管理科、固体废物与化学品管理科、移动源污染监管科、环境监测和技术中心、高新分局、经开分局</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五、健全行政执法工作体系，全面推进严格规范公正文明执</w:t>
      </w:r>
      <w:r>
        <w:rPr>
          <w:rFonts w:hint="default" w:ascii="黑体" w:hAnsi="黑体" w:eastAsia="黑体" w:cs="黑体"/>
          <w:b w:val="0"/>
          <w:bCs/>
          <w:color w:val="auto"/>
          <w:sz w:val="32"/>
          <w:szCs w:val="32"/>
          <w:lang w:val="en-US" w:eastAsia="zh-CN"/>
        </w:rPr>
        <w:t>法</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（十二）深化行政执法体制改革。</w:t>
      </w:r>
      <w:r>
        <w:rPr>
          <w:rFonts w:hint="eastAsia" w:ascii="仿宋" w:hAnsi="仿宋" w:eastAsia="仿宋" w:cs="仿宋"/>
          <w:b w:val="0"/>
          <w:bCs/>
          <w:color w:val="auto"/>
          <w:lang w:val="en-US" w:eastAsia="zh-CN"/>
        </w:rPr>
        <w:t>严格落实《河南省综合行</w:t>
      </w:r>
      <w:r>
        <w:rPr>
          <w:rFonts w:hint="default" w:ascii="仿宋" w:hAnsi="仿宋" w:eastAsia="仿宋" w:cs="仿宋"/>
          <w:b w:val="0"/>
          <w:bCs/>
          <w:color w:val="auto"/>
          <w:lang w:val="en-US" w:eastAsia="zh-CN"/>
        </w:rPr>
        <w:t>政执法制式服装和标识管理实施办法》中关于综合行政执法部门制式服装和标志政府采购、配发范围、经费使用等有关规定。按照现行预算管理有关规定，持续做好经费保障工作。</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b/>
          <w:color w:val="auto"/>
          <w:sz w:val="32"/>
          <w:szCs w:val="32"/>
        </w:rPr>
      </w:pPr>
      <w:r>
        <w:rPr>
          <w:rFonts w:hint="eastAsia" w:ascii="楷体" w:hAnsi="楷体" w:eastAsia="楷体" w:cs="楷体"/>
          <w:color w:val="auto"/>
          <w:sz w:val="32"/>
          <w:szCs w:val="32"/>
          <w:lang w:val="en-US" w:eastAsia="zh-CN"/>
        </w:rPr>
        <w:t>责任单位：综合行政执法支队</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楷体" w:hAnsi="楷体" w:eastAsia="楷体" w:cs="楷体"/>
          <w:b/>
          <w:color w:val="auto"/>
          <w:lang w:val="en-US" w:eastAsia="zh-CN"/>
        </w:rPr>
      </w:pPr>
      <w:r>
        <w:rPr>
          <w:rFonts w:hint="eastAsia" w:ascii="楷体" w:hAnsi="楷体" w:eastAsia="楷体" w:cs="楷体"/>
          <w:b/>
          <w:color w:val="auto"/>
          <w:lang w:val="en-US" w:eastAsia="zh-CN"/>
        </w:rPr>
        <w:t>（十三）统筹推进重点执法工作开展。</w:t>
      </w:r>
      <w:r>
        <w:rPr>
          <w:rFonts w:hint="eastAsia" w:ascii="仿宋" w:hAnsi="仿宋" w:eastAsia="仿宋" w:cs="仿宋"/>
          <w:b w:val="0"/>
          <w:bCs/>
          <w:color w:val="auto"/>
          <w:lang w:val="en-US" w:eastAsia="zh-CN"/>
        </w:rPr>
        <w:t>科学谋划年度执法现</w:t>
      </w:r>
      <w:r>
        <w:rPr>
          <w:rFonts w:hint="default" w:ascii="仿宋" w:hAnsi="仿宋" w:eastAsia="仿宋" w:cs="仿宋"/>
          <w:b w:val="0"/>
          <w:bCs/>
          <w:color w:val="auto"/>
          <w:lang w:val="en-US" w:eastAsia="zh-CN"/>
        </w:rPr>
        <w:t>场检查计划，深入开展涉挥发性有机物行业企业检查、排污许可清单式执法、黄河流域问题风险检查等专项执法活动，推动重点区域、重点时段、重点行业专项执法取得新成效。加强12369举报信息分析研判，密切关注舆情动态，加强与职能部门信息互通，多维度摸排收集重大环境违法问题线索。大力推进跨领域跨部门联合执法，建立健全多部门联动协调机制，对潜在风险大、可能造成严重不良后果的，加强日常监管和执法巡查，从源头上预防和化解违法风险。落实严重违法惩罚性赔偿和巨额罚款制度、终身禁入机制。</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b/>
          <w:color w:val="auto"/>
          <w:sz w:val="32"/>
          <w:szCs w:val="32"/>
        </w:rPr>
      </w:pPr>
      <w:r>
        <w:rPr>
          <w:rFonts w:hint="eastAsia" w:ascii="楷体" w:hAnsi="楷体" w:eastAsia="楷体" w:cs="楷体"/>
          <w:color w:val="auto"/>
          <w:sz w:val="32"/>
          <w:szCs w:val="32"/>
          <w:lang w:val="en-US" w:eastAsia="zh-CN"/>
        </w:rPr>
        <w:t>责任单位：综合行政执法支队</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（十四）全面落实行政执法责任制。</w:t>
      </w:r>
      <w:r>
        <w:rPr>
          <w:rFonts w:hint="eastAsia" w:ascii="仿宋" w:hAnsi="仿宋" w:eastAsia="仿宋" w:cs="仿宋"/>
          <w:b w:val="0"/>
          <w:bCs/>
          <w:color w:val="auto"/>
          <w:lang w:val="en-US" w:eastAsia="zh-CN"/>
        </w:rPr>
        <w:t>认真落实行政执法人员</w:t>
      </w:r>
      <w:r>
        <w:rPr>
          <w:rFonts w:hint="default" w:ascii="仿宋" w:hAnsi="仿宋" w:eastAsia="仿宋" w:cs="仿宋"/>
          <w:b w:val="0"/>
          <w:bCs/>
          <w:color w:val="auto"/>
          <w:lang w:val="en-US" w:eastAsia="zh-CN"/>
        </w:rPr>
        <w:t>执法证件申领和年审培训考试制度。加强行政执法人员专题业务培训，提升行政执法队伍整体水平。贯彻落实《国务院办公厅关于进一步规范行政裁量权基准制定和管理工作的意见》（国办发〔2022〕27号），</w:t>
      </w:r>
      <w:r>
        <w:rPr>
          <w:rFonts w:hint="eastAsia" w:ascii="仿宋" w:hAnsi="仿宋" w:eastAsia="仿宋" w:cs="仿宋"/>
          <w:b w:val="0"/>
          <w:bCs/>
          <w:color w:val="auto"/>
          <w:lang w:val="en-US" w:eastAsia="zh-CN"/>
        </w:rPr>
        <w:t>严格执行</w:t>
      </w:r>
      <w:r>
        <w:rPr>
          <w:rFonts w:hint="default" w:ascii="仿宋" w:hAnsi="仿宋" w:eastAsia="仿宋" w:cs="仿宋"/>
          <w:b w:val="0"/>
          <w:bCs/>
          <w:color w:val="auto"/>
          <w:lang w:val="en-US" w:eastAsia="zh-CN"/>
        </w:rPr>
        <w:t>《河南省生态环境行政处罚裁量基准》。严格落实行政执法三项制度（行政执法公示制度、行政执法全过程记录制度、重大执法决定法制审核制度），建立健全执法办案制度、日常管理制度、考核评价制度。</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b/>
          <w:color w:val="auto"/>
          <w:sz w:val="32"/>
          <w:szCs w:val="32"/>
        </w:rPr>
      </w:pPr>
      <w:r>
        <w:rPr>
          <w:rFonts w:hint="eastAsia" w:ascii="楷体" w:hAnsi="楷体" w:eastAsia="楷体" w:cs="楷体"/>
          <w:color w:val="auto"/>
          <w:sz w:val="32"/>
          <w:szCs w:val="32"/>
          <w:lang w:val="en-US" w:eastAsia="zh-CN"/>
        </w:rPr>
        <w:t>责任单位：综合行政执法支队、法规与科技标准科</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（十五）深入推进服务型行政执法。</w:t>
      </w:r>
      <w:r>
        <w:rPr>
          <w:rFonts w:hint="eastAsia" w:ascii="仿宋" w:hAnsi="仿宋" w:eastAsia="仿宋" w:cs="仿宋"/>
          <w:b w:val="0"/>
          <w:bCs/>
          <w:color w:val="auto"/>
          <w:lang w:val="en-US" w:eastAsia="zh-CN"/>
        </w:rPr>
        <w:t>组织参与学习贯彻党的</w:t>
      </w:r>
      <w:r>
        <w:rPr>
          <w:rFonts w:hint="default" w:ascii="仿宋" w:hAnsi="仿宋" w:eastAsia="仿宋" w:cs="仿宋"/>
          <w:b w:val="0"/>
          <w:bCs/>
          <w:color w:val="auto"/>
          <w:lang w:val="en-US" w:eastAsia="zh-CN"/>
        </w:rPr>
        <w:t>二十大精神暨第三届全省服务型行政执法比武活动。探索行政调解“三个融入”（行政调解融入重大执法决定、融入日常监管和执法过程、融入受理举报投诉）、行政指导融入行政处罚，推进工作理念创新、方式创新。积极参与第五批服务型行政执法示范点（标兵）创建示范活动。</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b/>
          <w:color w:val="auto"/>
          <w:sz w:val="32"/>
          <w:szCs w:val="32"/>
        </w:rPr>
      </w:pPr>
      <w:r>
        <w:rPr>
          <w:rFonts w:hint="eastAsia" w:ascii="楷体" w:hAnsi="楷体" w:eastAsia="楷体" w:cs="楷体"/>
          <w:color w:val="auto"/>
          <w:sz w:val="32"/>
          <w:szCs w:val="32"/>
          <w:lang w:val="en-US" w:eastAsia="zh-CN"/>
        </w:rPr>
        <w:t>责任单位：综合行政执法支队</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六、健全突发事件应对体系，依法预防处置重大突发事件</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（十六）完善环境突发事件应对制度机制建设。</w:t>
      </w:r>
      <w:r>
        <w:rPr>
          <w:rFonts w:hint="eastAsia" w:ascii="仿宋" w:hAnsi="仿宋" w:eastAsia="仿宋" w:cs="仿宋"/>
          <w:b w:val="0"/>
          <w:bCs/>
          <w:color w:val="auto"/>
          <w:lang w:val="en-US" w:eastAsia="zh-CN"/>
        </w:rPr>
        <w:t>加强环境应</w:t>
      </w:r>
      <w:r>
        <w:rPr>
          <w:rFonts w:hint="default" w:ascii="仿宋" w:hAnsi="仿宋" w:eastAsia="仿宋" w:cs="仿宋"/>
          <w:b w:val="0"/>
          <w:bCs/>
          <w:color w:val="auto"/>
          <w:lang w:val="en-US" w:eastAsia="zh-CN"/>
        </w:rPr>
        <w:t>急预案管理，</w:t>
      </w:r>
      <w:r>
        <w:rPr>
          <w:rFonts w:hint="eastAsia" w:ascii="仿宋" w:hAnsi="仿宋" w:eastAsia="仿宋" w:cs="仿宋"/>
          <w:b w:val="0"/>
          <w:bCs/>
          <w:color w:val="auto"/>
          <w:lang w:val="en-US" w:eastAsia="zh-CN"/>
        </w:rPr>
        <w:t>积极配合省厅</w:t>
      </w:r>
      <w:r>
        <w:rPr>
          <w:rFonts w:hint="default" w:ascii="仿宋" w:hAnsi="仿宋" w:eastAsia="仿宋" w:cs="仿宋"/>
          <w:b w:val="0"/>
          <w:bCs/>
          <w:color w:val="auto"/>
          <w:lang w:val="en-US" w:eastAsia="zh-CN"/>
        </w:rPr>
        <w:t>编制“一河一策一图”环境应急响应方案，完善跨界河流联防联控机制，强化与应急管理、交通、水利等部门联动机制。加强环境突发事件监测预警、信息报告、联合会商、应急响应、调查评估等机制建设，提高环境突发事件应对法治化规范化水平。</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楷体" w:hAnsi="楷体" w:eastAsia="楷体" w:cs="楷体"/>
          <w:b/>
          <w:color w:val="auto"/>
          <w:lang w:val="en-US" w:eastAsia="zh-CN"/>
        </w:rPr>
      </w:pPr>
      <w:r>
        <w:rPr>
          <w:rFonts w:hint="eastAsia" w:ascii="楷体" w:hAnsi="楷体" w:eastAsia="楷体" w:cs="楷体"/>
          <w:color w:val="auto"/>
          <w:sz w:val="32"/>
          <w:szCs w:val="32"/>
          <w:lang w:val="en-US" w:eastAsia="zh-CN"/>
        </w:rPr>
        <w:t>责任单位：环境监测与辐射管理科</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（十七）持续提升环境应急能力。</w:t>
      </w:r>
      <w:r>
        <w:rPr>
          <w:rFonts w:hint="eastAsia" w:ascii="仿宋" w:hAnsi="仿宋" w:eastAsia="仿宋" w:cs="仿宋"/>
          <w:b w:val="0"/>
          <w:bCs/>
          <w:color w:val="auto"/>
          <w:lang w:val="en-US" w:eastAsia="zh-CN"/>
        </w:rPr>
        <w:t>加强应急响应工作，强化</w:t>
      </w:r>
      <w:r>
        <w:rPr>
          <w:rFonts w:hint="default" w:ascii="仿宋" w:hAnsi="仿宋" w:eastAsia="仿宋" w:cs="仿宋"/>
          <w:b w:val="0"/>
          <w:bCs/>
          <w:color w:val="auto"/>
          <w:lang w:val="en-US" w:eastAsia="zh-CN"/>
        </w:rPr>
        <w:t>指导规范信息报告、应急处置等重点环节；加强环境应急队伍建设，规范专家使用；强化环境应急物资保障，做好环境应急物资信息动态更新；加强环境应急信息化应用，利用全国环境应急管理平台，及时报送更新信息；强化环境应急演练，加强环境应急法律法规培训，开展环境应急知识宣传普及活动，增强公众法治意识和突发环境风险防范意识。</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楷体" w:hAnsi="楷体" w:eastAsia="楷体" w:cs="楷体"/>
          <w:b/>
          <w:color w:val="auto"/>
          <w:lang w:val="en-US" w:eastAsia="zh-CN"/>
        </w:rPr>
      </w:pPr>
      <w:r>
        <w:rPr>
          <w:rFonts w:hint="eastAsia" w:ascii="楷体" w:hAnsi="楷体" w:eastAsia="楷体" w:cs="楷体"/>
          <w:color w:val="auto"/>
          <w:sz w:val="32"/>
          <w:szCs w:val="32"/>
          <w:lang w:val="en-US" w:eastAsia="zh-CN"/>
        </w:rPr>
        <w:t>责任单位：环境监测与辐射管理科</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七、健全社会矛盾纠纷行政预防调处化解体系，不断促进社</w:t>
      </w:r>
      <w:r>
        <w:rPr>
          <w:rFonts w:hint="default" w:ascii="黑体" w:hAnsi="黑体" w:eastAsia="黑体" w:cs="黑体"/>
          <w:b w:val="0"/>
          <w:bCs/>
          <w:color w:val="auto"/>
          <w:sz w:val="32"/>
          <w:szCs w:val="32"/>
          <w:lang w:val="en-US" w:eastAsia="zh-CN"/>
        </w:rPr>
        <w:t>会公平正义</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（十八）加强行政调解工作。</w:t>
      </w:r>
      <w:r>
        <w:rPr>
          <w:rFonts w:hint="eastAsia" w:ascii="仿宋" w:hAnsi="仿宋" w:eastAsia="仿宋" w:cs="仿宋"/>
          <w:b w:val="0"/>
          <w:bCs/>
          <w:color w:val="auto"/>
          <w:lang w:val="en-US" w:eastAsia="zh-CN"/>
        </w:rPr>
        <w:t>积极开展</w:t>
      </w:r>
      <w:r>
        <w:rPr>
          <w:rFonts w:hint="default" w:ascii="仿宋" w:hAnsi="仿宋" w:eastAsia="仿宋" w:cs="仿宋"/>
          <w:b w:val="0"/>
          <w:bCs/>
          <w:color w:val="auto"/>
          <w:lang w:val="en-US" w:eastAsia="zh-CN"/>
        </w:rPr>
        <w:t>生态环境行政调解工作，及时妥善推进矛盾纠纷化解。严格落实行政调解立卷归档制度。将行政调解纳入行政执法人员教育培训内容，提升行政调解工作水平。</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b/>
          <w:color w:val="auto"/>
          <w:sz w:val="32"/>
          <w:szCs w:val="32"/>
        </w:rPr>
      </w:pPr>
      <w:r>
        <w:rPr>
          <w:rFonts w:hint="eastAsia" w:ascii="楷体" w:hAnsi="楷体" w:eastAsia="楷体" w:cs="楷体"/>
          <w:color w:val="auto"/>
          <w:sz w:val="32"/>
          <w:szCs w:val="32"/>
          <w:lang w:val="en-US" w:eastAsia="zh-CN"/>
        </w:rPr>
        <w:t>责任单位：法规与科技标准科、综合行政执法支队</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default" w:ascii="仿宋" w:hAnsi="仿宋" w:eastAsia="仿宋" w:cs="仿宋"/>
          <w:b w:val="0"/>
          <w:bCs/>
          <w:color w:val="auto"/>
          <w:lang w:val="en-US" w:eastAsia="zh-CN"/>
        </w:rPr>
      </w:pPr>
      <w:r>
        <w:rPr>
          <w:rFonts w:hint="eastAsia" w:ascii="楷体" w:hAnsi="楷体" w:eastAsia="楷体" w:cs="楷体"/>
          <w:b/>
          <w:color w:val="auto"/>
          <w:lang w:val="en-US" w:eastAsia="zh-CN"/>
        </w:rPr>
        <w:t>（十九）加强行政复议工作。</w:t>
      </w:r>
      <w:r>
        <w:rPr>
          <w:rFonts w:hint="eastAsia" w:ascii="仿宋" w:hAnsi="仿宋" w:eastAsia="仿宋" w:cs="仿宋"/>
          <w:b w:val="0"/>
          <w:bCs/>
          <w:color w:val="auto"/>
          <w:lang w:val="en-US" w:eastAsia="zh-CN"/>
        </w:rPr>
        <w:t>严格落实《河南省人民政府行</w:t>
      </w:r>
      <w:r>
        <w:rPr>
          <w:rFonts w:hint="default" w:ascii="仿宋" w:hAnsi="仿宋" w:eastAsia="仿宋" w:cs="仿宋"/>
          <w:b w:val="0"/>
          <w:bCs/>
          <w:color w:val="auto"/>
          <w:lang w:val="en-US" w:eastAsia="zh-CN"/>
        </w:rPr>
        <w:t>政复议案件答复举证工作规则》，依法及时履行答复举证工作职责，做到答复规范、重点突出、说理充分，并就申请人提出的事实理由和行政复议请求有针对性地答复，确保提交的证据、依据和其他有关材料全面、真实、有效。</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color w:val="auto"/>
          <w:sz w:val="32"/>
          <w:szCs w:val="32"/>
          <w:lang w:val="en-US" w:eastAsia="zh-CN"/>
        </w:rPr>
        <w:t>责任单位：法规与科技标准科</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（二十）加强和规范行政应诉工作。</w:t>
      </w:r>
      <w:r>
        <w:rPr>
          <w:rFonts w:hint="eastAsia" w:ascii="仿宋" w:hAnsi="仿宋" w:eastAsia="仿宋" w:cs="仿宋"/>
          <w:b w:val="0"/>
          <w:bCs/>
          <w:color w:val="auto"/>
          <w:lang w:val="en-US" w:eastAsia="zh-CN"/>
        </w:rPr>
        <w:t>落实《河南省行政机关</w:t>
      </w:r>
      <w:r>
        <w:rPr>
          <w:rFonts w:hint="default" w:ascii="仿宋" w:hAnsi="仿宋" w:eastAsia="仿宋" w:cs="仿宋"/>
          <w:b w:val="0"/>
          <w:bCs/>
          <w:color w:val="auto"/>
          <w:lang w:val="en-US" w:eastAsia="zh-CN"/>
        </w:rPr>
        <w:t>负责人出庭应诉工作规定》，</w:t>
      </w:r>
      <w:r>
        <w:rPr>
          <w:rFonts w:hint="eastAsia" w:ascii="仿宋" w:hAnsi="仿宋" w:eastAsia="仿宋" w:cs="仿宋"/>
          <w:b w:val="0"/>
          <w:bCs/>
          <w:color w:val="auto"/>
          <w:lang w:val="en-US" w:eastAsia="zh-CN"/>
        </w:rPr>
        <w:t>制定</w:t>
      </w:r>
      <w:r>
        <w:rPr>
          <w:rFonts w:hint="default" w:ascii="仿宋" w:hAnsi="仿宋" w:eastAsia="仿宋" w:cs="仿宋"/>
          <w:b w:val="0"/>
          <w:bCs/>
          <w:color w:val="auto"/>
          <w:lang w:val="en-US" w:eastAsia="zh-CN"/>
        </w:rPr>
        <w:t>《济源市生态环境局行政复议与行政应诉工作办法》，进一步加强和规范行政机关负责人出庭应诉工作。支持和配合法院行政审判活动，及时全面履行法院生效裁判。支持检察院开展行政诉讼监督工作，积极主动履行相关职责或者纠正自身相关违法行为；支持和配合检察院开展行政公益诉讼。认真落实司法建议、检察建议，有效规范或者纠正自身违法、不当行政行为，及时做好建议落实情况的反馈工作。</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color w:val="auto"/>
          <w:sz w:val="32"/>
          <w:szCs w:val="32"/>
          <w:lang w:val="en-US" w:eastAsia="zh-CN"/>
        </w:rPr>
        <w:t>责任单位：法规与科技标准科</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（二十一）加强信访矛盾调处化解工作。</w:t>
      </w:r>
      <w:r>
        <w:rPr>
          <w:rFonts w:hint="eastAsia" w:ascii="仿宋" w:hAnsi="仿宋" w:eastAsia="仿宋" w:cs="仿宋"/>
          <w:b w:val="0"/>
          <w:bCs/>
          <w:color w:val="auto"/>
          <w:lang w:val="en-US" w:eastAsia="zh-CN"/>
        </w:rPr>
        <w:t>认真贯彻落实《信</w:t>
      </w:r>
      <w:r>
        <w:rPr>
          <w:rFonts w:hint="default" w:ascii="仿宋" w:hAnsi="仿宋" w:eastAsia="仿宋" w:cs="仿宋"/>
          <w:b w:val="0"/>
          <w:bCs/>
          <w:color w:val="auto"/>
          <w:lang w:val="en-US" w:eastAsia="zh-CN"/>
        </w:rPr>
        <w:t>访工作条例》，解决信访突出问题，依法维护群众合法权益。突出抓好生态环境部</w:t>
      </w:r>
      <w:r>
        <w:rPr>
          <w:rFonts w:hint="eastAsia" w:ascii="仿宋" w:hAnsi="仿宋" w:eastAsia="仿宋" w:cs="仿宋"/>
          <w:b w:val="0"/>
          <w:bCs/>
          <w:color w:val="auto"/>
          <w:lang w:val="en-US" w:eastAsia="zh-CN"/>
        </w:rPr>
        <w:t>和省厅</w:t>
      </w:r>
      <w:r>
        <w:rPr>
          <w:rFonts w:hint="default" w:ascii="仿宋" w:hAnsi="仿宋" w:eastAsia="仿宋" w:cs="仿宋"/>
          <w:b w:val="0"/>
          <w:bCs/>
          <w:color w:val="auto"/>
          <w:lang w:val="en-US" w:eastAsia="zh-CN"/>
        </w:rPr>
        <w:t>转办、</w:t>
      </w:r>
      <w:r>
        <w:rPr>
          <w:rFonts w:hint="eastAsia" w:ascii="仿宋" w:hAnsi="仿宋" w:eastAsia="仿宋" w:cs="仿宋"/>
          <w:b w:val="0"/>
          <w:bCs/>
          <w:color w:val="auto"/>
          <w:lang w:val="en-US" w:eastAsia="zh-CN"/>
        </w:rPr>
        <w:t>示范区</w:t>
      </w:r>
      <w:r>
        <w:rPr>
          <w:rFonts w:hint="default" w:ascii="仿宋" w:hAnsi="仿宋" w:eastAsia="仿宋" w:cs="仿宋"/>
          <w:b w:val="0"/>
          <w:bCs/>
          <w:color w:val="auto"/>
          <w:lang w:val="en-US" w:eastAsia="zh-CN"/>
        </w:rPr>
        <w:t>领导批办、</w:t>
      </w:r>
      <w:r>
        <w:rPr>
          <w:rFonts w:hint="eastAsia" w:ascii="仿宋" w:hAnsi="仿宋" w:eastAsia="仿宋" w:cs="仿宋"/>
          <w:b w:val="0"/>
          <w:bCs/>
          <w:color w:val="auto"/>
          <w:lang w:val="en-US" w:eastAsia="zh-CN"/>
        </w:rPr>
        <w:t>示范区</w:t>
      </w:r>
      <w:r>
        <w:rPr>
          <w:rFonts w:hint="default" w:ascii="仿宋" w:hAnsi="仿宋" w:eastAsia="仿宋" w:cs="仿宋"/>
          <w:b w:val="0"/>
          <w:bCs/>
          <w:color w:val="auto"/>
          <w:lang w:val="en-US" w:eastAsia="zh-CN"/>
        </w:rPr>
        <w:t>信访局交办等重点案件化解工作。做好随时处置突发性群体事件的准备工作，确保一旦发生应急事件，做到第一时间报告，立即开展工作，及时妥善处理。把信访纳入法治化轨道，坚持运用法治思维和法治方式解决信访问题。加强信访法治宣传教育，引导群众依法理性表达诉求，不断规范信访秩序。</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color w:val="auto"/>
          <w:sz w:val="32"/>
          <w:szCs w:val="32"/>
          <w:lang w:val="en-US" w:eastAsia="zh-CN"/>
        </w:rPr>
      </w:pPr>
      <w:r>
        <w:rPr>
          <w:rFonts w:hint="eastAsia" w:ascii="楷体" w:hAnsi="楷体" w:eastAsia="楷体" w:cs="楷体"/>
          <w:color w:val="auto"/>
          <w:sz w:val="32"/>
          <w:szCs w:val="32"/>
          <w:lang w:val="en-US" w:eastAsia="zh-CN"/>
        </w:rPr>
        <w:t>责任单位：综合行政执法支队</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八、健全行政权力制约和监督体系，促进行政权力规范透明</w:t>
      </w:r>
      <w:r>
        <w:rPr>
          <w:rFonts w:hint="default" w:ascii="黑体" w:hAnsi="黑体" w:eastAsia="黑体" w:cs="黑体"/>
          <w:b w:val="0"/>
          <w:bCs/>
          <w:color w:val="auto"/>
          <w:sz w:val="32"/>
          <w:szCs w:val="32"/>
          <w:lang w:val="en-US" w:eastAsia="zh-CN"/>
        </w:rPr>
        <w:t>运行</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（二十二）自觉接受各类监督。</w:t>
      </w:r>
      <w:r>
        <w:rPr>
          <w:rFonts w:hint="eastAsia" w:ascii="仿宋" w:hAnsi="仿宋" w:eastAsia="仿宋" w:cs="仿宋"/>
          <w:b w:val="0"/>
          <w:bCs/>
          <w:color w:val="auto"/>
          <w:lang w:val="en-US" w:eastAsia="zh-CN"/>
        </w:rPr>
        <w:t>积极主动接受人大监督、民</w:t>
      </w:r>
      <w:r>
        <w:rPr>
          <w:rFonts w:hint="default" w:ascii="仿宋" w:hAnsi="仿宋" w:eastAsia="仿宋" w:cs="仿宋"/>
          <w:b w:val="0"/>
          <w:bCs/>
          <w:color w:val="auto"/>
          <w:lang w:val="en-US" w:eastAsia="zh-CN"/>
        </w:rPr>
        <w:t>主监督、行政监督、司法监督、群众监督、舆论监督等，认真办理人大议案和政协提案，及时沟通、反馈相关办理情况。依法受理、处理群众投诉举报和媒体反映的生态环境问题；畅通12369热线、网络微信等监督举报渠道，依法及时调查处理生态环境违法行为。</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color w:val="auto"/>
          <w:sz w:val="32"/>
          <w:szCs w:val="32"/>
          <w:lang w:val="en-US" w:eastAsia="zh-CN"/>
        </w:rPr>
        <w:t>责任单位：办公室、综合行政执法支队</w:t>
      </w:r>
      <w:r>
        <w:rPr>
          <w:rFonts w:hint="eastAsia" w:ascii="仿宋_GB2312" w:hAnsi="仿宋_GB2312" w:eastAsia="仿宋_GB2312" w:cs="仿宋_GB2312"/>
          <w:b w:val="0"/>
          <w:bCs/>
          <w:color w:val="auto"/>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（二十三）积极配合政府督查工作。</w:t>
      </w:r>
      <w:r>
        <w:rPr>
          <w:rFonts w:hint="eastAsia" w:ascii="仿宋" w:hAnsi="仿宋" w:eastAsia="仿宋" w:cs="仿宋"/>
          <w:b w:val="0"/>
          <w:bCs/>
          <w:color w:val="auto"/>
          <w:lang w:val="en-US" w:eastAsia="zh-CN"/>
        </w:rPr>
        <w:t>认真贯彻落实国务院《政</w:t>
      </w:r>
      <w:r>
        <w:rPr>
          <w:rFonts w:hint="default" w:ascii="仿宋" w:hAnsi="仿宋" w:eastAsia="仿宋" w:cs="仿宋"/>
          <w:b w:val="0"/>
          <w:bCs/>
          <w:color w:val="auto"/>
          <w:lang w:val="en-US" w:eastAsia="zh-CN"/>
        </w:rPr>
        <w:t>府督查工作条例》，配合督查机构开展综合督查、专项督查、事件调查、日常督办、线索核查等政府督查工作。对于督查结论中要求整改的事项，及时按要求整改</w:t>
      </w:r>
      <w:r>
        <w:rPr>
          <w:rFonts w:hint="eastAsia" w:ascii="仿宋" w:hAnsi="仿宋" w:eastAsia="仿宋" w:cs="仿宋"/>
          <w:b w:val="0"/>
          <w:bCs/>
          <w:color w:val="auto"/>
          <w:lang w:val="en-US" w:eastAsia="zh-CN"/>
        </w:rPr>
        <w:t>。</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color w:val="auto"/>
          <w:sz w:val="32"/>
          <w:szCs w:val="32"/>
          <w:lang w:val="en-US" w:eastAsia="zh-CN"/>
        </w:rPr>
        <w:t>责任单位：办公室。</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b/>
          <w:color w:val="auto"/>
          <w:lang w:val="en-US" w:eastAsia="zh-CN"/>
        </w:rPr>
        <w:t>（二十四）加强对行政执法制约和监督。</w:t>
      </w:r>
      <w:r>
        <w:rPr>
          <w:rFonts w:hint="eastAsia" w:ascii="仿宋" w:hAnsi="仿宋" w:eastAsia="仿宋" w:cs="仿宋"/>
          <w:b w:val="0"/>
          <w:bCs/>
          <w:color w:val="auto"/>
          <w:lang w:val="en-US" w:eastAsia="zh-CN"/>
        </w:rPr>
        <w:t>通过加强行政执法</w:t>
      </w:r>
      <w:r>
        <w:rPr>
          <w:rFonts w:hint="default" w:ascii="仿宋" w:hAnsi="仿宋" w:eastAsia="仿宋" w:cs="仿宋"/>
          <w:b w:val="0"/>
          <w:bCs/>
          <w:color w:val="auto"/>
          <w:lang w:val="en-US" w:eastAsia="zh-CN"/>
        </w:rPr>
        <w:t>监督，推动行政诉讼发案量和败诉率“双下降”，有效预防和纠正违法或者不当的执法行为，从源头上减少行政争议，降低行政诉讼发案量和败诉率。通过人民群众和企业最不满意的行政执法问题专项整治活动，主动自查自纠，及时发现纠正群众和企业反映强烈的执法不作为、乱作为、逐利执法、执法“一刀切”、“运动式”执法等突出问题。开展行政执法案卷评查，严格落实重大行政处罚备案。依法处理行政执法投诉举报，确保“件件有着落，事事有回音”。通过正反面典型案例激励引导执法人员履职尽责，主动作为。</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color w:val="auto"/>
          <w:sz w:val="32"/>
          <w:szCs w:val="32"/>
          <w:lang w:val="en-US" w:eastAsia="zh-CN"/>
        </w:rPr>
        <w:t>责任单位：法规与科技标准科、综合行政执法支队</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b/>
          <w:color w:val="auto"/>
          <w:kern w:val="2"/>
          <w:sz w:val="32"/>
          <w:szCs w:val="32"/>
          <w:lang w:val="en-US" w:eastAsia="zh-CN" w:bidi="ar-SA"/>
        </w:rPr>
        <w:t>（二十五）全面主动落实政务公开。</w:t>
      </w:r>
      <w:r>
        <w:rPr>
          <w:rFonts w:hint="eastAsia" w:ascii="仿宋" w:hAnsi="仿宋" w:eastAsia="仿宋" w:cs="仿宋"/>
          <w:b w:val="0"/>
          <w:bCs/>
          <w:color w:val="auto"/>
          <w:kern w:val="2"/>
          <w:sz w:val="32"/>
          <w:szCs w:val="32"/>
          <w:lang w:val="en-US" w:eastAsia="zh-CN" w:bidi="ar-SA"/>
        </w:rPr>
        <w:t>严格落实《中华人民共</w:t>
      </w:r>
      <w:r>
        <w:rPr>
          <w:rFonts w:hint="default" w:ascii="仿宋" w:hAnsi="仿宋" w:eastAsia="仿宋" w:cs="仿宋"/>
          <w:b w:val="0"/>
          <w:bCs/>
          <w:color w:val="auto"/>
          <w:kern w:val="2"/>
          <w:sz w:val="32"/>
          <w:szCs w:val="32"/>
          <w:lang w:val="en-US" w:eastAsia="zh-CN" w:bidi="ar-SA"/>
        </w:rPr>
        <w:t>环境领域基层政务公开标准指引》，扎实做好政务公开和政务信息工作。坚持“公开是常态、不公开是例外”，推动我</w:t>
      </w:r>
      <w:r>
        <w:rPr>
          <w:rFonts w:hint="eastAsia" w:ascii="仿宋" w:hAnsi="仿宋" w:eastAsia="仿宋" w:cs="仿宋"/>
          <w:b w:val="0"/>
          <w:bCs/>
          <w:color w:val="auto"/>
          <w:kern w:val="2"/>
          <w:sz w:val="32"/>
          <w:szCs w:val="32"/>
          <w:lang w:val="en-US" w:eastAsia="zh-CN" w:bidi="ar-SA"/>
        </w:rPr>
        <w:t>局</w:t>
      </w:r>
      <w:r>
        <w:rPr>
          <w:rFonts w:hint="default" w:ascii="仿宋" w:hAnsi="仿宋" w:eastAsia="仿宋" w:cs="仿宋"/>
          <w:b w:val="0"/>
          <w:bCs/>
          <w:color w:val="auto"/>
          <w:kern w:val="2"/>
          <w:sz w:val="32"/>
          <w:szCs w:val="32"/>
          <w:lang w:val="en-US" w:eastAsia="zh-CN" w:bidi="ar-SA"/>
        </w:rPr>
        <w:t>政务公开制度化、标准化、规范化建设，提高政务公开能力和水平，依法保障人民群众合理信息需求。</w:t>
      </w:r>
    </w:p>
    <w:p>
      <w:pPr>
        <w:pStyle w:val="6"/>
        <w:keepNext w:val="0"/>
        <w:keepLines w:val="0"/>
        <w:pageBreakBefore w:val="0"/>
        <w:kinsoku/>
        <w:wordWrap/>
        <w:overflowPunct/>
        <w:topLinePunct w:val="0"/>
        <w:autoSpaceDE/>
        <w:autoSpaceDN/>
        <w:bidi w:val="0"/>
        <w:adjustRightInd/>
        <w:snapToGrid/>
        <w:spacing w:line="600" w:lineRule="exact"/>
        <w:ind w:firstLine="643"/>
        <w:textAlignment w:val="auto"/>
        <w:rPr>
          <w:rFonts w:hint="eastAsia" w:ascii="仿宋" w:hAnsi="仿宋" w:eastAsia="仿宋" w:cs="仿宋"/>
          <w:b w:val="0"/>
          <w:bCs/>
          <w:color w:val="auto"/>
          <w:lang w:val="en-US" w:eastAsia="zh-CN"/>
        </w:rPr>
      </w:pPr>
      <w:r>
        <w:rPr>
          <w:rFonts w:hint="eastAsia" w:ascii="楷体" w:hAnsi="楷体" w:eastAsia="楷体" w:cs="楷体"/>
          <w:color w:val="auto"/>
          <w:sz w:val="32"/>
          <w:szCs w:val="32"/>
          <w:lang w:val="en-US" w:eastAsia="zh-CN"/>
        </w:rPr>
        <w:t>责任单位：办公室、法规与科技标准科</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b/>
          <w:color w:val="auto"/>
          <w:kern w:val="2"/>
          <w:sz w:val="32"/>
          <w:szCs w:val="32"/>
          <w:lang w:val="en-US" w:eastAsia="zh-CN" w:bidi="ar-SA"/>
        </w:rPr>
        <w:t>（二十六）加快推进政务诚信建设。</w:t>
      </w:r>
      <w:r>
        <w:rPr>
          <w:rFonts w:hint="eastAsia" w:ascii="仿宋" w:hAnsi="仿宋" w:eastAsia="仿宋" w:cs="仿宋"/>
          <w:b w:val="0"/>
          <w:bCs/>
          <w:color w:val="auto"/>
          <w:kern w:val="2"/>
          <w:sz w:val="32"/>
          <w:szCs w:val="32"/>
          <w:lang w:val="en-US" w:eastAsia="zh-CN" w:bidi="ar-SA"/>
        </w:rPr>
        <w:t>深入推进</w:t>
      </w:r>
      <w:r>
        <w:rPr>
          <w:rFonts w:hint="default" w:ascii="仿宋" w:hAnsi="仿宋" w:eastAsia="仿宋" w:cs="仿宋"/>
          <w:b w:val="0"/>
          <w:bCs/>
          <w:color w:val="auto"/>
          <w:kern w:val="2"/>
          <w:sz w:val="32"/>
          <w:szCs w:val="32"/>
          <w:lang w:val="en-US" w:eastAsia="zh-CN" w:bidi="ar-SA"/>
        </w:rPr>
        <w:t>“行政许可和行政处罚等信用信息自作出行政决定之日起 7 个工作日内上网公开”，</w:t>
      </w:r>
      <w:r>
        <w:rPr>
          <w:rFonts w:hint="eastAsia" w:ascii="仿宋" w:hAnsi="仿宋" w:eastAsia="仿宋" w:cs="仿宋"/>
          <w:b w:val="0"/>
          <w:bCs/>
          <w:color w:val="auto"/>
          <w:kern w:val="2"/>
          <w:sz w:val="32"/>
          <w:szCs w:val="32"/>
          <w:lang w:val="en-US" w:eastAsia="zh-CN" w:bidi="ar-SA"/>
        </w:rPr>
        <w:t>按照《济源市生态环境局关于明确生态环境行政处罚决定依法公开的意见（试行）》公开行政处罚信息。积极</w:t>
      </w:r>
      <w:r>
        <w:rPr>
          <w:rFonts w:hint="default" w:ascii="仿宋" w:hAnsi="仿宋" w:eastAsia="仿宋" w:cs="仿宋"/>
          <w:b w:val="0"/>
          <w:bCs/>
          <w:color w:val="auto"/>
          <w:kern w:val="2"/>
          <w:sz w:val="32"/>
          <w:szCs w:val="32"/>
          <w:lang w:val="en-US" w:eastAsia="zh-CN" w:bidi="ar-SA"/>
        </w:rPr>
        <w:t>推动行政许可和行政处罚信息归集、规范报送、依法公开。深入开展公务员诚信教育，积极开展诚信机关文化建设，引导</w:t>
      </w:r>
      <w:r>
        <w:rPr>
          <w:rFonts w:hint="eastAsia" w:ascii="仿宋" w:hAnsi="仿宋" w:eastAsia="仿宋" w:cs="仿宋"/>
          <w:b w:val="0"/>
          <w:bCs/>
          <w:color w:val="auto"/>
          <w:kern w:val="2"/>
          <w:sz w:val="32"/>
          <w:szCs w:val="32"/>
          <w:lang w:val="en-US" w:eastAsia="zh-CN" w:bidi="ar-SA"/>
        </w:rPr>
        <w:t>我局</w:t>
      </w:r>
      <w:r>
        <w:rPr>
          <w:rFonts w:hint="default" w:ascii="仿宋" w:hAnsi="仿宋" w:eastAsia="仿宋" w:cs="仿宋"/>
          <w:b w:val="0"/>
          <w:bCs/>
          <w:color w:val="auto"/>
          <w:kern w:val="2"/>
          <w:sz w:val="32"/>
          <w:szCs w:val="32"/>
          <w:lang w:val="en-US" w:eastAsia="zh-CN" w:bidi="ar-SA"/>
        </w:rPr>
        <w:t xml:space="preserve">广大干部职工树立牢固的诚信意识，发挥诚实守信的表率作用。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color w:val="auto"/>
          <w:sz w:val="32"/>
          <w:szCs w:val="32"/>
          <w:lang w:val="en-US" w:eastAsia="zh-CN"/>
        </w:rPr>
        <w:t>责任单位：环境影响评价与排放管理科、法规与科技标准科</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九、健全法治政府建设科技保障体系，全面建设数字法治政</w:t>
      </w:r>
      <w:r>
        <w:rPr>
          <w:rFonts w:hint="default" w:ascii="黑体" w:hAnsi="黑体" w:eastAsia="黑体" w:cs="黑体"/>
          <w:b w:val="0"/>
          <w:bCs/>
          <w:color w:val="auto"/>
          <w:sz w:val="32"/>
          <w:szCs w:val="32"/>
          <w:lang w:val="en-US" w:eastAsia="zh-CN"/>
        </w:rPr>
        <w:t>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b/>
          <w:color w:val="auto"/>
          <w:kern w:val="2"/>
          <w:sz w:val="32"/>
          <w:szCs w:val="32"/>
          <w:lang w:val="en-US" w:eastAsia="zh-CN" w:bidi="ar-SA"/>
        </w:rPr>
        <w:t>（二十七）强化科技在环境治理中的支撑作用。</w:t>
      </w:r>
      <w:r>
        <w:rPr>
          <w:rFonts w:hint="eastAsia" w:ascii="仿宋" w:hAnsi="仿宋" w:eastAsia="仿宋" w:cs="仿宋"/>
          <w:b w:val="0"/>
          <w:bCs/>
          <w:color w:val="auto"/>
          <w:kern w:val="2"/>
          <w:sz w:val="32"/>
          <w:szCs w:val="32"/>
          <w:lang w:val="en-US" w:eastAsia="zh-CN" w:bidi="ar-SA"/>
        </w:rPr>
        <w:t>不断完善污</w:t>
      </w:r>
      <w:r>
        <w:rPr>
          <w:rFonts w:hint="default" w:ascii="仿宋" w:hAnsi="仿宋" w:eastAsia="仿宋" w:cs="仿宋"/>
          <w:b w:val="0"/>
          <w:bCs/>
          <w:color w:val="auto"/>
          <w:kern w:val="2"/>
          <w:sz w:val="32"/>
          <w:szCs w:val="32"/>
          <w:lang w:val="en-US" w:eastAsia="zh-CN" w:bidi="ar-SA"/>
        </w:rPr>
        <w:t>染源在线监控、视频监控等自动监控体系，依法依规组织抓好污染源在线监控设施建设，推进污染源关键工况参数、用电监管、用水用能等自动监控方式，为构建</w:t>
      </w:r>
      <w:r>
        <w:rPr>
          <w:rFonts w:hint="eastAsia" w:ascii="仿宋" w:hAnsi="仿宋" w:eastAsia="仿宋" w:cs="仿宋"/>
          <w:b w:val="0"/>
          <w:bCs/>
          <w:color w:val="auto"/>
          <w:kern w:val="2"/>
          <w:sz w:val="32"/>
          <w:szCs w:val="32"/>
          <w:lang w:val="en-US" w:eastAsia="zh-CN" w:bidi="ar-SA"/>
        </w:rPr>
        <w:t>我局</w:t>
      </w:r>
      <w:r>
        <w:rPr>
          <w:rFonts w:hint="default" w:ascii="仿宋" w:hAnsi="仿宋" w:eastAsia="仿宋" w:cs="仿宋"/>
          <w:b w:val="0"/>
          <w:bCs/>
          <w:color w:val="auto"/>
          <w:kern w:val="2"/>
          <w:sz w:val="32"/>
          <w:szCs w:val="32"/>
          <w:lang w:val="en-US" w:eastAsia="zh-CN" w:bidi="ar-SA"/>
        </w:rPr>
        <w:t>生态环境保护非现场监管体系提供信息支撑。强化自动监控数据质量控制，严厉打击监控数据弄虚作假等违法行为。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color w:val="auto"/>
          <w:sz w:val="32"/>
          <w:szCs w:val="32"/>
          <w:lang w:val="en-US" w:eastAsia="zh-CN"/>
        </w:rPr>
        <w:t>责任单位：环境监测和技术中心、综合行政执法支队</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b/>
          <w:color w:val="auto"/>
          <w:kern w:val="2"/>
          <w:sz w:val="32"/>
          <w:szCs w:val="32"/>
          <w:lang w:val="en-US" w:eastAsia="zh-CN" w:bidi="ar-SA"/>
        </w:rPr>
        <w:t>（二十八）深入推进</w:t>
      </w:r>
      <w:r>
        <w:rPr>
          <w:rFonts w:hint="default" w:ascii="楷体" w:hAnsi="楷体" w:eastAsia="楷体" w:cs="楷体"/>
          <w:b/>
          <w:color w:val="auto"/>
          <w:kern w:val="2"/>
          <w:sz w:val="32"/>
          <w:szCs w:val="32"/>
          <w:lang w:val="en-US" w:eastAsia="zh-CN" w:bidi="ar-SA"/>
        </w:rPr>
        <w:t>“互联网+”监管执法。</w:t>
      </w:r>
      <w:r>
        <w:rPr>
          <w:rFonts w:hint="eastAsia" w:ascii="仿宋" w:hAnsi="仿宋" w:eastAsia="仿宋" w:cs="仿宋"/>
          <w:b w:val="0"/>
          <w:bCs/>
          <w:color w:val="auto"/>
          <w:kern w:val="2"/>
          <w:sz w:val="32"/>
          <w:szCs w:val="32"/>
          <w:lang w:val="en-US" w:eastAsia="zh-CN" w:bidi="ar-SA"/>
        </w:rPr>
        <w:t>充分运用互联网、</w:t>
      </w:r>
      <w:r>
        <w:rPr>
          <w:rFonts w:hint="default" w:ascii="仿宋" w:hAnsi="仿宋" w:eastAsia="仿宋" w:cs="仿宋"/>
          <w:b w:val="0"/>
          <w:bCs/>
          <w:color w:val="auto"/>
          <w:kern w:val="2"/>
          <w:sz w:val="32"/>
          <w:szCs w:val="32"/>
          <w:lang w:val="en-US" w:eastAsia="zh-CN" w:bidi="ar-SA"/>
        </w:rPr>
        <w:t>大数据、人工智能等信息技术，实现“互联网+”背景下的监管方式创新。深化远程监管、移动监管、预警防控为特征的非现场执法监管模式，大幅提升非现场监管在执法监管中的比重。充分发挥</w:t>
      </w:r>
      <w:r>
        <w:rPr>
          <w:rFonts w:hint="eastAsia" w:ascii="仿宋" w:hAnsi="仿宋" w:eastAsia="仿宋" w:cs="仿宋"/>
          <w:b w:val="0"/>
          <w:bCs/>
          <w:color w:val="auto"/>
          <w:kern w:val="2"/>
          <w:sz w:val="32"/>
          <w:szCs w:val="32"/>
          <w:lang w:val="en-US" w:eastAsia="zh-CN" w:bidi="ar-SA"/>
        </w:rPr>
        <w:t>我局</w:t>
      </w:r>
      <w:r>
        <w:rPr>
          <w:rFonts w:hint="default" w:ascii="仿宋" w:hAnsi="仿宋" w:eastAsia="仿宋" w:cs="仿宋"/>
          <w:b w:val="0"/>
          <w:bCs/>
          <w:color w:val="auto"/>
          <w:kern w:val="2"/>
          <w:sz w:val="32"/>
          <w:szCs w:val="32"/>
          <w:lang w:val="en-US" w:eastAsia="zh-CN" w:bidi="ar-SA"/>
        </w:rPr>
        <w:t>无人机数量多、队伍精优势，拓宽无人机辅助执法应用场景，提高无人机辅助执法在非现场执法中的占比。积极落实生态环境联合执法机制，加强与自然资源</w:t>
      </w:r>
      <w:r>
        <w:rPr>
          <w:rFonts w:hint="eastAsia" w:ascii="仿宋" w:hAnsi="仿宋" w:eastAsia="仿宋" w:cs="仿宋"/>
          <w:b w:val="0"/>
          <w:bCs/>
          <w:color w:val="auto"/>
          <w:kern w:val="2"/>
          <w:sz w:val="32"/>
          <w:szCs w:val="32"/>
          <w:lang w:val="en-US" w:eastAsia="zh-CN" w:bidi="ar-SA"/>
        </w:rPr>
        <w:t>和规划局</w:t>
      </w:r>
      <w:r>
        <w:rPr>
          <w:rFonts w:hint="default" w:ascii="仿宋" w:hAnsi="仿宋" w:eastAsia="仿宋" w:cs="仿宋"/>
          <w:b w:val="0"/>
          <w:bCs/>
          <w:color w:val="auto"/>
          <w:kern w:val="2"/>
          <w:sz w:val="32"/>
          <w:szCs w:val="32"/>
          <w:lang w:val="en-US" w:eastAsia="zh-CN" w:bidi="ar-SA"/>
        </w:rPr>
        <w:t>、农业农村</w:t>
      </w:r>
      <w:r>
        <w:rPr>
          <w:rFonts w:hint="eastAsia" w:ascii="仿宋" w:hAnsi="仿宋" w:eastAsia="仿宋" w:cs="仿宋"/>
          <w:b w:val="0"/>
          <w:bCs/>
          <w:color w:val="auto"/>
          <w:kern w:val="2"/>
          <w:sz w:val="32"/>
          <w:szCs w:val="32"/>
          <w:lang w:val="en-US" w:eastAsia="zh-CN" w:bidi="ar-SA"/>
        </w:rPr>
        <w:t>局、水利局、林业局、住房和城乡建设局</w:t>
      </w:r>
      <w:r>
        <w:rPr>
          <w:rFonts w:hint="default" w:ascii="仿宋" w:hAnsi="仿宋" w:eastAsia="仿宋" w:cs="仿宋"/>
          <w:b w:val="0"/>
          <w:bCs/>
          <w:color w:val="auto"/>
          <w:kern w:val="2"/>
          <w:sz w:val="32"/>
          <w:szCs w:val="32"/>
          <w:lang w:val="en-US" w:eastAsia="zh-CN" w:bidi="ar-SA"/>
        </w:rPr>
        <w:t>等职能部门协作力度，健全协调联动、齐抓共管的生态环境执法格局。鼓励第三方机构参与现场辅助执法，为执法监管提供专业技术支撑。</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color w:val="auto"/>
          <w:sz w:val="32"/>
          <w:szCs w:val="32"/>
          <w:lang w:val="en-US" w:eastAsia="zh-CN"/>
        </w:rPr>
        <w:t>责任单位：环境监测和技术中心、综合行政执法支队</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十、加强党的领导，完善法治政府建设组织保障和落实机制</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b/>
          <w:color w:val="auto"/>
          <w:kern w:val="2"/>
          <w:sz w:val="32"/>
          <w:szCs w:val="32"/>
          <w:lang w:val="en-US" w:eastAsia="zh-CN" w:bidi="ar-SA"/>
        </w:rPr>
        <w:t>（二十九）强化领导机制。</w:t>
      </w:r>
      <w:r>
        <w:rPr>
          <w:rFonts w:hint="eastAsia" w:ascii="仿宋" w:hAnsi="仿宋" w:eastAsia="仿宋" w:cs="仿宋"/>
          <w:b w:val="0"/>
          <w:bCs/>
          <w:color w:val="auto"/>
          <w:kern w:val="2"/>
          <w:sz w:val="32"/>
          <w:szCs w:val="32"/>
          <w:lang w:val="en-US" w:eastAsia="zh-CN" w:bidi="ar-SA"/>
        </w:rPr>
        <w:t>坚持党对法治政府建设的领导，</w:t>
      </w:r>
      <w:r>
        <w:rPr>
          <w:rFonts w:hint="default" w:ascii="仿宋" w:hAnsi="仿宋" w:eastAsia="仿宋" w:cs="仿宋"/>
          <w:b w:val="0"/>
          <w:bCs/>
          <w:color w:val="auto"/>
          <w:kern w:val="2"/>
          <w:sz w:val="32"/>
          <w:szCs w:val="32"/>
          <w:lang w:val="en-US" w:eastAsia="zh-CN" w:bidi="ar-SA"/>
        </w:rPr>
        <w:t>结合</w:t>
      </w:r>
      <w:r>
        <w:rPr>
          <w:rFonts w:hint="eastAsia" w:ascii="仿宋" w:hAnsi="仿宋" w:eastAsia="仿宋" w:cs="仿宋"/>
          <w:b w:val="0"/>
          <w:bCs/>
          <w:color w:val="auto"/>
          <w:kern w:val="2"/>
          <w:sz w:val="32"/>
          <w:szCs w:val="32"/>
          <w:lang w:val="en-US" w:eastAsia="zh-CN" w:bidi="ar-SA"/>
        </w:rPr>
        <w:t>我局工作</w:t>
      </w:r>
      <w:r>
        <w:rPr>
          <w:rFonts w:hint="default" w:ascii="仿宋" w:hAnsi="仿宋" w:eastAsia="仿宋" w:cs="仿宋"/>
          <w:b w:val="0"/>
          <w:bCs/>
          <w:color w:val="auto"/>
          <w:kern w:val="2"/>
          <w:sz w:val="32"/>
          <w:szCs w:val="32"/>
          <w:lang w:val="en-US" w:eastAsia="zh-CN" w:bidi="ar-SA"/>
        </w:rPr>
        <w:t>实际，认真落实法治政府建设年度部署和报告制度，每年部署法治政府建设年度重点工作，切实抓好落实，并按规定报告法治政府建设工作情况。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color w:val="auto"/>
          <w:sz w:val="32"/>
          <w:szCs w:val="32"/>
          <w:lang w:val="en-US" w:eastAsia="zh-CN"/>
        </w:rPr>
        <w:t>责任单位：法规与科技标准科</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仿宋" w:hAnsi="仿宋" w:eastAsia="仿宋" w:cs="仿宋"/>
          <w:b w:val="0"/>
          <w:bCs/>
          <w:color w:val="auto"/>
          <w:kern w:val="2"/>
          <w:sz w:val="32"/>
          <w:szCs w:val="32"/>
          <w:lang w:val="en-US" w:eastAsia="zh-CN" w:bidi="ar-SA"/>
        </w:rPr>
      </w:pPr>
      <w:r>
        <w:rPr>
          <w:rFonts w:hint="eastAsia" w:ascii="楷体" w:hAnsi="楷体" w:eastAsia="楷体" w:cs="楷体"/>
          <w:b/>
          <w:color w:val="auto"/>
          <w:kern w:val="2"/>
          <w:sz w:val="32"/>
          <w:szCs w:val="32"/>
          <w:lang w:val="en-US" w:eastAsia="zh-CN" w:bidi="ar-SA"/>
        </w:rPr>
        <w:t>（三十）健全责任机制。</w:t>
      </w:r>
      <w:r>
        <w:rPr>
          <w:rFonts w:hint="eastAsia" w:ascii="仿宋" w:hAnsi="仿宋" w:eastAsia="仿宋" w:cs="仿宋"/>
          <w:b w:val="0"/>
          <w:bCs/>
          <w:color w:val="auto"/>
          <w:kern w:val="2"/>
          <w:sz w:val="32"/>
          <w:szCs w:val="32"/>
          <w:lang w:val="en-US" w:eastAsia="zh-CN" w:bidi="ar-SA"/>
        </w:rPr>
        <w:t>认真履行推</w:t>
      </w:r>
      <w:r>
        <w:rPr>
          <w:rFonts w:hint="default" w:ascii="仿宋" w:hAnsi="仿宋" w:eastAsia="仿宋" w:cs="仿宋"/>
          <w:b w:val="0"/>
          <w:bCs/>
          <w:color w:val="auto"/>
          <w:kern w:val="2"/>
          <w:sz w:val="32"/>
          <w:szCs w:val="32"/>
          <w:lang w:val="en-US" w:eastAsia="zh-CN" w:bidi="ar-SA"/>
        </w:rPr>
        <w:t>进法治政府建设主体职责，主要负责人要认真履行好第一责任人职责，严格执行《河南省法治政府建设与责任落实督察工作实施办法》，将建设法治政府摆在工作全局的重要位置，加强统筹规划、督察督导、考核评价，每半年至少要召开 1 次部门办公会研究解决法治政府建设重大问题，紧急重要事项应随时召开会议研究。</w:t>
      </w:r>
      <w:r>
        <w:rPr>
          <w:rFonts w:hint="eastAsia" w:ascii="仿宋" w:hAnsi="仿宋" w:eastAsia="仿宋" w:cs="仿宋"/>
          <w:b w:val="0"/>
          <w:bCs/>
          <w:color w:val="auto"/>
          <w:kern w:val="2"/>
          <w:sz w:val="32"/>
          <w:szCs w:val="32"/>
          <w:lang w:val="en-US" w:eastAsia="zh-CN" w:bidi="ar-SA"/>
        </w:rPr>
        <w:t>做好</w:t>
      </w:r>
      <w:r>
        <w:rPr>
          <w:rFonts w:hint="default" w:ascii="仿宋" w:hAnsi="仿宋" w:eastAsia="仿宋" w:cs="仿宋"/>
          <w:b w:val="0"/>
          <w:bCs/>
          <w:color w:val="auto"/>
          <w:kern w:val="2"/>
          <w:sz w:val="32"/>
          <w:szCs w:val="32"/>
          <w:lang w:val="en-US" w:eastAsia="zh-CN" w:bidi="ar-SA"/>
        </w:rPr>
        <w:t xml:space="preserve"> 2023 年度法治</w:t>
      </w:r>
      <w:r>
        <w:rPr>
          <w:rFonts w:hint="eastAsia" w:ascii="仿宋" w:hAnsi="仿宋" w:eastAsia="仿宋" w:cs="仿宋"/>
          <w:b w:val="0"/>
          <w:bCs/>
          <w:color w:val="auto"/>
          <w:kern w:val="2"/>
          <w:sz w:val="32"/>
          <w:szCs w:val="32"/>
          <w:lang w:val="en-US" w:eastAsia="zh-CN" w:bidi="ar-SA"/>
        </w:rPr>
        <w:t>济源</w:t>
      </w:r>
      <w:r>
        <w:rPr>
          <w:rFonts w:hint="default" w:ascii="仿宋" w:hAnsi="仿宋" w:eastAsia="仿宋" w:cs="仿宋"/>
          <w:b w:val="0"/>
          <w:bCs/>
          <w:color w:val="auto"/>
          <w:kern w:val="2"/>
          <w:sz w:val="32"/>
          <w:szCs w:val="32"/>
          <w:lang w:val="en-US" w:eastAsia="zh-CN" w:bidi="ar-SA"/>
        </w:rPr>
        <w:t>（法治政府）建设考核</w:t>
      </w:r>
      <w:r>
        <w:rPr>
          <w:rFonts w:hint="eastAsia" w:ascii="仿宋" w:hAnsi="仿宋" w:eastAsia="仿宋" w:cs="仿宋"/>
          <w:b w:val="0"/>
          <w:bCs/>
          <w:color w:val="auto"/>
          <w:kern w:val="2"/>
          <w:sz w:val="32"/>
          <w:szCs w:val="32"/>
          <w:lang w:val="en-US" w:eastAsia="zh-CN" w:bidi="ar-SA"/>
        </w:rPr>
        <w:t>工作</w:t>
      </w:r>
      <w:r>
        <w:rPr>
          <w:rFonts w:hint="default" w:ascii="仿宋" w:hAnsi="仿宋" w:eastAsia="仿宋" w:cs="仿宋"/>
          <w:b w:val="0"/>
          <w:bCs/>
          <w:color w:val="auto"/>
          <w:kern w:val="2"/>
          <w:sz w:val="32"/>
          <w:szCs w:val="32"/>
          <w:lang w:val="en-US" w:eastAsia="zh-CN" w:bidi="ar-SA"/>
        </w:rPr>
        <w:t>，确保法治政府建设重点任务落实到位</w:t>
      </w:r>
      <w:r>
        <w:rPr>
          <w:rFonts w:hint="eastAsia" w:ascii="仿宋" w:hAnsi="仿宋" w:eastAsia="仿宋" w:cs="仿宋"/>
          <w:b w:val="0"/>
          <w:bCs/>
          <w:color w:val="auto"/>
          <w:kern w:val="2"/>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color w:val="auto"/>
          <w:sz w:val="32"/>
          <w:szCs w:val="32"/>
          <w:lang w:val="en-US" w:eastAsia="zh-CN"/>
        </w:rPr>
        <w:t>责任单位：法规与科技标准科。</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b/>
          <w:color w:val="auto"/>
          <w:kern w:val="2"/>
          <w:sz w:val="32"/>
          <w:szCs w:val="32"/>
          <w:lang w:val="en-US" w:eastAsia="zh-CN" w:bidi="ar-SA"/>
        </w:rPr>
        <w:t>（三十一）加强舆论宣传。</w:t>
      </w:r>
      <w:r>
        <w:rPr>
          <w:rFonts w:hint="eastAsia" w:ascii="仿宋" w:hAnsi="仿宋" w:eastAsia="仿宋" w:cs="仿宋"/>
          <w:b w:val="0"/>
          <w:bCs/>
          <w:color w:val="auto"/>
          <w:kern w:val="2"/>
          <w:sz w:val="32"/>
          <w:szCs w:val="32"/>
          <w:lang w:val="en-US" w:eastAsia="zh-CN" w:bidi="ar-SA"/>
        </w:rPr>
        <w:t>充分运用传统媒体和新媒体等多</w:t>
      </w:r>
      <w:r>
        <w:rPr>
          <w:rFonts w:hint="default" w:ascii="仿宋" w:hAnsi="仿宋" w:eastAsia="仿宋" w:cs="仿宋"/>
          <w:b w:val="0"/>
          <w:bCs/>
          <w:color w:val="auto"/>
          <w:kern w:val="2"/>
          <w:sz w:val="32"/>
          <w:szCs w:val="32"/>
          <w:lang w:val="en-US" w:eastAsia="zh-CN" w:bidi="ar-SA"/>
        </w:rPr>
        <w:t>种媒体形式，结合</w:t>
      </w:r>
      <w:r>
        <w:rPr>
          <w:rFonts w:hint="eastAsia" w:ascii="仿宋" w:hAnsi="仿宋" w:eastAsia="仿宋" w:cs="仿宋"/>
          <w:b w:val="0"/>
          <w:bCs/>
          <w:color w:val="auto"/>
          <w:kern w:val="2"/>
          <w:sz w:val="32"/>
          <w:szCs w:val="32"/>
          <w:lang w:val="en-US" w:eastAsia="zh-CN" w:bidi="ar-SA"/>
        </w:rPr>
        <w:t>我局</w:t>
      </w:r>
      <w:r>
        <w:rPr>
          <w:rFonts w:hint="default" w:ascii="仿宋" w:hAnsi="仿宋" w:eastAsia="仿宋" w:cs="仿宋"/>
          <w:b w:val="0"/>
          <w:bCs/>
          <w:color w:val="auto"/>
          <w:kern w:val="2"/>
          <w:sz w:val="32"/>
          <w:szCs w:val="32"/>
          <w:lang w:val="en-US" w:eastAsia="zh-CN" w:bidi="ar-SA"/>
        </w:rPr>
        <w:t>工作实际，广泛宣传法治政府建设重要部署、成果、经验和工作成效，积极营造全社会关心、支持和参与法治政府建设的良好社会氛围。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责任单位：法规与科技标准科、环境监测和技术中心。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b/>
          <w:color w:val="auto"/>
          <w:kern w:val="2"/>
          <w:sz w:val="32"/>
          <w:szCs w:val="32"/>
          <w:lang w:val="en-US" w:eastAsia="zh-CN" w:bidi="ar-SA"/>
        </w:rPr>
        <w:t>（三十二）加强法治（法治政府）建设保障机制。</w:t>
      </w:r>
      <w:r>
        <w:rPr>
          <w:rFonts w:hint="eastAsia" w:ascii="仿宋" w:hAnsi="仿宋" w:eastAsia="仿宋" w:cs="仿宋"/>
          <w:b w:val="0"/>
          <w:bCs/>
          <w:color w:val="auto"/>
          <w:kern w:val="2"/>
          <w:sz w:val="32"/>
          <w:szCs w:val="32"/>
          <w:lang w:val="en-US" w:eastAsia="zh-CN" w:bidi="ar-SA"/>
        </w:rPr>
        <w:t>法治政府</w:t>
      </w:r>
      <w:r>
        <w:rPr>
          <w:rFonts w:hint="default" w:ascii="仿宋" w:hAnsi="仿宋" w:eastAsia="仿宋" w:cs="仿宋"/>
          <w:b w:val="0"/>
          <w:bCs/>
          <w:color w:val="auto"/>
          <w:kern w:val="2"/>
          <w:sz w:val="32"/>
          <w:szCs w:val="32"/>
          <w:lang w:val="en-US" w:eastAsia="zh-CN" w:bidi="ar-SA"/>
        </w:rPr>
        <w:t>建设是全面依法治国系统工程的重点任务和主体工程，要注重发挥法治政府对法治国家、法治社会建设的示范带动作用，对改革发展稳定的引领、规范和保障作用，将法治政府建设重点工作所需经费纳入</w:t>
      </w:r>
      <w:r>
        <w:rPr>
          <w:rFonts w:hint="eastAsia" w:ascii="仿宋" w:hAnsi="仿宋" w:eastAsia="仿宋" w:cs="仿宋"/>
          <w:b w:val="0"/>
          <w:bCs/>
          <w:color w:val="auto"/>
          <w:kern w:val="2"/>
          <w:sz w:val="32"/>
          <w:szCs w:val="32"/>
          <w:lang w:val="en-US" w:eastAsia="zh-CN" w:bidi="ar-SA"/>
        </w:rPr>
        <w:t>我局</w:t>
      </w:r>
      <w:r>
        <w:rPr>
          <w:rFonts w:hint="default" w:ascii="仿宋" w:hAnsi="仿宋" w:eastAsia="仿宋" w:cs="仿宋"/>
          <w:b w:val="0"/>
          <w:bCs/>
          <w:color w:val="auto"/>
          <w:kern w:val="2"/>
          <w:sz w:val="32"/>
          <w:szCs w:val="32"/>
          <w:lang w:val="en-US" w:eastAsia="zh-CN" w:bidi="ar-SA"/>
        </w:rPr>
        <w:t>财政预算，保障人员力量、经费等与其职责任务相适应。</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责任单位：办公室（财务科）</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b/>
          <w:color w:val="auto"/>
          <w:kern w:val="2"/>
          <w:sz w:val="32"/>
          <w:szCs w:val="32"/>
          <w:lang w:val="en-US" w:eastAsia="zh-CN" w:bidi="ar-SA"/>
        </w:rPr>
        <w:t>（三十三）加强队伍建设。</w:t>
      </w:r>
      <w:r>
        <w:rPr>
          <w:rFonts w:hint="eastAsia" w:ascii="仿宋" w:hAnsi="仿宋" w:eastAsia="仿宋" w:cs="仿宋"/>
          <w:b w:val="0"/>
          <w:bCs/>
          <w:color w:val="auto"/>
          <w:kern w:val="2"/>
          <w:sz w:val="32"/>
          <w:szCs w:val="32"/>
          <w:lang w:val="en-US" w:eastAsia="zh-CN" w:bidi="ar-SA"/>
        </w:rPr>
        <w:t>我局干部职工</w:t>
      </w:r>
      <w:r>
        <w:rPr>
          <w:rFonts w:hint="default" w:ascii="仿宋" w:hAnsi="仿宋" w:eastAsia="仿宋" w:cs="仿宋"/>
          <w:b w:val="0"/>
          <w:bCs/>
          <w:color w:val="auto"/>
          <w:kern w:val="2"/>
          <w:sz w:val="32"/>
          <w:szCs w:val="32"/>
          <w:lang w:val="en-US" w:eastAsia="zh-CN" w:bidi="ar-SA"/>
        </w:rPr>
        <w:t>要切实增强法治意识、弘扬法治精神，自觉尊崇法治、敬畏法律，善于运用法治思维和法治方式深化改革、推动发展、化解矛盾、维护稳定、应对风险。健全学法用法机制，加强对执法人员法治教育，增强依法行政意识和专业化执法能力。</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color w:val="auto"/>
          <w:kern w:val="2"/>
          <w:sz w:val="32"/>
          <w:szCs w:val="32"/>
          <w:lang w:val="en-US" w:eastAsia="zh-CN" w:bidi="ar-SA"/>
        </w:rPr>
      </w:pPr>
      <w:r>
        <w:rPr>
          <w:rFonts w:hint="eastAsia" w:ascii="楷体" w:hAnsi="楷体" w:eastAsia="楷体" w:cs="楷体"/>
          <w:color w:val="auto"/>
          <w:sz w:val="32"/>
          <w:szCs w:val="32"/>
          <w:lang w:val="en-US" w:eastAsia="zh-CN"/>
        </w:rPr>
        <w:t>责任单位：法规与科技标准科、综合行政执法支队。</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olor w:val="auto"/>
          <w:sz w:val="32"/>
          <w:szCs w:val="32"/>
        </w:rPr>
      </w:pPr>
      <w:r>
        <w:rPr>
          <w:rFonts w:hint="eastAsia" w:ascii="仿宋" w:hAnsi="仿宋" w:eastAsia="仿宋"/>
          <w:color w:val="auto"/>
          <w:sz w:val="32"/>
          <w:szCs w:val="32"/>
        </w:rPr>
        <w:t>上述工作安排</w:t>
      </w:r>
      <w:r>
        <w:rPr>
          <w:rFonts w:hint="eastAsia" w:ascii="仿宋" w:hAnsi="仿宋" w:eastAsia="仿宋"/>
          <w:color w:val="auto"/>
          <w:sz w:val="32"/>
          <w:szCs w:val="32"/>
          <w:lang w:eastAsia="zh-CN"/>
        </w:rPr>
        <w:t>已列入</w:t>
      </w:r>
      <w:r>
        <w:rPr>
          <w:rFonts w:hint="eastAsia" w:ascii="仿宋" w:hAnsi="仿宋" w:eastAsia="仿宋"/>
          <w:color w:val="auto"/>
          <w:sz w:val="32"/>
          <w:szCs w:val="32"/>
          <w:lang w:val="en-US" w:eastAsia="zh-CN"/>
        </w:rPr>
        <w:t>省生态环境厅和示范区</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法治（法治政府）建设工作考核我局</w:t>
      </w:r>
      <w:r>
        <w:rPr>
          <w:rFonts w:hint="eastAsia" w:ascii="仿宋" w:hAnsi="仿宋" w:eastAsia="仿宋"/>
          <w:color w:val="auto"/>
          <w:sz w:val="32"/>
          <w:szCs w:val="32"/>
        </w:rPr>
        <w:t>的主要内容，</w:t>
      </w:r>
      <w:r>
        <w:rPr>
          <w:rFonts w:hint="eastAsia" w:ascii="仿宋" w:hAnsi="仿宋" w:eastAsia="仿宋"/>
          <w:color w:val="auto"/>
          <w:sz w:val="32"/>
          <w:szCs w:val="32"/>
          <w:lang w:val="en-US" w:eastAsia="zh-CN"/>
        </w:rPr>
        <w:t>各分局、局机关各科室、局属各二级机构</w:t>
      </w:r>
      <w:r>
        <w:rPr>
          <w:rFonts w:hint="eastAsia" w:ascii="仿宋" w:hAnsi="仿宋" w:eastAsia="仿宋"/>
          <w:color w:val="auto"/>
          <w:sz w:val="32"/>
          <w:szCs w:val="32"/>
        </w:rPr>
        <w:t>要依据职责和所承担的法治（法治政府）建设任务，做好本年度工作。</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附件</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各分局、局机关各科室、局属各二级机构</w:t>
      </w:r>
      <w:r>
        <w:rPr>
          <w:rFonts w:hint="eastAsia" w:ascii="仿宋" w:hAnsi="仿宋" w:eastAsia="仿宋"/>
          <w:color w:val="auto"/>
          <w:sz w:val="32"/>
          <w:szCs w:val="32"/>
        </w:rPr>
        <w:t>法治</w:t>
      </w:r>
      <w:r>
        <w:rPr>
          <w:rFonts w:hint="eastAsia" w:ascii="仿宋" w:hAnsi="仿宋" w:eastAsia="仿宋"/>
          <w:color w:val="auto"/>
          <w:sz w:val="32"/>
          <w:szCs w:val="32"/>
          <w:lang w:eastAsia="zh-CN"/>
        </w:rPr>
        <w:t>（法治政府）</w:t>
      </w:r>
      <w:r>
        <w:rPr>
          <w:rFonts w:hint="eastAsia" w:ascii="仿宋" w:hAnsi="仿宋" w:eastAsia="仿宋"/>
          <w:color w:val="auto"/>
          <w:sz w:val="32"/>
          <w:szCs w:val="32"/>
        </w:rPr>
        <w:t>工作联络员信息统计表</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 w:hAnsi="仿宋" w:eastAsia="仿宋"/>
          <w:color w:val="auto"/>
          <w:sz w:val="32"/>
          <w:szCs w:val="32"/>
        </w:rPr>
      </w:pPr>
      <w:r>
        <w:rPr>
          <w:rFonts w:ascii="仿宋" w:hAnsi="仿宋" w:eastAsia="仿宋"/>
          <w:color w:val="auto"/>
          <w:sz w:val="32"/>
          <w:szCs w:val="32"/>
        </w:rPr>
        <w:br w:type="page"/>
      </w:r>
    </w:p>
    <w:p>
      <w:pPr>
        <w:spacing w:line="620" w:lineRule="exact"/>
        <w:ind w:firstLine="602" w:firstLineChars="200"/>
        <w:jc w:val="left"/>
        <w:rPr>
          <w:rFonts w:asciiTheme="majorEastAsia" w:hAnsiTheme="majorEastAsia" w:eastAsiaTheme="majorEastAsia"/>
          <w:b/>
          <w:color w:val="auto"/>
          <w:sz w:val="30"/>
          <w:szCs w:val="30"/>
        </w:rPr>
        <w:sectPr>
          <w:footerReference r:id="rId3" w:type="default"/>
          <w:pgSz w:w="11906" w:h="16838"/>
          <w:pgMar w:top="1440" w:right="1800" w:bottom="1440" w:left="1800" w:header="851" w:footer="992" w:gutter="0"/>
          <w:pgNumType w:fmt="decimal"/>
          <w:cols w:space="425" w:num="1"/>
          <w:docGrid w:type="lines" w:linePitch="312" w:charSpace="0"/>
        </w:sectPr>
      </w:pPr>
    </w:p>
    <w:p>
      <w:pPr>
        <w:spacing w:line="62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附</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件</w:t>
      </w:r>
    </w:p>
    <w:p>
      <w:pPr>
        <w:spacing w:line="620" w:lineRule="exact"/>
        <w:jc w:val="center"/>
        <w:rPr>
          <w:rFonts w:ascii="仿宋" w:hAnsi="仿宋" w:eastAsia="仿宋"/>
          <w:color w:val="auto"/>
          <w:sz w:val="44"/>
          <w:szCs w:val="44"/>
        </w:rPr>
      </w:pPr>
    </w:p>
    <w:p>
      <w:pPr>
        <w:spacing w:line="620" w:lineRule="exact"/>
        <w:ind w:firstLine="720" w:firstLineChars="200"/>
        <w:jc w:val="center"/>
        <w:rPr>
          <w:rFonts w:hint="eastAsia" w:ascii="华文中宋" w:hAnsi="华文中宋" w:eastAsia="华文中宋" w:cs="华文中宋"/>
          <w:color w:val="auto"/>
          <w:sz w:val="36"/>
          <w:szCs w:val="36"/>
          <w:lang w:eastAsia="zh-CN"/>
        </w:rPr>
      </w:pPr>
      <w:r>
        <w:rPr>
          <w:rFonts w:hint="eastAsia" w:ascii="华文中宋" w:hAnsi="华文中宋" w:eastAsia="华文中宋" w:cs="华文中宋"/>
          <w:color w:val="auto"/>
          <w:sz w:val="36"/>
          <w:szCs w:val="36"/>
          <w:lang w:val="en-US" w:eastAsia="zh-CN"/>
        </w:rPr>
        <w:t>各分局、局机关各科室、局属各二级机构</w:t>
      </w:r>
    </w:p>
    <w:p>
      <w:pPr>
        <w:spacing w:line="620" w:lineRule="exact"/>
        <w:ind w:firstLine="720" w:firstLineChars="200"/>
        <w:jc w:val="center"/>
        <w:rPr>
          <w:rFonts w:hint="eastAsia" w:ascii="华文中宋" w:hAnsi="华文中宋" w:eastAsia="华文中宋" w:cs="华文中宋"/>
          <w:color w:val="auto"/>
          <w:sz w:val="36"/>
          <w:szCs w:val="36"/>
        </w:rPr>
      </w:pPr>
      <w:r>
        <w:rPr>
          <w:rFonts w:hint="eastAsia" w:ascii="华文中宋" w:hAnsi="华文中宋" w:eastAsia="华文中宋" w:cs="华文中宋"/>
          <w:color w:val="auto"/>
          <w:sz w:val="36"/>
          <w:szCs w:val="36"/>
        </w:rPr>
        <w:t>法治</w:t>
      </w:r>
      <w:r>
        <w:rPr>
          <w:rFonts w:hint="eastAsia" w:ascii="华文中宋" w:hAnsi="华文中宋" w:eastAsia="华文中宋" w:cs="华文中宋"/>
          <w:color w:val="auto"/>
          <w:sz w:val="36"/>
          <w:szCs w:val="36"/>
          <w:lang w:eastAsia="zh-CN"/>
        </w:rPr>
        <w:t>（法治政府）</w:t>
      </w:r>
      <w:r>
        <w:rPr>
          <w:rFonts w:hint="eastAsia" w:ascii="华文中宋" w:hAnsi="华文中宋" w:eastAsia="华文中宋" w:cs="华文中宋"/>
          <w:color w:val="auto"/>
          <w:sz w:val="36"/>
          <w:szCs w:val="36"/>
        </w:rPr>
        <w:t>联络员信息统计表</w:t>
      </w:r>
    </w:p>
    <w:p>
      <w:pPr>
        <w:spacing w:line="620" w:lineRule="exact"/>
        <w:ind w:firstLine="880" w:firstLineChars="200"/>
        <w:jc w:val="center"/>
        <w:rPr>
          <w:rFonts w:ascii="仿宋" w:hAnsi="仿宋" w:eastAsia="仿宋"/>
          <w:color w:val="auto"/>
          <w:sz w:val="44"/>
          <w:szCs w:val="4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4395"/>
        <w:gridCol w:w="2693"/>
        <w:gridCol w:w="340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620" w:lineRule="exact"/>
              <w:jc w:val="center"/>
              <w:rPr>
                <w:rFonts w:eastAsiaTheme="majorEastAsia"/>
                <w:b/>
                <w:color w:val="auto"/>
                <w:sz w:val="28"/>
                <w:szCs w:val="28"/>
              </w:rPr>
            </w:pPr>
            <w:r>
              <w:rPr>
                <w:rFonts w:eastAsiaTheme="majorEastAsia"/>
                <w:b/>
                <w:color w:val="auto"/>
                <w:sz w:val="28"/>
                <w:szCs w:val="28"/>
              </w:rPr>
              <w:t>姓名</w:t>
            </w:r>
          </w:p>
        </w:tc>
        <w:tc>
          <w:tcPr>
            <w:tcW w:w="4395" w:type="dxa"/>
          </w:tcPr>
          <w:p>
            <w:pPr>
              <w:spacing w:line="620" w:lineRule="exact"/>
              <w:jc w:val="center"/>
              <w:rPr>
                <w:rFonts w:eastAsiaTheme="majorEastAsia"/>
                <w:b/>
                <w:color w:val="auto"/>
                <w:sz w:val="28"/>
                <w:szCs w:val="28"/>
              </w:rPr>
            </w:pPr>
            <w:r>
              <w:rPr>
                <w:rFonts w:hint="eastAsia" w:eastAsiaTheme="majorEastAsia"/>
                <w:b/>
                <w:color w:val="auto"/>
                <w:sz w:val="28"/>
                <w:szCs w:val="28"/>
              </w:rPr>
              <w:t>单位</w:t>
            </w:r>
          </w:p>
        </w:tc>
        <w:tc>
          <w:tcPr>
            <w:tcW w:w="2693" w:type="dxa"/>
          </w:tcPr>
          <w:p>
            <w:pPr>
              <w:spacing w:line="620" w:lineRule="exact"/>
              <w:jc w:val="center"/>
              <w:rPr>
                <w:rFonts w:eastAsiaTheme="majorEastAsia"/>
                <w:b/>
                <w:color w:val="auto"/>
                <w:sz w:val="28"/>
                <w:szCs w:val="28"/>
              </w:rPr>
            </w:pPr>
            <w:r>
              <w:rPr>
                <w:rFonts w:hint="eastAsia" w:eastAsiaTheme="majorEastAsia"/>
                <w:b/>
                <w:color w:val="auto"/>
                <w:sz w:val="28"/>
                <w:szCs w:val="28"/>
              </w:rPr>
              <w:t>职务</w:t>
            </w:r>
          </w:p>
        </w:tc>
        <w:tc>
          <w:tcPr>
            <w:tcW w:w="3402" w:type="dxa"/>
          </w:tcPr>
          <w:p>
            <w:pPr>
              <w:spacing w:line="620" w:lineRule="exact"/>
              <w:jc w:val="center"/>
              <w:rPr>
                <w:rFonts w:eastAsiaTheme="majorEastAsia"/>
                <w:b/>
                <w:color w:val="auto"/>
                <w:sz w:val="28"/>
                <w:szCs w:val="28"/>
              </w:rPr>
            </w:pPr>
            <w:r>
              <w:rPr>
                <w:rFonts w:hint="eastAsia" w:eastAsiaTheme="majorEastAsia"/>
                <w:b/>
                <w:color w:val="auto"/>
                <w:sz w:val="28"/>
                <w:szCs w:val="28"/>
              </w:rPr>
              <w:t>联系方式（含手机）</w:t>
            </w:r>
          </w:p>
        </w:tc>
        <w:tc>
          <w:tcPr>
            <w:tcW w:w="2268" w:type="dxa"/>
          </w:tcPr>
          <w:p>
            <w:pPr>
              <w:spacing w:line="620" w:lineRule="exact"/>
              <w:jc w:val="center"/>
              <w:rPr>
                <w:rFonts w:eastAsiaTheme="majorEastAsia"/>
                <w:b/>
                <w:color w:val="auto"/>
                <w:sz w:val="28"/>
                <w:szCs w:val="28"/>
              </w:rPr>
            </w:pPr>
            <w:r>
              <w:rPr>
                <w:rFonts w:hint="eastAsia" w:eastAsiaTheme="majorEastAsia"/>
                <w:b/>
                <w:color w:val="auto"/>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620" w:lineRule="exact"/>
              <w:jc w:val="center"/>
              <w:rPr>
                <w:rFonts w:eastAsiaTheme="majorEastAsia"/>
                <w:b/>
                <w:color w:val="auto"/>
                <w:sz w:val="28"/>
                <w:szCs w:val="28"/>
              </w:rPr>
            </w:pPr>
          </w:p>
        </w:tc>
        <w:tc>
          <w:tcPr>
            <w:tcW w:w="4395" w:type="dxa"/>
          </w:tcPr>
          <w:p>
            <w:pPr>
              <w:spacing w:line="620" w:lineRule="exact"/>
              <w:jc w:val="center"/>
              <w:rPr>
                <w:rFonts w:eastAsiaTheme="majorEastAsia"/>
                <w:b/>
                <w:color w:val="auto"/>
                <w:sz w:val="28"/>
                <w:szCs w:val="28"/>
              </w:rPr>
            </w:pPr>
          </w:p>
        </w:tc>
        <w:tc>
          <w:tcPr>
            <w:tcW w:w="2693" w:type="dxa"/>
          </w:tcPr>
          <w:p>
            <w:pPr>
              <w:spacing w:line="620" w:lineRule="exact"/>
              <w:jc w:val="center"/>
              <w:rPr>
                <w:rFonts w:eastAsiaTheme="majorEastAsia"/>
                <w:b/>
                <w:color w:val="auto"/>
                <w:sz w:val="28"/>
                <w:szCs w:val="28"/>
              </w:rPr>
            </w:pPr>
          </w:p>
        </w:tc>
        <w:tc>
          <w:tcPr>
            <w:tcW w:w="3402" w:type="dxa"/>
          </w:tcPr>
          <w:p>
            <w:pPr>
              <w:spacing w:line="620" w:lineRule="exact"/>
              <w:jc w:val="center"/>
              <w:rPr>
                <w:rFonts w:eastAsiaTheme="majorEastAsia"/>
                <w:b/>
                <w:color w:val="auto"/>
                <w:sz w:val="28"/>
                <w:szCs w:val="28"/>
              </w:rPr>
            </w:pPr>
          </w:p>
        </w:tc>
        <w:tc>
          <w:tcPr>
            <w:tcW w:w="2268" w:type="dxa"/>
          </w:tcPr>
          <w:p>
            <w:pPr>
              <w:spacing w:line="620" w:lineRule="exact"/>
              <w:jc w:val="center"/>
              <w:rPr>
                <w:rFonts w:eastAsiaTheme="majorEastAsia"/>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620" w:lineRule="exact"/>
              <w:jc w:val="center"/>
              <w:rPr>
                <w:rFonts w:eastAsiaTheme="majorEastAsia"/>
                <w:b/>
                <w:color w:val="auto"/>
                <w:sz w:val="28"/>
                <w:szCs w:val="28"/>
              </w:rPr>
            </w:pPr>
          </w:p>
        </w:tc>
        <w:tc>
          <w:tcPr>
            <w:tcW w:w="4395" w:type="dxa"/>
          </w:tcPr>
          <w:p>
            <w:pPr>
              <w:spacing w:line="620" w:lineRule="exact"/>
              <w:jc w:val="center"/>
              <w:rPr>
                <w:rFonts w:eastAsiaTheme="majorEastAsia"/>
                <w:b/>
                <w:color w:val="auto"/>
                <w:sz w:val="28"/>
                <w:szCs w:val="28"/>
              </w:rPr>
            </w:pPr>
          </w:p>
        </w:tc>
        <w:tc>
          <w:tcPr>
            <w:tcW w:w="2693" w:type="dxa"/>
          </w:tcPr>
          <w:p>
            <w:pPr>
              <w:spacing w:line="620" w:lineRule="exact"/>
              <w:jc w:val="center"/>
              <w:rPr>
                <w:rFonts w:eastAsiaTheme="majorEastAsia"/>
                <w:b/>
                <w:color w:val="auto"/>
                <w:sz w:val="28"/>
                <w:szCs w:val="28"/>
              </w:rPr>
            </w:pPr>
          </w:p>
        </w:tc>
        <w:tc>
          <w:tcPr>
            <w:tcW w:w="3402" w:type="dxa"/>
          </w:tcPr>
          <w:p>
            <w:pPr>
              <w:spacing w:line="620" w:lineRule="exact"/>
              <w:jc w:val="center"/>
              <w:rPr>
                <w:rFonts w:eastAsiaTheme="majorEastAsia"/>
                <w:b/>
                <w:color w:val="auto"/>
                <w:sz w:val="28"/>
                <w:szCs w:val="28"/>
              </w:rPr>
            </w:pPr>
          </w:p>
        </w:tc>
        <w:tc>
          <w:tcPr>
            <w:tcW w:w="2268" w:type="dxa"/>
          </w:tcPr>
          <w:p>
            <w:pPr>
              <w:spacing w:line="620" w:lineRule="exact"/>
              <w:jc w:val="center"/>
              <w:rPr>
                <w:rFonts w:eastAsiaTheme="majorEastAsia"/>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620" w:lineRule="exact"/>
              <w:jc w:val="center"/>
              <w:rPr>
                <w:rFonts w:eastAsiaTheme="majorEastAsia"/>
                <w:b/>
                <w:color w:val="auto"/>
                <w:sz w:val="28"/>
                <w:szCs w:val="28"/>
              </w:rPr>
            </w:pPr>
          </w:p>
        </w:tc>
        <w:tc>
          <w:tcPr>
            <w:tcW w:w="4395" w:type="dxa"/>
          </w:tcPr>
          <w:p>
            <w:pPr>
              <w:spacing w:line="620" w:lineRule="exact"/>
              <w:jc w:val="center"/>
              <w:rPr>
                <w:rFonts w:eastAsiaTheme="majorEastAsia"/>
                <w:b/>
                <w:color w:val="auto"/>
                <w:sz w:val="28"/>
                <w:szCs w:val="28"/>
              </w:rPr>
            </w:pPr>
          </w:p>
        </w:tc>
        <w:tc>
          <w:tcPr>
            <w:tcW w:w="2693" w:type="dxa"/>
          </w:tcPr>
          <w:p>
            <w:pPr>
              <w:spacing w:line="620" w:lineRule="exact"/>
              <w:jc w:val="center"/>
              <w:rPr>
                <w:rFonts w:eastAsiaTheme="majorEastAsia"/>
                <w:b/>
                <w:color w:val="auto"/>
                <w:sz w:val="28"/>
                <w:szCs w:val="28"/>
              </w:rPr>
            </w:pPr>
          </w:p>
        </w:tc>
        <w:tc>
          <w:tcPr>
            <w:tcW w:w="3402" w:type="dxa"/>
          </w:tcPr>
          <w:p>
            <w:pPr>
              <w:spacing w:line="620" w:lineRule="exact"/>
              <w:jc w:val="center"/>
              <w:rPr>
                <w:rFonts w:eastAsiaTheme="majorEastAsia"/>
                <w:b/>
                <w:color w:val="auto"/>
                <w:sz w:val="28"/>
                <w:szCs w:val="28"/>
              </w:rPr>
            </w:pPr>
          </w:p>
        </w:tc>
        <w:tc>
          <w:tcPr>
            <w:tcW w:w="2268" w:type="dxa"/>
          </w:tcPr>
          <w:p>
            <w:pPr>
              <w:spacing w:line="620" w:lineRule="exact"/>
              <w:jc w:val="center"/>
              <w:rPr>
                <w:rFonts w:eastAsiaTheme="majorEastAsia"/>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620" w:lineRule="exact"/>
              <w:jc w:val="center"/>
              <w:rPr>
                <w:rFonts w:eastAsiaTheme="majorEastAsia"/>
                <w:b/>
                <w:color w:val="auto"/>
                <w:sz w:val="28"/>
                <w:szCs w:val="28"/>
              </w:rPr>
            </w:pPr>
          </w:p>
        </w:tc>
        <w:tc>
          <w:tcPr>
            <w:tcW w:w="4395" w:type="dxa"/>
          </w:tcPr>
          <w:p>
            <w:pPr>
              <w:spacing w:line="620" w:lineRule="exact"/>
              <w:jc w:val="center"/>
              <w:rPr>
                <w:rFonts w:eastAsiaTheme="majorEastAsia"/>
                <w:b/>
                <w:color w:val="auto"/>
                <w:sz w:val="28"/>
                <w:szCs w:val="28"/>
              </w:rPr>
            </w:pPr>
          </w:p>
        </w:tc>
        <w:tc>
          <w:tcPr>
            <w:tcW w:w="2693" w:type="dxa"/>
          </w:tcPr>
          <w:p>
            <w:pPr>
              <w:spacing w:line="620" w:lineRule="exact"/>
              <w:jc w:val="center"/>
              <w:rPr>
                <w:rFonts w:eastAsiaTheme="majorEastAsia"/>
                <w:b/>
                <w:color w:val="auto"/>
                <w:sz w:val="28"/>
                <w:szCs w:val="28"/>
              </w:rPr>
            </w:pPr>
          </w:p>
        </w:tc>
        <w:tc>
          <w:tcPr>
            <w:tcW w:w="3402" w:type="dxa"/>
          </w:tcPr>
          <w:p>
            <w:pPr>
              <w:spacing w:line="620" w:lineRule="exact"/>
              <w:jc w:val="center"/>
              <w:rPr>
                <w:rFonts w:eastAsiaTheme="majorEastAsia"/>
                <w:b/>
                <w:color w:val="auto"/>
                <w:sz w:val="28"/>
                <w:szCs w:val="28"/>
              </w:rPr>
            </w:pPr>
          </w:p>
        </w:tc>
        <w:tc>
          <w:tcPr>
            <w:tcW w:w="2268" w:type="dxa"/>
          </w:tcPr>
          <w:p>
            <w:pPr>
              <w:spacing w:line="620" w:lineRule="exact"/>
              <w:jc w:val="center"/>
              <w:rPr>
                <w:rFonts w:eastAsiaTheme="majorEastAsia"/>
                <w:b/>
                <w:color w:val="auto"/>
                <w:sz w:val="28"/>
                <w:szCs w:val="28"/>
              </w:rPr>
            </w:pPr>
          </w:p>
        </w:tc>
      </w:tr>
    </w:tbl>
    <w:p>
      <w:pPr>
        <w:spacing w:line="620" w:lineRule="exact"/>
        <w:ind w:firstLine="883" w:firstLineChars="200"/>
        <w:jc w:val="center"/>
        <w:rPr>
          <w:rFonts w:asciiTheme="majorEastAsia" w:hAnsiTheme="majorEastAsia" w:eastAsiaTheme="majorEastAsia"/>
          <w:b/>
          <w:color w:val="auto"/>
          <w:sz w:val="44"/>
          <w:szCs w:val="44"/>
        </w:rPr>
      </w:pPr>
    </w:p>
    <w:p>
      <w:pPr>
        <w:rPr>
          <w:color w:val="auto"/>
        </w:rPr>
      </w:pPr>
    </w:p>
    <w:sectPr>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600153-CD54-4815-8BEA-8E36656BB32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2" w:fontKey="{95D5E656-8BFF-4927-879B-39263DD1F1DA}"/>
  </w:font>
  <w:font w:name="楷体">
    <w:panose1 w:val="02010609060101010101"/>
    <w:charset w:val="86"/>
    <w:family w:val="modern"/>
    <w:pitch w:val="default"/>
    <w:sig w:usb0="800002BF" w:usb1="38CF7CFA" w:usb2="00000016" w:usb3="00000000" w:csb0="00040001" w:csb1="00000000"/>
    <w:embedRegular r:id="rId3" w:fontKey="{3A97F5BA-682C-4F50-B0CE-AC66D62DD3F3}"/>
  </w:font>
  <w:font w:name="仿宋_GB2312">
    <w:panose1 w:val="02010609030101010101"/>
    <w:charset w:val="86"/>
    <w:family w:val="modern"/>
    <w:pitch w:val="default"/>
    <w:sig w:usb0="00000001" w:usb1="080E0000" w:usb2="00000000" w:usb3="00000000" w:csb0="00040000" w:csb1="00000000"/>
    <w:embedRegular r:id="rId4" w:fontKey="{82C8807D-D9A8-42A7-A576-753628D24732}"/>
  </w:font>
  <w:font w:name="仿宋">
    <w:panose1 w:val="02010609060101010101"/>
    <w:charset w:val="86"/>
    <w:family w:val="modern"/>
    <w:pitch w:val="default"/>
    <w:sig w:usb0="800002BF" w:usb1="38CF7CFA" w:usb2="00000016" w:usb3="00000000" w:csb0="00040001" w:csb1="00000000"/>
    <w:embedRegular r:id="rId5" w:fontKey="{97233F40-422D-4271-A456-317350279751}"/>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Yjk5N2UzYjhlMjY3NmVjMjk5Y2U4M2U4OGZhMWMifQ=="/>
  </w:docVars>
  <w:rsids>
    <w:rsidRoot w:val="1C554F62"/>
    <w:rsid w:val="002A4DB2"/>
    <w:rsid w:val="00D258A1"/>
    <w:rsid w:val="00E923C5"/>
    <w:rsid w:val="013663B1"/>
    <w:rsid w:val="01474501"/>
    <w:rsid w:val="0219345B"/>
    <w:rsid w:val="02783976"/>
    <w:rsid w:val="02E8197C"/>
    <w:rsid w:val="02EA01C5"/>
    <w:rsid w:val="02EB24A5"/>
    <w:rsid w:val="03B254D9"/>
    <w:rsid w:val="03D51151"/>
    <w:rsid w:val="04B11376"/>
    <w:rsid w:val="051216E7"/>
    <w:rsid w:val="051E4D1A"/>
    <w:rsid w:val="05FD44B7"/>
    <w:rsid w:val="061B115C"/>
    <w:rsid w:val="06C20D8D"/>
    <w:rsid w:val="070333EF"/>
    <w:rsid w:val="083527CE"/>
    <w:rsid w:val="08BA481C"/>
    <w:rsid w:val="09535837"/>
    <w:rsid w:val="097C1F9D"/>
    <w:rsid w:val="099074D1"/>
    <w:rsid w:val="0A9357F1"/>
    <w:rsid w:val="0AFC27B3"/>
    <w:rsid w:val="0B300F0F"/>
    <w:rsid w:val="0BD40DA4"/>
    <w:rsid w:val="0C0070A1"/>
    <w:rsid w:val="0C1B25A0"/>
    <w:rsid w:val="0C1D574E"/>
    <w:rsid w:val="0C1E3B9F"/>
    <w:rsid w:val="0C2F4286"/>
    <w:rsid w:val="0C782EF0"/>
    <w:rsid w:val="0CA17862"/>
    <w:rsid w:val="0CC52D02"/>
    <w:rsid w:val="0D5648B3"/>
    <w:rsid w:val="0D8853B5"/>
    <w:rsid w:val="0E155B3E"/>
    <w:rsid w:val="0E25178C"/>
    <w:rsid w:val="0E477FDC"/>
    <w:rsid w:val="0E803383"/>
    <w:rsid w:val="0E9B2EC6"/>
    <w:rsid w:val="0EB9334C"/>
    <w:rsid w:val="0F226D9E"/>
    <w:rsid w:val="0F340C24"/>
    <w:rsid w:val="0F450727"/>
    <w:rsid w:val="0F465673"/>
    <w:rsid w:val="0FDC19E8"/>
    <w:rsid w:val="102E2215"/>
    <w:rsid w:val="10505F32"/>
    <w:rsid w:val="105C1238"/>
    <w:rsid w:val="10914EC4"/>
    <w:rsid w:val="11C95F9C"/>
    <w:rsid w:val="12582E7C"/>
    <w:rsid w:val="12704669"/>
    <w:rsid w:val="12BE3627"/>
    <w:rsid w:val="137F578F"/>
    <w:rsid w:val="14DE0216"/>
    <w:rsid w:val="14E17354"/>
    <w:rsid w:val="153876C0"/>
    <w:rsid w:val="16A4299F"/>
    <w:rsid w:val="16AE750E"/>
    <w:rsid w:val="16CE195E"/>
    <w:rsid w:val="17DA7D33"/>
    <w:rsid w:val="17EB6C6C"/>
    <w:rsid w:val="19043765"/>
    <w:rsid w:val="19BA188E"/>
    <w:rsid w:val="1A5A5ABE"/>
    <w:rsid w:val="1A89451A"/>
    <w:rsid w:val="1ACF2273"/>
    <w:rsid w:val="1AFB080F"/>
    <w:rsid w:val="1B243C2B"/>
    <w:rsid w:val="1B505038"/>
    <w:rsid w:val="1C554F62"/>
    <w:rsid w:val="1C836AC7"/>
    <w:rsid w:val="1CEA169F"/>
    <w:rsid w:val="1D2C234D"/>
    <w:rsid w:val="1EB12291"/>
    <w:rsid w:val="1EDC02C9"/>
    <w:rsid w:val="1FE0357D"/>
    <w:rsid w:val="200E0DE0"/>
    <w:rsid w:val="2084273E"/>
    <w:rsid w:val="209D2ACD"/>
    <w:rsid w:val="20AE1166"/>
    <w:rsid w:val="20B11601"/>
    <w:rsid w:val="20DB35F6"/>
    <w:rsid w:val="215C64E4"/>
    <w:rsid w:val="21BC76DD"/>
    <w:rsid w:val="220D693F"/>
    <w:rsid w:val="2295603B"/>
    <w:rsid w:val="23045086"/>
    <w:rsid w:val="23353491"/>
    <w:rsid w:val="234B7E6D"/>
    <w:rsid w:val="23642C35"/>
    <w:rsid w:val="236B2A0F"/>
    <w:rsid w:val="241412F8"/>
    <w:rsid w:val="250F386E"/>
    <w:rsid w:val="251B66B7"/>
    <w:rsid w:val="25232A7A"/>
    <w:rsid w:val="25BA5ED0"/>
    <w:rsid w:val="25EB531C"/>
    <w:rsid w:val="2696426F"/>
    <w:rsid w:val="269C3827"/>
    <w:rsid w:val="26EB62A1"/>
    <w:rsid w:val="26F47ABE"/>
    <w:rsid w:val="27133380"/>
    <w:rsid w:val="275163C0"/>
    <w:rsid w:val="279D49E5"/>
    <w:rsid w:val="281A2C55"/>
    <w:rsid w:val="28813C95"/>
    <w:rsid w:val="292478FC"/>
    <w:rsid w:val="296049E8"/>
    <w:rsid w:val="2A0B4F4C"/>
    <w:rsid w:val="2A272325"/>
    <w:rsid w:val="2AB078A1"/>
    <w:rsid w:val="2AD22B5A"/>
    <w:rsid w:val="2B011DB2"/>
    <w:rsid w:val="2B0A767B"/>
    <w:rsid w:val="2B1A4889"/>
    <w:rsid w:val="2B355909"/>
    <w:rsid w:val="2BFF468C"/>
    <w:rsid w:val="2C2045B2"/>
    <w:rsid w:val="2C8F634D"/>
    <w:rsid w:val="2C9275CB"/>
    <w:rsid w:val="2CC17B44"/>
    <w:rsid w:val="2CCF0ADE"/>
    <w:rsid w:val="2CDA6E57"/>
    <w:rsid w:val="2E7C263F"/>
    <w:rsid w:val="2EC639EA"/>
    <w:rsid w:val="2EF04710"/>
    <w:rsid w:val="2F921D46"/>
    <w:rsid w:val="2FA572A9"/>
    <w:rsid w:val="304A49D9"/>
    <w:rsid w:val="3062763A"/>
    <w:rsid w:val="30E805AE"/>
    <w:rsid w:val="3138414C"/>
    <w:rsid w:val="313C59EB"/>
    <w:rsid w:val="315C608D"/>
    <w:rsid w:val="3179279B"/>
    <w:rsid w:val="31B320D2"/>
    <w:rsid w:val="31F2079F"/>
    <w:rsid w:val="320D1173"/>
    <w:rsid w:val="32146967"/>
    <w:rsid w:val="325971F4"/>
    <w:rsid w:val="32DD49A8"/>
    <w:rsid w:val="33585C2A"/>
    <w:rsid w:val="339C4E66"/>
    <w:rsid w:val="33BB4E80"/>
    <w:rsid w:val="33CB102B"/>
    <w:rsid w:val="33CB4668"/>
    <w:rsid w:val="34842A78"/>
    <w:rsid w:val="34D16D92"/>
    <w:rsid w:val="354F0271"/>
    <w:rsid w:val="355A0B35"/>
    <w:rsid w:val="35C0066C"/>
    <w:rsid w:val="35CD57AB"/>
    <w:rsid w:val="35CE388C"/>
    <w:rsid w:val="361909F0"/>
    <w:rsid w:val="365B4B65"/>
    <w:rsid w:val="36BF32BE"/>
    <w:rsid w:val="37142E18"/>
    <w:rsid w:val="37BF0451"/>
    <w:rsid w:val="37E64902"/>
    <w:rsid w:val="37FE0959"/>
    <w:rsid w:val="386728C0"/>
    <w:rsid w:val="38925A62"/>
    <w:rsid w:val="38A64414"/>
    <w:rsid w:val="38BD1B07"/>
    <w:rsid w:val="392B74B1"/>
    <w:rsid w:val="3AA00809"/>
    <w:rsid w:val="3B5129DA"/>
    <w:rsid w:val="3B5D0CF7"/>
    <w:rsid w:val="3B79050B"/>
    <w:rsid w:val="3BA35B96"/>
    <w:rsid w:val="3BB84807"/>
    <w:rsid w:val="3C2C4218"/>
    <w:rsid w:val="3C5A441A"/>
    <w:rsid w:val="3DA06A0D"/>
    <w:rsid w:val="3DA52B6A"/>
    <w:rsid w:val="3DE8401A"/>
    <w:rsid w:val="3E2708FB"/>
    <w:rsid w:val="3E744239"/>
    <w:rsid w:val="3E970704"/>
    <w:rsid w:val="3EFC4A0B"/>
    <w:rsid w:val="3F191F2E"/>
    <w:rsid w:val="40DB31A4"/>
    <w:rsid w:val="416B2ABE"/>
    <w:rsid w:val="417137CD"/>
    <w:rsid w:val="418C02C8"/>
    <w:rsid w:val="425723B4"/>
    <w:rsid w:val="4269322C"/>
    <w:rsid w:val="42747EE0"/>
    <w:rsid w:val="431A57FB"/>
    <w:rsid w:val="433A7BC6"/>
    <w:rsid w:val="43903A09"/>
    <w:rsid w:val="43AF4AD7"/>
    <w:rsid w:val="43EB71E3"/>
    <w:rsid w:val="440D6CA8"/>
    <w:rsid w:val="443B1F26"/>
    <w:rsid w:val="44627A06"/>
    <w:rsid w:val="44EB713B"/>
    <w:rsid w:val="44FB0BEF"/>
    <w:rsid w:val="46494BC4"/>
    <w:rsid w:val="4740628E"/>
    <w:rsid w:val="480F027F"/>
    <w:rsid w:val="487144D7"/>
    <w:rsid w:val="48902522"/>
    <w:rsid w:val="491128C8"/>
    <w:rsid w:val="49667016"/>
    <w:rsid w:val="49900B72"/>
    <w:rsid w:val="49CA3D56"/>
    <w:rsid w:val="49DB4EDF"/>
    <w:rsid w:val="49E6706D"/>
    <w:rsid w:val="4A987CDE"/>
    <w:rsid w:val="4A993A56"/>
    <w:rsid w:val="4AB16FF2"/>
    <w:rsid w:val="4AF92B55"/>
    <w:rsid w:val="4B270EF4"/>
    <w:rsid w:val="4BEC40E8"/>
    <w:rsid w:val="4C0429B1"/>
    <w:rsid w:val="4C5B4435"/>
    <w:rsid w:val="4D0C1792"/>
    <w:rsid w:val="4D1A3D2D"/>
    <w:rsid w:val="4D27359B"/>
    <w:rsid w:val="4D3B48F0"/>
    <w:rsid w:val="4D454326"/>
    <w:rsid w:val="4D947DEA"/>
    <w:rsid w:val="4E485577"/>
    <w:rsid w:val="4EAC1FAA"/>
    <w:rsid w:val="50182A4F"/>
    <w:rsid w:val="50A213E9"/>
    <w:rsid w:val="50B42925"/>
    <w:rsid w:val="51485CD3"/>
    <w:rsid w:val="514E11A1"/>
    <w:rsid w:val="52466271"/>
    <w:rsid w:val="52595FA5"/>
    <w:rsid w:val="530F4D38"/>
    <w:rsid w:val="53B15921"/>
    <w:rsid w:val="541505F1"/>
    <w:rsid w:val="557B21D5"/>
    <w:rsid w:val="56811F6E"/>
    <w:rsid w:val="56A12BB7"/>
    <w:rsid w:val="56CB4F43"/>
    <w:rsid w:val="56EE0C86"/>
    <w:rsid w:val="571132F2"/>
    <w:rsid w:val="57803FD4"/>
    <w:rsid w:val="57B258B6"/>
    <w:rsid w:val="59637709"/>
    <w:rsid w:val="598F04FE"/>
    <w:rsid w:val="599770CB"/>
    <w:rsid w:val="59E70AD8"/>
    <w:rsid w:val="59E9795E"/>
    <w:rsid w:val="5A8E52FA"/>
    <w:rsid w:val="5D213B63"/>
    <w:rsid w:val="5D551A5E"/>
    <w:rsid w:val="5D6129A4"/>
    <w:rsid w:val="5DF41A65"/>
    <w:rsid w:val="5ED574D6"/>
    <w:rsid w:val="5F5977CC"/>
    <w:rsid w:val="5F651D34"/>
    <w:rsid w:val="5FA8056B"/>
    <w:rsid w:val="60AA20C1"/>
    <w:rsid w:val="613E24C6"/>
    <w:rsid w:val="61A364CC"/>
    <w:rsid w:val="61A86601"/>
    <w:rsid w:val="61BE430C"/>
    <w:rsid w:val="62166A12"/>
    <w:rsid w:val="62A84540"/>
    <w:rsid w:val="63F806D0"/>
    <w:rsid w:val="64406FC4"/>
    <w:rsid w:val="64CB5AD2"/>
    <w:rsid w:val="659D21F5"/>
    <w:rsid w:val="66AB4A4D"/>
    <w:rsid w:val="66B07D06"/>
    <w:rsid w:val="66F83F18"/>
    <w:rsid w:val="672116AD"/>
    <w:rsid w:val="67276E7A"/>
    <w:rsid w:val="673B25A9"/>
    <w:rsid w:val="673F1423"/>
    <w:rsid w:val="677C6C43"/>
    <w:rsid w:val="67C24194"/>
    <w:rsid w:val="67D53EC8"/>
    <w:rsid w:val="680A5F81"/>
    <w:rsid w:val="69076303"/>
    <w:rsid w:val="69782D5D"/>
    <w:rsid w:val="699C03EE"/>
    <w:rsid w:val="69B43656"/>
    <w:rsid w:val="69BF22ED"/>
    <w:rsid w:val="6A5135AE"/>
    <w:rsid w:val="6A7B295E"/>
    <w:rsid w:val="6AC32A7F"/>
    <w:rsid w:val="6B712159"/>
    <w:rsid w:val="6B824366"/>
    <w:rsid w:val="6E775C2D"/>
    <w:rsid w:val="6EF2535F"/>
    <w:rsid w:val="6F082DD5"/>
    <w:rsid w:val="6FE72D00"/>
    <w:rsid w:val="6FF079AF"/>
    <w:rsid w:val="6FF70753"/>
    <w:rsid w:val="6FF92106"/>
    <w:rsid w:val="70C40F7D"/>
    <w:rsid w:val="70D32F6E"/>
    <w:rsid w:val="719D6DB9"/>
    <w:rsid w:val="72986FC4"/>
    <w:rsid w:val="72D60326"/>
    <w:rsid w:val="72FC49FE"/>
    <w:rsid w:val="73010267"/>
    <w:rsid w:val="7315161C"/>
    <w:rsid w:val="731638FB"/>
    <w:rsid w:val="735C36EF"/>
    <w:rsid w:val="737B753A"/>
    <w:rsid w:val="739B53E3"/>
    <w:rsid w:val="73DB1D9B"/>
    <w:rsid w:val="741B4223"/>
    <w:rsid w:val="742324DB"/>
    <w:rsid w:val="74425D12"/>
    <w:rsid w:val="75027189"/>
    <w:rsid w:val="750B7523"/>
    <w:rsid w:val="75217819"/>
    <w:rsid w:val="75287D2D"/>
    <w:rsid w:val="75587EE6"/>
    <w:rsid w:val="755F74C6"/>
    <w:rsid w:val="75824BD9"/>
    <w:rsid w:val="759A04FF"/>
    <w:rsid w:val="760836BA"/>
    <w:rsid w:val="76124DDB"/>
    <w:rsid w:val="767D7C04"/>
    <w:rsid w:val="77BC650A"/>
    <w:rsid w:val="77FA7033"/>
    <w:rsid w:val="78521B33"/>
    <w:rsid w:val="78826FCA"/>
    <w:rsid w:val="789221D8"/>
    <w:rsid w:val="789E60B6"/>
    <w:rsid w:val="78C47284"/>
    <w:rsid w:val="790B0D66"/>
    <w:rsid w:val="79222586"/>
    <w:rsid w:val="79EC26E7"/>
    <w:rsid w:val="7A3249E0"/>
    <w:rsid w:val="7AAD2A82"/>
    <w:rsid w:val="7B924A92"/>
    <w:rsid w:val="7BCB1412"/>
    <w:rsid w:val="7C413482"/>
    <w:rsid w:val="7C6B6751"/>
    <w:rsid w:val="7C962567"/>
    <w:rsid w:val="7CD35F04"/>
    <w:rsid w:val="7CFE75C5"/>
    <w:rsid w:val="7D2E685E"/>
    <w:rsid w:val="7D3B6FDC"/>
    <w:rsid w:val="7D626B6A"/>
    <w:rsid w:val="7D7A213C"/>
    <w:rsid w:val="7DD32800"/>
    <w:rsid w:val="7DE8671D"/>
    <w:rsid w:val="7E3A287F"/>
    <w:rsid w:val="7F587460"/>
    <w:rsid w:val="7F6D431C"/>
    <w:rsid w:val="7FAC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qFormat/>
    <w:uiPriority w:val="0"/>
    <w:pPr>
      <w:spacing w:after="0" w:line="600" w:lineRule="exact"/>
      <w:ind w:firstLine="880" w:firstLineChars="200"/>
    </w:pPr>
    <w:rPr>
      <w:rFonts w:ascii="Times New Roman" w:hAnsi="Times New Roman" w:eastAsia="方正仿宋_GBK" w:cs="Times New Roman"/>
      <w:sz w:val="32"/>
      <w:szCs w:val="3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7816</Words>
  <Characters>7874</Characters>
  <Lines>0</Lines>
  <Paragraphs>0</Paragraphs>
  <TotalTime>3</TotalTime>
  <ScaleCrop>false</ScaleCrop>
  <LinksUpToDate>false</LinksUpToDate>
  <CharactersWithSpaces>7888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2022-06-07T02:13:00Z</dcterms:created>
  <dc:creator>董小全</dc:creator>
  <cp:lastModifiedBy>没名字</cp:lastModifiedBy>
  <cp:lastPrinted>2022-06-29T02:45:00Z</cp:lastPrinted>
  <dcterms:modified xsi:type="dcterms:W3CDTF">2023-07-20T22:41:57Z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44378850572D4612B66583AB973948B8</vt:lpwstr>
  </property>
</Properties>
</file>