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宋体" w:hAnsi="宋体" w:eastAsia="华文中宋" w:cs="宋体"/>
          <w:b w:val="0"/>
          <w:bCs/>
          <w:smallCaps w:val="0"/>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宋体" w:hAnsi="宋体" w:eastAsia="华文中宋" w:cs="宋体"/>
          <w:b w:val="0"/>
          <w:bCs/>
          <w:smallCaps w:val="0"/>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华文中宋" w:cs="宋体"/>
          <w:b w:val="0"/>
          <w:bCs/>
          <w:smallCap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华文中宋" w:cs="宋体"/>
          <w:b w:val="0"/>
          <w:bCs/>
          <w:smallCap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华文中宋" w:cs="宋体"/>
          <w:b w:val="0"/>
          <w:bCs/>
          <w:smallCap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ascii="宋体" w:hAnsi="宋体" w:eastAsia="华文中宋" w:cs="宋体"/>
          <w:b w:val="0"/>
          <w:bCs/>
          <w:smallCaps w:val="0"/>
          <w:color w:val="000000" w:themeColor="text1"/>
          <w:sz w:val="44"/>
          <w:szCs w:val="44"/>
          <w14:textFill>
            <w14:solidFill>
              <w14:schemeClr w14:val="tx1"/>
            </w14:solidFill>
          </w14:textFill>
        </w:rPr>
      </w:pPr>
      <w:r>
        <w:rPr>
          <w:rFonts w:ascii="宋体" w:hAnsi="宋体"/>
          <w:b w:val="0"/>
          <w:bCs/>
          <w:smallCaps w:val="0"/>
          <w:color w:val="000000" w:themeColor="text1"/>
          <w:sz w:val="44"/>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column">
                  <wp:posOffset>-907415</wp:posOffset>
                </wp:positionH>
                <wp:positionV relativeFrom="paragraph">
                  <wp:posOffset>386715</wp:posOffset>
                </wp:positionV>
                <wp:extent cx="7571740" cy="427990"/>
                <wp:effectExtent l="0" t="0" r="0" b="0"/>
                <wp:wrapNone/>
                <wp:docPr id="1026" name="文本框 2"/>
                <wp:cNvGraphicFramePr/>
                <a:graphic xmlns:a="http://schemas.openxmlformats.org/drawingml/2006/main">
                  <a:graphicData uri="http://schemas.microsoft.com/office/word/2010/wordprocessingShape">
                    <wps:wsp>
                      <wps:cNvSpPr/>
                      <wps:spPr>
                        <a:xfrm>
                          <a:off x="0" y="0"/>
                          <a:ext cx="7571740" cy="427990"/>
                        </a:xfrm>
                        <a:prstGeom prst="rect">
                          <a:avLst/>
                        </a:prstGeom>
                        <a:ln>
                          <a:noFill/>
                        </a:ln>
                      </wps:spPr>
                      <wps:txbx>
                        <w:txbxContent>
                          <w:p>
                            <w:pPr>
                              <w:spacing w:line="580" w:lineRule="exact"/>
                              <w:ind w:left="-194" w:leftChars="-95" w:hanging="5"/>
                              <w:jc w:val="center"/>
                              <w:rPr>
                                <w:rFonts w:hint="eastAsia" w:ascii="宋体" w:hAnsi="宋体" w:eastAsia="仿宋_GB2312"/>
                                <w:sz w:val="32"/>
                                <w:szCs w:val="32"/>
                                <w:lang w:eastAsia="zh-CN"/>
                              </w:rPr>
                            </w:pPr>
                            <w:r>
                              <w:rPr>
                                <w:rFonts w:hint="eastAsia" w:ascii="宋体" w:hAnsi="宋体" w:eastAsia="仿宋_GB2312" w:cs="仿宋_GB2312"/>
                                <w:sz w:val="32"/>
                                <w:szCs w:val="32"/>
                              </w:rPr>
                              <w:t>济管环</w:t>
                            </w:r>
                            <w:r>
                              <w:rPr>
                                <w:rFonts w:hint="eastAsia" w:ascii="宋体" w:hAnsi="宋体" w:eastAsia="仿宋_GB2312"/>
                                <w:sz w:val="32"/>
                                <w:szCs w:val="32"/>
                              </w:rPr>
                              <w:t>〔</w:t>
                            </w:r>
                            <w:r>
                              <w:rPr>
                                <w:rFonts w:hint="eastAsia" w:ascii="宋体" w:hAnsi="宋体" w:eastAsia="宋体" w:cs="宋体"/>
                                <w:sz w:val="32"/>
                                <w:szCs w:val="32"/>
                              </w:rPr>
                              <w:t>202</w:t>
                            </w:r>
                            <w:r>
                              <w:rPr>
                                <w:rFonts w:hint="eastAsia" w:ascii="宋体" w:hAnsi="宋体" w:cs="宋体"/>
                                <w:sz w:val="32"/>
                                <w:szCs w:val="32"/>
                                <w:lang w:val="en-US" w:eastAsia="zh-CN"/>
                              </w:rPr>
                              <w:t>4</w:t>
                            </w:r>
                            <w:r>
                              <w:rPr>
                                <w:rFonts w:hint="eastAsia" w:ascii="宋体" w:hAnsi="宋体" w:eastAsia="仿宋_GB2312"/>
                                <w:sz w:val="32"/>
                                <w:szCs w:val="32"/>
                              </w:rPr>
                              <w:t>〕</w:t>
                            </w:r>
                            <w:r>
                              <w:rPr>
                                <w:rFonts w:hint="eastAsia" w:ascii="宋体" w:hAnsi="宋体" w:cs="宋体"/>
                                <w:sz w:val="32"/>
                                <w:szCs w:val="32"/>
                                <w:lang w:val="en-US" w:eastAsia="zh-CN"/>
                              </w:rPr>
                              <w:t>32</w:t>
                            </w:r>
                            <w:r>
                              <w:rPr>
                                <w:rFonts w:hint="eastAsia" w:ascii="宋体" w:hAnsi="宋体" w:eastAsia="仿宋_GB2312"/>
                                <w:sz w:val="32"/>
                                <w:szCs w:val="32"/>
                              </w:rPr>
                              <w:t xml:space="preserve">号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p>
                          <w:p/>
                        </w:txbxContent>
                      </wps:txbx>
                      <wps:bodyPr vert="horz" wrap="square" lIns="91440" tIns="45720" rIns="91440" bIns="45720" anchor="t">
                        <a:noAutofit/>
                      </wps:bodyPr>
                    </wps:wsp>
                  </a:graphicData>
                </a:graphic>
              </wp:anchor>
            </w:drawing>
          </mc:Choice>
          <mc:Fallback>
            <w:pict>
              <v:rect id="文本框 2" o:spid="_x0000_s1026" o:spt="1" style="position:absolute;left:0pt;margin-left:-71.45pt;margin-top:30.45pt;height:33.7pt;width:596.2pt;z-index:251660288;mso-width-relative:page;mso-height-relative:page;" filled="f" stroked="f" coordsize="21600,21600" o:gfxdata="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18fkDcAAAADAEAAA8A&#10;AAAAAAAAAQAgAAAAIgAAAGRycy9kb3ducmV2LnhtbFBLAQIUABQAAAAIAIdO4kDHlB8y2gEAAKMD&#10;AAAOAAAAAAAAAAEAIAAAACsBAABkcnMvZTJvRG9jLnhtbFBLBQYAAAAABgAGAFkBAAB3BQAAAAA=&#10;">
                <v:fill on="f" focussize="0,0"/>
                <v:stroke on="f"/>
                <v:imagedata o:title=""/>
                <o:lock v:ext="edit" aspectratio="f"/>
                <v:textbox>
                  <w:txbxContent>
                    <w:p>
                      <w:pPr>
                        <w:spacing w:line="580" w:lineRule="exact"/>
                        <w:ind w:left="-194" w:leftChars="-95" w:hanging="5"/>
                        <w:jc w:val="center"/>
                        <w:rPr>
                          <w:rFonts w:hint="eastAsia" w:ascii="宋体" w:hAnsi="宋体" w:eastAsia="仿宋_GB2312"/>
                          <w:sz w:val="32"/>
                          <w:szCs w:val="32"/>
                          <w:lang w:eastAsia="zh-CN"/>
                        </w:rPr>
                      </w:pPr>
                      <w:r>
                        <w:rPr>
                          <w:rFonts w:hint="eastAsia" w:ascii="宋体" w:hAnsi="宋体" w:eastAsia="仿宋_GB2312" w:cs="仿宋_GB2312"/>
                          <w:sz w:val="32"/>
                          <w:szCs w:val="32"/>
                        </w:rPr>
                        <w:t>济管环</w:t>
                      </w:r>
                      <w:r>
                        <w:rPr>
                          <w:rFonts w:hint="eastAsia" w:ascii="宋体" w:hAnsi="宋体" w:eastAsia="仿宋_GB2312"/>
                          <w:sz w:val="32"/>
                          <w:szCs w:val="32"/>
                        </w:rPr>
                        <w:t>〔</w:t>
                      </w:r>
                      <w:r>
                        <w:rPr>
                          <w:rFonts w:hint="eastAsia" w:ascii="宋体" w:hAnsi="宋体" w:eastAsia="宋体" w:cs="宋体"/>
                          <w:sz w:val="32"/>
                          <w:szCs w:val="32"/>
                        </w:rPr>
                        <w:t>202</w:t>
                      </w:r>
                      <w:r>
                        <w:rPr>
                          <w:rFonts w:hint="eastAsia" w:ascii="宋体" w:hAnsi="宋体" w:cs="宋体"/>
                          <w:sz w:val="32"/>
                          <w:szCs w:val="32"/>
                          <w:lang w:val="en-US" w:eastAsia="zh-CN"/>
                        </w:rPr>
                        <w:t>4</w:t>
                      </w:r>
                      <w:r>
                        <w:rPr>
                          <w:rFonts w:hint="eastAsia" w:ascii="宋体" w:hAnsi="宋体" w:eastAsia="仿宋_GB2312"/>
                          <w:sz w:val="32"/>
                          <w:szCs w:val="32"/>
                        </w:rPr>
                        <w:t>〕</w:t>
                      </w:r>
                      <w:r>
                        <w:rPr>
                          <w:rFonts w:hint="eastAsia" w:ascii="宋体" w:hAnsi="宋体" w:cs="宋体"/>
                          <w:sz w:val="32"/>
                          <w:szCs w:val="32"/>
                          <w:lang w:val="en-US" w:eastAsia="zh-CN"/>
                        </w:rPr>
                        <w:t>32</w:t>
                      </w:r>
                      <w:r>
                        <w:rPr>
                          <w:rFonts w:hint="eastAsia" w:ascii="宋体" w:hAnsi="宋体" w:eastAsia="仿宋_GB2312"/>
                          <w:sz w:val="32"/>
                          <w:szCs w:val="32"/>
                        </w:rPr>
                        <w:t xml:space="preserve">号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p>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80" w:lineRule="exact"/>
        <w:ind w:left="-194" w:leftChars="-95" w:hanging="5"/>
        <w:jc w:val="center"/>
        <w:textAlignment w:val="auto"/>
        <w:rPr>
          <w:rFonts w:ascii="宋体" w:hAnsi="宋体" w:eastAsia="楷体"/>
          <w:b w:val="0"/>
          <w:bCs/>
          <w:smallCaps w:val="0"/>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方正小标宋简体" w:cs="方正小标宋简体"/>
          <w:b w:val="0"/>
          <w:bCs/>
          <w:smallCap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smallCaps w:val="0"/>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smallCaps w:val="0"/>
          <w:color w:val="000000" w:themeColor="text1"/>
          <w:sz w:val="44"/>
          <w:szCs w:val="44"/>
          <w14:textFill>
            <w14:solidFill>
              <w14:schemeClr w14:val="tx1"/>
            </w14:solidFill>
          </w14:textFill>
        </w:rPr>
      </w:pPr>
      <w:r>
        <w:rPr>
          <w:rFonts w:hint="eastAsia" w:ascii="宋体" w:hAnsi="宋体" w:eastAsia="方正小标宋简体" w:cs="方正小标宋简体"/>
          <w:b w:val="0"/>
          <w:bCs/>
          <w:smallCaps w:val="0"/>
          <w:color w:val="000000" w:themeColor="text1"/>
          <w:sz w:val="44"/>
          <w:szCs w:val="44"/>
          <w14:textFill>
            <w14:solidFill>
              <w14:schemeClr w14:val="tx1"/>
            </w14:solidFill>
          </w14:textFill>
        </w:rPr>
        <w:t>济源</w:t>
      </w:r>
      <w:r>
        <w:rPr>
          <w:rFonts w:hint="eastAsia" w:ascii="宋体" w:hAnsi="宋体" w:eastAsia="方正小标宋简体" w:cs="方正小标宋简体"/>
          <w:b w:val="0"/>
          <w:bCs/>
          <w:smallCaps w:val="0"/>
          <w:color w:val="000000" w:themeColor="text1"/>
          <w:sz w:val="44"/>
          <w:szCs w:val="44"/>
          <w:lang w:val="en-US" w:eastAsia="zh-CN"/>
          <w14:textFill>
            <w14:solidFill>
              <w14:schemeClr w14:val="tx1"/>
            </w14:solidFill>
          </w14:textFill>
        </w:rPr>
        <w:t>产城融合</w:t>
      </w:r>
      <w:r>
        <w:rPr>
          <w:rFonts w:hint="eastAsia" w:ascii="宋体" w:hAnsi="宋体" w:eastAsia="方正小标宋简体" w:cs="方正小标宋简体"/>
          <w:b w:val="0"/>
          <w:bCs/>
          <w:smallCaps w:val="0"/>
          <w:color w:val="000000" w:themeColor="text1"/>
          <w:sz w:val="44"/>
          <w:szCs w:val="44"/>
          <w14:textFill>
            <w14:solidFill>
              <w14:schemeClr w14:val="tx1"/>
            </w14:solidFill>
          </w14:textFill>
        </w:rPr>
        <w:t>示范区生态环境局</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_GBK" w:cs="方正小标宋_GBK"/>
          <w:sz w:val="44"/>
          <w:szCs w:val="44"/>
          <w:lang w:val="en-US" w:eastAsia="zh-CN"/>
        </w:rPr>
      </w:pPr>
      <w:r>
        <w:rPr>
          <w:rFonts w:hint="eastAsia" w:ascii="宋体" w:hAnsi="宋体" w:eastAsia="方正小标宋_GBK" w:cs="方正小标宋_GBK"/>
          <w:sz w:val="44"/>
          <w:szCs w:val="44"/>
          <w:lang w:val="en-US" w:eastAsia="zh-CN"/>
        </w:rPr>
        <w:t>关于印发《济源示范区危险废物自行利用处置专项整治行动方案》的通知</w:t>
      </w:r>
    </w:p>
    <w:p>
      <w:pPr>
        <w:keepNext w:val="0"/>
        <w:keepLines w:val="0"/>
        <w:pageBreakBefore w:val="0"/>
        <w:widowControl w:val="0"/>
        <w:suppressLineNumbers w:val="0"/>
        <w:kinsoku/>
        <w:wordWrap/>
        <w:overflowPunct/>
        <w:topLinePunct w:val="0"/>
        <w:autoSpaceDE/>
        <w:autoSpaceDN/>
        <w:bidi w:val="0"/>
        <w:adjustRightInd/>
        <w:snapToGrid/>
        <w:spacing w:line="400" w:lineRule="exact"/>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局各科室、局属二级机构，各有关企业：</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为贯彻落实《中华人民共和国固体废物污染环境防治法》</w:t>
      </w:r>
      <w:r>
        <w:rPr>
          <w:rFonts w:hint="default" w:ascii="宋体" w:hAnsi="宋体" w:eastAsia="仿宋_GB2312" w:cs="仿宋_GB2312"/>
          <w:b w:val="0"/>
          <w:bCs/>
          <w:i w:val="0"/>
          <w:color w:val="000000"/>
          <w:kern w:val="0"/>
          <w:sz w:val="32"/>
          <w:szCs w:val="32"/>
          <w:u w:val="none"/>
          <w:vertAlign w:val="baseline"/>
          <w:lang w:val="en-US" w:eastAsia="zh-CN"/>
        </w:rPr>
        <w:t>,</w:t>
      </w:r>
      <w:r>
        <w:rPr>
          <w:rFonts w:hint="eastAsia" w:ascii="宋体" w:hAnsi="宋体" w:eastAsia="仿宋_GB2312" w:cs="仿宋_GB2312"/>
          <w:b w:val="0"/>
          <w:bCs/>
          <w:i w:val="0"/>
          <w:color w:val="000000"/>
          <w:kern w:val="0"/>
          <w:sz w:val="32"/>
          <w:szCs w:val="32"/>
          <w:u w:val="none"/>
          <w:vertAlign w:val="baseline"/>
          <w:lang w:val="en-US" w:eastAsia="zh-CN"/>
        </w:rPr>
        <w:t>按照《河南省强化危险废物监管和利用处置能力改革实施方案》《河南省生态环境厅办公室关于印发河南省危险废物自行利用处置专项整治行动方案的通知》（豫环办〔2024〕23号）等有关要求，进一步防范化解危险废物的环境风险，促进危险废物产生单位规范危险废物自行利用处置，切实保障生态环境安全，我局制定了《济源示范区危险废物自行利用处置专项整治行动方案》，现印发给你们，请认真组织落实。</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联 系 人：郭冰洁</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default"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联系电话：0391-6635228</w:t>
      </w:r>
    </w:p>
    <w:p>
      <w:pPr>
        <w:keepNext w:val="0"/>
        <w:keepLines w:val="0"/>
        <w:pageBreakBefore w:val="0"/>
        <w:widowControl w:val="0"/>
        <w:suppressLineNumbers w:val="0"/>
        <w:kinsoku/>
        <w:wordWrap/>
        <w:overflowPunct/>
        <w:topLinePunct w:val="0"/>
        <w:autoSpaceDE/>
        <w:autoSpaceDN/>
        <w:bidi w:val="0"/>
        <w:adjustRightInd/>
        <w:snapToGrid/>
        <w:spacing w:line="590" w:lineRule="exact"/>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5120" w:firstLineChars="16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2024年4月19日</w:t>
      </w:r>
    </w:p>
    <w:p>
      <w:pPr>
        <w:pStyle w:val="2"/>
        <w:keepNext w:val="0"/>
        <w:keepLines w:val="0"/>
        <w:pageBreakBefore w:val="0"/>
        <w:widowControl w:val="0"/>
        <w:kinsoku/>
        <w:wordWrap/>
        <w:overflowPunct/>
        <w:topLinePunct w:val="0"/>
        <w:autoSpaceDE/>
        <w:autoSpaceDN/>
        <w:bidi w:val="0"/>
        <w:ind w:firstLine="5744" w:firstLineChars="1795"/>
        <w:rPr>
          <w:rFonts w:hint="eastAsia" w:ascii="宋体" w:hAnsi="宋体"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ind w:firstLine="5744" w:firstLineChars="1795"/>
        <w:rPr>
          <w:rFonts w:hint="eastAsia" w:ascii="宋体" w:hAnsi="宋体" w:eastAsia="仿宋" w:cs="仿宋"/>
          <w:sz w:val="32"/>
          <w:szCs w:val="32"/>
          <w:lang w:val="en-US" w:eastAsia="zh-CN"/>
        </w:rPr>
      </w:pPr>
    </w:p>
    <w:p>
      <w:pPr>
        <w:keepNext w:val="0"/>
        <w:keepLines w:val="0"/>
        <w:pageBreakBefore w:val="0"/>
        <w:widowControl w:val="0"/>
        <w:kinsoku/>
        <w:wordWrap/>
        <w:overflowPunct/>
        <w:topLinePunct w:val="0"/>
        <w:autoSpaceDE/>
        <w:autoSpaceDN/>
        <w:bidi w:val="0"/>
        <w:rPr>
          <w:rFonts w:hint="eastAsia" w:ascii="宋体" w:hAnsi="宋体" w:eastAsia="方正小标宋_GBK" w:cs="方正小标宋_GBK"/>
          <w:sz w:val="44"/>
          <w:szCs w:val="44"/>
          <w:lang w:val="en-US" w:eastAsia="zh-CN"/>
        </w:rPr>
      </w:pPr>
      <w:r>
        <w:rPr>
          <w:rFonts w:hint="eastAsia" w:ascii="宋体" w:hAnsi="宋体" w:eastAsia="方正小标宋_GBK" w:cs="方正小标宋_GBK"/>
          <w:sz w:val="44"/>
          <w:szCs w:val="44"/>
          <w:lang w:val="en-US" w:eastAsia="zh-CN"/>
        </w:rPr>
        <w:br w:type="page"/>
      </w:r>
      <w:bookmarkStart w:id="0" w:name="_GoBack"/>
      <w:bookmarkEnd w:id="0"/>
    </w:p>
    <w:p>
      <w:pPr>
        <w:pStyle w:val="2"/>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baseline"/>
        <w:rPr>
          <w:rFonts w:hint="eastAsia" w:ascii="宋体" w:hAnsi="宋体" w:eastAsia="方正小标宋_GBK" w:cs="方正小标宋_GBK"/>
          <w:sz w:val="44"/>
          <w:szCs w:val="44"/>
          <w:lang w:val="en-US" w:eastAsia="zh-CN"/>
        </w:rPr>
      </w:pPr>
      <w:r>
        <w:rPr>
          <w:rFonts w:hint="eastAsia" w:ascii="宋体" w:hAnsi="宋体" w:eastAsia="方正小标宋_GBK" w:cs="方正小标宋_GBK"/>
          <w:sz w:val="44"/>
          <w:szCs w:val="44"/>
          <w:lang w:val="en-US" w:eastAsia="zh-CN"/>
        </w:rPr>
        <w:t>济源示范区危险废物自行利用处置</w:t>
      </w:r>
    </w:p>
    <w:p>
      <w:pPr>
        <w:pStyle w:val="2"/>
        <w:keepNext w:val="0"/>
        <w:keepLines w:val="0"/>
        <w:pageBreakBefore w:val="0"/>
        <w:widowControl w:val="0"/>
        <w:kinsoku/>
        <w:wordWrap/>
        <w:overflowPunct/>
        <w:topLinePunct w:val="0"/>
        <w:autoSpaceDE/>
        <w:autoSpaceDN/>
        <w:bidi w:val="0"/>
        <w:adjustRightInd/>
        <w:snapToGrid/>
        <w:spacing w:line="700" w:lineRule="exact"/>
        <w:ind w:left="0" w:leftChars="0" w:firstLine="0" w:firstLineChars="0"/>
        <w:jc w:val="center"/>
        <w:textAlignment w:val="baseline"/>
        <w:rPr>
          <w:rFonts w:hint="default" w:ascii="宋体" w:hAnsi="宋体" w:eastAsia="仿宋" w:cs="仿宋"/>
          <w:sz w:val="32"/>
          <w:szCs w:val="32"/>
          <w:lang w:val="en-US" w:eastAsia="zh-CN"/>
        </w:rPr>
      </w:pPr>
      <w:r>
        <w:rPr>
          <w:rFonts w:hint="eastAsia" w:ascii="宋体" w:hAnsi="宋体" w:eastAsia="方正小标宋_GBK" w:cs="方正小标宋_GBK"/>
          <w:sz w:val="44"/>
          <w:szCs w:val="44"/>
          <w:lang w:val="en-US" w:eastAsia="zh-CN"/>
        </w:rPr>
        <w:t>专项整治行动方案</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仿宋" w:cs="仿宋"/>
          <w:sz w:val="32"/>
          <w:szCs w:val="32"/>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为防止自行利用处置过程不规范造成的环境风险，纠正自行利用处置过程违法行为，强化自行利用处置主体环境风险意识，防范环境风险，结合示范区实际，制定本方案。</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黑体" w:cs="黑体"/>
          <w:b w:val="0"/>
          <w:bCs/>
          <w:i w:val="0"/>
          <w:color w:val="000000"/>
          <w:kern w:val="0"/>
          <w:sz w:val="32"/>
          <w:szCs w:val="32"/>
          <w:u w:val="none"/>
          <w:vertAlign w:val="baseline"/>
          <w:lang w:val="en-US" w:eastAsia="zh-CN"/>
        </w:rPr>
      </w:pPr>
      <w:r>
        <w:rPr>
          <w:rFonts w:hint="eastAsia" w:ascii="宋体" w:hAnsi="宋体" w:eastAsia="黑体" w:cs="黑体"/>
          <w:b w:val="0"/>
          <w:bCs/>
          <w:i w:val="0"/>
          <w:color w:val="000000"/>
          <w:kern w:val="0"/>
          <w:sz w:val="32"/>
          <w:szCs w:val="32"/>
          <w:u w:val="none"/>
          <w:vertAlign w:val="baseline"/>
          <w:lang w:val="en-US" w:eastAsia="zh-CN"/>
        </w:rPr>
        <w:t>一、总体要求</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以习近平新时代中国特色社会主义思想为指导，深入贯彻落实习近平生态文明思想和全省生态环境保护大会精神。以有效防范化解危险废物环境风险、保障生态安全为目标，通过危险废物自行利用处置专项排查整治，遏制危险废物违法利用处置行为，规范自行利用处置单位运行管理，推动一批自行利用处置工艺落后的单位进行提标改造，淘汰一批难以稳定运行、达标排放的自行利用处置设施，强化对危险废物产生单位（以下简称产废单位）的环境监管，全面提高规范化管理水平。做到底子掌握清、问题排查准、整改措施实、打击违法强、各方责任明，基本消除危险废物自行利用环境风险隐患。</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黑体" w:cs="黑体"/>
          <w:b w:val="0"/>
          <w:bCs/>
          <w:i w:val="0"/>
          <w:color w:val="000000"/>
          <w:kern w:val="0"/>
          <w:sz w:val="32"/>
          <w:szCs w:val="32"/>
          <w:u w:val="none"/>
          <w:vertAlign w:val="baseline"/>
          <w:lang w:val="en-US" w:eastAsia="zh-CN"/>
        </w:rPr>
      </w:pPr>
      <w:r>
        <w:rPr>
          <w:rFonts w:hint="eastAsia" w:ascii="宋体" w:hAnsi="宋体" w:eastAsia="黑体" w:cs="黑体"/>
          <w:b w:val="0"/>
          <w:bCs/>
          <w:i w:val="0"/>
          <w:color w:val="000000"/>
          <w:kern w:val="0"/>
          <w:sz w:val="32"/>
          <w:szCs w:val="32"/>
          <w:u w:val="none"/>
          <w:vertAlign w:val="baseline"/>
          <w:lang w:val="en-US" w:eastAsia="zh-CN"/>
        </w:rPr>
        <w:t>二、排查范围</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1.采取焚烧（包括熔融、热解、气化等高温热处理）、填埋以及物理化学方式自行处置危险废物的产废单位。</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2.化学原料和化学制品制造业，有色金属冶炼和压延加工业，黑色金属冶炼和压延加工业，石油、煤炭及其他燃料加工业，电力、热力生产和供应业，医药制造业，金属制品业等行业自行利用危险废物的产废单位，以及使用工业窑炉自行协同处理危险废物的产废单位。</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3.按《国家危险废物名录（2021年版）》附录《危险废物豁免管理清单》实行利用处置豁免管理的利用处置单位，包括实行危险废物"点对点"定向利用许可证豁免管理的利用单位。</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4.铅蓄电池收集试点和小微危险废物收集试点单位，以及其他自行利用危险废物的产废单位和持有危险废物经营许可证的经营单位纳入整治范围，以下统称目标单位。</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黑体" w:cs="黑体"/>
          <w:b w:val="0"/>
          <w:bCs/>
          <w:i w:val="0"/>
          <w:color w:val="000000"/>
          <w:kern w:val="0"/>
          <w:sz w:val="32"/>
          <w:szCs w:val="32"/>
          <w:u w:val="none"/>
          <w:vertAlign w:val="baseline"/>
          <w:lang w:val="en-US" w:eastAsia="zh-CN"/>
        </w:rPr>
      </w:pPr>
      <w:r>
        <w:rPr>
          <w:rFonts w:hint="eastAsia" w:ascii="宋体" w:hAnsi="宋体" w:eastAsia="黑体" w:cs="黑体"/>
          <w:b w:val="0"/>
          <w:bCs/>
          <w:i w:val="0"/>
          <w:color w:val="000000"/>
          <w:kern w:val="0"/>
          <w:sz w:val="32"/>
          <w:szCs w:val="32"/>
          <w:u w:val="none"/>
          <w:vertAlign w:val="baseline"/>
          <w:lang w:val="en-US" w:eastAsia="zh-CN"/>
        </w:rPr>
        <w:t>三、重点任务</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楷体_GB2312" w:cs="楷体_GB2312"/>
          <w:b w:val="0"/>
          <w:bCs/>
          <w:i w:val="0"/>
          <w:color w:val="000000"/>
          <w:kern w:val="0"/>
          <w:sz w:val="32"/>
          <w:szCs w:val="32"/>
          <w:u w:val="none"/>
          <w:vertAlign w:val="baseline"/>
          <w:lang w:val="en-US" w:eastAsia="zh-CN"/>
        </w:rPr>
      </w:pPr>
      <w:r>
        <w:rPr>
          <w:rFonts w:hint="eastAsia" w:ascii="宋体" w:hAnsi="宋体" w:eastAsia="楷体_GB2312" w:cs="楷体_GB2312"/>
          <w:b w:val="0"/>
          <w:bCs/>
          <w:i w:val="0"/>
          <w:color w:val="000000"/>
          <w:kern w:val="0"/>
          <w:sz w:val="32"/>
          <w:szCs w:val="32"/>
          <w:u w:val="none"/>
          <w:vertAlign w:val="baseline"/>
          <w:lang w:val="en-US" w:eastAsia="zh-CN"/>
        </w:rPr>
        <w:t>（一）建立专项整治单位清单</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在危险废物"四个清单"和全国固体废物信息系统信息基础上开展筛查，对辖区内所有目标单位进行全面摸排，掌握目标单位基本信息，形成排查整治单位名单，并通过全国固体废物管理信息系统（以下简称国家固废系统）中的危险废物规范化环境管理评估子系统（以下简称规范化评估子系统）进行核实和增补，建立示范区危险废物自行利用处置专项整治单位清单。</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楷体_GB2312" w:cs="楷体_GB2312"/>
          <w:b w:val="0"/>
          <w:bCs/>
          <w:i w:val="0"/>
          <w:color w:val="000000"/>
          <w:kern w:val="0"/>
          <w:sz w:val="32"/>
          <w:szCs w:val="32"/>
          <w:u w:val="none"/>
          <w:vertAlign w:val="baseline"/>
          <w:lang w:val="en-US" w:eastAsia="zh-CN"/>
        </w:rPr>
      </w:pPr>
      <w:r>
        <w:rPr>
          <w:rFonts w:hint="eastAsia" w:ascii="宋体" w:hAnsi="宋体" w:eastAsia="楷体_GB2312" w:cs="楷体_GB2312"/>
          <w:b w:val="0"/>
          <w:bCs/>
          <w:i w:val="0"/>
          <w:color w:val="000000"/>
          <w:kern w:val="0"/>
          <w:sz w:val="32"/>
          <w:szCs w:val="32"/>
          <w:u w:val="none"/>
          <w:vertAlign w:val="baseline"/>
          <w:lang w:val="en-US" w:eastAsia="zh-CN"/>
        </w:rPr>
        <w:t>（二）全面排查整治危险废物自行利用处置环境风险</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1.危险废物相关法律制度落实情况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根据危险废物相关环境保护法律法规，重点排查整治以下问题：①危险废物自行利用处置设施未依法开展环境影响评价的，或未完成建设项目竣工环境保护验收的。②危险废物自行利用处置设施未依法纳入排污许可证管理的，或纳入排污许可证管理但不满足排污许可证要求的。③危险废物自行利用处置工艺、利用处置危险废物种类及其运行过程污染防治等，与环境影响评价文件和排污许可证要求不一致的。④未通过国家固废系统如实申报2023年度危险废物的种类、产生量、流向、贮存、利用和处置等情况的，危险废物（包括自行利用处置过程新产生的危险废物）去向不明的。</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2.危险废物焚烧处置情况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根据《危险废物焚烧污染控制标准》(GB 18484)，重点排查整治以下问题：①危险废物焚烧处置设施未按照《危险废物（含医疗废物）焚烧处置设施性能测试技术规范》(HJ 561）进行技术性能测试的，运行过程中高温段温度、烟气停留时间、焚毁去除率、热灼减率等不符合技术性能指标要求的。②危险废物入炉前未根据危险废物焚烧处置设施技术性能要求对危险废物进行配伍，并未对热值、主要有害组分含量等进行检测分析的。③危险废物焚烧处置设施未配置烟气净化装置，或烟气净化装置不具备除尘、脱硫、脱硝、脱酸、去除二嚼英类及重金属类污染物功能的；未配置集成烟气在线自动监测、运行工况在线监测等功能的运行监控装置，或烟气在线自动监测未包括氯化氢、二氧化硫、氮氧化物、颗粒物、一氧化碳和烟气含氧量等1项或1项指标以上的；烟气在线自动监测数据的采集和传输不符合要求的；运行工况在线监测未包括炉膛内热电偶测量温度功能的。④危险废物焚烧处置设施2023年度因启停炉或故障及事故排放污染物的持续时间累计超过60小时的。⑤危险废物焚烧处置设施产生的废气监测因子、监测频次不符合标准要求的，排放不达标的。</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3.危险废物填埋处置情况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根据《危险废物填埋污染控制标准》(GB 18598)，重点排查整治以下问题：①危险废物填埋场防渗层、渗滤液收集和导排系统不符合标准要求的，未开展防渗层完整性检测的。②危险废物入场填埋前未根据标准要求进行预处理的，未检测确认各项指标满足入场标准的。③危险废物填埋场废水排放监测因子、监测频次不符合标准要求的，排放不达标的。④地下水监测井设置、监测因子、监测频次不符合标准要求的，监测结果不达标的。⑤未根据渗滤液情况以及地下水监测结果等，定期对填埋场环境安全性能进行评估，或评估频次不符合标准要求的。</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4.危险废物利用、工业窑炉协同处理和物理化学处置情况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根据危险废物利用、工业窑炉协同处理和物理化学处置相关污染防治标准规范，结合实际，重点排查整治以下问题：①危险废物利用、工业窑炉协同处理和物理化学处置设施产生的废气、废水的监测因子、监测频次不符合相关要求的，排放不达标的。②危险废物利用产物属性不明，且未按照《固体废物鉴别标准 通则》(GB 34330）进行固体废物鉴别的。③针对危险废物利用、工业窑炉协同处理和物理化学处置过程产生的固体废物，未进行危险特性鉴别的，或鉴别为危险废物但未按照危险废物管理的。</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5.同时对目标单位落实《危险废物贮存污染控制标准》(GB18597-2023)和《危险废物管理计划和管理台账制定技术导则》(HJ1259-2022）情况开展排查整治。</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楷体_GB2312" w:cs="楷体_GB2312"/>
          <w:b w:val="0"/>
          <w:bCs/>
          <w:i w:val="0"/>
          <w:color w:val="000000"/>
          <w:kern w:val="0"/>
          <w:sz w:val="32"/>
          <w:szCs w:val="32"/>
          <w:u w:val="none"/>
          <w:vertAlign w:val="baseline"/>
          <w:lang w:val="en-US" w:eastAsia="zh-CN"/>
        </w:rPr>
        <w:t>（三）统筹开展规范化评估。</w:t>
      </w:r>
      <w:r>
        <w:rPr>
          <w:rFonts w:hint="eastAsia" w:ascii="宋体" w:hAnsi="宋体" w:eastAsia="仿宋_GB2312" w:cs="仿宋_GB2312"/>
          <w:b w:val="0"/>
          <w:bCs/>
          <w:i w:val="0"/>
          <w:color w:val="000000"/>
          <w:kern w:val="0"/>
          <w:sz w:val="32"/>
          <w:szCs w:val="32"/>
          <w:u w:val="none"/>
          <w:vertAlign w:val="baseline"/>
          <w:lang w:val="en-US" w:eastAsia="zh-CN"/>
        </w:rPr>
        <w:t>将纳入专项整治范围的目标单位作为2024年规范化评估重点，通过规范化评估子系统及“危险废物自行利用处置专项整治APP</w:t>
      </w:r>
      <w:r>
        <w:rPr>
          <w:rFonts w:hint="eastAsia" w:ascii="宋体" w:hAnsi="宋体" w:eastAsia="仿宋_GB2312" w:cs="仿宋_GB2312"/>
          <w:b w:val="0"/>
          <w:bCs/>
          <w:i w:val="0"/>
          <w:color w:val="000000"/>
          <w:kern w:val="0"/>
          <w:sz w:val="32"/>
          <w:szCs w:val="32"/>
          <w:u w:val="none"/>
          <w:vertAlign w:val="baseline"/>
          <w:lang w:val="en-US" w:eastAsia="zh-CN"/>
        </w:rPr>
        <w:t>”</w:t>
      </w:r>
      <w:r>
        <w:rPr>
          <w:rFonts w:hint="eastAsia" w:ascii="宋体" w:hAnsi="宋体" w:eastAsia="仿宋_GB2312" w:cs="仿宋_GB2312"/>
          <w:b w:val="0"/>
          <w:bCs/>
          <w:i w:val="0"/>
          <w:color w:val="000000"/>
          <w:kern w:val="0"/>
          <w:sz w:val="32"/>
          <w:szCs w:val="32"/>
          <w:u w:val="none"/>
          <w:vertAlign w:val="baseline"/>
          <w:lang w:val="en-US" w:eastAsia="zh-CN"/>
        </w:rPr>
        <w:t>（以下简称“专项整治APP</w:t>
      </w:r>
      <w:r>
        <w:rPr>
          <w:rFonts w:hint="eastAsia" w:ascii="宋体" w:hAnsi="宋体" w:eastAsia="仿宋_GB2312" w:cs="仿宋_GB2312"/>
          <w:b w:val="0"/>
          <w:bCs/>
          <w:i w:val="0"/>
          <w:color w:val="000000"/>
          <w:kern w:val="0"/>
          <w:sz w:val="32"/>
          <w:szCs w:val="32"/>
          <w:u w:val="none"/>
          <w:vertAlign w:val="baseline"/>
          <w:lang w:val="en-US" w:eastAsia="zh-CN"/>
        </w:rPr>
        <w:t>”</w:t>
      </w:r>
      <w:r>
        <w:rPr>
          <w:rFonts w:hint="eastAsia" w:ascii="宋体" w:hAnsi="宋体" w:eastAsia="仿宋_GB2312" w:cs="仿宋_GB2312"/>
          <w:b w:val="0"/>
          <w:bCs/>
          <w:i w:val="0"/>
          <w:color w:val="000000"/>
          <w:kern w:val="0"/>
          <w:sz w:val="32"/>
          <w:szCs w:val="32"/>
          <w:u w:val="none"/>
          <w:vertAlign w:val="baseline"/>
          <w:lang w:val="en-US" w:eastAsia="zh-CN"/>
        </w:rPr>
        <w:t>）同步开展专项整治和规范化评估工作，并记录排查整治情况，形成问题清单和整改台账。</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针对专项整治和规范化评估发现的问题，要指导督促相关单位及时整改，有效防范环境风险；对于短期难以完成整改的，要督促责任单位按照“一企一策</w:t>
      </w:r>
      <w:r>
        <w:rPr>
          <w:rFonts w:hint="eastAsia" w:ascii="宋体" w:hAnsi="宋体" w:eastAsia="仿宋_GB2312" w:cs="仿宋_GB2312"/>
          <w:b w:val="0"/>
          <w:bCs/>
          <w:i w:val="0"/>
          <w:color w:val="000000"/>
          <w:kern w:val="0"/>
          <w:sz w:val="32"/>
          <w:szCs w:val="32"/>
          <w:u w:val="none"/>
          <w:vertAlign w:val="baseline"/>
          <w:lang w:val="en-US" w:eastAsia="zh-CN"/>
        </w:rPr>
        <w:t>”</w:t>
      </w:r>
      <w:r>
        <w:rPr>
          <w:rFonts w:hint="eastAsia" w:ascii="宋体" w:hAnsi="宋体" w:eastAsia="仿宋_GB2312" w:cs="仿宋_GB2312"/>
          <w:b w:val="0"/>
          <w:bCs/>
          <w:i w:val="0"/>
          <w:color w:val="000000"/>
          <w:kern w:val="0"/>
          <w:sz w:val="32"/>
          <w:szCs w:val="32"/>
          <w:u w:val="none"/>
          <w:vertAlign w:val="baseline"/>
          <w:lang w:val="en-US" w:eastAsia="zh-CN"/>
        </w:rPr>
        <w:t>要求制定整改方案，明确整改时限，按照时序推进，确保完成整改；对逾期不整改或者经整改仍不符合原发证条件的危险废物经营单位，我局将依法暂扣危险废物经营许可证并上报省生态环境厅；对整改过程中发现的其他违法行为，依法依规进行查处。</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黑体" w:cs="黑体"/>
          <w:b w:val="0"/>
          <w:bCs/>
          <w:i w:val="0"/>
          <w:color w:val="000000"/>
          <w:kern w:val="0"/>
          <w:sz w:val="32"/>
          <w:szCs w:val="32"/>
          <w:u w:val="none"/>
          <w:vertAlign w:val="baseline"/>
          <w:lang w:val="en-US" w:eastAsia="zh-CN"/>
        </w:rPr>
      </w:pPr>
      <w:r>
        <w:rPr>
          <w:rFonts w:hint="eastAsia" w:ascii="宋体" w:hAnsi="宋体" w:eastAsia="黑体" w:cs="黑体"/>
          <w:b w:val="0"/>
          <w:bCs/>
          <w:i w:val="0"/>
          <w:color w:val="000000"/>
          <w:kern w:val="0"/>
          <w:sz w:val="32"/>
          <w:szCs w:val="32"/>
          <w:u w:val="none"/>
          <w:vertAlign w:val="baseline"/>
          <w:lang w:val="en-US" w:eastAsia="zh-CN"/>
        </w:rPr>
        <w:t>四、时间安排</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此次专项行动从2024年4月开始到2024年11月结束，具体划分为3个大阶段。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楷体_GB2312" w:cs="楷体_GB2312"/>
          <w:b w:val="0"/>
          <w:bCs/>
          <w:i w:val="0"/>
          <w:color w:val="000000"/>
          <w:kern w:val="0"/>
          <w:sz w:val="32"/>
          <w:szCs w:val="32"/>
          <w:u w:val="none"/>
          <w:vertAlign w:val="baseline"/>
          <w:lang w:val="en-US" w:eastAsia="zh-CN"/>
        </w:rPr>
        <w:t>（一）安排部署（2024年4月12日至4月19日）。</w:t>
      </w:r>
      <w:r>
        <w:rPr>
          <w:rFonts w:hint="eastAsia" w:ascii="宋体" w:hAnsi="宋体" w:eastAsia="仿宋_GB2312" w:cs="仿宋_GB2312"/>
          <w:b w:val="0"/>
          <w:bCs/>
          <w:i w:val="0"/>
          <w:color w:val="000000"/>
          <w:kern w:val="0"/>
          <w:sz w:val="32"/>
          <w:szCs w:val="32"/>
          <w:u w:val="none"/>
          <w:vertAlign w:val="baseline"/>
          <w:lang w:val="en-US" w:eastAsia="zh-CN"/>
        </w:rPr>
        <w:t>制定专项整治方案，进一步明确目标任务，细化工作措施和工作要求，对专项整治工作全面动员部署，压实工作责任到人，分配排查整治APP账号，并按要求组织人员参加专项整治相关培训。</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楷体_GB2312" w:cs="楷体_GB2312"/>
          <w:b w:val="0"/>
          <w:bCs/>
          <w:i w:val="0"/>
          <w:color w:val="000000"/>
          <w:kern w:val="0"/>
          <w:sz w:val="32"/>
          <w:szCs w:val="32"/>
          <w:u w:val="none"/>
          <w:vertAlign w:val="baseline"/>
          <w:lang w:val="en-US" w:eastAsia="zh-CN"/>
        </w:rPr>
        <w:t>（二）排查整治（2024 年4月20日至9月30日）。</w:t>
      </w:r>
      <w:r>
        <w:rPr>
          <w:rFonts w:hint="eastAsia" w:ascii="宋体" w:hAnsi="宋体" w:eastAsia="仿宋_GB2312" w:cs="仿宋_GB2312"/>
          <w:b w:val="0"/>
          <w:bCs/>
          <w:i w:val="0"/>
          <w:color w:val="000000"/>
          <w:kern w:val="0"/>
          <w:sz w:val="32"/>
          <w:szCs w:val="32"/>
          <w:u w:val="none"/>
          <w:vertAlign w:val="baseline"/>
          <w:lang w:val="en-US" w:eastAsia="zh-CN"/>
        </w:rPr>
        <w:t>按照排查整治范围和关注重点开展排查，对发现的问题，能立行立改的，要及时整改。短期内不能整改完毕的，要制定整改方案，按照时间节点实施整改，完成一项，销号一项，具体分为以下几个阶段。</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1.自查自纠（2024年4月）。各目标单位开展自查自纠，落实产废单位主体责任，提高产废单位规范化管理水平。</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 xml:space="preserve">2.市级排查（2024年5月至6月）。我局对排查范围内全部目标单位进行现场检查，在专项整治APP内全面复核。 </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3.问题整改（2024 年 6 月至 10月）。针对排查发现的问题，逐一列出问题清单，指导督促相关单位进行整改，完成一项，销号一项。</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楷体_GB2312" w:cs="楷体_GB2312"/>
          <w:b w:val="0"/>
          <w:bCs/>
          <w:i w:val="0"/>
          <w:color w:val="000000"/>
          <w:kern w:val="0"/>
          <w:sz w:val="32"/>
          <w:szCs w:val="32"/>
          <w:u w:val="none"/>
          <w:vertAlign w:val="baseline"/>
          <w:lang w:val="en-US" w:eastAsia="zh-CN"/>
        </w:rPr>
        <w:t>（三）攻坚总结（2024年10月至11月）。</w:t>
      </w:r>
      <w:r>
        <w:rPr>
          <w:rFonts w:hint="eastAsia" w:ascii="宋体" w:hAnsi="宋体" w:eastAsia="仿宋_GB2312" w:cs="仿宋_GB2312"/>
          <w:b w:val="0"/>
          <w:bCs/>
          <w:i w:val="0"/>
          <w:color w:val="000000"/>
          <w:kern w:val="0"/>
          <w:sz w:val="32"/>
          <w:szCs w:val="32"/>
          <w:u w:val="none"/>
          <w:vertAlign w:val="baseline"/>
          <w:lang w:val="en-US" w:eastAsia="zh-CN"/>
        </w:rPr>
        <w:t>针对排查整治阶段发现的难点问题和困难，通过现场推进会、专项攻坚等措施，强力推进问题整改。认真归纳分析具有代表性的共性问题并总结经验做法，按时向省厅报送专项整治工作总结。</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黑体" w:cs="黑体"/>
          <w:b w:val="0"/>
          <w:bCs/>
          <w:i w:val="0"/>
          <w:color w:val="000000"/>
          <w:kern w:val="0"/>
          <w:sz w:val="32"/>
          <w:szCs w:val="32"/>
          <w:u w:val="none"/>
          <w:vertAlign w:val="baseline"/>
          <w:lang w:val="en-US" w:eastAsia="zh-CN"/>
        </w:rPr>
      </w:pPr>
      <w:r>
        <w:rPr>
          <w:rFonts w:hint="eastAsia" w:ascii="宋体" w:hAnsi="宋体" w:eastAsia="黑体" w:cs="黑体"/>
          <w:b w:val="0"/>
          <w:bCs/>
          <w:i w:val="0"/>
          <w:color w:val="000000"/>
          <w:kern w:val="0"/>
          <w:sz w:val="32"/>
          <w:szCs w:val="32"/>
          <w:u w:val="none"/>
          <w:vertAlign w:val="baseline"/>
          <w:lang w:val="en-US" w:eastAsia="zh-CN"/>
        </w:rPr>
        <w:t>五、有关要求</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楷体_GB2312" w:cs="楷体_GB2312"/>
          <w:b w:val="0"/>
          <w:bCs/>
          <w:i w:val="0"/>
          <w:color w:val="000000"/>
          <w:kern w:val="0"/>
          <w:sz w:val="32"/>
          <w:szCs w:val="32"/>
          <w:u w:val="none"/>
          <w:vertAlign w:val="baseline"/>
          <w:lang w:val="en-US" w:eastAsia="zh-CN"/>
        </w:rPr>
        <w:t>（一）强化组织领导。</w:t>
      </w:r>
      <w:r>
        <w:rPr>
          <w:rFonts w:hint="eastAsia" w:ascii="宋体" w:hAnsi="宋体" w:eastAsia="仿宋_GB2312" w:cs="仿宋_GB2312"/>
          <w:b w:val="0"/>
          <w:bCs/>
          <w:i w:val="0"/>
          <w:color w:val="000000"/>
          <w:kern w:val="0"/>
          <w:sz w:val="32"/>
          <w:szCs w:val="32"/>
          <w:u w:val="none"/>
          <w:vertAlign w:val="baseline"/>
          <w:lang w:val="en-US" w:eastAsia="zh-CN"/>
        </w:rPr>
        <w:t>深刻认识危险废物自行利用处置专项整治重要性，加强组织领导，成立工作专班，明确责任，细化分工，全力推动排查整治工作扎实深入有效开展，及时研究解决专项整治过程中发现的难点问题，确保各项任务落实到位。</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楷体_GB2312" w:cs="楷体_GB2312"/>
          <w:b w:val="0"/>
          <w:bCs/>
          <w:i w:val="0"/>
          <w:color w:val="000000"/>
          <w:kern w:val="0"/>
          <w:sz w:val="32"/>
          <w:szCs w:val="32"/>
          <w:u w:val="none"/>
          <w:vertAlign w:val="baseline"/>
          <w:lang w:val="en-US" w:eastAsia="zh-CN"/>
        </w:rPr>
        <w:t>（二）严格落实责任。</w:t>
      </w:r>
      <w:r>
        <w:rPr>
          <w:rFonts w:hint="eastAsia" w:ascii="宋体" w:hAnsi="宋体" w:eastAsia="仿宋_GB2312" w:cs="仿宋_GB2312"/>
          <w:b w:val="0"/>
          <w:bCs/>
          <w:i w:val="0"/>
          <w:color w:val="000000"/>
          <w:kern w:val="0"/>
          <w:sz w:val="32"/>
          <w:szCs w:val="32"/>
          <w:u w:val="none"/>
          <w:vertAlign w:val="baseline"/>
          <w:lang w:val="en-US" w:eastAsia="zh-CN"/>
        </w:rPr>
        <w:t>通过组织目标单位自查和督导检查，进一步压实目标单位主体责任，完善各项制度和措施，确保危险废物依法依规安全利用处置。</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楷体_GB2312" w:cs="楷体_GB2312"/>
          <w:b w:val="0"/>
          <w:bCs/>
          <w:i w:val="0"/>
          <w:color w:val="000000"/>
          <w:kern w:val="0"/>
          <w:sz w:val="32"/>
          <w:szCs w:val="32"/>
          <w:u w:val="none"/>
          <w:vertAlign w:val="baseline"/>
          <w:lang w:val="en-US" w:eastAsia="zh-CN"/>
        </w:rPr>
        <w:t>（三）加强协同执法。</w:t>
      </w:r>
      <w:r>
        <w:rPr>
          <w:rFonts w:hint="eastAsia" w:ascii="宋体" w:hAnsi="宋体" w:eastAsia="仿宋_GB2312" w:cs="仿宋_GB2312"/>
          <w:b w:val="0"/>
          <w:bCs/>
          <w:i w:val="0"/>
          <w:color w:val="000000"/>
          <w:kern w:val="0"/>
          <w:sz w:val="32"/>
          <w:szCs w:val="32"/>
          <w:u w:val="none"/>
          <w:vertAlign w:val="baseline"/>
          <w:lang w:val="en-US" w:eastAsia="zh-CN"/>
        </w:rPr>
        <w:t>对专项整治过程中发现的涉嫌安全生产、消防问题线索及时移交应急管理等部门；对涉嫌环境违法犯罪线索，加强与公安机关的衔接配合，及时立案调查。</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附件：1.济源示范区危险废物自行利用处置专项整治目标单</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1820" w:firstLineChars="569"/>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位清单</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1500" w:firstLineChars="469"/>
        <w:jc w:val="both"/>
        <w:textAlignment w:val="center"/>
        <w:rPr>
          <w:rFonts w:hint="default" w:ascii="宋体" w:hAnsi="宋体" w:eastAsia="仿宋_GB2312" w:cs="仿宋_GB2312"/>
          <w:b w:val="0"/>
          <w:bCs/>
          <w:i w:val="0"/>
          <w:color w:val="000000"/>
          <w:spacing w:val="-1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2.</w:t>
      </w:r>
      <w:r>
        <w:rPr>
          <w:rFonts w:hint="eastAsia" w:ascii="宋体" w:hAnsi="宋体" w:eastAsia="仿宋_GB2312" w:cs="仿宋_GB2312"/>
          <w:b w:val="0"/>
          <w:bCs/>
          <w:i w:val="0"/>
          <w:color w:val="000000"/>
          <w:spacing w:val="-10"/>
          <w:kern w:val="0"/>
          <w:sz w:val="32"/>
          <w:szCs w:val="32"/>
          <w:u w:val="none"/>
          <w:vertAlign w:val="baseline"/>
          <w:lang w:val="en-US" w:eastAsia="zh-CN"/>
        </w:rPr>
        <w:t>济源示范区危险废物自行利用处置专项整治问题台账</w:t>
      </w: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line="590" w:lineRule="exact"/>
        <w:ind w:firstLine="640" w:firstLineChars="200"/>
        <w:jc w:val="both"/>
        <w:textAlignment w:val="center"/>
        <w:rPr>
          <w:rFonts w:hint="eastAsia" w:ascii="宋体" w:hAnsi="宋体" w:eastAsia="仿宋_GB2312" w:cs="仿宋_GB2312"/>
          <w:b w:val="0"/>
          <w:bCs/>
          <w:i w:val="0"/>
          <w:color w:val="000000"/>
          <w:kern w:val="0"/>
          <w:sz w:val="32"/>
          <w:szCs w:val="32"/>
          <w:u w:val="none"/>
          <w:vertAlign w:val="baseline"/>
          <w:lang w:val="en-US" w:eastAsia="zh-CN"/>
        </w:rPr>
      </w:pPr>
      <w:r>
        <w:rPr>
          <w:rFonts w:hint="eastAsia" w:ascii="宋体" w:hAnsi="宋体" w:eastAsia="仿宋_GB2312" w:cs="仿宋_GB2312"/>
          <w:b w:val="0"/>
          <w:bCs/>
          <w:i w:val="0"/>
          <w:color w:val="000000"/>
          <w:kern w:val="0"/>
          <w:sz w:val="32"/>
          <w:szCs w:val="32"/>
          <w:u w:val="none"/>
          <w:vertAlign w:val="baseline"/>
          <w:lang w:val="en-US" w:eastAsia="zh-CN"/>
        </w:rPr>
        <w:t xml:space="preserve">                            2024年4月19日</w:t>
      </w:r>
    </w:p>
    <w:p>
      <w:pPr>
        <w:pStyle w:val="2"/>
        <w:keepNext w:val="0"/>
        <w:keepLines w:val="0"/>
        <w:pageBreakBefore w:val="0"/>
        <w:widowControl w:val="0"/>
        <w:kinsoku/>
        <w:wordWrap/>
        <w:overflowPunct/>
        <w:topLinePunct w:val="0"/>
        <w:autoSpaceDE/>
        <w:autoSpaceDN/>
        <w:bidi w:val="0"/>
        <w:rPr>
          <w:rFonts w:hint="eastAsia" w:ascii="宋体" w:hAnsi="宋体"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rPr>
          <w:rFonts w:hint="eastAsia" w:ascii="宋体" w:hAnsi="宋体"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rPr>
          <w:rFonts w:hint="eastAsia" w:ascii="宋体" w:hAnsi="宋体"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rPr>
          <w:rFonts w:hint="eastAsia" w:ascii="宋体" w:hAnsi="宋体"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rPr>
          <w:rFonts w:hint="eastAsia" w:ascii="宋体" w:hAnsi="宋体"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rPr>
          <w:rFonts w:hint="eastAsia" w:ascii="宋体" w:hAnsi="宋体"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rPr>
          <w:rFonts w:hint="eastAsia" w:ascii="宋体" w:hAnsi="宋体" w:eastAsia="仿宋" w:cs="仿宋"/>
          <w:sz w:val="32"/>
          <w:szCs w:val="32"/>
          <w:lang w:val="en-US" w:eastAsia="zh-CN"/>
        </w:rPr>
      </w:pPr>
    </w:p>
    <w:p>
      <w:pPr>
        <w:pStyle w:val="2"/>
        <w:keepNext w:val="0"/>
        <w:keepLines w:val="0"/>
        <w:pageBreakBefore w:val="0"/>
        <w:widowControl w:val="0"/>
        <w:kinsoku/>
        <w:wordWrap/>
        <w:overflowPunct/>
        <w:topLinePunct w:val="0"/>
        <w:autoSpaceDE/>
        <w:autoSpaceDN/>
        <w:bidi w:val="0"/>
        <w:rPr>
          <w:rFonts w:hint="eastAsia" w:ascii="宋体" w:hAnsi="宋体" w:eastAsia="仿宋" w:cs="仿宋"/>
          <w:sz w:val="32"/>
          <w:szCs w:val="32"/>
          <w:lang w:val="en-US" w:eastAsia="zh-CN"/>
        </w:rPr>
      </w:pPr>
    </w:p>
    <w:p>
      <w:pPr>
        <w:rPr>
          <w:rFonts w:hint="eastAsia" w:ascii="宋体" w:hAnsi="宋体" w:eastAsia="仿宋" w:cs="仿宋"/>
          <w:color w:val="000000"/>
          <w:kern w:val="2"/>
          <w:sz w:val="32"/>
          <w:szCs w:val="32"/>
          <w:lang w:val="en-US" w:eastAsia="zh-CN" w:bidi="ar-SA"/>
        </w:rPr>
      </w:pPr>
      <w:r>
        <w:rPr>
          <w:rFonts w:hint="eastAsia" w:ascii="宋体" w:hAnsi="宋体" w:eastAsia="仿宋" w:cs="仿宋"/>
          <w:color w:val="000000"/>
          <w:kern w:val="2"/>
          <w:sz w:val="32"/>
          <w:szCs w:val="32"/>
          <w:lang w:val="en-US" w:eastAsia="zh-CN" w:bidi="ar-SA"/>
        </w:rPr>
        <w:br w:type="page"/>
      </w:r>
    </w:p>
    <w:p>
      <w:pPr>
        <w:pStyle w:val="2"/>
        <w:keepNext w:val="0"/>
        <w:keepLines w:val="0"/>
        <w:pageBreakBefore w:val="0"/>
        <w:widowControl w:val="0"/>
        <w:kinsoku/>
        <w:wordWrap/>
        <w:overflowPunct/>
        <w:topLinePunct w:val="0"/>
        <w:autoSpaceDE/>
        <w:autoSpaceDN/>
        <w:bidi w:val="0"/>
        <w:ind w:left="0" w:leftChars="0" w:firstLine="0" w:firstLineChars="0"/>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附件1</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baseline"/>
        <w:rPr>
          <w:rFonts w:hint="eastAsia" w:ascii="宋体" w:hAnsi="宋体" w:eastAsia="方正小标宋_GBK" w:cs="方正小标宋_GBK"/>
          <w:sz w:val="44"/>
          <w:szCs w:val="44"/>
          <w:lang w:val="en-US" w:eastAsia="zh-CN"/>
        </w:rPr>
      </w:pPr>
      <w:r>
        <w:rPr>
          <w:rFonts w:hint="eastAsia" w:ascii="宋体" w:hAnsi="宋体" w:eastAsia="方正小标宋_GBK" w:cs="方正小标宋_GBK"/>
          <w:sz w:val="44"/>
          <w:szCs w:val="44"/>
          <w:lang w:val="en-US" w:eastAsia="zh-CN"/>
        </w:rPr>
        <w:t>济源示范区危险废物自行利用处置</w:t>
      </w:r>
    </w:p>
    <w:p>
      <w:pPr>
        <w:pStyle w:val="2"/>
        <w:keepNext w:val="0"/>
        <w:keepLines w:val="0"/>
        <w:pageBreakBefore w:val="0"/>
        <w:widowControl w:val="0"/>
        <w:kinsoku/>
        <w:wordWrap/>
        <w:overflowPunct/>
        <w:topLinePunct w:val="0"/>
        <w:autoSpaceDE/>
        <w:autoSpaceDN/>
        <w:bidi w:val="0"/>
        <w:ind w:left="0" w:leftChars="0" w:firstLine="0" w:firstLineChars="0"/>
        <w:jc w:val="center"/>
        <w:rPr>
          <w:rFonts w:hint="eastAsia" w:ascii="宋体" w:hAnsi="宋体" w:eastAsia="方正小标宋_GBK" w:cs="方正小标宋_GBK"/>
          <w:sz w:val="44"/>
          <w:szCs w:val="44"/>
          <w:lang w:val="en-US" w:eastAsia="zh-CN"/>
        </w:rPr>
      </w:pPr>
      <w:r>
        <w:rPr>
          <w:rFonts w:hint="eastAsia" w:ascii="宋体" w:hAnsi="宋体" w:eastAsia="方正小标宋_GBK" w:cs="方正小标宋_GBK"/>
          <w:sz w:val="44"/>
          <w:szCs w:val="44"/>
          <w:lang w:val="en-US" w:eastAsia="zh-CN"/>
        </w:rPr>
        <w:t>专项整治目标单位清单</w:t>
      </w:r>
    </w:p>
    <w:tbl>
      <w:tblPr>
        <w:tblStyle w:val="20"/>
        <w:tblW w:w="8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880"/>
        <w:gridCol w:w="2355"/>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黑体" w:cs="黑体"/>
                <w:sz w:val="21"/>
                <w:szCs w:val="21"/>
                <w:vertAlign w:val="baseline"/>
                <w:lang w:val="en-US" w:eastAsia="zh-CN"/>
              </w:rPr>
            </w:pPr>
            <w:r>
              <w:rPr>
                <w:rFonts w:hint="eastAsia" w:ascii="宋体" w:hAnsi="宋体" w:eastAsia="黑体" w:cs="黑体"/>
                <w:sz w:val="21"/>
                <w:szCs w:val="21"/>
                <w:vertAlign w:val="baseline"/>
                <w:lang w:val="en-US" w:eastAsia="zh-CN"/>
              </w:rPr>
              <w:t>序号</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黑体" w:cs="黑体"/>
                <w:sz w:val="21"/>
                <w:szCs w:val="21"/>
                <w:vertAlign w:val="baseline"/>
                <w:lang w:val="en-US" w:eastAsia="zh-CN"/>
              </w:rPr>
            </w:pPr>
            <w:r>
              <w:rPr>
                <w:rFonts w:hint="eastAsia" w:ascii="宋体" w:hAnsi="宋体" w:eastAsia="黑体" w:cs="黑体"/>
                <w:sz w:val="21"/>
                <w:szCs w:val="21"/>
                <w:vertAlign w:val="baseline"/>
                <w:lang w:val="en-US" w:eastAsia="zh-CN"/>
              </w:rPr>
              <w:t>企业名称</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黑体" w:cs="黑体"/>
                <w:sz w:val="21"/>
                <w:szCs w:val="21"/>
                <w:vertAlign w:val="baseline"/>
                <w:lang w:val="en-US" w:eastAsia="zh-CN"/>
              </w:rPr>
            </w:pPr>
            <w:r>
              <w:rPr>
                <w:rFonts w:hint="eastAsia" w:ascii="宋体" w:hAnsi="宋体" w:eastAsia="黑体" w:cs="黑体"/>
                <w:sz w:val="21"/>
                <w:szCs w:val="21"/>
                <w:vertAlign w:val="baseline"/>
                <w:lang w:val="en-US" w:eastAsia="zh-CN"/>
              </w:rPr>
              <w:t>统一社会信用代码</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260" w:lineRule="exact"/>
              <w:jc w:val="center"/>
              <w:textAlignment w:val="center"/>
              <w:rPr>
                <w:rFonts w:hint="eastAsia" w:ascii="宋体" w:hAnsi="宋体" w:eastAsia="黑体" w:cs="黑体"/>
                <w:sz w:val="21"/>
                <w:szCs w:val="21"/>
                <w:vertAlign w:val="baseline"/>
                <w:lang w:val="en-US" w:eastAsia="zh-CN"/>
              </w:rPr>
            </w:pPr>
            <w:r>
              <w:rPr>
                <w:rFonts w:hint="eastAsia" w:ascii="宋体" w:hAnsi="宋体" w:eastAsia="黑体" w:cs="黑体"/>
                <w:sz w:val="21"/>
                <w:szCs w:val="21"/>
                <w:vertAlign w:val="baseline"/>
                <w:lang w:val="en-US" w:eastAsia="zh-CN"/>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济源联合环保医疗废物处置有限公司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91419001MA3XENLN3X</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医疗废物处置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济源海中环保科技有限责任公司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91419001MA46YKQ130</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水泥窑协同处置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济源柿槟实业有限公司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914190017251256954</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产废单位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济源恒丰科技发展有限公司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914190017678402245</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济源市鸿达资源综合利用有限公司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91419001MA3XA7YK6H</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济源市金达铜业有限公司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914190017850655830</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济源市金惠铅业有限公司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91419001798231472U</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产废单位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济源市豫峰镍业有限公司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914190016672193853</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济源市诚峰实业有限公司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91419001MA40UTP49U</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济源市聚鑫资源综合利用有限公司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91419001MA3XFLW13Y</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济源市瑞博能源有限公司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91419001054742755F</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济源市欣欣实业有限公司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914190016688589122</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济源市显扬金属科技有限公司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sz w:val="21"/>
                <w:szCs w:val="21"/>
                <w:vertAlign w:val="baseline"/>
                <w:lang w:val="en-US" w:eastAsia="zh-CN"/>
              </w:rPr>
            </w:pPr>
            <w:r>
              <w:rPr>
                <w:rFonts w:hint="eastAsia" w:ascii="宋体" w:hAnsi="宋体" w:eastAsia="宋体" w:cs="宋体"/>
                <w:i w:val="0"/>
                <w:iCs w:val="0"/>
                <w:color w:val="000000"/>
                <w:kern w:val="0"/>
                <w:sz w:val="21"/>
                <w:szCs w:val="21"/>
                <w:u w:val="none"/>
                <w:lang w:val="en-US" w:eastAsia="zh-CN" w:bidi="ar"/>
              </w:rPr>
              <w:t>91419001MA45L3028L</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济源市宏达利镍业有限公司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91419001672852820Q</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济源市太行锌业有限公司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91419001MA404CQ55Y</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济源市天龙焦化有限公司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kern w:val="2"/>
                <w:sz w:val="21"/>
                <w:szCs w:val="21"/>
                <w:vertAlign w:val="baseline"/>
                <w:lang w:val="en-US" w:eastAsia="zh-CN" w:bidi="ar-SA"/>
              </w:rPr>
            </w:pPr>
            <w:r>
              <w:rPr>
                <w:rFonts w:hint="eastAsia" w:ascii="宋体" w:hAnsi="宋体" w:eastAsia="宋体" w:cs="宋体"/>
                <w:i w:val="0"/>
                <w:iCs w:val="0"/>
                <w:color w:val="000000"/>
                <w:kern w:val="0"/>
                <w:sz w:val="21"/>
                <w:szCs w:val="21"/>
                <w:u w:val="none"/>
                <w:lang w:val="en-US" w:eastAsia="zh-CN" w:bidi="ar"/>
              </w:rPr>
              <w:t>91419001755154024X</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产废单位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济源市伟鑫实业有限责任公司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91419001660925607K</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济源市中辰环境科技有限公司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91419001MA46UFDX7N</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焚烧填埋处置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济源市中亿科技有限公司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91419001079409289H</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济源市东方化工有限责任公司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91419001793242084C</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济源市万洋冶炼（集团）有限公司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914190017338465481</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河南鑫铖动力源有限公司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91419001760234168A</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河南金马能源股份有限公司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91410000750738573C</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产废单位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河南金马中东能源有限公司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91419001MA46U1H8XN</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产废单位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河南金利金锌有限公司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91419001MA9FQPEN4L</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河南金利金铅集团有限公司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914190017522837950</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河南豫光锌业有限公司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91419001758377389H</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河南豫光金铅股份有限公司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9141000071917196XY</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济源市鑫旺资源再生利用有限公司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91419001MA3XALG65F</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河南正铎银海实业有限公司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91419001MA47YUPK00</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31</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河南博海化工有限公司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914190017571111401</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河南昌宜有色金属有限公司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91419001MA40HKR70E</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河南青骐骥环保科技有限公司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91419001MA9GCL8H01</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综合经营单位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河南绿海再生资源回收有限公司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91419001MA47BHCX3R</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危险废物</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收集单位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河南长策环保科技有限公司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91419001MA9JWXG74J</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铅蓄电池</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收集试点单位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河南禾鹭源环保科技有限公司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91419001MA9G7MA50G</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铅蓄电池</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收集试点单位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济源市源信再生资源回收有限公司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91419001MACW57GL8P</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铅蓄电池</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收集试点单位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九域热能科技有限公司济源王屋山分公司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91419001MA9KXHN12U</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铅蓄电池</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收集试点单位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济源月华环保科技有限公司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91419001MA9M34T05Q</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铅蓄电池</w:t>
            </w:r>
          </w:p>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收集试点单位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87"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w:t>
            </w:r>
          </w:p>
        </w:tc>
        <w:tc>
          <w:tcPr>
            <w:tcW w:w="288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济源市源清环保科技有限公司</w:t>
            </w:r>
          </w:p>
        </w:tc>
        <w:tc>
          <w:tcPr>
            <w:tcW w:w="235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91419001MA9F8HLM02</w:t>
            </w:r>
          </w:p>
        </w:tc>
        <w:tc>
          <w:tcPr>
            <w:tcW w:w="2853"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小微企业收集试点单位</w:t>
            </w:r>
          </w:p>
        </w:tc>
      </w:tr>
    </w:tbl>
    <w:p>
      <w:pPr>
        <w:pStyle w:val="2"/>
        <w:keepNext w:val="0"/>
        <w:keepLines w:val="0"/>
        <w:pageBreakBefore w:val="0"/>
        <w:widowControl w:val="0"/>
        <w:kinsoku/>
        <w:wordWrap/>
        <w:overflowPunct/>
        <w:topLinePunct w:val="0"/>
        <w:autoSpaceDE/>
        <w:autoSpaceDN/>
        <w:bidi w:val="0"/>
        <w:ind w:left="0" w:leftChars="0" w:firstLine="0" w:firstLineChars="0"/>
        <w:rPr>
          <w:rFonts w:hint="default" w:ascii="宋体" w:hAnsi="宋体" w:eastAsia="方正小标宋_GBK" w:cs="方正小标宋_GBK"/>
          <w:sz w:val="44"/>
          <w:szCs w:val="44"/>
          <w:lang w:val="en-US" w:eastAsia="zh-CN"/>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宋体" w:hAnsi="宋体" w:eastAsia="方正小标宋_GBK" w:cs="方正小标宋_GBK"/>
          <w:sz w:val="44"/>
          <w:szCs w:val="44"/>
          <w:lang w:val="en-US" w:eastAsia="zh-CN"/>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宋体" w:hAnsi="宋体" w:eastAsia="方正小标宋_GBK" w:cs="方正小标宋_GBK"/>
          <w:sz w:val="44"/>
          <w:szCs w:val="44"/>
          <w:lang w:val="en-US" w:eastAsia="zh-CN"/>
        </w:rPr>
        <w:sectPr>
          <w:footerReference r:id="rId3" w:type="default"/>
          <w:pgSz w:w="11906" w:h="16838"/>
          <w:pgMar w:top="1871" w:right="1474" w:bottom="1701" w:left="1587" w:header="851" w:footer="1531" w:gutter="0"/>
          <w:pgNumType w:fmt="decimal" w:start="1"/>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ind w:left="0" w:leftChars="0" w:firstLine="0" w:firstLineChars="0"/>
        <w:rPr>
          <w:rFonts w:hint="eastAsia" w:ascii="宋体" w:hAnsi="宋体" w:eastAsia="黑体" w:cs="黑体"/>
          <w:color w:val="000000"/>
          <w:kern w:val="2"/>
          <w:sz w:val="32"/>
          <w:szCs w:val="32"/>
          <w:lang w:val="en-US" w:eastAsia="zh-CN" w:bidi="ar-SA"/>
        </w:rPr>
      </w:pPr>
      <w:r>
        <w:rPr>
          <w:rFonts w:hint="eastAsia" w:ascii="宋体" w:hAnsi="宋体" w:eastAsia="黑体" w:cs="黑体"/>
          <w:color w:val="000000"/>
          <w:kern w:val="2"/>
          <w:sz w:val="32"/>
          <w:szCs w:val="32"/>
          <w:lang w:val="en-US" w:eastAsia="zh-CN" w:bidi="ar-SA"/>
        </w:rPr>
        <w:t>附件2</w:t>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baseline"/>
        <w:rPr>
          <w:rFonts w:hint="eastAsia" w:ascii="宋体" w:hAnsi="宋体" w:eastAsia="方正小标宋_GBK" w:cs="方正小标宋_GBK"/>
          <w:color w:val="000000"/>
          <w:kern w:val="2"/>
          <w:sz w:val="44"/>
          <w:szCs w:val="44"/>
          <w:lang w:val="en-US" w:eastAsia="zh-CN" w:bidi="ar-SA"/>
        </w:rPr>
      </w:pPr>
      <w:r>
        <w:rPr>
          <w:rFonts w:hint="eastAsia" w:ascii="宋体" w:hAnsi="宋体" w:eastAsia="方正小标宋_GBK" w:cs="方正小标宋_GBK"/>
          <w:sz w:val="44"/>
          <w:szCs w:val="44"/>
          <w:lang w:val="en-US" w:eastAsia="zh-CN"/>
        </w:rPr>
        <w:t>济源示范区危险废物自行利用处置专项整治</w:t>
      </w:r>
      <w:r>
        <w:rPr>
          <w:rFonts w:hint="eastAsia" w:ascii="宋体" w:hAnsi="宋体" w:eastAsia="方正小标宋_GBK" w:cs="方正小标宋_GBK"/>
          <w:color w:val="000000"/>
          <w:kern w:val="2"/>
          <w:sz w:val="44"/>
          <w:szCs w:val="44"/>
          <w:lang w:val="en-US" w:eastAsia="zh-CN" w:bidi="ar-SA"/>
        </w:rPr>
        <w:t>问题台账</w:t>
      </w:r>
    </w:p>
    <w:p>
      <w:pPr>
        <w:pStyle w:val="2"/>
        <w:keepNext w:val="0"/>
        <w:keepLines w:val="0"/>
        <w:pageBreakBefore w:val="0"/>
        <w:widowControl w:val="0"/>
        <w:kinsoku/>
        <w:wordWrap/>
        <w:overflowPunct/>
        <w:topLinePunct w:val="0"/>
        <w:autoSpaceDE/>
        <w:autoSpaceDN/>
        <w:bidi w:val="0"/>
        <w:ind w:left="0" w:leftChars="0" w:firstLine="0" w:firstLineChars="0"/>
        <w:rPr>
          <w:rFonts w:hint="eastAsia" w:ascii="宋体" w:hAnsi="宋体" w:eastAsia="仿宋_GB2312" w:cs="仿宋_GB2312"/>
          <w:color w:val="000000"/>
          <w:kern w:val="2"/>
          <w:sz w:val="24"/>
          <w:szCs w:val="24"/>
          <w:lang w:val="en-US" w:eastAsia="zh-CN" w:bidi="ar-SA"/>
        </w:rPr>
      </w:pPr>
      <w:r>
        <w:rPr>
          <w:rFonts w:hint="eastAsia" w:ascii="宋体" w:hAnsi="宋体" w:eastAsia="仿宋_GB2312" w:cs="仿宋_GB2312"/>
          <w:color w:val="000000"/>
          <w:kern w:val="2"/>
          <w:sz w:val="24"/>
          <w:szCs w:val="24"/>
          <w:lang w:val="en-US" w:eastAsia="zh-CN" w:bidi="ar-SA"/>
        </w:rPr>
        <w:t>填报日期：</w:t>
      </w:r>
    </w:p>
    <w:tbl>
      <w:tblPr>
        <w:tblStyle w:val="20"/>
        <w:tblW w:w="139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183"/>
        <w:gridCol w:w="1731"/>
        <w:gridCol w:w="1074"/>
        <w:gridCol w:w="1627"/>
        <w:gridCol w:w="1752"/>
        <w:gridCol w:w="2214"/>
        <w:gridCol w:w="1462"/>
        <w:gridCol w:w="1058"/>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57"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序号</w:t>
            </w:r>
          </w:p>
        </w:tc>
        <w:tc>
          <w:tcPr>
            <w:tcW w:w="1183"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所属市</w:t>
            </w:r>
          </w:p>
        </w:tc>
        <w:tc>
          <w:tcPr>
            <w:tcW w:w="173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企业名称</w:t>
            </w:r>
          </w:p>
        </w:tc>
        <w:tc>
          <w:tcPr>
            <w:tcW w:w="107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企业</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宋体" w:hAnsi="宋体" w:eastAsia="黑体" w:cs="黑体"/>
                <w:color w:val="000000"/>
                <w:kern w:val="2"/>
                <w:sz w:val="21"/>
                <w:szCs w:val="21"/>
                <w:u w:val="none" w:color="000000"/>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类型</w:t>
            </w:r>
          </w:p>
        </w:tc>
        <w:tc>
          <w:tcPr>
            <w:tcW w:w="1627"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宋体" w:hAnsi="宋体" w:eastAsia="黑体" w:cs="黑体"/>
                <w:color w:val="000000"/>
                <w:kern w:val="2"/>
                <w:sz w:val="21"/>
                <w:szCs w:val="21"/>
                <w:u w:val="none" w:color="000000"/>
                <w:vertAlign w:val="baseline"/>
                <w:lang w:val="en-US" w:eastAsia="zh-CN" w:bidi="ar-SA"/>
              </w:rPr>
            </w:pPr>
            <w:r>
              <w:rPr>
                <w:rFonts w:hint="eastAsia" w:ascii="宋体" w:hAnsi="宋体" w:eastAsia="黑体" w:cs="黑体"/>
                <w:sz w:val="21"/>
                <w:szCs w:val="21"/>
                <w:vertAlign w:val="baseline"/>
                <w:lang w:val="en-US" w:eastAsia="zh-CN"/>
              </w:rPr>
              <w:t>是否拥有自行利用处置设施</w:t>
            </w:r>
          </w:p>
        </w:tc>
        <w:tc>
          <w:tcPr>
            <w:tcW w:w="175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主要利用处置</w:t>
            </w:r>
          </w:p>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设施名称</w:t>
            </w:r>
          </w:p>
        </w:tc>
        <w:tc>
          <w:tcPr>
            <w:tcW w:w="2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排查发现问题</w:t>
            </w:r>
          </w:p>
        </w:tc>
        <w:tc>
          <w:tcPr>
            <w:tcW w:w="146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整改措施</w:t>
            </w:r>
          </w:p>
        </w:tc>
        <w:tc>
          <w:tcPr>
            <w:tcW w:w="1058"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整改</w:t>
            </w:r>
          </w:p>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时限</w:t>
            </w:r>
          </w:p>
        </w:tc>
        <w:tc>
          <w:tcPr>
            <w:tcW w:w="1037"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黑体" w:cs="黑体"/>
                <w:color w:val="000000"/>
                <w:kern w:val="2"/>
                <w:sz w:val="21"/>
                <w:szCs w:val="21"/>
                <w:vertAlign w:val="baseline"/>
                <w:lang w:val="en-US" w:eastAsia="zh-CN" w:bidi="ar-SA"/>
              </w:rPr>
            </w:pPr>
            <w:r>
              <w:rPr>
                <w:rFonts w:hint="eastAsia" w:ascii="宋体" w:hAnsi="宋体" w:eastAsia="黑体" w:cs="黑体"/>
                <w:color w:val="000000"/>
                <w:kern w:val="2"/>
                <w:sz w:val="21"/>
                <w:szCs w:val="21"/>
                <w:vertAlign w:val="baseline"/>
                <w:lang w:val="en-US" w:eastAsia="zh-CN" w:bidi="ar-SA"/>
              </w:rPr>
              <w:t>是否完成整改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857"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_GB2312" w:cs="仿宋_GB2312"/>
                <w:color w:val="000000"/>
                <w:kern w:val="2"/>
                <w:sz w:val="21"/>
                <w:szCs w:val="21"/>
                <w:vertAlign w:val="baseline"/>
                <w:lang w:val="en-US" w:eastAsia="zh-CN" w:bidi="ar-SA"/>
              </w:rPr>
            </w:pPr>
            <w:r>
              <w:rPr>
                <w:rFonts w:hint="eastAsia" w:ascii="宋体" w:hAnsi="宋体" w:eastAsia="仿宋_GB2312" w:cs="仿宋_GB2312"/>
                <w:color w:val="000000"/>
                <w:kern w:val="2"/>
                <w:sz w:val="21"/>
                <w:szCs w:val="21"/>
                <w:vertAlign w:val="baseline"/>
                <w:lang w:val="en-US" w:eastAsia="zh-CN" w:bidi="ar-SA"/>
              </w:rPr>
              <w:t>1</w:t>
            </w:r>
          </w:p>
        </w:tc>
        <w:tc>
          <w:tcPr>
            <w:tcW w:w="1183"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_GB2312" w:cs="仿宋_GB2312"/>
                <w:color w:val="000000"/>
                <w:kern w:val="2"/>
                <w:sz w:val="21"/>
                <w:szCs w:val="21"/>
                <w:vertAlign w:val="baseline"/>
                <w:lang w:val="en-US" w:eastAsia="zh-CN" w:bidi="ar-SA"/>
              </w:rPr>
            </w:pPr>
            <w:r>
              <w:rPr>
                <w:rFonts w:hint="eastAsia" w:ascii="宋体" w:hAnsi="宋体" w:eastAsia="仿宋_GB2312" w:cs="仿宋_GB2312"/>
                <w:color w:val="000000"/>
                <w:kern w:val="2"/>
                <w:sz w:val="21"/>
                <w:szCs w:val="21"/>
                <w:vertAlign w:val="baseline"/>
                <w:lang w:val="en-US" w:eastAsia="zh-CN" w:bidi="ar-SA"/>
              </w:rPr>
              <w:t>济源市</w:t>
            </w:r>
          </w:p>
        </w:tc>
        <w:tc>
          <w:tcPr>
            <w:tcW w:w="173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_GB2312" w:cs="仿宋_GB2312"/>
                <w:color w:val="000000"/>
                <w:kern w:val="2"/>
                <w:sz w:val="21"/>
                <w:szCs w:val="21"/>
                <w:vertAlign w:val="baseline"/>
                <w:lang w:val="en-US" w:eastAsia="zh-CN" w:bidi="ar-SA"/>
              </w:rPr>
            </w:pPr>
            <w:r>
              <w:rPr>
                <w:rFonts w:hint="eastAsia" w:ascii="宋体" w:hAnsi="宋体" w:eastAsia="仿宋_GB2312" w:cs="仿宋_GB2312"/>
                <w:color w:val="000000"/>
                <w:kern w:val="2"/>
                <w:sz w:val="21"/>
                <w:szCs w:val="21"/>
                <w:vertAlign w:val="baseline"/>
                <w:lang w:val="en-US" w:eastAsia="zh-CN" w:bidi="ar-SA"/>
              </w:rPr>
              <w:t>XXX</w:t>
            </w:r>
          </w:p>
        </w:tc>
        <w:tc>
          <w:tcPr>
            <w:tcW w:w="107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_GB2312" w:cs="仿宋_GB2312"/>
                <w:color w:val="000000"/>
                <w:kern w:val="0"/>
                <w:sz w:val="21"/>
                <w:szCs w:val="21"/>
                <w:lang w:val="en-US" w:eastAsia="zh-CN" w:bidi="ar"/>
              </w:rPr>
            </w:pPr>
            <w:r>
              <w:rPr>
                <w:rFonts w:hint="eastAsia" w:ascii="宋体" w:hAnsi="宋体" w:eastAsia="仿宋_GB2312" w:cs="仿宋_GB2312"/>
                <w:color w:val="000000"/>
                <w:kern w:val="0"/>
                <w:sz w:val="21"/>
                <w:szCs w:val="21"/>
                <w:lang w:val="en-US" w:eastAsia="zh-CN" w:bidi="ar"/>
              </w:rPr>
              <w:t>产废</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宋体" w:hAnsi="宋体" w:eastAsia="仿宋_GB2312" w:cs="仿宋_GB2312"/>
                <w:color w:val="000000"/>
                <w:kern w:val="2"/>
                <w:sz w:val="21"/>
                <w:szCs w:val="21"/>
                <w:u w:val="none" w:color="000000"/>
                <w:vertAlign w:val="baseline"/>
                <w:lang w:val="en-US" w:eastAsia="zh-CN" w:bidi="ar-SA"/>
              </w:rPr>
            </w:pPr>
            <w:r>
              <w:rPr>
                <w:rFonts w:hint="eastAsia" w:ascii="宋体" w:hAnsi="宋体" w:eastAsia="仿宋_GB2312" w:cs="仿宋_GB2312"/>
                <w:color w:val="000000"/>
                <w:kern w:val="0"/>
                <w:sz w:val="21"/>
                <w:szCs w:val="21"/>
                <w:lang w:val="en-US" w:eastAsia="zh-CN" w:bidi="ar"/>
              </w:rPr>
              <w:t>单位</w:t>
            </w:r>
          </w:p>
        </w:tc>
        <w:tc>
          <w:tcPr>
            <w:tcW w:w="1627" w:type="dxa"/>
            <w:noWrap w:val="0"/>
            <w:vAlign w:val="center"/>
          </w:tcPr>
          <w:p>
            <w:pPr>
              <w:keepNext w:val="0"/>
              <w:keepLines w:val="0"/>
              <w:pageBreakBefore w:val="0"/>
              <w:widowControl w:val="0"/>
              <w:suppressLineNumbers w:val="0"/>
              <w:kinsoku/>
              <w:wordWrap/>
              <w:overflowPunct/>
              <w:topLinePunct w:val="0"/>
              <w:autoSpaceDE/>
              <w:autoSpaceDN/>
              <w:bidi w:val="0"/>
              <w:jc w:val="left"/>
              <w:rPr>
                <w:rFonts w:hint="eastAsia" w:ascii="宋体" w:hAnsi="宋体" w:eastAsia="仿宋" w:cs="仿宋"/>
                <w:color w:val="000000"/>
                <w:kern w:val="2"/>
                <w:sz w:val="21"/>
                <w:szCs w:val="21"/>
                <w:vertAlign w:val="baseline"/>
                <w:lang w:val="en-US" w:eastAsia="zh-CN" w:bidi="ar-SA"/>
              </w:rPr>
            </w:pPr>
          </w:p>
        </w:tc>
        <w:tc>
          <w:tcPr>
            <w:tcW w:w="1752" w:type="dxa"/>
            <w:noWrap w:val="0"/>
            <w:vAlign w:val="center"/>
          </w:tcPr>
          <w:p>
            <w:pPr>
              <w:keepNext w:val="0"/>
              <w:keepLines w:val="0"/>
              <w:pageBreakBefore w:val="0"/>
              <w:widowControl w:val="0"/>
              <w:suppressLineNumbers w:val="0"/>
              <w:kinsoku/>
              <w:wordWrap/>
              <w:overflowPunct/>
              <w:topLinePunct w:val="0"/>
              <w:autoSpaceDE/>
              <w:autoSpaceDN/>
              <w:bidi w:val="0"/>
              <w:jc w:val="left"/>
              <w:rPr>
                <w:rFonts w:hint="default" w:ascii="宋体" w:hAnsi="宋体" w:eastAsia="仿宋" w:cs="仿宋"/>
                <w:color w:val="000000"/>
                <w:kern w:val="2"/>
                <w:sz w:val="21"/>
                <w:szCs w:val="21"/>
                <w:vertAlign w:val="baseline"/>
                <w:lang w:val="en-US" w:eastAsia="zh-CN" w:bidi="ar-SA"/>
              </w:rPr>
            </w:pPr>
          </w:p>
        </w:tc>
        <w:tc>
          <w:tcPr>
            <w:tcW w:w="2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left"/>
              <w:textAlignment w:val="baseline"/>
              <w:rPr>
                <w:rFonts w:hint="eastAsia" w:ascii="宋体" w:hAnsi="宋体" w:eastAsia="仿宋" w:cs="仿宋"/>
                <w:color w:val="000000"/>
                <w:kern w:val="2"/>
                <w:sz w:val="21"/>
                <w:szCs w:val="21"/>
                <w:vertAlign w:val="baseline"/>
                <w:lang w:val="en-US" w:eastAsia="zh-CN" w:bidi="ar-SA"/>
              </w:rPr>
            </w:pPr>
          </w:p>
        </w:tc>
        <w:tc>
          <w:tcPr>
            <w:tcW w:w="146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left"/>
              <w:textAlignment w:val="baseline"/>
              <w:rPr>
                <w:rFonts w:hint="eastAsia" w:ascii="宋体" w:hAnsi="宋体" w:eastAsia="仿宋" w:cs="仿宋"/>
                <w:color w:val="000000"/>
                <w:kern w:val="2"/>
                <w:sz w:val="21"/>
                <w:szCs w:val="21"/>
                <w:vertAlign w:val="baseline"/>
                <w:lang w:val="en-US" w:eastAsia="zh-CN" w:bidi="ar-SA"/>
              </w:rPr>
            </w:pPr>
          </w:p>
        </w:tc>
        <w:tc>
          <w:tcPr>
            <w:tcW w:w="1058"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left"/>
              <w:textAlignment w:val="baseline"/>
              <w:rPr>
                <w:rFonts w:hint="eastAsia" w:ascii="宋体" w:hAnsi="宋体" w:eastAsia="仿宋" w:cs="仿宋"/>
                <w:color w:val="000000"/>
                <w:kern w:val="2"/>
                <w:sz w:val="21"/>
                <w:szCs w:val="21"/>
                <w:vertAlign w:val="baseline"/>
                <w:lang w:val="en-US" w:eastAsia="zh-CN" w:bidi="ar-SA"/>
              </w:rPr>
            </w:pPr>
          </w:p>
        </w:tc>
        <w:tc>
          <w:tcPr>
            <w:tcW w:w="1037"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left"/>
              <w:textAlignment w:val="baseline"/>
              <w:rPr>
                <w:rFonts w:hint="eastAsia" w:ascii="宋体" w:hAnsi="宋体" w:eastAsia="仿宋" w:cs="仿宋"/>
                <w:color w:val="000000"/>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57"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_GB2312" w:cs="仿宋_GB2312"/>
                <w:color w:val="000000"/>
                <w:kern w:val="2"/>
                <w:sz w:val="21"/>
                <w:szCs w:val="21"/>
                <w:vertAlign w:val="baseline"/>
                <w:lang w:val="en-US" w:eastAsia="zh-CN" w:bidi="ar-SA"/>
              </w:rPr>
            </w:pPr>
            <w:r>
              <w:rPr>
                <w:rFonts w:hint="eastAsia" w:ascii="宋体" w:hAnsi="宋体" w:eastAsia="仿宋_GB2312" w:cs="仿宋_GB2312"/>
                <w:color w:val="000000"/>
                <w:kern w:val="2"/>
                <w:sz w:val="21"/>
                <w:szCs w:val="21"/>
                <w:vertAlign w:val="baseline"/>
                <w:lang w:val="en-US" w:eastAsia="zh-CN" w:bidi="ar-SA"/>
              </w:rPr>
              <w:t>2</w:t>
            </w:r>
          </w:p>
        </w:tc>
        <w:tc>
          <w:tcPr>
            <w:tcW w:w="1183"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_GB2312" w:cs="仿宋_GB2312"/>
                <w:color w:val="000000"/>
                <w:kern w:val="2"/>
                <w:sz w:val="21"/>
                <w:szCs w:val="21"/>
                <w:vertAlign w:val="baseline"/>
                <w:lang w:val="en-US" w:eastAsia="zh-CN" w:bidi="ar-SA"/>
              </w:rPr>
            </w:pPr>
          </w:p>
        </w:tc>
        <w:tc>
          <w:tcPr>
            <w:tcW w:w="1731"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_GB2312" w:cs="仿宋_GB2312"/>
                <w:color w:val="000000"/>
                <w:kern w:val="2"/>
                <w:sz w:val="21"/>
                <w:szCs w:val="21"/>
                <w:vertAlign w:val="baseline"/>
                <w:lang w:val="en-US" w:eastAsia="zh-CN" w:bidi="ar-SA"/>
              </w:rPr>
            </w:pPr>
          </w:p>
        </w:tc>
        <w:tc>
          <w:tcPr>
            <w:tcW w:w="107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_GB2312" w:cs="仿宋_GB2312"/>
                <w:color w:val="000000"/>
                <w:kern w:val="2"/>
                <w:sz w:val="21"/>
                <w:szCs w:val="21"/>
                <w:vertAlign w:val="baseline"/>
                <w:lang w:val="en-US" w:eastAsia="zh-CN" w:bidi="ar-SA"/>
              </w:rPr>
            </w:pPr>
          </w:p>
        </w:tc>
        <w:tc>
          <w:tcPr>
            <w:tcW w:w="1627"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 w:cs="仿宋"/>
                <w:color w:val="000000"/>
                <w:kern w:val="2"/>
                <w:sz w:val="21"/>
                <w:szCs w:val="21"/>
                <w:vertAlign w:val="baseline"/>
                <w:lang w:val="en-US" w:eastAsia="zh-CN" w:bidi="ar-SA"/>
              </w:rPr>
            </w:pPr>
          </w:p>
        </w:tc>
        <w:tc>
          <w:tcPr>
            <w:tcW w:w="175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 w:cs="仿宋"/>
                <w:color w:val="000000"/>
                <w:kern w:val="2"/>
                <w:sz w:val="21"/>
                <w:szCs w:val="21"/>
                <w:vertAlign w:val="baseline"/>
                <w:lang w:val="en-US" w:eastAsia="zh-CN" w:bidi="ar-SA"/>
              </w:rPr>
            </w:pPr>
          </w:p>
        </w:tc>
        <w:tc>
          <w:tcPr>
            <w:tcW w:w="2214"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 w:cs="仿宋"/>
                <w:color w:val="000000"/>
                <w:kern w:val="2"/>
                <w:sz w:val="21"/>
                <w:szCs w:val="21"/>
                <w:vertAlign w:val="baseline"/>
                <w:lang w:val="en-US" w:eastAsia="zh-CN" w:bidi="ar-SA"/>
              </w:rPr>
            </w:pPr>
          </w:p>
        </w:tc>
        <w:tc>
          <w:tcPr>
            <w:tcW w:w="146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 w:cs="仿宋"/>
                <w:color w:val="000000"/>
                <w:kern w:val="2"/>
                <w:sz w:val="21"/>
                <w:szCs w:val="21"/>
                <w:vertAlign w:val="baseline"/>
                <w:lang w:val="en-US" w:eastAsia="zh-CN" w:bidi="ar-SA"/>
              </w:rPr>
            </w:pPr>
          </w:p>
        </w:tc>
        <w:tc>
          <w:tcPr>
            <w:tcW w:w="1058"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 w:cs="仿宋"/>
                <w:color w:val="000000"/>
                <w:kern w:val="2"/>
                <w:sz w:val="21"/>
                <w:szCs w:val="21"/>
                <w:vertAlign w:val="baseline"/>
                <w:lang w:val="en-US" w:eastAsia="zh-CN" w:bidi="ar-SA"/>
              </w:rPr>
            </w:pPr>
          </w:p>
        </w:tc>
        <w:tc>
          <w:tcPr>
            <w:tcW w:w="1037"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baseline"/>
              <w:rPr>
                <w:rFonts w:hint="eastAsia" w:ascii="宋体" w:hAnsi="宋体" w:eastAsia="仿宋" w:cs="仿宋"/>
                <w:color w:val="000000"/>
                <w:kern w:val="2"/>
                <w:sz w:val="21"/>
                <w:szCs w:val="21"/>
                <w:vertAlign w:val="baseline"/>
                <w:lang w:val="en-US" w:eastAsia="zh-CN" w:bidi="ar-SA"/>
              </w:rPr>
            </w:pPr>
          </w:p>
        </w:tc>
      </w:tr>
    </w:tbl>
    <w:p>
      <w:pPr>
        <w:keepNext w:val="0"/>
        <w:keepLines w:val="0"/>
        <w:pageBreakBefore w:val="0"/>
        <w:widowControl w:val="0"/>
        <w:suppressLineNumbers w:val="0"/>
        <w:kinsoku/>
        <w:wordWrap/>
        <w:overflowPunct/>
        <w:topLinePunct w:val="0"/>
        <w:autoSpaceDE/>
        <w:autoSpaceDN/>
        <w:bidi w:val="0"/>
        <w:jc w:val="both"/>
        <w:textAlignment w:val="center"/>
        <w:rPr>
          <w:rFonts w:hint="eastAsia" w:ascii="宋体" w:hAnsi="宋体" w:eastAsia="仿宋_GB2312" w:cs="仿宋_GB2312"/>
          <w:b w:val="0"/>
          <w:bCs w:val="0"/>
          <w:color w:val="auto"/>
          <w:sz w:val="21"/>
          <w:szCs w:val="21"/>
        </w:rPr>
      </w:pPr>
      <w:r>
        <w:rPr>
          <w:rFonts w:hint="eastAsia" w:ascii="宋体" w:hAnsi="宋体" w:eastAsia="仿宋_GB2312" w:cs="仿宋_GB2312"/>
          <w:b w:val="0"/>
          <w:bCs w:val="0"/>
          <w:color w:val="000000"/>
          <w:kern w:val="0"/>
          <w:sz w:val="21"/>
          <w:szCs w:val="21"/>
          <w:lang w:val="en-US" w:eastAsia="zh-CN" w:bidi="ar"/>
        </w:rPr>
        <w:t>备注：</w:t>
      </w:r>
      <w:r>
        <w:rPr>
          <w:rFonts w:hint="eastAsia" w:ascii="宋体" w:hAnsi="宋体" w:eastAsia="仿宋_GB2312" w:cs="仿宋_GB2312"/>
          <w:b w:val="0"/>
          <w:bCs w:val="0"/>
          <w:color w:val="auto"/>
          <w:kern w:val="0"/>
          <w:sz w:val="21"/>
          <w:szCs w:val="21"/>
          <w:lang w:val="en-US" w:eastAsia="zh-CN" w:bidi="ar"/>
        </w:rPr>
        <w:t>1. 企业类型填写“产废单位”“综合经营单位”“收集单位”“</w:t>
      </w:r>
      <w:r>
        <w:rPr>
          <w:rFonts w:hint="eastAsia" w:ascii="宋体" w:hAnsi="宋体" w:eastAsia="仿宋_GB2312" w:cs="仿宋_GB2312"/>
          <w:b w:val="0"/>
          <w:bCs w:val="0"/>
          <w:i w:val="0"/>
          <w:iCs w:val="0"/>
          <w:color w:val="auto"/>
          <w:kern w:val="0"/>
          <w:sz w:val="21"/>
          <w:szCs w:val="21"/>
          <w:u w:val="none"/>
          <w:lang w:val="en-US" w:eastAsia="zh-CN" w:bidi="ar"/>
        </w:rPr>
        <w:t>铅蓄电池收集</w:t>
      </w:r>
      <w:r>
        <w:rPr>
          <w:rFonts w:hint="eastAsia" w:ascii="宋体" w:hAnsi="宋体" w:eastAsia="仿宋_GB2312" w:cs="仿宋_GB2312"/>
          <w:b w:val="0"/>
          <w:bCs w:val="0"/>
          <w:color w:val="auto"/>
          <w:kern w:val="0"/>
          <w:sz w:val="21"/>
          <w:szCs w:val="21"/>
          <w:lang w:val="en-US" w:eastAsia="zh-CN" w:bidi="ar"/>
        </w:rPr>
        <w:t xml:space="preserve">试点单位”； </w:t>
      </w:r>
    </w:p>
    <w:p>
      <w:pPr>
        <w:keepNext w:val="0"/>
        <w:keepLines w:val="0"/>
        <w:pageBreakBefore w:val="0"/>
        <w:widowControl w:val="0"/>
        <w:suppressLineNumbers w:val="0"/>
        <w:kinsoku/>
        <w:wordWrap/>
        <w:overflowPunct/>
        <w:topLinePunct w:val="0"/>
        <w:autoSpaceDE/>
        <w:autoSpaceDN/>
        <w:bidi w:val="0"/>
        <w:adjustRightInd w:val="0"/>
        <w:snapToGrid w:val="0"/>
        <w:ind w:firstLine="630" w:firstLineChars="300"/>
        <w:jc w:val="left"/>
        <w:textAlignment w:val="auto"/>
        <w:rPr>
          <w:rFonts w:hint="eastAsia" w:ascii="宋体" w:hAnsi="宋体" w:eastAsia="仿宋_GB2312" w:cs="仿宋_GB2312"/>
          <w:b w:val="0"/>
          <w:bCs w:val="0"/>
          <w:color w:val="auto"/>
          <w:sz w:val="21"/>
          <w:szCs w:val="21"/>
        </w:rPr>
      </w:pPr>
      <w:r>
        <w:rPr>
          <w:rFonts w:hint="eastAsia" w:ascii="宋体" w:hAnsi="宋体" w:eastAsia="仿宋_GB2312" w:cs="仿宋_GB2312"/>
          <w:b w:val="0"/>
          <w:bCs w:val="0"/>
          <w:color w:val="auto"/>
          <w:kern w:val="0"/>
          <w:sz w:val="21"/>
          <w:szCs w:val="21"/>
          <w:lang w:val="en-US" w:eastAsia="zh-CN" w:bidi="ar"/>
        </w:rPr>
        <w:t xml:space="preserve">2. 发现问题需要填报问题详细描述，整改措施需要与问题逐一对应； </w:t>
      </w:r>
    </w:p>
    <w:p>
      <w:pPr>
        <w:keepNext w:val="0"/>
        <w:keepLines w:val="0"/>
        <w:pageBreakBefore w:val="0"/>
        <w:widowControl w:val="0"/>
        <w:suppressLineNumbers w:val="0"/>
        <w:kinsoku/>
        <w:wordWrap/>
        <w:overflowPunct/>
        <w:topLinePunct w:val="0"/>
        <w:autoSpaceDE/>
        <w:autoSpaceDN/>
        <w:bidi w:val="0"/>
        <w:adjustRightInd w:val="0"/>
        <w:snapToGrid w:val="0"/>
        <w:ind w:firstLine="630" w:firstLineChars="300"/>
        <w:jc w:val="left"/>
        <w:textAlignment w:val="auto"/>
        <w:rPr>
          <w:rFonts w:hint="eastAsia" w:ascii="宋体" w:hAnsi="宋体" w:eastAsia="仿宋_GB2312" w:cs="仿宋_GB2312"/>
          <w:b w:val="0"/>
          <w:bCs w:val="0"/>
          <w:color w:val="auto"/>
          <w:sz w:val="21"/>
          <w:szCs w:val="21"/>
        </w:rPr>
      </w:pPr>
      <w:r>
        <w:rPr>
          <w:rFonts w:hint="eastAsia" w:ascii="宋体" w:hAnsi="宋体" w:eastAsia="仿宋_GB2312" w:cs="仿宋_GB2312"/>
          <w:b w:val="0"/>
          <w:bCs w:val="0"/>
          <w:color w:val="auto"/>
          <w:kern w:val="0"/>
          <w:sz w:val="21"/>
          <w:szCs w:val="21"/>
          <w:lang w:val="en-US" w:eastAsia="zh-CN" w:bidi="ar"/>
        </w:rPr>
        <w:t>3. 整改时限填报“立即整改”和“xx月xx日前完成”。</w:t>
      </w: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宋体" w:hAnsi="宋体" w:eastAsia="方正小标宋_GBK" w:cs="方正小标宋_GBK"/>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1084" w:firstLineChars="0"/>
        <w:jc w:val="both"/>
        <w:textAlignment w:val="auto"/>
        <w:rPr>
          <w:rFonts w:hint="eastAsia" w:ascii="宋体" w:hAnsi="宋体" w:eastAsia="仿宋_GB2312" w:cs="仿宋_GB2312"/>
          <w:b w:val="0"/>
          <w:bCs/>
          <w:color w:val="auto"/>
          <w:sz w:val="32"/>
          <w:szCs w:val="32"/>
          <w:lang w:eastAsia="zh-CN"/>
        </w:rPr>
      </w:pPr>
    </w:p>
    <w:p>
      <w:pPr>
        <w:pStyle w:val="3"/>
        <w:keepNext w:val="0"/>
        <w:keepLines w:val="0"/>
        <w:pageBreakBefore w:val="0"/>
        <w:widowControl w:val="0"/>
        <w:kinsoku/>
        <w:wordWrap/>
        <w:overflowPunct/>
        <w:topLinePunct w:val="0"/>
        <w:autoSpaceDE/>
        <w:autoSpaceDN/>
        <w:bidi w:val="0"/>
        <w:rPr>
          <w:rFonts w:hint="eastAsia" w:ascii="宋体" w:hAnsi="宋体" w:eastAsia="仿宋_GB2312" w:cs="仿宋_GB2312"/>
          <w:b w:val="0"/>
          <w:bCs/>
          <w:color w:val="auto"/>
          <w:sz w:val="32"/>
          <w:szCs w:val="32"/>
          <w:lang w:eastAsia="zh-CN"/>
        </w:rPr>
        <w:sectPr>
          <w:headerReference r:id="rId4" w:type="default"/>
          <w:footerReference r:id="rId5" w:type="default"/>
          <w:pgSz w:w="16838" w:h="11905" w:orient="landscape"/>
          <w:pgMar w:top="1417" w:right="1417" w:bottom="1417" w:left="1417" w:header="850" w:footer="1304" w:gutter="0"/>
          <w:pgNumType w:fmt="decimal" w:start="13"/>
          <w:cols w:space="0" w:num="1"/>
          <w:rtlGutter w:val="0"/>
          <w:docGrid w:type="lines" w:linePitch="312" w:charSpace="0"/>
        </w:sectPr>
      </w:pPr>
    </w:p>
    <w:p>
      <w:pPr>
        <w:rPr>
          <w:rFonts w:hint="eastAsia" w:ascii="宋体" w:hAnsi="宋体"/>
          <w:lang w:eastAsia="zh-CN"/>
        </w:rPr>
      </w:pPr>
    </w:p>
    <w:p>
      <w:pPr>
        <w:keepNext w:val="0"/>
        <w:keepLines w:val="0"/>
        <w:pageBreakBefore w:val="0"/>
        <w:widowControl w:val="0"/>
        <w:kinsoku/>
        <w:wordWrap/>
        <w:overflowPunct/>
        <w:topLinePunct w:val="0"/>
        <w:autoSpaceDE/>
        <w:autoSpaceDN/>
        <w:bidi w:val="0"/>
        <w:rPr>
          <w:rFonts w:hint="eastAsia" w:ascii="宋体" w:hAnsi="宋体" w:eastAsia="仿宋_GB2312" w:cs="仿宋_GB2312"/>
          <w:b w:val="0"/>
          <w:bCs/>
          <w:color w:val="auto"/>
          <w:sz w:val="32"/>
          <w:szCs w:val="32"/>
          <w:lang w:eastAsia="zh-CN"/>
        </w:rPr>
      </w:pPr>
    </w:p>
    <w:p>
      <w:pPr>
        <w:keepNext w:val="0"/>
        <w:keepLines w:val="0"/>
        <w:pageBreakBefore w:val="0"/>
        <w:widowControl w:val="0"/>
        <w:kinsoku/>
        <w:wordWrap/>
        <w:overflowPunct/>
        <w:topLinePunct w:val="0"/>
        <w:autoSpaceDE/>
        <w:autoSpaceDN/>
        <w:bidi w:val="0"/>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keepNext w:val="0"/>
        <w:keepLines w:val="0"/>
        <w:pageBreakBefore w:val="0"/>
        <w:widowControl w:val="0"/>
        <w:kinsoku/>
        <w:wordWrap/>
        <w:overflowPunct/>
        <w:topLinePunct w:val="0"/>
        <w:autoSpaceDE/>
        <w:autoSpaceDN/>
        <w:bidi w:val="0"/>
        <w:rPr>
          <w:rFonts w:hint="eastAsia" w:ascii="宋体" w:hAnsi="宋体" w:eastAsia="仿宋_GB2312" w:cs="仿宋_GB2312"/>
          <w:b w:val="0"/>
          <w:bCs/>
          <w:color w:val="auto"/>
          <w:sz w:val="32"/>
          <w:szCs w:val="32"/>
          <w:lang w:eastAsia="zh-CN"/>
        </w:rPr>
      </w:pPr>
    </w:p>
    <w:p>
      <w:pPr>
        <w:pStyle w:val="3"/>
        <w:keepNext w:val="0"/>
        <w:keepLines w:val="0"/>
        <w:pageBreakBefore w:val="0"/>
        <w:widowControl w:val="0"/>
        <w:kinsoku/>
        <w:wordWrap/>
        <w:overflowPunct/>
        <w:topLinePunct w:val="0"/>
        <w:autoSpaceDE/>
        <w:autoSpaceDN/>
        <w:bidi w:val="0"/>
        <w:rPr>
          <w:rFonts w:hint="eastAsia" w:ascii="宋体" w:hAnsi="宋体" w:eastAsia="仿宋_GB2312" w:cs="仿宋_GB2312"/>
          <w:b w:val="0"/>
          <w:bCs/>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仿宋_GB2312" w:cs="仿宋_GB2312"/>
          <w:b w:val="0"/>
          <w:bCs/>
          <w:color w:val="auto"/>
          <w:sz w:val="32"/>
          <w:szCs w:val="32"/>
          <w:lang w:eastAsia="zh-CN"/>
        </w:rPr>
      </w:pPr>
    </w:p>
    <w:p>
      <w:pPr>
        <w:pStyle w:val="3"/>
        <w:keepNext w:val="0"/>
        <w:keepLines w:val="0"/>
        <w:pageBreakBefore w:val="0"/>
        <w:widowControl w:val="0"/>
        <w:kinsoku/>
        <w:wordWrap/>
        <w:overflowPunct/>
        <w:topLinePunct w:val="0"/>
        <w:autoSpaceDE/>
        <w:autoSpaceDN/>
        <w:bidi w:val="0"/>
        <w:rPr>
          <w:rFonts w:hint="eastAsia" w:ascii="宋体" w:hAnsi="宋体"/>
          <w:lang w:eastAsia="zh-CN"/>
        </w:rPr>
      </w:pPr>
    </w:p>
    <w:p>
      <w:pPr>
        <w:keepNext w:val="0"/>
        <w:keepLines w:val="0"/>
        <w:pageBreakBefore w:val="0"/>
        <w:widowControl w:val="0"/>
        <w:tabs>
          <w:tab w:val="left" w:pos="5301"/>
        </w:tabs>
        <w:kinsoku/>
        <w:wordWrap/>
        <w:overflowPunct/>
        <w:topLinePunct w:val="0"/>
        <w:autoSpaceDE/>
        <w:autoSpaceDN/>
        <w:bidi w:val="0"/>
        <w:adjustRightInd/>
        <w:snapToGrid/>
        <w:spacing w:line="160" w:lineRule="exact"/>
        <w:ind w:firstLine="5120" w:firstLineChars="1600"/>
        <w:textAlignment w:val="auto"/>
        <w:rPr>
          <w:rFonts w:hint="eastAsia" w:ascii="宋体" w:hAnsi="宋体" w:eastAsia="仿宋_GB2312" w:cs="仿宋_GB2312"/>
          <w:b w:val="0"/>
          <w:bCs/>
          <w:sz w:val="32"/>
          <w:szCs w:val="32"/>
          <w:lang w:val="en-US" w:eastAsia="zh-CN"/>
        </w:rPr>
      </w:pPr>
      <w:r>
        <w:rPr>
          <w:rFonts w:hint="eastAsia" w:ascii="宋体" w:hAnsi="宋体" w:eastAsia="仿宋_GB2312" w:cs="仿宋_GB2312"/>
          <w:b w:val="0"/>
          <w:bCs/>
          <w:sz w:val="32"/>
          <w:szCs w:val="32"/>
          <w:lang w:val="en-US" w:eastAsia="zh-CN"/>
        </w:rPr>
        <w:tab/>
      </w:r>
    </w:p>
    <w:tbl>
      <w:tblPr>
        <w:tblStyle w:val="20"/>
        <w:tblW w:w="874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74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874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firstLine="106" w:firstLineChars="40"/>
              <w:jc w:val="left"/>
              <w:textAlignment w:val="auto"/>
              <w:rPr>
                <w:rFonts w:hint="eastAsia" w:ascii="宋体" w:hAnsi="宋体" w:eastAsia="仿宋_GB2312"/>
                <w:b w:val="0"/>
                <w:bCs/>
                <w:smallCaps w:val="0"/>
                <w:color w:val="000000" w:themeColor="text1"/>
                <w:spacing w:val="-9"/>
                <w:sz w:val="28"/>
                <w:szCs w:val="28"/>
                <w:lang w:eastAsia="zh-CN"/>
                <w14:textFill>
                  <w14:solidFill>
                    <w14:schemeClr w14:val="tx1"/>
                  </w14:solidFill>
                </w14:textFill>
              </w:rPr>
            </w:pPr>
            <w:r>
              <w:rPr>
                <w:rFonts w:hint="eastAsia" w:ascii="宋体" w:hAnsi="宋体" w:eastAsia="仿宋_GB2312" w:cs="仿宋_GB2312"/>
                <w:b w:val="0"/>
                <w:bCs/>
                <w:smallCaps w:val="0"/>
                <w:color w:val="000000" w:themeColor="text1"/>
                <w:spacing w:val="-7"/>
                <w:sz w:val="28"/>
                <w:szCs w:val="28"/>
                <w14:textFill>
                  <w14:solidFill>
                    <w14:schemeClr w14:val="tx1"/>
                  </w14:solidFill>
                </w14:textFill>
              </w:rPr>
              <w:t>济源产城融合示范区生态环境局办公室</w:t>
            </w:r>
            <w:r>
              <w:rPr>
                <w:rFonts w:hint="eastAsia" w:ascii="宋体" w:hAnsi="宋体" w:eastAsia="仿宋_GB2312" w:cs="仿宋_GB2312"/>
                <w:b w:val="0"/>
                <w:bCs/>
                <w:smallCaps w:val="0"/>
                <w:color w:val="000000" w:themeColor="text1"/>
                <w:spacing w:val="-7"/>
                <w:sz w:val="28"/>
                <w:szCs w:val="28"/>
                <w:lang w:val="en-US" w:eastAsia="zh-CN"/>
                <w14:textFill>
                  <w14:solidFill>
                    <w14:schemeClr w14:val="tx1"/>
                  </w14:solidFill>
                </w14:textFill>
              </w:rPr>
              <w:t xml:space="preserve">          </w:t>
            </w:r>
            <w:r>
              <w:rPr>
                <w:rFonts w:hint="eastAsia" w:ascii="宋体" w:hAnsi="宋体" w:eastAsia="新宋体" w:cs="宋体"/>
                <w:b w:val="0"/>
                <w:bCs/>
                <w:smallCaps w:val="0"/>
                <w:color w:val="000000" w:themeColor="text1"/>
                <w:spacing w:val="-7"/>
                <w:sz w:val="28"/>
                <w:szCs w:val="28"/>
                <w14:textFill>
                  <w14:solidFill>
                    <w14:schemeClr w14:val="tx1"/>
                  </w14:solidFill>
                </w14:textFill>
              </w:rPr>
              <w:t>202</w:t>
            </w:r>
            <w:r>
              <w:rPr>
                <w:rFonts w:hint="eastAsia" w:ascii="宋体" w:hAnsi="宋体" w:eastAsia="新宋体" w:cs="宋体"/>
                <w:b w:val="0"/>
                <w:bCs/>
                <w:smallCaps w:val="0"/>
                <w:color w:val="000000" w:themeColor="text1"/>
                <w:spacing w:val="-7"/>
                <w:sz w:val="28"/>
                <w:szCs w:val="28"/>
                <w:lang w:val="en-US" w:eastAsia="zh-CN"/>
                <w14:textFill>
                  <w14:solidFill>
                    <w14:schemeClr w14:val="tx1"/>
                  </w14:solidFill>
                </w14:textFill>
              </w:rPr>
              <w:t>4</w:t>
            </w:r>
            <w:r>
              <w:rPr>
                <w:rFonts w:hint="eastAsia" w:ascii="宋体" w:hAnsi="宋体" w:eastAsia="仿宋_GB2312" w:cs="仿宋_GB2312"/>
                <w:b w:val="0"/>
                <w:bCs/>
                <w:smallCaps w:val="0"/>
                <w:color w:val="000000" w:themeColor="text1"/>
                <w:spacing w:val="-7"/>
                <w:sz w:val="28"/>
                <w:szCs w:val="28"/>
                <w14:textFill>
                  <w14:solidFill>
                    <w14:schemeClr w14:val="tx1"/>
                  </w14:solidFill>
                </w14:textFill>
              </w:rPr>
              <w:t>年</w:t>
            </w:r>
            <w:r>
              <w:rPr>
                <w:rFonts w:hint="eastAsia" w:ascii="宋体" w:hAnsi="宋体" w:eastAsia="仿宋_GB2312" w:cs="仿宋_GB2312"/>
                <w:b w:val="0"/>
                <w:bCs/>
                <w:smallCaps w:val="0"/>
                <w:color w:val="000000" w:themeColor="text1"/>
                <w:spacing w:val="-7"/>
                <w:sz w:val="28"/>
                <w:szCs w:val="28"/>
                <w:lang w:val="en-US" w:eastAsia="zh-CN"/>
                <w14:textFill>
                  <w14:solidFill>
                    <w14:schemeClr w14:val="tx1"/>
                  </w14:solidFill>
                </w14:textFill>
              </w:rPr>
              <w:t>4月19</w:t>
            </w:r>
            <w:r>
              <w:rPr>
                <w:rFonts w:hint="eastAsia" w:ascii="宋体" w:hAnsi="宋体" w:eastAsia="仿宋_GB2312" w:cs="仿宋_GB2312"/>
                <w:b w:val="0"/>
                <w:bCs/>
                <w:smallCaps w:val="0"/>
                <w:color w:val="000000" w:themeColor="text1"/>
                <w:spacing w:val="-7"/>
                <w:sz w:val="28"/>
                <w:szCs w:val="28"/>
                <w14:textFill>
                  <w14:solidFill>
                    <w14:schemeClr w14:val="tx1"/>
                  </w14:solidFill>
                </w14:textFill>
              </w:rPr>
              <w:t>日印</w:t>
            </w:r>
            <w:r>
              <w:rPr>
                <w:rFonts w:hint="eastAsia" w:ascii="宋体" w:hAnsi="宋体" w:eastAsia="仿宋_GB2312" w:cs="仿宋_GB2312"/>
                <w:b w:val="0"/>
                <w:bCs/>
                <w:smallCaps w:val="0"/>
                <w:color w:val="000000" w:themeColor="text1"/>
                <w:spacing w:val="-7"/>
                <w:sz w:val="28"/>
                <w:szCs w:val="28"/>
                <w:lang w:eastAsia="zh-CN"/>
                <w14:textFill>
                  <w14:solidFill>
                    <w14:schemeClr w14:val="tx1"/>
                  </w14:solidFill>
                </w14:textFill>
              </w:rPr>
              <w:t>发</w:t>
            </w:r>
          </w:p>
        </w:tc>
      </w:tr>
    </w:tbl>
    <w:p>
      <w:pPr>
        <w:pStyle w:val="26"/>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ascii="宋体" w:hAnsi="宋体"/>
          <w:b w:val="0"/>
          <w:bCs/>
        </w:rPr>
      </w:pPr>
    </w:p>
    <w:sectPr>
      <w:footerReference r:id="rId6" w:type="default"/>
      <w:pgSz w:w="11905" w:h="16838"/>
      <w:pgMar w:top="1871" w:right="1474" w:bottom="1701" w:left="1587" w:header="850" w:footer="1531"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3E32171-F364-4E15-869D-48E1B77A5D5E}"/>
  </w:font>
  <w:font w:name="Arial">
    <w:panose1 w:val="020B0604020202020204"/>
    <w:charset w:val="01"/>
    <w:family w:val="swiss"/>
    <w:pitch w:val="default"/>
    <w:sig w:usb0="E0002AFF" w:usb1="C0007843" w:usb2="00000009" w:usb3="00000000" w:csb0="400001FF" w:csb1="FFFF0000"/>
    <w:embedRegular r:id="rId2" w:fontKey="{F463FF38-4ED7-4F22-9D04-BC74DB56CCFC}"/>
  </w:font>
  <w:font w:name="黑体">
    <w:panose1 w:val="02010609060101010101"/>
    <w:charset w:val="86"/>
    <w:family w:val="auto"/>
    <w:pitch w:val="default"/>
    <w:sig w:usb0="800002BF" w:usb1="38CF7CFA" w:usb2="00000016" w:usb3="00000000" w:csb0="00040001" w:csb1="00000000"/>
    <w:embedRegular r:id="rId3" w:fontKey="{4CC9FAF4-54DD-4F00-8355-2FDEFB535488}"/>
  </w:font>
  <w:font w:name="Courier New">
    <w:panose1 w:val="02070309020205020404"/>
    <w:charset w:val="01"/>
    <w:family w:val="modern"/>
    <w:pitch w:val="default"/>
    <w:sig w:usb0="E0002AFF" w:usb1="C0007843" w:usb2="00000009" w:usb3="00000000" w:csb0="400001FF" w:csb1="FFFF0000"/>
    <w:embedRegular r:id="rId4" w:fontKey="{DEA9AD35-EAE2-4860-9FA3-EC86AC53DF9E}"/>
  </w:font>
  <w:font w:name="Symbol">
    <w:panose1 w:val="05050102010706020507"/>
    <w:charset w:val="02"/>
    <w:family w:val="roman"/>
    <w:pitch w:val="default"/>
    <w:sig w:usb0="00000000" w:usb1="00000000" w:usb2="00000000" w:usb3="00000000" w:csb0="80000000" w:csb1="00000000"/>
    <w:embedRegular r:id="rId5" w:fontKey="{312F6A89-7252-4356-BFF0-110A644F18B5}"/>
  </w:font>
  <w:font w:name="Calibri">
    <w:panose1 w:val="020F0502020204030204"/>
    <w:charset w:val="00"/>
    <w:family w:val="swiss"/>
    <w:pitch w:val="default"/>
    <w:sig w:usb0="E00002FF" w:usb1="4000ACFF" w:usb2="00000001" w:usb3="00000000" w:csb0="2000019F" w:csb1="00000000"/>
    <w:embedRegular r:id="rId6" w:fontKey="{23A1492A-5302-4651-8066-5958BD7AF370}"/>
  </w:font>
  <w:font w:name="方正小标宋简体">
    <w:panose1 w:val="03000509000000000000"/>
    <w:charset w:val="86"/>
    <w:family w:val="auto"/>
    <w:pitch w:val="default"/>
    <w:sig w:usb0="00000001" w:usb1="080E0000" w:usb2="00000000" w:usb3="00000000" w:csb0="00040000" w:csb1="00000000"/>
    <w:embedRegular r:id="rId7" w:fontKey="{99E1114B-C6ED-4C64-B1B6-649C00A7378B}"/>
  </w:font>
  <w:font w:name="方正仿宋_GB18030">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8" w:fontKey="{787615ED-C392-45BE-930A-BAF7D3B19ADB}"/>
  </w:font>
  <w:font w:name="楷体">
    <w:panose1 w:val="02010609060101010101"/>
    <w:charset w:val="86"/>
    <w:family w:val="auto"/>
    <w:pitch w:val="default"/>
    <w:sig w:usb0="800002BF" w:usb1="38CF7CFA" w:usb2="00000016" w:usb3="00000000" w:csb0="00040001" w:csb1="00000000"/>
    <w:embedRegular r:id="rId9" w:fontKey="{040F057E-C376-4DF2-B2FD-8CA82769F2C1}"/>
  </w:font>
  <w:font w:name="Microsoft JhengHei">
    <w:panose1 w:val="020B0604030504040204"/>
    <w:charset w:val="88"/>
    <w:family w:val="swiss"/>
    <w:pitch w:val="default"/>
    <w:sig w:usb0="00000087" w:usb1="28AF4000" w:usb2="00000016" w:usb3="00000000" w:csb0="00100009" w:csb1="00000000"/>
  </w:font>
  <w:font w:name="ˎ̥">
    <w:altName w:val="方正公文小标宋"/>
    <w:panose1 w:val="00000000000000000000"/>
    <w:charset w:val="00"/>
    <w:family w:val="roman"/>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华文新魏">
    <w:panose1 w:val="02010800040101010101"/>
    <w:charset w:val="86"/>
    <w:family w:val="auto"/>
    <w:pitch w:val="default"/>
    <w:sig w:usb0="00000001" w:usb1="080F0000" w:usb2="00000000" w:usb3="00000000" w:csb0="00040000" w:csb1="00000000"/>
  </w:font>
  <w:font w:name="Gungsuh">
    <w:panose1 w:val="02030600000101010101"/>
    <w:charset w:val="81"/>
    <w:family w:val="roman"/>
    <w:pitch w:val="default"/>
    <w:sig w:usb0="B00002AF" w:usb1="69D77CFB" w:usb2="00000030" w:usb3="00000000" w:csb0="4008009F" w:csb1="DFD70000"/>
  </w:font>
  <w:font w:name="PMingLiU">
    <w:panose1 w:val="02020500000000000000"/>
    <w:charset w:val="88"/>
    <w:family w:val="roma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embedRegular r:id="rId10" w:fontKey="{029CC4D7-FA4B-4D55-9088-8EB003F8B38B}"/>
  </w:font>
  <w:font w:name="方正小标宋_GBK">
    <w:panose1 w:val="03000509000000000000"/>
    <w:charset w:val="86"/>
    <w:family w:val="auto"/>
    <w:pitch w:val="default"/>
    <w:sig w:usb0="00000001" w:usb1="080E0000" w:usb2="00000000" w:usb3="00000000" w:csb0="00040000" w:csb1="00000000"/>
    <w:embedRegular r:id="rId11" w:fontKey="{F99EEAD8-C41F-4DF7-8744-0442BA23ED33}"/>
  </w:font>
  <w:font w:name="仿宋">
    <w:panose1 w:val="02010609060101010101"/>
    <w:charset w:val="86"/>
    <w:family w:val="auto"/>
    <w:pitch w:val="default"/>
    <w:sig w:usb0="800002BF" w:usb1="38CF7CFA" w:usb2="00000016" w:usb3="00000000" w:csb0="00040001" w:csb1="00000000"/>
    <w:embedRegular r:id="rId12" w:fontKey="{F7BE0518-7D40-48BC-B8B9-1616EA169611}"/>
  </w:font>
  <w:font w:name="楷体_GB2312">
    <w:panose1 w:val="02010609030101010101"/>
    <w:charset w:val="86"/>
    <w:family w:val="auto"/>
    <w:pitch w:val="default"/>
    <w:sig w:usb0="00000001" w:usb1="080E0000" w:usb2="00000000" w:usb3="00000000" w:csb0="00040000" w:csb1="00000000"/>
    <w:embedRegular r:id="rId13" w:fontKey="{A9300ABC-3DE2-472E-A9D1-D98F942DB44B}"/>
  </w:font>
  <w:font w:name="新宋体">
    <w:panose1 w:val="02010609030101010101"/>
    <w:charset w:val="86"/>
    <w:family w:val="modern"/>
    <w:pitch w:val="default"/>
    <w:sig w:usb0="00000003" w:usb1="288F0000" w:usb2="00000006" w:usb3="00000000" w:csb0="00040001" w:csb1="00000000"/>
    <w:embedRegular r:id="rId14" w:fontKey="{14EE08A0-75C1-45D6-9AF3-14C8B7F8162C}"/>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5" w:fontKey="{F80F2371-A0B5-473B-A913-FE489CB98D5D}"/>
  </w:font>
  <w:font w:name="方正公文小标宋">
    <w:panose1 w:val="02000500000000000000"/>
    <w:charset w:val="86"/>
    <w:family w:val="auto"/>
    <w:pitch w:val="default"/>
    <w:sig w:usb0="A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keepNext w:val="0"/>
                            <w:keepLines w:val="0"/>
                            <w:pageBreakBefore w:val="0"/>
                            <w:widowControl w:val="0"/>
                            <w:kinsoku/>
                            <w:wordWrap/>
                            <w:overflowPunct/>
                            <w:topLinePunct w:val="0"/>
                            <w:bidi w:val="0"/>
                            <w:adjustRightInd/>
                            <w:snapToGrid w:val="0"/>
                            <w:ind w:left="210" w:leftChars="100" w:right="210" w:rightChars="10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1"/>
                      <w:keepNext w:val="0"/>
                      <w:keepLines w:val="0"/>
                      <w:pageBreakBefore w:val="0"/>
                      <w:widowControl w:val="0"/>
                      <w:kinsoku/>
                      <w:wordWrap/>
                      <w:overflowPunct/>
                      <w:topLinePunct w:val="0"/>
                      <w:bidi w:val="0"/>
                      <w:adjustRightInd/>
                      <w:snapToGrid w:val="0"/>
                      <w:ind w:left="210" w:leftChars="100" w:right="210" w:rightChars="10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- 1 -</w:t>
                    </w:r>
                    <w:r>
                      <w:rPr>
                        <w:rFonts w:hint="eastAsia" w:ascii="仿宋" w:hAnsi="仿宋" w:eastAsia="仿宋" w:cs="仿宋"/>
                        <w:sz w:val="28"/>
                        <w:szCs w:val="28"/>
                      </w:rPr>
                      <w:fldChar w:fldCharType="end"/>
                    </w:r>
                    <w:r>
                      <w:rPr>
                        <w:rFonts w:hint="eastAsia" w:ascii="仿宋" w:hAnsi="仿宋" w:eastAsia="仿宋" w:cs="仿宋"/>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bidi w:val="0"/>
                            <w:adjustRightInd/>
                            <w:snapToGrid w:val="0"/>
                            <w:ind w:right="210" w:rightChars="100" w:firstLine="280" w:firstLineChars="100"/>
                            <w:textAlignment w:val="auto"/>
                            <w:rPr>
                              <w:rFonts w:hint="eastAsia" w:ascii="宋体" w:hAnsi="宋体" w:eastAsia="宋体"/>
                              <w:sz w:val="28"/>
                              <w:lang w:val="en-US" w:eastAsia="zh-CN"/>
                            </w:rPr>
                          </w:pPr>
                          <w:r>
                            <w:rPr>
                              <w:rFonts w:hint="eastAsia" w:ascii="宋体" w:hAnsi="宋体"/>
                              <w:sz w:val="28"/>
                              <w:lang w:eastAsia="zh-CN"/>
                            </w:rPr>
                            <w:t>—</w:t>
                          </w:r>
                          <w:r>
                            <w:rPr>
                              <w:rFonts w:hint="eastAsia" w:ascii="宋体" w:hAnsi="宋体"/>
                              <w:sz w:val="28"/>
                              <w:lang w:val="en-US" w:eastAsia="zh-CN"/>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r>
                            <w:rPr>
                              <w:rFonts w:hint="eastAsia" w:ascii="宋体" w:hAnsi="宋体"/>
                              <w:sz w:val="28"/>
                              <w:lang w:val="en-US"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bidi w:val="0"/>
                      <w:adjustRightInd/>
                      <w:snapToGrid w:val="0"/>
                      <w:ind w:right="210" w:rightChars="100" w:firstLine="280" w:firstLineChars="100"/>
                      <w:textAlignment w:val="auto"/>
                      <w:rPr>
                        <w:rFonts w:hint="eastAsia" w:ascii="宋体" w:hAnsi="宋体" w:eastAsia="宋体"/>
                        <w:sz w:val="28"/>
                        <w:lang w:val="en-US" w:eastAsia="zh-CN"/>
                      </w:rPr>
                    </w:pPr>
                    <w:r>
                      <w:rPr>
                        <w:rFonts w:hint="eastAsia" w:ascii="宋体" w:hAnsi="宋体"/>
                        <w:sz w:val="28"/>
                        <w:lang w:eastAsia="zh-CN"/>
                      </w:rPr>
                      <w:t>—</w:t>
                    </w:r>
                    <w:r>
                      <w:rPr>
                        <w:rFonts w:hint="eastAsia" w:ascii="宋体" w:hAnsi="宋体"/>
                        <w:sz w:val="28"/>
                        <w:lang w:val="en-US" w:eastAsia="zh-CN"/>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r>
                      <w:rPr>
                        <w:rFonts w:hint="eastAsia" w:ascii="宋体" w:hAnsi="宋体"/>
                        <w:sz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mirrorMargins w:val="1"/>
  <w:bordersDoNotSurroundHeader w:val="0"/>
  <w:bordersDoNotSurroundFooter w:val="0"/>
  <w:documentProtection w:enforcement="0"/>
  <w:defaultTabStop w:val="420"/>
  <w:drawingGridHorizontalSpacing w:val="210"/>
  <w:drawingGridVerticalSpacing w:val="158"/>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2ZWY4MmU4Y2U5YzQzZmRkODQwZDUyMzYyMTI5YTYifQ=="/>
  </w:docVars>
  <w:rsids>
    <w:rsidRoot w:val="00000000"/>
    <w:rsid w:val="00463FFF"/>
    <w:rsid w:val="00C46D24"/>
    <w:rsid w:val="01205F41"/>
    <w:rsid w:val="012918D1"/>
    <w:rsid w:val="015852EE"/>
    <w:rsid w:val="01F960DD"/>
    <w:rsid w:val="020F7907"/>
    <w:rsid w:val="02ED31B1"/>
    <w:rsid w:val="03424399"/>
    <w:rsid w:val="03A94635"/>
    <w:rsid w:val="03DD242F"/>
    <w:rsid w:val="04AB4BA9"/>
    <w:rsid w:val="04B312A8"/>
    <w:rsid w:val="05683DFA"/>
    <w:rsid w:val="058628CB"/>
    <w:rsid w:val="06216C82"/>
    <w:rsid w:val="06694ED4"/>
    <w:rsid w:val="07587F60"/>
    <w:rsid w:val="086D0162"/>
    <w:rsid w:val="08FD44CF"/>
    <w:rsid w:val="0932117A"/>
    <w:rsid w:val="09F8118D"/>
    <w:rsid w:val="0A430C43"/>
    <w:rsid w:val="0B1F42A5"/>
    <w:rsid w:val="0B640FB7"/>
    <w:rsid w:val="0B68626F"/>
    <w:rsid w:val="0C0F3A3B"/>
    <w:rsid w:val="0C242AC8"/>
    <w:rsid w:val="0CCC26B0"/>
    <w:rsid w:val="0D654EF3"/>
    <w:rsid w:val="0D8A4480"/>
    <w:rsid w:val="0DA51181"/>
    <w:rsid w:val="0DC42BB3"/>
    <w:rsid w:val="0DE411A4"/>
    <w:rsid w:val="0E05239E"/>
    <w:rsid w:val="0E666599"/>
    <w:rsid w:val="0E67314B"/>
    <w:rsid w:val="0EA51DCB"/>
    <w:rsid w:val="0EFE5C0E"/>
    <w:rsid w:val="0F7F3013"/>
    <w:rsid w:val="10211D87"/>
    <w:rsid w:val="10793E30"/>
    <w:rsid w:val="1098357A"/>
    <w:rsid w:val="10D83291"/>
    <w:rsid w:val="10EA099D"/>
    <w:rsid w:val="11211225"/>
    <w:rsid w:val="113D61FE"/>
    <w:rsid w:val="11566D6A"/>
    <w:rsid w:val="12B176E4"/>
    <w:rsid w:val="12D06571"/>
    <w:rsid w:val="131F623D"/>
    <w:rsid w:val="13821EBA"/>
    <w:rsid w:val="13AB6DD5"/>
    <w:rsid w:val="13DC051E"/>
    <w:rsid w:val="14A31C6A"/>
    <w:rsid w:val="14B97554"/>
    <w:rsid w:val="14BB6C25"/>
    <w:rsid w:val="14E6318E"/>
    <w:rsid w:val="15967D93"/>
    <w:rsid w:val="15C73357"/>
    <w:rsid w:val="15DB3091"/>
    <w:rsid w:val="16696A6C"/>
    <w:rsid w:val="16892356"/>
    <w:rsid w:val="169A580D"/>
    <w:rsid w:val="16A35E85"/>
    <w:rsid w:val="17011DD0"/>
    <w:rsid w:val="171B7E33"/>
    <w:rsid w:val="17467149"/>
    <w:rsid w:val="174B5616"/>
    <w:rsid w:val="179728E2"/>
    <w:rsid w:val="17E93546"/>
    <w:rsid w:val="18311EA3"/>
    <w:rsid w:val="195B1BCF"/>
    <w:rsid w:val="19E0014B"/>
    <w:rsid w:val="1A4D26BA"/>
    <w:rsid w:val="1A9D33B9"/>
    <w:rsid w:val="1CC935AA"/>
    <w:rsid w:val="1D220DAE"/>
    <w:rsid w:val="1D2D2112"/>
    <w:rsid w:val="1DA03128"/>
    <w:rsid w:val="1DFA645D"/>
    <w:rsid w:val="1E7B2B8C"/>
    <w:rsid w:val="1E8746C4"/>
    <w:rsid w:val="1E8A7C99"/>
    <w:rsid w:val="1EF15053"/>
    <w:rsid w:val="2003322B"/>
    <w:rsid w:val="205071A5"/>
    <w:rsid w:val="20584357"/>
    <w:rsid w:val="20CE073B"/>
    <w:rsid w:val="21110CA8"/>
    <w:rsid w:val="215E2A0F"/>
    <w:rsid w:val="223D6CB5"/>
    <w:rsid w:val="22C57EA9"/>
    <w:rsid w:val="22CA067A"/>
    <w:rsid w:val="22D82A30"/>
    <w:rsid w:val="23253C8C"/>
    <w:rsid w:val="23B614E5"/>
    <w:rsid w:val="23EC19E8"/>
    <w:rsid w:val="24DE3C89"/>
    <w:rsid w:val="260A77E9"/>
    <w:rsid w:val="265A2982"/>
    <w:rsid w:val="265E1C13"/>
    <w:rsid w:val="27317081"/>
    <w:rsid w:val="2738342B"/>
    <w:rsid w:val="276D691A"/>
    <w:rsid w:val="284702DA"/>
    <w:rsid w:val="288D08E8"/>
    <w:rsid w:val="2919289C"/>
    <w:rsid w:val="29C26535"/>
    <w:rsid w:val="2A163D32"/>
    <w:rsid w:val="2A586D72"/>
    <w:rsid w:val="2A8C6D98"/>
    <w:rsid w:val="2A927C7D"/>
    <w:rsid w:val="2AB247D5"/>
    <w:rsid w:val="2ABD68C6"/>
    <w:rsid w:val="2AF37417"/>
    <w:rsid w:val="2B4C560A"/>
    <w:rsid w:val="2BAC195C"/>
    <w:rsid w:val="2BD35769"/>
    <w:rsid w:val="2C767422"/>
    <w:rsid w:val="2DE41780"/>
    <w:rsid w:val="2DF829F8"/>
    <w:rsid w:val="2E3617F3"/>
    <w:rsid w:val="2EF746DE"/>
    <w:rsid w:val="2F3051E4"/>
    <w:rsid w:val="2F4147EB"/>
    <w:rsid w:val="2F4149B3"/>
    <w:rsid w:val="2FAF5D7C"/>
    <w:rsid w:val="300B6959"/>
    <w:rsid w:val="30320879"/>
    <w:rsid w:val="316B3A03"/>
    <w:rsid w:val="321069A7"/>
    <w:rsid w:val="335F3347"/>
    <w:rsid w:val="33922153"/>
    <w:rsid w:val="34182503"/>
    <w:rsid w:val="34AA0A8E"/>
    <w:rsid w:val="36137470"/>
    <w:rsid w:val="362578D7"/>
    <w:rsid w:val="3677219D"/>
    <w:rsid w:val="3678126C"/>
    <w:rsid w:val="36DC14FD"/>
    <w:rsid w:val="376015E3"/>
    <w:rsid w:val="38287961"/>
    <w:rsid w:val="38320130"/>
    <w:rsid w:val="38490C50"/>
    <w:rsid w:val="38EE7BF2"/>
    <w:rsid w:val="393A4EF2"/>
    <w:rsid w:val="393F1F7B"/>
    <w:rsid w:val="395B5E8C"/>
    <w:rsid w:val="396C7424"/>
    <w:rsid w:val="39C61742"/>
    <w:rsid w:val="3A130919"/>
    <w:rsid w:val="3A1D5C86"/>
    <w:rsid w:val="3BE6705D"/>
    <w:rsid w:val="3C152C44"/>
    <w:rsid w:val="3D1230DF"/>
    <w:rsid w:val="40B42029"/>
    <w:rsid w:val="41BF4347"/>
    <w:rsid w:val="42B45D29"/>
    <w:rsid w:val="43361DDD"/>
    <w:rsid w:val="45372790"/>
    <w:rsid w:val="4551186C"/>
    <w:rsid w:val="45853F74"/>
    <w:rsid w:val="45B83A6E"/>
    <w:rsid w:val="46B75A5A"/>
    <w:rsid w:val="46E42239"/>
    <w:rsid w:val="472C42FF"/>
    <w:rsid w:val="47590D17"/>
    <w:rsid w:val="475A1B48"/>
    <w:rsid w:val="47641A09"/>
    <w:rsid w:val="48865D5D"/>
    <w:rsid w:val="48EF4135"/>
    <w:rsid w:val="491F389A"/>
    <w:rsid w:val="49364747"/>
    <w:rsid w:val="49FC784A"/>
    <w:rsid w:val="4A2B4365"/>
    <w:rsid w:val="4A344593"/>
    <w:rsid w:val="4AC419F6"/>
    <w:rsid w:val="4AC60EB2"/>
    <w:rsid w:val="4AFF0BE2"/>
    <w:rsid w:val="4B9C7F6D"/>
    <w:rsid w:val="4BDF4C08"/>
    <w:rsid w:val="4BF67BB9"/>
    <w:rsid w:val="4C09042E"/>
    <w:rsid w:val="4CAB05E1"/>
    <w:rsid w:val="4D3229D5"/>
    <w:rsid w:val="4D734B9A"/>
    <w:rsid w:val="4DC65CF9"/>
    <w:rsid w:val="4E311B0B"/>
    <w:rsid w:val="4E685D41"/>
    <w:rsid w:val="4E7C6D86"/>
    <w:rsid w:val="4EDF48D6"/>
    <w:rsid w:val="4EFD4669"/>
    <w:rsid w:val="4FD51218"/>
    <w:rsid w:val="5031397A"/>
    <w:rsid w:val="505C6771"/>
    <w:rsid w:val="50647CCE"/>
    <w:rsid w:val="51352BB5"/>
    <w:rsid w:val="514C76A3"/>
    <w:rsid w:val="52376603"/>
    <w:rsid w:val="55867ACF"/>
    <w:rsid w:val="55EB0B18"/>
    <w:rsid w:val="55FF5FFE"/>
    <w:rsid w:val="57445CC3"/>
    <w:rsid w:val="57776F40"/>
    <w:rsid w:val="57AE6593"/>
    <w:rsid w:val="57CC7F01"/>
    <w:rsid w:val="58117549"/>
    <w:rsid w:val="58F6558E"/>
    <w:rsid w:val="596D6E44"/>
    <w:rsid w:val="598562FA"/>
    <w:rsid w:val="59D61A8F"/>
    <w:rsid w:val="59FB5B93"/>
    <w:rsid w:val="5AB16043"/>
    <w:rsid w:val="5B0411DE"/>
    <w:rsid w:val="5B3E1839"/>
    <w:rsid w:val="5BF36DE6"/>
    <w:rsid w:val="5C020AD0"/>
    <w:rsid w:val="5C3F0B9B"/>
    <w:rsid w:val="5C627C0F"/>
    <w:rsid w:val="5CBF537F"/>
    <w:rsid w:val="5D8447A8"/>
    <w:rsid w:val="5D905EFA"/>
    <w:rsid w:val="5DA245C2"/>
    <w:rsid w:val="5DE47A17"/>
    <w:rsid w:val="5E513803"/>
    <w:rsid w:val="5EB674B9"/>
    <w:rsid w:val="5EE32C8A"/>
    <w:rsid w:val="5EE94B54"/>
    <w:rsid w:val="5F0E3BDD"/>
    <w:rsid w:val="5F3D5080"/>
    <w:rsid w:val="60CA0560"/>
    <w:rsid w:val="62314166"/>
    <w:rsid w:val="62331932"/>
    <w:rsid w:val="6243208D"/>
    <w:rsid w:val="62C8466F"/>
    <w:rsid w:val="62F5221D"/>
    <w:rsid w:val="62F6254A"/>
    <w:rsid w:val="63514A7A"/>
    <w:rsid w:val="636931F0"/>
    <w:rsid w:val="65075A7F"/>
    <w:rsid w:val="65AE6621"/>
    <w:rsid w:val="66605802"/>
    <w:rsid w:val="674C2674"/>
    <w:rsid w:val="677B70EB"/>
    <w:rsid w:val="67FB5E4B"/>
    <w:rsid w:val="68094FAC"/>
    <w:rsid w:val="68480F25"/>
    <w:rsid w:val="69053799"/>
    <w:rsid w:val="69891B2D"/>
    <w:rsid w:val="69FC73E2"/>
    <w:rsid w:val="6A1012BC"/>
    <w:rsid w:val="6A5A0C52"/>
    <w:rsid w:val="6AD061CF"/>
    <w:rsid w:val="6CB0225E"/>
    <w:rsid w:val="6D6F3D9E"/>
    <w:rsid w:val="6DE64A30"/>
    <w:rsid w:val="6E45229C"/>
    <w:rsid w:val="6EE43E31"/>
    <w:rsid w:val="6F84542E"/>
    <w:rsid w:val="71286A35"/>
    <w:rsid w:val="712F155B"/>
    <w:rsid w:val="71D821D4"/>
    <w:rsid w:val="72987BA3"/>
    <w:rsid w:val="738A7EEB"/>
    <w:rsid w:val="73FB6CD7"/>
    <w:rsid w:val="741010FE"/>
    <w:rsid w:val="747043AB"/>
    <w:rsid w:val="74AB51AC"/>
    <w:rsid w:val="74D21349"/>
    <w:rsid w:val="751C3136"/>
    <w:rsid w:val="75601C5A"/>
    <w:rsid w:val="756857C4"/>
    <w:rsid w:val="766279D8"/>
    <w:rsid w:val="772820DE"/>
    <w:rsid w:val="77681C63"/>
    <w:rsid w:val="77FE037E"/>
    <w:rsid w:val="78092DF3"/>
    <w:rsid w:val="785C6D4C"/>
    <w:rsid w:val="788D60F9"/>
    <w:rsid w:val="78C479E6"/>
    <w:rsid w:val="7AA64095"/>
    <w:rsid w:val="7B2014A6"/>
    <w:rsid w:val="7C68383C"/>
    <w:rsid w:val="7CB65EF9"/>
    <w:rsid w:val="7D4A090E"/>
    <w:rsid w:val="7D6931C0"/>
    <w:rsid w:val="7DA11339"/>
    <w:rsid w:val="7DC74CC3"/>
    <w:rsid w:val="7F435DEE"/>
    <w:rsid w:val="7FFB4923"/>
    <w:rsid w:val="FFBCA1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宋体"/>
      <w:kern w:val="2"/>
      <w:sz w:val="21"/>
      <w:szCs w:val="22"/>
      <w:lang w:val="en-US" w:eastAsia="zh-CN" w:bidi="ar-SA"/>
    </w:rPr>
  </w:style>
  <w:style w:type="paragraph" w:styleId="3">
    <w:name w:val="heading 1"/>
    <w:basedOn w:val="1"/>
    <w:next w:val="1"/>
    <w:autoRedefine/>
    <w:qFormat/>
    <w:uiPriority w:val="0"/>
    <w:pPr>
      <w:spacing w:before="141" w:beforeAutospacing="0" w:after="141" w:afterAutospacing="0"/>
      <w:ind w:left="0" w:right="0"/>
      <w:jc w:val="left"/>
    </w:pPr>
    <w:rPr>
      <w:rFonts w:hint="eastAsia" w:ascii="宋体" w:hAnsi="宋体" w:eastAsia="宋体" w:cs="宋体"/>
      <w:kern w:val="44"/>
      <w:sz w:val="30"/>
      <w:szCs w:val="30"/>
      <w:lang w:val="en-US" w:eastAsia="zh-CN" w:bidi="ar"/>
    </w:rPr>
  </w:style>
  <w:style w:type="paragraph" w:styleId="4">
    <w:name w:val="heading 2"/>
    <w:basedOn w:val="1"/>
    <w:next w:val="1"/>
    <w:autoRedefine/>
    <w:qFormat/>
    <w:uiPriority w:val="1"/>
    <w:pPr>
      <w:ind w:left="751"/>
      <w:outlineLvl w:val="2"/>
    </w:pPr>
    <w:rPr>
      <w:rFonts w:ascii="Microsoft JhengHei" w:hAnsi="Microsoft JhengHei" w:eastAsia="Microsoft JhengHei" w:cs="Microsoft JhengHei"/>
      <w:b/>
      <w:bCs/>
      <w:sz w:val="32"/>
      <w:szCs w:val="32"/>
      <w:lang w:val="zh-CN" w:eastAsia="zh-CN" w:bidi="zh-CN"/>
    </w:rPr>
  </w:style>
  <w:style w:type="paragraph" w:styleId="5">
    <w:name w:val="heading 3"/>
    <w:basedOn w:val="1"/>
    <w:next w:val="1"/>
    <w:autoRedefine/>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21">
    <w:name w:val="Default Paragraph Font"/>
    <w:link w:val="22"/>
    <w:autoRedefine/>
    <w:qFormat/>
    <w:uiPriority w:val="1"/>
    <w:rPr>
      <w:rFonts w:ascii="Times New Roman" w:hAnsi="Times New Roman"/>
      <w:szCs w:val="24"/>
    </w:rPr>
  </w:style>
  <w:style w:type="table" w:default="1" w:styleId="19">
    <w:name w:val="Normal Table"/>
    <w:autoRedefine/>
    <w:qFormat/>
    <w:uiPriority w:val="99"/>
    <w:tblPr>
      <w:tblCellMar>
        <w:top w:w="0" w:type="dxa"/>
        <w:left w:w="108" w:type="dxa"/>
        <w:bottom w:w="0" w:type="dxa"/>
        <w:right w:w="108" w:type="dxa"/>
      </w:tblCellMar>
    </w:tblPr>
  </w:style>
  <w:style w:type="paragraph" w:customStyle="1" w:styleId="2">
    <w:name w:val="_Style 1"/>
    <w:basedOn w:val="1"/>
    <w:autoRedefine/>
    <w:qFormat/>
    <w:uiPriority w:val="0"/>
    <w:pPr>
      <w:spacing w:line="481" w:lineRule="atLeast"/>
      <w:ind w:firstLine="623"/>
      <w:jc w:val="both"/>
      <w:textAlignment w:val="baseline"/>
    </w:pPr>
    <w:rPr>
      <w:rFonts w:ascii="Times New Roman" w:eastAsia="仿宋_GB2312"/>
      <w:color w:val="000000"/>
      <w:sz w:val="31"/>
      <w:u w:val="none" w:color="000000"/>
      <w:vertAlign w:val="baseline"/>
      <w:lang w:val="en-US" w:eastAsia="zh-CN"/>
    </w:rPr>
  </w:style>
  <w:style w:type="paragraph" w:styleId="6">
    <w:name w:val="Normal Indent"/>
    <w:basedOn w:val="1"/>
    <w:autoRedefine/>
    <w:qFormat/>
    <w:uiPriority w:val="0"/>
    <w:pPr>
      <w:ind w:firstLine="420" w:firstLineChars="200"/>
    </w:pPr>
  </w:style>
  <w:style w:type="paragraph" w:styleId="7">
    <w:name w:val="Body Text"/>
    <w:basedOn w:val="1"/>
    <w:next w:val="1"/>
    <w:autoRedefine/>
    <w:qFormat/>
    <w:uiPriority w:val="0"/>
  </w:style>
  <w:style w:type="paragraph" w:styleId="8">
    <w:name w:val="Body Text Indent"/>
    <w:basedOn w:val="1"/>
    <w:autoRedefine/>
    <w:qFormat/>
    <w:uiPriority w:val="0"/>
    <w:pPr>
      <w:ind w:left="570" w:firstLine="846" w:firstLineChars="302"/>
    </w:pPr>
    <w:rPr>
      <w:rFonts w:eastAsia="宋体"/>
      <w:bCs/>
      <w:kern w:val="2"/>
      <w:sz w:val="28"/>
      <w:lang w:val="en-US" w:eastAsia="zh-CN" w:bidi="ar-SA"/>
    </w:rPr>
  </w:style>
  <w:style w:type="paragraph" w:styleId="9">
    <w:name w:val="Date"/>
    <w:basedOn w:val="1"/>
    <w:next w:val="1"/>
    <w:link w:val="43"/>
    <w:autoRedefine/>
    <w:qFormat/>
    <w:uiPriority w:val="0"/>
    <w:pPr>
      <w:ind w:left="100" w:leftChars="2500"/>
    </w:pPr>
  </w:style>
  <w:style w:type="paragraph" w:styleId="10">
    <w:name w:val="Balloon Text"/>
    <w:basedOn w:val="1"/>
    <w:link w:val="33"/>
    <w:autoRedefine/>
    <w:qFormat/>
    <w:uiPriority w:val="99"/>
    <w:rPr>
      <w:sz w:val="18"/>
      <w:szCs w:val="18"/>
    </w:rPr>
  </w:style>
  <w:style w:type="paragraph" w:styleId="11">
    <w:name w:val="footer"/>
    <w:basedOn w:val="1"/>
    <w:link w:val="32"/>
    <w:autoRedefine/>
    <w:qFormat/>
    <w:uiPriority w:val="99"/>
    <w:pPr>
      <w:tabs>
        <w:tab w:val="center" w:pos="4153"/>
        <w:tab w:val="right" w:pos="8306"/>
      </w:tabs>
      <w:snapToGrid w:val="0"/>
      <w:jc w:val="left"/>
    </w:pPr>
    <w:rPr>
      <w:sz w:val="18"/>
      <w:szCs w:val="18"/>
    </w:rPr>
  </w:style>
  <w:style w:type="paragraph" w:styleId="12">
    <w:name w:val="header"/>
    <w:basedOn w:val="1"/>
    <w:link w:val="31"/>
    <w:autoRedefine/>
    <w:qFormat/>
    <w:uiPriority w:val="99"/>
    <w:pPr>
      <w:pBdr>
        <w:bottom w:val="single" w:color="auto" w:sz="6" w:space="1"/>
      </w:pBdr>
      <w:tabs>
        <w:tab w:val="center" w:pos="4153"/>
        <w:tab w:val="right" w:pos="8306"/>
      </w:tabs>
      <w:snapToGrid w:val="0"/>
      <w:jc w:val="center"/>
    </w:pPr>
    <w:rPr>
      <w:sz w:val="18"/>
      <w:szCs w:val="18"/>
    </w:rPr>
  </w:style>
  <w:style w:type="paragraph" w:styleId="13">
    <w:name w:val="footnote text"/>
    <w:basedOn w:val="1"/>
    <w:autoRedefine/>
    <w:semiHidden/>
    <w:qFormat/>
    <w:uiPriority w:val="99"/>
    <w:pPr>
      <w:snapToGrid w:val="0"/>
      <w:jc w:val="left"/>
    </w:pPr>
    <w:rPr>
      <w:kern w:val="0"/>
      <w:sz w:val="18"/>
      <w:szCs w:val="18"/>
    </w:rPr>
  </w:style>
  <w:style w:type="paragraph" w:styleId="14">
    <w:name w:val="toc 2"/>
    <w:basedOn w:val="1"/>
    <w:next w:val="1"/>
    <w:autoRedefine/>
    <w:qFormat/>
    <w:uiPriority w:val="39"/>
    <w:pPr>
      <w:ind w:left="210"/>
      <w:jc w:val="left"/>
    </w:pPr>
    <w:rPr>
      <w:rFonts w:ascii="Calibri" w:hAnsi="Calibri" w:cs="Calibri"/>
      <w:smallCaps/>
      <w:sz w:val="20"/>
      <w:szCs w:val="20"/>
    </w:rPr>
  </w:style>
  <w:style w:type="paragraph" w:styleId="15">
    <w:name w:val="HTML Preformatted"/>
    <w:basedOn w:val="1"/>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6">
    <w:name w:val="Normal (Web)"/>
    <w:basedOn w:val="1"/>
    <w:autoRedefine/>
    <w:qFormat/>
    <w:uiPriority w:val="0"/>
    <w:pPr>
      <w:widowControl/>
      <w:spacing w:beforeAutospacing="1" w:afterAutospacing="1" w:line="360" w:lineRule="atLeast"/>
      <w:jc w:val="left"/>
    </w:pPr>
    <w:rPr>
      <w:rFonts w:ascii="ˎ̥" w:hAnsi="ˎ̥" w:eastAsia="宋体"/>
      <w:kern w:val="0"/>
      <w:sz w:val="18"/>
      <w:szCs w:val="18"/>
    </w:rPr>
  </w:style>
  <w:style w:type="paragraph" w:styleId="17">
    <w:name w:val="Body Text First Indent"/>
    <w:basedOn w:val="7"/>
    <w:next w:val="1"/>
    <w:autoRedefine/>
    <w:unhideWhenUsed/>
    <w:qFormat/>
    <w:uiPriority w:val="99"/>
    <w:pPr>
      <w:ind w:firstLine="420" w:firstLineChars="100"/>
    </w:pPr>
  </w:style>
  <w:style w:type="paragraph" w:styleId="18">
    <w:name w:val="Body Text First Indent 2"/>
    <w:basedOn w:val="1"/>
    <w:next w:val="1"/>
    <w:autoRedefine/>
    <w:qFormat/>
    <w:uiPriority w:val="0"/>
    <w:pPr>
      <w:ind w:firstLine="420" w:firstLineChars="200"/>
    </w:pPr>
  </w:style>
  <w:style w:type="table" w:styleId="20">
    <w:name w:val="Table Grid"/>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 Char Char Char Char Char Char3 Char Char Char Char Char Char Char"/>
    <w:basedOn w:val="1"/>
    <w:next w:val="1"/>
    <w:link w:val="21"/>
    <w:autoRedefine/>
    <w:qFormat/>
    <w:uiPriority w:val="0"/>
    <w:rPr>
      <w:rFonts w:ascii="Times New Roman" w:hAnsi="Times New Roman"/>
      <w:szCs w:val="24"/>
    </w:rPr>
  </w:style>
  <w:style w:type="character" w:styleId="23">
    <w:name w:val="Strong"/>
    <w:basedOn w:val="21"/>
    <w:autoRedefine/>
    <w:qFormat/>
    <w:uiPriority w:val="0"/>
    <w:rPr>
      <w:b/>
    </w:rPr>
  </w:style>
  <w:style w:type="character" w:styleId="24">
    <w:name w:val="page number"/>
    <w:basedOn w:val="21"/>
    <w:autoRedefine/>
    <w:qFormat/>
    <w:uiPriority w:val="99"/>
  </w:style>
  <w:style w:type="character" w:styleId="25">
    <w:name w:val="Hyperlink"/>
    <w:basedOn w:val="21"/>
    <w:autoRedefine/>
    <w:qFormat/>
    <w:uiPriority w:val="99"/>
    <w:rPr>
      <w:color w:val="0000FF"/>
      <w:u w:val="single"/>
    </w:rPr>
  </w:style>
  <w:style w:type="paragraph" w:customStyle="1" w:styleId="26">
    <w:name w:val="1正文1"/>
    <w:basedOn w:val="6"/>
    <w:autoRedefine/>
    <w:qFormat/>
    <w:uiPriority w:val="0"/>
    <w:pPr>
      <w:ind w:firstLine="480"/>
    </w:pPr>
  </w:style>
  <w:style w:type="paragraph" w:customStyle="1" w:styleId="27">
    <w:name w:val="BodyText1I2"/>
    <w:basedOn w:val="28"/>
    <w:autoRedefine/>
    <w:qFormat/>
    <w:uiPriority w:val="0"/>
    <w:pPr>
      <w:ind w:firstLine="420" w:firstLineChars="200"/>
      <w:textAlignment w:val="baseline"/>
    </w:pPr>
    <w:rPr>
      <w:rFonts w:ascii="仿宋_GB2312" w:eastAsia="仿宋_GB2312"/>
      <w:sz w:val="32"/>
    </w:rPr>
  </w:style>
  <w:style w:type="paragraph" w:customStyle="1" w:styleId="28">
    <w:name w:val="BodyTextIndent"/>
    <w:basedOn w:val="1"/>
    <w:autoRedefine/>
    <w:qFormat/>
    <w:uiPriority w:val="0"/>
    <w:pPr>
      <w:ind w:firstLine="645"/>
      <w:textAlignment w:val="baseline"/>
    </w:pPr>
    <w:rPr>
      <w:rFonts w:ascii="Times New Roman" w:hAnsi="Times New Roman" w:eastAsia="宋体" w:cs="Times New Roman"/>
      <w:sz w:val="32"/>
      <w:szCs w:val="24"/>
    </w:rPr>
  </w:style>
  <w:style w:type="paragraph" w:customStyle="1" w:styleId="29">
    <w:name w:val="Body Text First Indent1"/>
    <w:basedOn w:val="7"/>
    <w:next w:val="1"/>
    <w:autoRedefine/>
    <w:qFormat/>
    <w:uiPriority w:val="0"/>
    <w:pPr>
      <w:ind w:firstLine="420" w:firstLineChars="100"/>
    </w:pPr>
  </w:style>
  <w:style w:type="paragraph" w:customStyle="1" w:styleId="30">
    <w:name w:val="Char Char Char"/>
    <w:basedOn w:val="1"/>
    <w:autoRedefine/>
    <w:qFormat/>
    <w:uiPriority w:val="0"/>
  </w:style>
  <w:style w:type="character" w:customStyle="1" w:styleId="31">
    <w:name w:val="页眉 Char"/>
    <w:basedOn w:val="21"/>
    <w:link w:val="12"/>
    <w:autoRedefine/>
    <w:qFormat/>
    <w:uiPriority w:val="99"/>
    <w:rPr>
      <w:sz w:val="18"/>
      <w:szCs w:val="18"/>
    </w:rPr>
  </w:style>
  <w:style w:type="character" w:customStyle="1" w:styleId="32">
    <w:name w:val="页脚 Char"/>
    <w:basedOn w:val="21"/>
    <w:link w:val="11"/>
    <w:autoRedefine/>
    <w:qFormat/>
    <w:uiPriority w:val="99"/>
    <w:rPr>
      <w:sz w:val="18"/>
      <w:szCs w:val="18"/>
    </w:rPr>
  </w:style>
  <w:style w:type="character" w:customStyle="1" w:styleId="33">
    <w:name w:val="批注框文本 Char"/>
    <w:basedOn w:val="21"/>
    <w:link w:val="10"/>
    <w:autoRedefine/>
    <w:qFormat/>
    <w:uiPriority w:val="99"/>
    <w:rPr>
      <w:sz w:val="18"/>
      <w:szCs w:val="18"/>
    </w:rPr>
  </w:style>
  <w:style w:type="character" w:customStyle="1" w:styleId="34">
    <w:name w:val="font31"/>
    <w:basedOn w:val="21"/>
    <w:autoRedefine/>
    <w:qFormat/>
    <w:uiPriority w:val="0"/>
    <w:rPr>
      <w:rFonts w:hint="eastAsia" w:ascii="宋体" w:hAnsi="宋体" w:eastAsia="宋体" w:cs="宋体"/>
      <w:color w:val="000000"/>
      <w:sz w:val="22"/>
      <w:szCs w:val="22"/>
      <w:u w:val="none"/>
    </w:rPr>
  </w:style>
  <w:style w:type="character" w:customStyle="1" w:styleId="35">
    <w:name w:val="font01"/>
    <w:basedOn w:val="21"/>
    <w:autoRedefine/>
    <w:qFormat/>
    <w:uiPriority w:val="0"/>
    <w:rPr>
      <w:rFonts w:hint="eastAsia" w:ascii="宋体" w:hAnsi="宋体" w:eastAsia="宋体" w:cs="宋体"/>
      <w:color w:val="000000"/>
      <w:sz w:val="22"/>
      <w:szCs w:val="22"/>
      <w:u w:val="none"/>
      <w:vertAlign w:val="subscript"/>
    </w:rPr>
  </w:style>
  <w:style w:type="paragraph" w:styleId="36">
    <w:name w:val="List Paragraph"/>
    <w:basedOn w:val="1"/>
    <w:autoRedefine/>
    <w:qFormat/>
    <w:uiPriority w:val="99"/>
    <w:pPr>
      <w:ind w:firstLine="420" w:firstLineChars="200"/>
    </w:pPr>
  </w:style>
  <w:style w:type="paragraph" w:customStyle="1" w:styleId="37">
    <w:name w:val="正文 New New New New New New New New New New New New New New New New New New New New New New"/>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
    <w:name w:val="p0"/>
    <w:basedOn w:val="1"/>
    <w:autoRedefine/>
    <w:qFormat/>
    <w:uiPriority w:val="0"/>
    <w:pPr>
      <w:widowControl/>
    </w:pPr>
    <w:rPr>
      <w:rFonts w:ascii="Times New Roman" w:hAnsi="Times New Roman" w:eastAsia="宋体"/>
      <w:kern w:val="0"/>
      <w:szCs w:val="21"/>
    </w:rPr>
  </w:style>
  <w:style w:type="character" w:customStyle="1" w:styleId="40">
    <w:name w:val="font21"/>
    <w:basedOn w:val="21"/>
    <w:autoRedefine/>
    <w:qFormat/>
    <w:uiPriority w:val="0"/>
    <w:rPr>
      <w:rFonts w:hint="default" w:ascii="Arial" w:hAnsi="Arial" w:cs="Arial"/>
      <w:color w:val="000000"/>
      <w:sz w:val="24"/>
      <w:szCs w:val="24"/>
      <w:u w:val="none"/>
    </w:rPr>
  </w:style>
  <w:style w:type="character" w:customStyle="1" w:styleId="41">
    <w:name w:val="font11"/>
    <w:basedOn w:val="21"/>
    <w:autoRedefine/>
    <w:qFormat/>
    <w:uiPriority w:val="0"/>
    <w:rPr>
      <w:rFonts w:hint="eastAsia" w:ascii="Arial Unicode MS" w:hAnsi="Arial Unicode MS" w:eastAsia="Arial Unicode MS" w:cs="Arial Unicode MS"/>
      <w:color w:val="000000"/>
      <w:sz w:val="24"/>
      <w:szCs w:val="24"/>
      <w:u w:val="none"/>
    </w:rPr>
  </w:style>
  <w:style w:type="character" w:customStyle="1" w:styleId="42">
    <w:name w:val="font91"/>
    <w:basedOn w:val="21"/>
    <w:autoRedefine/>
    <w:qFormat/>
    <w:uiPriority w:val="0"/>
    <w:rPr>
      <w:rFonts w:ascii="仿宋_GB2312" w:eastAsia="仿宋_GB2312" w:cs="仿宋_GB2312"/>
      <w:b/>
      <w:color w:val="000000"/>
      <w:sz w:val="22"/>
      <w:szCs w:val="22"/>
      <w:u w:val="none"/>
    </w:rPr>
  </w:style>
  <w:style w:type="character" w:customStyle="1" w:styleId="43">
    <w:name w:val="日期 Char"/>
    <w:basedOn w:val="21"/>
    <w:link w:val="9"/>
    <w:autoRedefine/>
    <w:qFormat/>
    <w:uiPriority w:val="0"/>
    <w:rPr>
      <w:rFonts w:ascii="Calibri" w:hAnsi="Calibri" w:eastAsia="宋体" w:cs="宋体"/>
      <w:kern w:val="2"/>
      <w:sz w:val="21"/>
      <w:szCs w:val="22"/>
    </w:rPr>
  </w:style>
  <w:style w:type="character" w:customStyle="1" w:styleId="44">
    <w:name w:val="font51"/>
    <w:basedOn w:val="21"/>
    <w:autoRedefine/>
    <w:qFormat/>
    <w:uiPriority w:val="0"/>
    <w:rPr>
      <w:rFonts w:hint="eastAsia" w:ascii="宋体" w:hAnsi="宋体" w:eastAsia="宋体" w:cs="宋体"/>
      <w:b/>
      <w:color w:val="000000"/>
      <w:sz w:val="36"/>
      <w:szCs w:val="36"/>
      <w:u w:val="none"/>
    </w:rPr>
  </w:style>
  <w:style w:type="paragraph" w:customStyle="1" w:styleId="45">
    <w:name w:val=" Char Char Char Char Char Char Char"/>
    <w:basedOn w:val="1"/>
    <w:autoRedefine/>
    <w:qFormat/>
    <w:uiPriority w:val="0"/>
    <w:rPr>
      <w:szCs w:val="21"/>
    </w:rPr>
  </w:style>
  <w:style w:type="paragraph" w:customStyle="1" w:styleId="46">
    <w:name w:val="封面3"/>
    <w:basedOn w:val="47"/>
    <w:next w:val="1"/>
    <w:autoRedefine/>
    <w:qFormat/>
    <w:uiPriority w:val="0"/>
    <w:rPr>
      <w:rFonts w:ascii="Times New Roman" w:hAnsi="Times New Roman" w:eastAsia="宋体"/>
      <w:spacing w:val="0"/>
      <w:w w:val="100"/>
      <w:sz w:val="44"/>
      <w:szCs w:val="20"/>
    </w:rPr>
  </w:style>
  <w:style w:type="paragraph" w:customStyle="1" w:styleId="47">
    <w:name w:val="封面1"/>
    <w:autoRedefine/>
    <w:qFormat/>
    <w:uiPriority w:val="0"/>
    <w:pPr>
      <w:jc w:val="center"/>
    </w:pPr>
    <w:rPr>
      <w:rFonts w:ascii="华文新魏" w:hAnsi="Gungsuh" w:eastAsia="华文新魏" w:cs="Times New Roman"/>
      <w:spacing w:val="4"/>
      <w:w w:val="88"/>
      <w:sz w:val="52"/>
      <w:szCs w:val="24"/>
      <w:lang w:val="en-US" w:eastAsia="zh-CN" w:bidi="ar-SA"/>
    </w:rPr>
  </w:style>
  <w:style w:type="paragraph" w:customStyle="1" w:styleId="48">
    <w:name w:val="Header or footer|2"/>
    <w:basedOn w:val="1"/>
    <w:autoRedefine/>
    <w:qFormat/>
    <w:uiPriority w:val="0"/>
    <w:pPr>
      <w:widowControl w:val="0"/>
      <w:shd w:val="clear" w:color="auto" w:fill="auto"/>
    </w:pPr>
    <w:rPr>
      <w:sz w:val="20"/>
      <w:szCs w:val="20"/>
      <w:u w:val="none"/>
      <w:shd w:val="clear" w:color="auto" w:fill="auto"/>
      <w:lang w:val="zh-TW" w:eastAsia="zh-TW" w:bidi="zh-TW"/>
    </w:rPr>
  </w:style>
  <w:style w:type="paragraph" w:customStyle="1" w:styleId="49">
    <w:name w:val="Body text|1"/>
    <w:basedOn w:val="1"/>
    <w:autoRedefine/>
    <w:qFormat/>
    <w:uiPriority w:val="0"/>
    <w:pPr>
      <w:spacing w:line="458" w:lineRule="auto"/>
      <w:ind w:firstLine="400"/>
      <w:jc w:val="left"/>
    </w:pPr>
    <w:rPr>
      <w:rFonts w:ascii="宋体" w:hAnsi="宋体" w:eastAsia="宋体" w:cs="宋体"/>
      <w:kern w:val="0"/>
      <w:sz w:val="28"/>
      <w:szCs w:val="28"/>
      <w:lang w:val="zh-TW" w:eastAsia="zh-TW" w:bidi="zh-TW"/>
    </w:rPr>
  </w:style>
  <w:style w:type="paragraph" w:customStyle="1" w:styleId="50">
    <w:name w:val="Heading #2|1"/>
    <w:basedOn w:val="1"/>
    <w:autoRedefine/>
    <w:qFormat/>
    <w:uiPriority w:val="0"/>
    <w:pPr>
      <w:widowControl w:val="0"/>
      <w:shd w:val="clear" w:color="auto" w:fill="auto"/>
      <w:spacing w:after="480" w:afterLines="0" w:line="552" w:lineRule="exact"/>
      <w:ind w:left="2280" w:hanging="990"/>
      <w:outlineLvl w:val="1"/>
    </w:pPr>
    <w:rPr>
      <w:rFonts w:ascii="宋体" w:hAnsi="宋体" w:eastAsia="宋体" w:cs="宋体"/>
      <w:sz w:val="42"/>
      <w:szCs w:val="42"/>
      <w:u w:val="none"/>
      <w:shd w:val="clear" w:color="auto" w:fill="auto"/>
      <w:lang w:val="zh-TW" w:eastAsia="zh-TW" w:bidi="zh-TW"/>
    </w:rPr>
  </w:style>
  <w:style w:type="paragraph" w:customStyle="1" w:styleId="51">
    <w:name w:val="p15"/>
    <w:basedOn w:val="1"/>
    <w:autoRedefine/>
    <w:unhideWhenUsed/>
    <w:qFormat/>
    <w:uiPriority w:val="0"/>
    <w:pPr>
      <w:widowControl/>
    </w:pPr>
    <w:rPr>
      <w:rFonts w:hint="eastAsia"/>
    </w:rPr>
  </w:style>
  <w:style w:type="paragraph" w:customStyle="1" w:styleId="52">
    <w:name w:val="Table Paragraph"/>
    <w:basedOn w:val="1"/>
    <w:autoRedefine/>
    <w:qFormat/>
    <w:uiPriority w:val="1"/>
    <w:rPr>
      <w:rFonts w:ascii="宋体" w:hAnsi="宋体" w:eastAsia="宋体" w:cs="宋体"/>
      <w:lang w:val="zh-CN" w:eastAsia="zh-CN" w:bidi="zh-CN"/>
    </w:rPr>
  </w:style>
  <w:style w:type="character" w:customStyle="1" w:styleId="53">
    <w:name w:val="font41"/>
    <w:basedOn w:val="21"/>
    <w:autoRedefine/>
    <w:qFormat/>
    <w:uiPriority w:val="0"/>
    <w:rPr>
      <w:rFonts w:ascii="Arial" w:hAnsi="Arial" w:cs="Arial"/>
      <w:color w:val="000000"/>
      <w:sz w:val="24"/>
      <w:szCs w:val="24"/>
      <w:u w:val="none"/>
    </w:rPr>
  </w:style>
  <w:style w:type="paragraph" w:customStyle="1" w:styleId="54">
    <w:name w:val="MSG_EN_FONT_STYLE_NAME_TEMPLATE_ROLE_LEVEL MSG_EN_FONT_STYLE_NAME_BY_ROLE_HEADING 2|1"/>
    <w:basedOn w:val="1"/>
    <w:autoRedefine/>
    <w:qFormat/>
    <w:uiPriority w:val="0"/>
    <w:pPr>
      <w:shd w:val="clear" w:color="auto" w:fill="FFFFFF"/>
      <w:spacing w:before="320" w:after="540" w:line="653" w:lineRule="exact"/>
      <w:jc w:val="center"/>
      <w:outlineLvl w:val="1"/>
    </w:pPr>
    <w:rPr>
      <w:rFonts w:ascii="宋体" w:hAnsi="宋体" w:cs="宋体"/>
      <w:kern w:val="0"/>
      <w:sz w:val="42"/>
      <w:szCs w:val="42"/>
    </w:rPr>
  </w:style>
  <w:style w:type="paragraph" w:customStyle="1" w:styleId="55">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6">
    <w:name w:val="NormalCharacter"/>
    <w:autoRedefine/>
    <w:qFormat/>
    <w:uiPriority w:val="0"/>
  </w:style>
  <w:style w:type="character" w:customStyle="1" w:styleId="57">
    <w:name w:val="bjh-strong"/>
    <w:autoRedefine/>
    <w:qFormat/>
    <w:uiPriority w:val="0"/>
  </w:style>
  <w:style w:type="table" w:customStyle="1" w:styleId="58">
    <w:name w:val="Table Normal"/>
    <w:autoRedefine/>
    <w:semiHidden/>
    <w:unhideWhenUsed/>
    <w:qFormat/>
    <w:uiPriority w:val="0"/>
    <w:tblPr>
      <w:tblCellMar>
        <w:top w:w="0" w:type="dxa"/>
        <w:left w:w="0" w:type="dxa"/>
        <w:bottom w:w="0" w:type="dxa"/>
        <w:right w:w="0" w:type="dxa"/>
      </w:tblCellMar>
    </w:tblPr>
  </w:style>
  <w:style w:type="paragraph" w:customStyle="1" w:styleId="59">
    <w:name w:val="标题 #3"/>
    <w:basedOn w:val="1"/>
    <w:autoRedefine/>
    <w:qFormat/>
    <w:uiPriority w:val="0"/>
    <w:pPr>
      <w:widowControl w:val="0"/>
      <w:shd w:val="clear" w:color="auto" w:fill="auto"/>
      <w:spacing w:after="140"/>
      <w:jc w:val="center"/>
      <w:outlineLvl w:val="2"/>
    </w:pPr>
    <w:rPr>
      <w:rFonts w:ascii="宋体" w:hAnsi="宋体" w:eastAsia="宋体" w:cs="宋体"/>
      <w:sz w:val="42"/>
      <w:szCs w:val="42"/>
      <w:u w:val="none"/>
      <w:lang w:val="zh-CN" w:eastAsia="zh-CN" w:bidi="zh-CN"/>
    </w:rPr>
  </w:style>
  <w:style w:type="paragraph" w:customStyle="1" w:styleId="60">
    <w:name w:val="正文文本1"/>
    <w:basedOn w:val="1"/>
    <w:autoRedefine/>
    <w:qFormat/>
    <w:uiPriority w:val="0"/>
    <w:pPr>
      <w:widowControl w:val="0"/>
      <w:shd w:val="clear" w:color="auto" w:fill="auto"/>
      <w:spacing w:line="408" w:lineRule="auto"/>
      <w:ind w:firstLine="400"/>
    </w:pPr>
    <w:rPr>
      <w:rFonts w:ascii="宋体" w:hAnsi="宋体" w:eastAsia="宋体" w:cs="宋体"/>
      <w:sz w:val="30"/>
      <w:szCs w:val="30"/>
      <w:u w:val="none"/>
      <w:lang w:val="zh-CN" w:eastAsia="zh-CN" w:bidi="zh-CN"/>
    </w:rPr>
  </w:style>
  <w:style w:type="paragraph" w:customStyle="1" w:styleId="61">
    <w:name w:val="正文文本 (2)"/>
    <w:basedOn w:val="1"/>
    <w:autoRedefine/>
    <w:qFormat/>
    <w:uiPriority w:val="0"/>
    <w:pPr>
      <w:widowControl w:val="0"/>
      <w:shd w:val="clear" w:color="auto" w:fill="auto"/>
      <w:spacing w:line="581" w:lineRule="exact"/>
      <w:ind w:firstLine="660"/>
    </w:pPr>
    <w:rPr>
      <w:rFonts w:ascii="黑体" w:hAnsi="黑体" w:eastAsia="黑体" w:cs="黑体"/>
      <w:sz w:val="32"/>
      <w:szCs w:val="32"/>
      <w:u w:val="none"/>
      <w:lang w:val="zh-CN" w:eastAsia="zh-CN" w:bidi="zh-CN"/>
    </w:rPr>
  </w:style>
  <w:style w:type="paragraph" w:customStyle="1" w:styleId="62">
    <w:name w:val="页眉或页脚 (2)"/>
    <w:basedOn w:val="1"/>
    <w:autoRedefine/>
    <w:qFormat/>
    <w:uiPriority w:val="0"/>
    <w:pPr>
      <w:widowControl w:val="0"/>
      <w:shd w:val="clear" w:color="auto" w:fill="auto"/>
    </w:pPr>
    <w:rPr>
      <w:rFonts w:ascii="Times New Roman" w:hAnsi="Times New Roman" w:eastAsia="Times New Roman" w:cs="Times New Roman"/>
      <w:sz w:val="20"/>
      <w:szCs w:val="20"/>
      <w:u w:val="none"/>
      <w:lang w:val="zh-CN" w:eastAsia="zh-CN" w:bidi="zh-CN"/>
    </w:rPr>
  </w:style>
  <w:style w:type="character" w:customStyle="1" w:styleId="63">
    <w:name w:val="MSG_EN_FONT_STYLE_NAME_TEMPLATE_ROLE MSG_EN_FONT_STYLE_NAME_BY_ROLE_TEXT|6_"/>
    <w:basedOn w:val="21"/>
    <w:link w:val="64"/>
    <w:autoRedefine/>
    <w:qFormat/>
    <w:locked/>
    <w:uiPriority w:val="99"/>
    <w:rPr>
      <w:rFonts w:ascii="PMingLiU" w:eastAsia="PMingLiU" w:cs="PMingLiU"/>
      <w:kern w:val="0"/>
      <w:sz w:val="22"/>
    </w:rPr>
  </w:style>
  <w:style w:type="paragraph" w:customStyle="1" w:styleId="64">
    <w:name w:val="MSG_EN_FONT_STYLE_NAME_TEMPLATE_ROLE MSG_EN_FONT_STYLE_NAME_BY_ROLE_TEXT|61"/>
    <w:basedOn w:val="1"/>
    <w:link w:val="63"/>
    <w:autoRedefine/>
    <w:qFormat/>
    <w:uiPriority w:val="99"/>
    <w:pPr>
      <w:shd w:val="clear" w:color="auto" w:fill="FFFFFF"/>
      <w:spacing w:line="466" w:lineRule="exact"/>
      <w:ind w:firstLine="200" w:firstLineChars="200"/>
      <w:jc w:val="distribute"/>
    </w:pPr>
    <w:rPr>
      <w:rFonts w:ascii="PMingLiU" w:eastAsia="PMingLiU" w:cs="PMingLiU"/>
      <w:kern w:val="0"/>
      <w:sz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4806</Words>
  <Characters>5666</Characters>
  <Paragraphs>71</Paragraphs>
  <TotalTime>80</TotalTime>
  <ScaleCrop>false</ScaleCrop>
  <LinksUpToDate>false</LinksUpToDate>
  <CharactersWithSpaces>5725</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2019-05-22T11:55:00Z</dcterms:created>
  <dc:creator>user</dc:creator>
  <cp:lastModifiedBy>笑傲江湖</cp:lastModifiedBy>
  <cp:lastPrinted>2024-04-24T03:32:50Z</cp:lastPrinted>
  <dcterms:modified xsi:type="dcterms:W3CDTF">2024-04-24T05:42:20Z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SaveFontToCloudKey">
    <vt:lpwstr>548920287_embed</vt:lpwstr>
  </property>
  <property fmtid="{D5CDD505-2E9C-101B-9397-08002B2CF9AE}" pid="4" name="ICV">
    <vt:lpwstr>50413CBA66494A48B5A74A6EE3322F33_13</vt:lpwstr>
  </property>
</Properties>
</file>