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eastAsia="仿宋_GB2312" w:cs="Times New Roman"/>
          <w:sz w:val="36"/>
          <w:szCs w:val="36"/>
          <w:highlight w:val="none"/>
        </w:rPr>
      </w:pPr>
    </w:p>
    <w:p>
      <w:pPr>
        <w:rPr>
          <w:rFonts w:hint="default" w:ascii="Times New Roman" w:hAnsi="Times New Roman" w:eastAsia="仿宋_GB2312" w:cs="Times New Roman"/>
          <w:sz w:val="36"/>
          <w:szCs w:val="36"/>
          <w:highlight w:val="none"/>
        </w:rPr>
      </w:pPr>
    </w:p>
    <w:p>
      <w:pPr>
        <w:rPr>
          <w:rFonts w:hint="default" w:ascii="Times New Roman" w:hAnsi="Times New Roman" w:eastAsia="仿宋_GB2312" w:cs="Times New Roman"/>
          <w:sz w:val="36"/>
          <w:szCs w:val="36"/>
          <w:highlight w:val="none"/>
        </w:rPr>
      </w:pPr>
    </w:p>
    <w:p>
      <w:pPr>
        <w:rPr>
          <w:rFonts w:hint="default" w:ascii="Times New Roman" w:hAnsi="Times New Roman" w:eastAsia="仿宋_GB2312" w:cs="Times New Roman"/>
          <w:sz w:val="36"/>
          <w:szCs w:val="36"/>
          <w:highlight w:val="none"/>
        </w:rPr>
      </w:pPr>
    </w:p>
    <w:p>
      <w:pPr>
        <w:rPr>
          <w:rFonts w:hint="default" w:ascii="Times New Roman" w:hAnsi="Times New Roman" w:eastAsia="仿宋_GB2312" w:cs="Times New Roman"/>
          <w:sz w:val="36"/>
          <w:szCs w:val="36"/>
          <w:highlight w:val="none"/>
        </w:rPr>
      </w:pPr>
    </w:p>
    <w:p>
      <w:pPr>
        <w:adjustRightInd w:val="0"/>
        <w:snapToGrid w:val="0"/>
        <w:jc w:val="center"/>
        <w:outlineLvl w:val="0"/>
        <w:rPr>
          <w:rFonts w:hint="default" w:ascii="Times New Roman" w:hAnsi="Times New Roman" w:eastAsia="方正小标宋_GBK" w:cs="Times New Roman"/>
          <w:bCs/>
          <w:sz w:val="72"/>
          <w:szCs w:val="72"/>
          <w:highlight w:val="none"/>
        </w:rPr>
      </w:pPr>
      <w:r>
        <w:rPr>
          <w:rFonts w:hint="default" w:ascii="Times New Roman" w:hAnsi="Times New Roman" w:eastAsia="方正小标宋_GBK" w:cs="Times New Roman"/>
          <w:bCs/>
          <w:sz w:val="72"/>
          <w:szCs w:val="72"/>
          <w:highlight w:val="none"/>
        </w:rPr>
        <w:t>建设项目环境影响报告表</w:t>
      </w:r>
    </w:p>
    <w:p>
      <w:pPr>
        <w:adjustRightInd w:val="0"/>
        <w:snapToGrid w:val="0"/>
        <w:spacing w:before="192" w:beforeLines="80"/>
        <w:jc w:val="center"/>
        <w:rPr>
          <w:rFonts w:hint="default" w:ascii="Times New Roman" w:hAnsi="Times New Roman" w:eastAsia="楷体_GB2312" w:cs="Times New Roman"/>
          <w:bCs/>
          <w:sz w:val="48"/>
          <w:szCs w:val="48"/>
          <w:highlight w:val="none"/>
        </w:rPr>
      </w:pPr>
      <w:r>
        <w:rPr>
          <w:rFonts w:hint="default" w:ascii="Times New Roman" w:hAnsi="Times New Roman" w:eastAsia="楷体_GB2312" w:cs="Times New Roman"/>
          <w:bCs/>
          <w:sz w:val="48"/>
          <w:szCs w:val="48"/>
          <w:highlight w:val="none"/>
        </w:rPr>
        <w:t>（污染影响类）</w:t>
      </w:r>
    </w:p>
    <w:p>
      <w:pPr>
        <w:adjustRightInd w:val="0"/>
        <w:snapToGrid w:val="0"/>
        <w:spacing w:before="192" w:beforeLines="80"/>
        <w:jc w:val="center"/>
        <w:rPr>
          <w:rFonts w:hint="default" w:ascii="Times New Roman" w:hAnsi="Times New Roman" w:eastAsia="楷体_GB2312" w:cs="Times New Roman"/>
          <w:bCs/>
          <w:sz w:val="48"/>
          <w:szCs w:val="48"/>
          <w:highlight w:val="none"/>
        </w:rPr>
      </w:pPr>
      <w:r>
        <w:rPr>
          <w:rFonts w:hint="default" w:ascii="Times New Roman" w:hAnsi="Times New Roman" w:eastAsia="楷体_GB2312" w:cs="Times New Roman"/>
          <w:bCs/>
          <w:sz w:val="48"/>
          <w:szCs w:val="48"/>
          <w:highlight w:val="none"/>
        </w:rPr>
        <w:t>（</w:t>
      </w:r>
      <w:r>
        <w:rPr>
          <w:rFonts w:hint="eastAsia" w:eastAsia="楷体_GB2312" w:cs="Times New Roman"/>
          <w:bCs/>
          <w:sz w:val="48"/>
          <w:szCs w:val="48"/>
          <w:highlight w:val="none"/>
          <w:lang w:val="en-US" w:eastAsia="zh-CN"/>
        </w:rPr>
        <w:t>报批版</w:t>
      </w:r>
      <w:r>
        <w:rPr>
          <w:rFonts w:hint="default" w:ascii="Times New Roman" w:hAnsi="Times New Roman" w:eastAsia="楷体_GB2312" w:cs="Times New Roman"/>
          <w:bCs/>
          <w:sz w:val="48"/>
          <w:szCs w:val="48"/>
          <w:highlight w:val="none"/>
        </w:rPr>
        <w:t>）</w:t>
      </w:r>
    </w:p>
    <w:p>
      <w:pPr>
        <w:adjustRightInd w:val="0"/>
        <w:snapToGrid w:val="0"/>
        <w:spacing w:line="288" w:lineRule="auto"/>
        <w:jc w:val="center"/>
        <w:outlineLvl w:val="0"/>
        <w:rPr>
          <w:rFonts w:hint="default" w:ascii="Times New Roman" w:hAnsi="Times New Roman" w:eastAsia="华文仿宋" w:cs="Times New Roman"/>
          <w:color w:val="000000"/>
          <w:kern w:val="44"/>
          <w:sz w:val="44"/>
          <w:szCs w:val="44"/>
          <w:highlight w:val="none"/>
        </w:rPr>
      </w:pPr>
    </w:p>
    <w:p>
      <w:pPr>
        <w:jc w:val="center"/>
        <w:rPr>
          <w:rFonts w:hint="default" w:ascii="Times New Roman" w:hAnsi="Times New Roman" w:eastAsia="仿宋" w:cs="Times New Roman"/>
          <w:sz w:val="52"/>
          <w:szCs w:val="52"/>
          <w:highlight w:val="none"/>
        </w:rPr>
      </w:pPr>
    </w:p>
    <w:p>
      <w:pPr>
        <w:ind w:firstLine="1040"/>
        <w:rPr>
          <w:rFonts w:hint="default" w:ascii="Times New Roman" w:hAnsi="Times New Roman" w:eastAsia="仿宋" w:cs="Times New Roman"/>
          <w:sz w:val="44"/>
          <w:szCs w:val="44"/>
          <w:highlight w:val="none"/>
        </w:rPr>
      </w:pPr>
    </w:p>
    <w:p>
      <w:pPr>
        <w:ind w:firstLine="1040"/>
        <w:rPr>
          <w:rFonts w:hint="default" w:ascii="Times New Roman" w:hAnsi="Times New Roman" w:eastAsia="仿宋" w:cs="Times New Roman"/>
          <w:sz w:val="44"/>
          <w:szCs w:val="44"/>
          <w:highlight w:val="none"/>
        </w:rPr>
      </w:pPr>
    </w:p>
    <w:p>
      <w:pPr>
        <w:ind w:firstLine="1040"/>
        <w:rPr>
          <w:rFonts w:hint="default" w:ascii="Times New Roman" w:hAnsi="Times New Roman" w:eastAsia="仿宋" w:cs="Times New Roman"/>
          <w:sz w:val="44"/>
          <w:szCs w:val="44"/>
          <w:highlight w:val="none"/>
        </w:rPr>
      </w:pPr>
    </w:p>
    <w:p>
      <w:pPr>
        <w:ind w:firstLine="1040"/>
        <w:rPr>
          <w:rFonts w:hint="default" w:ascii="Times New Roman" w:hAnsi="Times New Roman" w:eastAsia="仿宋" w:cs="Times New Roman"/>
          <w:sz w:val="44"/>
          <w:szCs w:val="44"/>
          <w:highlight w:val="none"/>
        </w:rPr>
      </w:pPr>
    </w:p>
    <w:p>
      <w:pPr>
        <w:adjustRightInd w:val="0"/>
        <w:snapToGrid w:val="0"/>
        <w:spacing w:line="288" w:lineRule="auto"/>
        <w:ind w:firstLine="1040"/>
        <w:rPr>
          <w:rFonts w:hint="default" w:ascii="Times New Roman" w:hAnsi="Times New Roman" w:eastAsia="仿宋_GB2312" w:cs="Times New Roman"/>
          <w:sz w:val="36"/>
          <w:szCs w:val="36"/>
          <w:highlight w:val="none"/>
          <w:u w:val="single"/>
        </w:rPr>
      </w:pPr>
      <w:r>
        <w:rPr>
          <w:rFonts w:hint="default" w:ascii="Times New Roman" w:hAnsi="Times New Roman" w:eastAsia="仿宋_GB2312" w:cs="Times New Roman"/>
          <w:sz w:val="36"/>
          <w:szCs w:val="36"/>
          <w:highlight w:val="none"/>
        </w:rPr>
        <w:t>项</w:t>
      </w:r>
      <w:r>
        <w:rPr>
          <w:rFonts w:hint="eastAsia" w:eastAsia="仿宋_GB2312" w:cs="Times New Roman"/>
          <w:sz w:val="36"/>
          <w:szCs w:val="36"/>
          <w:highlight w:val="none"/>
          <w:lang w:val="en-US" w:eastAsia="zh-CN"/>
        </w:rPr>
        <w:t xml:space="preserve">  </w:t>
      </w:r>
      <w:r>
        <w:rPr>
          <w:rFonts w:hint="default" w:ascii="Times New Roman" w:hAnsi="Times New Roman" w:eastAsia="仿宋_GB2312" w:cs="Times New Roman"/>
          <w:sz w:val="36"/>
          <w:szCs w:val="36"/>
          <w:highlight w:val="none"/>
        </w:rPr>
        <w:t>目</w:t>
      </w:r>
      <w:r>
        <w:rPr>
          <w:rFonts w:hint="eastAsia" w:eastAsia="仿宋_GB2312" w:cs="Times New Roman"/>
          <w:sz w:val="36"/>
          <w:szCs w:val="36"/>
          <w:highlight w:val="none"/>
          <w:lang w:val="en-US" w:eastAsia="zh-CN"/>
        </w:rPr>
        <w:t xml:space="preserve">  </w:t>
      </w:r>
      <w:r>
        <w:rPr>
          <w:rFonts w:hint="default" w:ascii="Times New Roman" w:hAnsi="Times New Roman" w:eastAsia="仿宋_GB2312" w:cs="Times New Roman"/>
          <w:sz w:val="36"/>
          <w:szCs w:val="36"/>
          <w:highlight w:val="none"/>
        </w:rPr>
        <w:t>名</w:t>
      </w:r>
      <w:r>
        <w:rPr>
          <w:rFonts w:hint="eastAsia" w:eastAsia="仿宋_GB2312" w:cs="Times New Roman"/>
          <w:sz w:val="36"/>
          <w:szCs w:val="36"/>
          <w:highlight w:val="none"/>
          <w:lang w:val="en-US" w:eastAsia="zh-CN"/>
        </w:rPr>
        <w:t xml:space="preserve">  </w:t>
      </w:r>
      <w:r>
        <w:rPr>
          <w:rFonts w:hint="default" w:ascii="Times New Roman" w:hAnsi="Times New Roman" w:eastAsia="仿宋_GB2312" w:cs="Times New Roman"/>
          <w:sz w:val="36"/>
          <w:szCs w:val="36"/>
          <w:highlight w:val="none"/>
        </w:rPr>
        <w:t>称：</w:t>
      </w:r>
      <w:r>
        <w:rPr>
          <w:rFonts w:hint="eastAsia" w:eastAsia="仿宋_GB2312" w:cs="Times New Roman"/>
          <w:sz w:val="36"/>
          <w:szCs w:val="36"/>
          <w:highlight w:val="none"/>
          <w:lang w:val="en-US" w:eastAsia="zh-CN"/>
        </w:rPr>
        <w:t xml:space="preserve">   </w:t>
      </w:r>
      <w:r>
        <w:rPr>
          <w:rFonts w:hint="eastAsia" w:eastAsia="仿宋_GB2312" w:cs="Times New Roman"/>
          <w:sz w:val="36"/>
          <w:szCs w:val="36"/>
          <w:highlight w:val="none"/>
          <w:u w:val="single"/>
          <w:lang w:val="en-US" w:eastAsia="zh-CN"/>
        </w:rPr>
        <w:t xml:space="preserve"> 零部件加工扩建项目</w:t>
      </w:r>
      <w:r>
        <w:rPr>
          <w:rFonts w:hint="default" w:ascii="Times New Roman" w:hAnsi="Times New Roman" w:eastAsia="仿宋_GB2312" w:cs="Times New Roman"/>
          <w:sz w:val="36"/>
          <w:szCs w:val="36"/>
          <w:highlight w:val="none"/>
          <w:u w:val="single"/>
        </w:rPr>
        <w:t xml:space="preserve">     </w:t>
      </w:r>
    </w:p>
    <w:p>
      <w:pPr>
        <w:adjustRightInd w:val="0"/>
        <w:snapToGrid w:val="0"/>
        <w:spacing w:line="288" w:lineRule="auto"/>
        <w:ind w:firstLine="1040"/>
        <w:rPr>
          <w:rFonts w:hint="default" w:ascii="Times New Roman" w:hAnsi="Times New Roman" w:eastAsia="仿宋_GB2312" w:cs="Times New Roman"/>
          <w:sz w:val="36"/>
          <w:szCs w:val="36"/>
          <w:highlight w:val="none"/>
          <w:u w:val="single"/>
        </w:rPr>
      </w:pPr>
      <w:r>
        <w:rPr>
          <w:rFonts w:hint="default" w:ascii="Times New Roman" w:hAnsi="Times New Roman" w:eastAsia="仿宋_GB2312" w:cs="Times New Roman"/>
          <w:sz w:val="36"/>
          <w:szCs w:val="36"/>
          <w:highlight w:val="none"/>
        </w:rPr>
        <w:t>建设单位（盖章）：</w:t>
      </w:r>
      <w:r>
        <w:rPr>
          <w:rFonts w:hint="eastAsia" w:eastAsia="仿宋_GB2312" w:cs="Times New Roman"/>
          <w:sz w:val="36"/>
          <w:szCs w:val="36"/>
          <w:highlight w:val="none"/>
          <w:u w:val="single"/>
          <w:lang w:val="en-US" w:eastAsia="zh-CN"/>
        </w:rPr>
        <w:t>济源市万鸿机械制造有限公司</w:t>
      </w:r>
      <w:r>
        <w:rPr>
          <w:rFonts w:hint="default" w:ascii="Times New Roman" w:hAnsi="Times New Roman" w:eastAsia="仿宋_GB2312" w:cs="Times New Roman"/>
          <w:sz w:val="36"/>
          <w:szCs w:val="36"/>
          <w:highlight w:val="none"/>
          <w:u w:val="single"/>
        </w:rPr>
        <w:t xml:space="preserve">    </w:t>
      </w:r>
    </w:p>
    <w:p>
      <w:pPr>
        <w:adjustRightInd w:val="0"/>
        <w:snapToGrid w:val="0"/>
        <w:spacing w:line="288" w:lineRule="auto"/>
        <w:ind w:firstLine="1040"/>
        <w:rPr>
          <w:rFonts w:hint="default" w:ascii="Times New Roman" w:hAnsi="Times New Roman" w:eastAsia="仿宋_GB2312" w:cs="Times New Roman"/>
          <w:sz w:val="36"/>
          <w:szCs w:val="36"/>
          <w:highlight w:val="none"/>
          <w:u w:val="single"/>
        </w:rPr>
      </w:pPr>
      <w:r>
        <w:rPr>
          <w:rFonts w:hint="default" w:ascii="Times New Roman" w:hAnsi="Times New Roman" w:eastAsia="仿宋_GB2312" w:cs="Times New Roman"/>
          <w:sz w:val="36"/>
          <w:szCs w:val="36"/>
          <w:highlight w:val="none"/>
        </w:rPr>
        <w:t>编制日期：</w:t>
      </w:r>
      <w:r>
        <w:rPr>
          <w:rFonts w:hint="default" w:ascii="Times New Roman" w:hAnsi="Times New Roman" w:eastAsia="仿宋_GB2312" w:cs="Times New Roman"/>
          <w:sz w:val="36"/>
          <w:szCs w:val="36"/>
          <w:highlight w:val="none"/>
          <w:u w:val="single"/>
        </w:rPr>
        <w:t xml:space="preserve">    </w:t>
      </w:r>
      <w:r>
        <w:rPr>
          <w:rFonts w:hint="eastAsia" w:eastAsia="仿宋_GB2312" w:cs="Times New Roman"/>
          <w:sz w:val="36"/>
          <w:szCs w:val="36"/>
          <w:highlight w:val="none"/>
          <w:u w:val="single"/>
          <w:lang w:val="en-US" w:eastAsia="zh-CN"/>
        </w:rPr>
        <w:t xml:space="preserve">     2022年4月</w:t>
      </w:r>
      <w:r>
        <w:rPr>
          <w:rFonts w:hint="default" w:ascii="Times New Roman" w:hAnsi="Times New Roman" w:eastAsia="仿宋_GB2312" w:cs="Times New Roman"/>
          <w:sz w:val="36"/>
          <w:szCs w:val="36"/>
          <w:highlight w:val="none"/>
          <w:u w:val="single"/>
        </w:rPr>
        <w:t xml:space="preserve">              </w:t>
      </w:r>
    </w:p>
    <w:p>
      <w:pPr>
        <w:adjustRightInd w:val="0"/>
        <w:snapToGrid w:val="0"/>
        <w:spacing w:line="288" w:lineRule="auto"/>
        <w:ind w:firstLine="1040"/>
        <w:rPr>
          <w:rFonts w:hint="default" w:ascii="Times New Roman" w:hAnsi="Times New Roman" w:eastAsia="仿宋_GB2312" w:cs="Times New Roman"/>
          <w:sz w:val="36"/>
          <w:szCs w:val="36"/>
          <w:highlight w:val="none"/>
          <w:u w:val="single"/>
        </w:rPr>
      </w:pPr>
      <w:bookmarkStart w:id="0" w:name="_Hlk57884087"/>
    </w:p>
    <w:p>
      <w:pPr>
        <w:adjustRightInd w:val="0"/>
        <w:snapToGrid w:val="0"/>
        <w:spacing w:line="288" w:lineRule="auto"/>
        <w:ind w:firstLine="1040"/>
        <w:rPr>
          <w:rFonts w:hint="default" w:ascii="Times New Roman" w:hAnsi="Times New Roman" w:eastAsia="仿宋_GB2312" w:cs="Times New Roman"/>
          <w:sz w:val="36"/>
          <w:szCs w:val="36"/>
          <w:highlight w:val="none"/>
        </w:rPr>
      </w:pPr>
    </w:p>
    <w:p>
      <w:pPr>
        <w:adjustRightInd w:val="0"/>
        <w:snapToGrid w:val="0"/>
        <w:spacing w:line="288" w:lineRule="auto"/>
        <w:ind w:firstLine="1040"/>
        <w:rPr>
          <w:rFonts w:hint="default" w:ascii="Times New Roman" w:hAnsi="Times New Roman" w:eastAsia="仿宋_GB2312" w:cs="Times New Roman"/>
          <w:sz w:val="36"/>
          <w:szCs w:val="36"/>
          <w:highlight w:val="none"/>
        </w:rPr>
      </w:pPr>
    </w:p>
    <w:p>
      <w:pPr>
        <w:adjustRightInd w:val="0"/>
        <w:snapToGrid w:val="0"/>
        <w:spacing w:line="288" w:lineRule="auto"/>
        <w:ind w:firstLine="1040"/>
        <w:rPr>
          <w:rFonts w:hint="default" w:ascii="Times New Roman" w:hAnsi="Times New Roman" w:eastAsia="仿宋_GB2312" w:cs="Times New Roman"/>
          <w:sz w:val="36"/>
          <w:szCs w:val="36"/>
          <w:highlight w:val="none"/>
        </w:rPr>
      </w:pPr>
    </w:p>
    <w:p>
      <w:pPr>
        <w:adjustRightInd w:val="0"/>
        <w:snapToGrid w:val="0"/>
        <w:spacing w:line="288" w:lineRule="auto"/>
        <w:ind w:firstLine="1040"/>
        <w:rPr>
          <w:rFonts w:hint="default" w:ascii="Times New Roman" w:hAnsi="Times New Roman" w:eastAsia="仿宋_GB2312" w:cs="Times New Roman"/>
          <w:sz w:val="36"/>
          <w:szCs w:val="36"/>
          <w:highlight w:val="none"/>
        </w:rPr>
      </w:pPr>
    </w:p>
    <w:bookmarkEnd w:id="0"/>
    <w:p>
      <w:pPr>
        <w:adjustRightInd w:val="0"/>
        <w:snapToGrid w:val="0"/>
        <w:spacing w:line="288" w:lineRule="auto"/>
        <w:jc w:val="center"/>
        <w:rPr>
          <w:rFonts w:hint="default" w:ascii="Times New Roman" w:hAnsi="Times New Roman" w:eastAsia="楷体_GB2312" w:cs="Times New Roman"/>
          <w:sz w:val="36"/>
          <w:szCs w:val="36"/>
          <w:highlight w:val="none"/>
        </w:rPr>
      </w:pPr>
      <w:r>
        <w:rPr>
          <w:rFonts w:hint="default" w:ascii="Times New Roman" w:hAnsi="Times New Roman" w:eastAsia="楷体_GB2312" w:cs="Times New Roman"/>
          <w:sz w:val="36"/>
          <w:szCs w:val="36"/>
          <w:highlight w:val="none"/>
        </w:rPr>
        <w:t>中华人民共和国生态环境部制</w:t>
      </w:r>
    </w:p>
    <w:p>
      <w:pPr>
        <w:adjustRightInd w:val="0"/>
        <w:snapToGrid w:val="0"/>
        <w:spacing w:line="288" w:lineRule="auto"/>
        <w:ind w:firstLine="1040"/>
        <w:rPr>
          <w:rFonts w:hint="default" w:ascii="Times New Roman" w:hAnsi="Times New Roman" w:eastAsia="仿宋_GB2312" w:cs="Times New Roman"/>
          <w:sz w:val="36"/>
          <w:szCs w:val="36"/>
          <w:highlight w:val="none"/>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3"/>
          <w:cols w:space="720" w:num="1"/>
          <w:docGrid w:linePitch="312" w:charSpace="0"/>
        </w:sectPr>
      </w:pPr>
    </w:p>
    <w:p>
      <w:pPr>
        <w:pStyle w:val="11"/>
        <w:jc w:val="center"/>
        <w:outlineLvl w:val="0"/>
        <w:rPr>
          <w:rFonts w:hint="default" w:ascii="Times New Roman" w:hAnsi="Times New Roman" w:eastAsia="黑体" w:cs="Times New Roman"/>
          <w:snapToGrid w:val="0"/>
          <w:sz w:val="30"/>
          <w:szCs w:val="30"/>
          <w:highlight w:val="none"/>
        </w:rPr>
      </w:pPr>
      <w:r>
        <w:rPr>
          <w:rFonts w:hint="default" w:ascii="Times New Roman" w:hAnsi="Times New Roman" w:eastAsia="黑体" w:cs="Times New Roman"/>
          <w:snapToGrid w:val="0"/>
          <w:sz w:val="30"/>
          <w:szCs w:val="30"/>
          <w:highlight w:val="none"/>
        </w:rPr>
        <w:t>一、建设项目基本情况</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2165"/>
        <w:gridCol w:w="1854"/>
        <w:gridCol w:w="2212"/>
        <w:gridCol w:w="263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08"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建设项目名称</w:t>
            </w:r>
          </w:p>
        </w:tc>
        <w:tc>
          <w:tcPr>
            <w:tcW w:w="6705" w:type="dxa"/>
            <w:gridSpan w:val="3"/>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济源市万鸿机械制造有限公司零部件加工扩建项目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38"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项目代码</w:t>
            </w:r>
          </w:p>
        </w:tc>
        <w:tc>
          <w:tcPr>
            <w:tcW w:w="6705" w:type="dxa"/>
            <w:gridSpan w:val="3"/>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2202-419001-04-01-458799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38"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建设单位联系人</w:t>
            </w:r>
          </w:p>
        </w:tc>
        <w:tc>
          <w:tcPr>
            <w:tcW w:w="1854"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牛利利</w:t>
            </w:r>
          </w:p>
        </w:tc>
        <w:tc>
          <w:tcPr>
            <w:tcW w:w="2212"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联系方式</w:t>
            </w:r>
          </w:p>
        </w:tc>
        <w:tc>
          <w:tcPr>
            <w:tcW w:w="2639"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13838941248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78"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建设地点</w:t>
            </w:r>
          </w:p>
        </w:tc>
        <w:tc>
          <w:tcPr>
            <w:tcW w:w="6705" w:type="dxa"/>
            <w:gridSpan w:val="3"/>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u w:val="none"/>
                <w:lang w:val="en-US" w:eastAsia="zh-CN"/>
              </w:rPr>
              <w:t>济源市天坛办事处南白涧村西路北</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53"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地理坐标</w:t>
            </w:r>
          </w:p>
        </w:tc>
        <w:tc>
          <w:tcPr>
            <w:tcW w:w="6705" w:type="dxa"/>
            <w:gridSpan w:val="3"/>
            <w:noWrap w:val="0"/>
            <w:vAlign w:val="center"/>
          </w:tcPr>
          <w:p>
            <w:pPr>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w:t>
            </w:r>
            <w:r>
              <w:rPr>
                <w:rFonts w:hint="default" w:ascii="Times New Roman" w:hAnsi="Times New Roman" w:cs="Times New Roman"/>
                <w:szCs w:val="21"/>
                <w:highlight w:val="none"/>
                <w:u w:val="single"/>
                <w:lang w:val="en-US" w:eastAsia="zh-CN"/>
              </w:rPr>
              <w:t>112</w:t>
            </w:r>
            <w:r>
              <w:rPr>
                <w:rFonts w:hint="default" w:ascii="Times New Roman" w:hAnsi="Times New Roman" w:cs="Times New Roman"/>
                <w:szCs w:val="21"/>
                <w:highlight w:val="none"/>
              </w:rPr>
              <w:t>度</w:t>
            </w:r>
            <w:r>
              <w:rPr>
                <w:rFonts w:hint="default" w:ascii="Times New Roman" w:hAnsi="Times New Roman" w:cs="Times New Roman"/>
                <w:szCs w:val="21"/>
                <w:highlight w:val="none"/>
                <w:u w:val="single"/>
                <w:lang w:val="en-US" w:eastAsia="zh-CN"/>
              </w:rPr>
              <w:t>53</w:t>
            </w:r>
            <w:r>
              <w:rPr>
                <w:rFonts w:hint="default" w:ascii="Times New Roman" w:hAnsi="Times New Roman" w:cs="Times New Roman"/>
                <w:szCs w:val="21"/>
                <w:highlight w:val="none"/>
              </w:rPr>
              <w:t>分</w:t>
            </w:r>
            <w:r>
              <w:rPr>
                <w:rFonts w:hint="eastAsia" w:cs="Times New Roman"/>
                <w:szCs w:val="21"/>
                <w:highlight w:val="none"/>
                <w:u w:val="single"/>
                <w:lang w:val="en-US" w:eastAsia="zh-CN"/>
              </w:rPr>
              <w:t>55.285</w:t>
            </w:r>
            <w:r>
              <w:rPr>
                <w:rFonts w:hint="default" w:ascii="Times New Roman" w:hAnsi="Times New Roman" w:cs="Times New Roman"/>
                <w:szCs w:val="21"/>
                <w:highlight w:val="none"/>
              </w:rPr>
              <w:t>秒，</w:t>
            </w:r>
            <w:r>
              <w:rPr>
                <w:rFonts w:hint="default" w:ascii="Times New Roman" w:hAnsi="Times New Roman" w:cs="Times New Roman"/>
                <w:szCs w:val="21"/>
                <w:highlight w:val="none"/>
                <w:u w:val="single"/>
                <w:lang w:val="en-US" w:eastAsia="zh-CN"/>
              </w:rPr>
              <w:t>35</w:t>
            </w:r>
            <w:r>
              <w:rPr>
                <w:rFonts w:hint="default" w:ascii="Times New Roman" w:hAnsi="Times New Roman" w:cs="Times New Roman"/>
                <w:szCs w:val="21"/>
                <w:highlight w:val="none"/>
              </w:rPr>
              <w:t>度</w:t>
            </w:r>
            <w:r>
              <w:rPr>
                <w:rFonts w:hint="default" w:ascii="Times New Roman" w:hAnsi="Times New Roman" w:cs="Times New Roman"/>
                <w:szCs w:val="21"/>
                <w:highlight w:val="none"/>
                <w:u w:val="single"/>
                <w:lang w:val="en-US" w:eastAsia="zh-CN"/>
              </w:rPr>
              <w:t>09</w:t>
            </w:r>
            <w:r>
              <w:rPr>
                <w:rFonts w:hint="default" w:ascii="Times New Roman" w:hAnsi="Times New Roman" w:cs="Times New Roman"/>
                <w:szCs w:val="21"/>
                <w:highlight w:val="none"/>
              </w:rPr>
              <w:t>分</w:t>
            </w:r>
            <w:r>
              <w:rPr>
                <w:rFonts w:hint="eastAsia" w:cs="Times New Roman"/>
                <w:szCs w:val="21"/>
                <w:highlight w:val="none"/>
                <w:u w:val="single"/>
                <w:lang w:val="en-US" w:eastAsia="zh-CN"/>
              </w:rPr>
              <w:t>80.411</w:t>
            </w:r>
            <w:r>
              <w:rPr>
                <w:rFonts w:hint="default" w:ascii="Times New Roman" w:hAnsi="Times New Roman" w:cs="Times New Roman"/>
                <w:szCs w:val="21"/>
                <w:highlight w:val="none"/>
              </w:rPr>
              <w:t>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73"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国民经济</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行业类别</w:t>
            </w:r>
          </w:p>
        </w:tc>
        <w:tc>
          <w:tcPr>
            <w:tcW w:w="1854"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C3484机械零部件加工</w:t>
            </w:r>
          </w:p>
        </w:tc>
        <w:tc>
          <w:tcPr>
            <w:tcW w:w="2212" w:type="dxa"/>
            <w:noWrap w:val="0"/>
            <w:vAlign w:val="center"/>
          </w:tcPr>
          <w:p>
            <w:pPr>
              <w:adjustRightInd w:val="0"/>
              <w:snapToGrid w:val="0"/>
              <w:jc w:val="center"/>
              <w:rPr>
                <w:rFonts w:hint="default" w:ascii="Times New Roman" w:hAnsi="Times New Roman" w:cs="Times New Roman"/>
                <w:szCs w:val="21"/>
                <w:highlight w:val="none"/>
              </w:rPr>
            </w:pPr>
            <w:bookmarkStart w:id="1" w:name="_Hlk49843745"/>
            <w:r>
              <w:rPr>
                <w:rFonts w:hint="default" w:ascii="Times New Roman" w:hAnsi="Times New Roman" w:cs="Times New Roman"/>
                <w:szCs w:val="21"/>
                <w:highlight w:val="none"/>
              </w:rPr>
              <w:t>建设项目</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行业类别</w:t>
            </w:r>
            <w:bookmarkEnd w:id="1"/>
          </w:p>
        </w:tc>
        <w:tc>
          <w:tcPr>
            <w:tcW w:w="2639"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69通用零部件制造348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219"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建设性质</w:t>
            </w:r>
          </w:p>
        </w:tc>
        <w:tc>
          <w:tcPr>
            <w:tcW w:w="1854" w:type="dxa"/>
            <w:noWrap w:val="0"/>
            <w:vAlign w:val="center"/>
          </w:tcPr>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t>□新建（迁建）</w:t>
            </w:r>
          </w:p>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t>□改建</w:t>
            </w:r>
          </w:p>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sym w:font="Wingdings 2" w:char="0052"/>
            </w:r>
            <w:r>
              <w:rPr>
                <w:rFonts w:hint="default" w:ascii="Times New Roman" w:hAnsi="Times New Roman" w:cs="Times New Roman"/>
                <w:szCs w:val="21"/>
                <w:highlight w:val="none"/>
              </w:rPr>
              <w:t>扩建</w:t>
            </w:r>
          </w:p>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t>□技术改造</w:t>
            </w:r>
          </w:p>
        </w:tc>
        <w:tc>
          <w:tcPr>
            <w:tcW w:w="2212"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建设项目</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申报情形</w:t>
            </w:r>
          </w:p>
        </w:tc>
        <w:tc>
          <w:tcPr>
            <w:tcW w:w="2639" w:type="dxa"/>
            <w:noWrap w:val="0"/>
            <w:vAlign w:val="center"/>
          </w:tcPr>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sym w:font="Wingdings 2" w:char="0052"/>
            </w:r>
            <w:r>
              <w:rPr>
                <w:rFonts w:hint="default" w:ascii="Times New Roman" w:hAnsi="Times New Roman" w:cs="Times New Roman"/>
                <w:szCs w:val="21"/>
                <w:highlight w:val="none"/>
              </w:rPr>
              <w:t xml:space="preserve">首次申报项目             </w:t>
            </w:r>
          </w:p>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t>□不予批准后再次申报项目</w:t>
            </w:r>
          </w:p>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sym w:font="Wingdings 2" w:char="00A3"/>
            </w:r>
            <w:r>
              <w:rPr>
                <w:rFonts w:hint="default" w:ascii="Times New Roman" w:hAnsi="Times New Roman" w:cs="Times New Roman"/>
                <w:szCs w:val="21"/>
                <w:highlight w:val="none"/>
              </w:rPr>
              <w:t xml:space="preserve">超五年重新审核项目     </w:t>
            </w:r>
          </w:p>
          <w:p>
            <w:pPr>
              <w:jc w:val="left"/>
              <w:rPr>
                <w:rFonts w:hint="default" w:ascii="Times New Roman" w:hAnsi="Times New Roman" w:cs="Times New Roman"/>
                <w:szCs w:val="21"/>
                <w:highlight w:val="none"/>
              </w:rPr>
            </w:pPr>
            <w:r>
              <w:rPr>
                <w:rFonts w:hint="default" w:ascii="Times New Roman" w:hAnsi="Times New Roman" w:cs="Times New Roman"/>
                <w:szCs w:val="21"/>
                <w:highlight w:val="none"/>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851"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项目审批（核准/</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备案）部门（选填）</w:t>
            </w:r>
          </w:p>
        </w:tc>
        <w:tc>
          <w:tcPr>
            <w:tcW w:w="1854"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济源市</w:t>
            </w:r>
            <w:r>
              <w:rPr>
                <w:rFonts w:hint="eastAsia" w:cs="Times New Roman"/>
                <w:szCs w:val="21"/>
                <w:highlight w:val="none"/>
                <w:lang w:val="en-US" w:eastAsia="zh-CN"/>
              </w:rPr>
              <w:t>发展改革和统计局</w:t>
            </w:r>
          </w:p>
        </w:tc>
        <w:tc>
          <w:tcPr>
            <w:tcW w:w="2212"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项目审批（核准/</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备案）文号（选填）</w:t>
            </w:r>
          </w:p>
        </w:tc>
        <w:tc>
          <w:tcPr>
            <w:tcW w:w="2639"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2202-419001-04-01-458799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593"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总投资（万元）</w:t>
            </w:r>
          </w:p>
        </w:tc>
        <w:tc>
          <w:tcPr>
            <w:tcW w:w="1854"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800</w:t>
            </w:r>
          </w:p>
        </w:tc>
        <w:tc>
          <w:tcPr>
            <w:tcW w:w="2212"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环保投资（万元）</w:t>
            </w:r>
          </w:p>
        </w:tc>
        <w:tc>
          <w:tcPr>
            <w:tcW w:w="2639"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2.3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53"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环保投资占比（%）</w:t>
            </w:r>
          </w:p>
        </w:tc>
        <w:tc>
          <w:tcPr>
            <w:tcW w:w="1854"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0.288%</w:t>
            </w:r>
          </w:p>
        </w:tc>
        <w:tc>
          <w:tcPr>
            <w:tcW w:w="2212"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施工工期</w:t>
            </w:r>
          </w:p>
        </w:tc>
        <w:tc>
          <w:tcPr>
            <w:tcW w:w="2639"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default" w:ascii="Times New Roman" w:hAnsi="Times New Roman" w:cs="Times New Roman"/>
                <w:szCs w:val="21"/>
                <w:highlight w:val="none"/>
                <w:lang w:val="en-US" w:eastAsia="zh-CN"/>
              </w:rPr>
              <w:t>2个月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640" w:hRule="atLeast"/>
          <w:jc w:val="center"/>
        </w:trPr>
        <w:tc>
          <w:tcPr>
            <w:tcW w:w="2165" w:type="dxa"/>
            <w:noWrap w:val="0"/>
            <w:tcMar>
              <w:top w:w="16" w:type="dxa"/>
              <w:left w:w="16" w:type="dxa"/>
              <w:right w:w="16" w:type="dxa"/>
            </w:tcMar>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是否开工建设</w:t>
            </w:r>
          </w:p>
        </w:tc>
        <w:tc>
          <w:tcPr>
            <w:tcW w:w="1854" w:type="dxa"/>
            <w:noWrap w:val="0"/>
            <w:vAlign w:val="center"/>
          </w:tcPr>
          <w:p>
            <w:pPr>
              <w:adjustRightInd w:val="0"/>
              <w:snapToGrid w:val="0"/>
              <w:rPr>
                <w:rFonts w:hint="default" w:ascii="Times New Roman" w:hAnsi="Times New Roman" w:cs="Times New Roman"/>
                <w:szCs w:val="21"/>
                <w:highlight w:val="none"/>
              </w:rPr>
            </w:pPr>
            <w:r>
              <w:rPr>
                <w:rFonts w:hint="default" w:ascii="Times New Roman" w:hAnsi="Times New Roman" w:cs="Times New Roman"/>
                <w:szCs w:val="21"/>
                <w:highlight w:val="none"/>
              </w:rPr>
              <w:sym w:font="Wingdings 2" w:char="0052"/>
            </w:r>
            <w:r>
              <w:rPr>
                <w:rFonts w:hint="default" w:ascii="Times New Roman" w:hAnsi="Times New Roman" w:cs="Times New Roman"/>
                <w:szCs w:val="21"/>
                <w:highlight w:val="none"/>
              </w:rPr>
              <w:t>否</w:t>
            </w:r>
          </w:p>
          <w:p>
            <w:pPr>
              <w:adjustRightInd w:val="0"/>
              <w:snapToGrid w:val="0"/>
              <w:rPr>
                <w:rFonts w:hint="default" w:ascii="Times New Roman" w:hAnsi="Times New Roman" w:cs="Times New Roman"/>
                <w:szCs w:val="21"/>
                <w:highlight w:val="none"/>
              </w:rPr>
            </w:pPr>
            <w:r>
              <w:rPr>
                <w:rFonts w:hint="default" w:ascii="Times New Roman" w:hAnsi="Times New Roman" w:cs="Times New Roman"/>
                <w:szCs w:val="21"/>
                <w:highlight w:val="none"/>
              </w:rPr>
              <w:sym w:font="Wingdings 2" w:char="00A3"/>
            </w:r>
            <w:r>
              <w:rPr>
                <w:rFonts w:hint="default" w:ascii="Times New Roman" w:hAnsi="Times New Roman" w:cs="Times New Roman"/>
                <w:szCs w:val="21"/>
                <w:highlight w:val="none"/>
              </w:rPr>
              <w:t>是：</w:t>
            </w:r>
            <w:r>
              <w:rPr>
                <w:rFonts w:hint="default" w:ascii="Times New Roman" w:hAnsi="Times New Roman" w:cs="Times New Roman"/>
                <w:szCs w:val="21"/>
                <w:highlight w:val="none"/>
                <w:u w:val="single"/>
              </w:rPr>
              <w:t xml:space="preserve">             </w:t>
            </w:r>
          </w:p>
        </w:tc>
        <w:tc>
          <w:tcPr>
            <w:tcW w:w="2212" w:type="dxa"/>
            <w:noWrap w:val="0"/>
            <w:tcMar>
              <w:top w:w="16" w:type="dxa"/>
              <w:left w:w="16" w:type="dxa"/>
              <w:right w:w="16" w:type="dxa"/>
            </w:tcMar>
            <w:vAlign w:val="center"/>
          </w:tcPr>
          <w:p>
            <w:pPr>
              <w:adjustRightInd w:val="0"/>
              <w:snapToGrid w:val="0"/>
              <w:jc w:val="center"/>
              <w:rPr>
                <w:rFonts w:hint="default" w:ascii="Times New Roman" w:hAnsi="Times New Roman" w:cs="Times New Roman"/>
                <w:spacing w:val="-6"/>
                <w:szCs w:val="21"/>
                <w:highlight w:val="none"/>
              </w:rPr>
            </w:pPr>
            <w:r>
              <w:rPr>
                <w:rFonts w:hint="default" w:ascii="Times New Roman" w:hAnsi="Times New Roman" w:cs="Times New Roman"/>
                <w:spacing w:val="-6"/>
                <w:szCs w:val="21"/>
                <w:highlight w:val="none"/>
              </w:rPr>
              <w:t>用地（用海）</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pacing w:val="-6"/>
                <w:szCs w:val="21"/>
                <w:highlight w:val="none"/>
              </w:rPr>
              <w:t>面积（m</w:t>
            </w:r>
            <w:r>
              <w:rPr>
                <w:rFonts w:hint="default" w:ascii="Times New Roman" w:hAnsi="Times New Roman" w:cs="Times New Roman"/>
                <w:spacing w:val="-6"/>
                <w:szCs w:val="21"/>
                <w:highlight w:val="none"/>
                <w:vertAlign w:val="superscript"/>
              </w:rPr>
              <w:t>2</w:t>
            </w:r>
            <w:r>
              <w:rPr>
                <w:rFonts w:hint="default" w:ascii="Times New Roman" w:hAnsi="Times New Roman" w:cs="Times New Roman"/>
                <w:spacing w:val="-6"/>
                <w:szCs w:val="21"/>
                <w:highlight w:val="none"/>
              </w:rPr>
              <w:t>）</w:t>
            </w:r>
          </w:p>
        </w:tc>
        <w:tc>
          <w:tcPr>
            <w:tcW w:w="2639"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2" w:hRule="atLeast"/>
          <w:jc w:val="center"/>
        </w:trPr>
        <w:tc>
          <w:tcPr>
            <w:tcW w:w="2165" w:type="dxa"/>
            <w:noWrap w:val="0"/>
            <w:vAlign w:val="center"/>
          </w:tcPr>
          <w:p>
            <w:pPr>
              <w:autoSpaceDE w:val="0"/>
              <w:autoSpaceDN w:val="0"/>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kern w:val="0"/>
                <w:szCs w:val="21"/>
                <w:highlight w:val="none"/>
              </w:rPr>
              <w:t>专项评价设置情况</w:t>
            </w:r>
          </w:p>
        </w:tc>
        <w:tc>
          <w:tcPr>
            <w:tcW w:w="6705" w:type="dxa"/>
            <w:gridSpan w:val="3"/>
            <w:noWrap w:val="0"/>
            <w:vAlign w:val="center"/>
          </w:tcPr>
          <w:p>
            <w:pPr>
              <w:autoSpaceDE w:val="0"/>
              <w:autoSpaceDN w:val="0"/>
              <w:adjustRightInd w:val="0"/>
              <w:snapToGrid w:val="0"/>
              <w:jc w:val="center"/>
              <w:rPr>
                <w:rFonts w:hint="default" w:ascii="Times New Roman" w:hAnsi="Times New Roman" w:eastAsia="宋体" w:cs="Times New Roman"/>
                <w:kern w:val="0"/>
                <w:szCs w:val="21"/>
                <w:highlight w:val="none"/>
                <w:lang w:val="en-US" w:eastAsia="zh-CN"/>
              </w:rPr>
            </w:pPr>
            <w:r>
              <w:rPr>
                <w:rFonts w:hint="default" w:ascii="Times New Roman" w:hAnsi="Times New Roman" w:cs="Times New Roman"/>
                <w:kern w:val="0"/>
                <w:szCs w:val="21"/>
                <w:highlight w:val="none"/>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1" w:hRule="atLeast"/>
          <w:jc w:val="center"/>
        </w:trPr>
        <w:tc>
          <w:tcPr>
            <w:tcW w:w="2165" w:type="dxa"/>
            <w:noWrap w:val="0"/>
            <w:vAlign w:val="center"/>
          </w:tcPr>
          <w:p>
            <w:pPr>
              <w:autoSpaceDE w:val="0"/>
              <w:autoSpaceDN w:val="0"/>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szCs w:val="21"/>
                <w:highlight w:val="none"/>
              </w:rPr>
              <w:t>规划情况</w:t>
            </w:r>
          </w:p>
        </w:tc>
        <w:tc>
          <w:tcPr>
            <w:tcW w:w="6705" w:type="dxa"/>
            <w:gridSpan w:val="3"/>
            <w:noWrap w:val="0"/>
            <w:vAlign w:val="center"/>
          </w:tcPr>
          <w:p>
            <w:pPr>
              <w:autoSpaceDE w:val="0"/>
              <w:autoSpaceDN w:val="0"/>
              <w:adjustRightInd w:val="0"/>
              <w:snapToGrid w:val="0"/>
              <w:jc w:val="center"/>
              <w:rPr>
                <w:rFonts w:hint="default" w:ascii="Times New Roman" w:hAnsi="Times New Roman" w:eastAsia="宋体" w:cs="Times New Roman"/>
                <w:kern w:val="0"/>
                <w:szCs w:val="21"/>
                <w:highlight w:val="none"/>
                <w:lang w:val="en-US" w:eastAsia="zh-CN"/>
              </w:rPr>
            </w:pPr>
            <w:r>
              <w:rPr>
                <w:rFonts w:hint="default" w:ascii="Times New Roman" w:hAnsi="Times New Roman" w:cs="Times New Roman"/>
                <w:kern w:val="0"/>
                <w:szCs w:val="21"/>
                <w:highlight w:val="none"/>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2165"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规划环境影响</w:t>
            </w:r>
          </w:p>
          <w:p>
            <w:pPr>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szCs w:val="21"/>
                <w:highlight w:val="none"/>
              </w:rPr>
              <w:t>评价情况</w:t>
            </w:r>
          </w:p>
        </w:tc>
        <w:tc>
          <w:tcPr>
            <w:tcW w:w="6705" w:type="dxa"/>
            <w:gridSpan w:val="3"/>
            <w:noWrap w:val="0"/>
            <w:vAlign w:val="center"/>
          </w:tcPr>
          <w:p>
            <w:pPr>
              <w:autoSpaceDE w:val="0"/>
              <w:autoSpaceDN w:val="0"/>
              <w:adjustRightInd w:val="0"/>
              <w:snapToGrid w:val="0"/>
              <w:jc w:val="center"/>
              <w:rPr>
                <w:rFonts w:hint="default" w:ascii="Times New Roman" w:hAnsi="Times New Roman" w:eastAsia="宋体" w:cs="Times New Roman"/>
                <w:kern w:val="0"/>
                <w:szCs w:val="21"/>
                <w:highlight w:val="none"/>
                <w:lang w:val="en-US" w:eastAsia="zh-CN"/>
              </w:rPr>
            </w:pPr>
            <w:r>
              <w:rPr>
                <w:rFonts w:hint="default" w:ascii="Times New Roman" w:hAnsi="Times New Roman" w:cs="Times New Roman"/>
                <w:kern w:val="0"/>
                <w:szCs w:val="21"/>
                <w:highlight w:val="none"/>
                <w:lang w:val="en-US"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94" w:hRule="atLeast"/>
          <w:jc w:val="center"/>
        </w:trPr>
        <w:tc>
          <w:tcPr>
            <w:tcW w:w="2165" w:type="dxa"/>
            <w:noWrap w:val="0"/>
            <w:vAlign w:val="center"/>
          </w:tcPr>
          <w:p>
            <w:pPr>
              <w:autoSpaceDE w:val="0"/>
              <w:autoSpaceDN w:val="0"/>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kern w:val="0"/>
                <w:szCs w:val="21"/>
                <w:highlight w:val="none"/>
              </w:rPr>
              <w:t>规划及规划环境</w:t>
            </w:r>
          </w:p>
          <w:p>
            <w:pPr>
              <w:autoSpaceDE w:val="0"/>
              <w:autoSpaceDN w:val="0"/>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kern w:val="0"/>
                <w:szCs w:val="21"/>
                <w:highlight w:val="none"/>
              </w:rPr>
              <w:t>影响评价符合性分析</w:t>
            </w:r>
          </w:p>
        </w:tc>
        <w:tc>
          <w:tcPr>
            <w:tcW w:w="6705" w:type="dxa"/>
            <w:gridSpan w:val="3"/>
            <w:noWrap w:val="0"/>
            <w:vAlign w:val="center"/>
          </w:tcPr>
          <w:p>
            <w:pPr>
              <w:autoSpaceDE w:val="0"/>
              <w:autoSpaceDN w:val="0"/>
              <w:adjustRightInd w:val="0"/>
              <w:snapToGrid w:val="0"/>
              <w:jc w:val="center"/>
              <w:rPr>
                <w:rFonts w:hint="default" w:ascii="Times New Roman" w:hAnsi="Times New Roman" w:eastAsia="宋体" w:cs="Times New Roman"/>
                <w:kern w:val="0"/>
                <w:szCs w:val="21"/>
                <w:highlight w:val="none"/>
                <w:lang w:val="en-US" w:eastAsia="zh-CN"/>
              </w:rPr>
            </w:pPr>
            <w:r>
              <w:rPr>
                <w:rFonts w:hint="default" w:ascii="Times New Roman" w:hAnsi="Times New Roman" w:cs="Times New Roman"/>
                <w:kern w:val="0"/>
                <w:szCs w:val="21"/>
                <w:highlight w:val="none"/>
                <w:lang w:val="en-US" w:eastAsia="zh-CN"/>
              </w:rPr>
              <w:t>无</w:t>
            </w:r>
          </w:p>
        </w:tc>
      </w:tr>
    </w:tbl>
    <w:p>
      <w:pPr>
        <w:spacing w:line="360" w:lineRule="auto"/>
        <w:outlineLvl w:val="0"/>
        <w:rPr>
          <w:rFonts w:hint="default" w:ascii="Times New Roman" w:hAnsi="Times New Roman" w:eastAsia="黑体" w:cs="Times New Roman"/>
          <w:sz w:val="30"/>
          <w:highlight w:val="none"/>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cols w:space="720" w:num="1"/>
          <w:docGrid w:linePitch="312" w:charSpace="0"/>
        </w:sectPr>
      </w:pP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9"/>
        <w:gridCol w:w="84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9" w:type="dxa"/>
            <w:vAlign w:val="center"/>
          </w:tcPr>
          <w:p>
            <w:pPr>
              <w:pStyle w:val="11"/>
              <w:jc w:val="center"/>
              <w:outlineLvl w:val="0"/>
              <w:rPr>
                <w:rFonts w:hint="default" w:ascii="Times New Roman" w:hAnsi="Times New Roman" w:eastAsia="黑体" w:cs="Times New Roman"/>
                <w:snapToGrid w:val="0"/>
                <w:sz w:val="30"/>
                <w:szCs w:val="30"/>
                <w:highlight w:val="none"/>
                <w:vertAlign w:val="baseline"/>
                <w:lang w:val="en-US" w:eastAsia="zh-CN"/>
              </w:rPr>
            </w:pPr>
            <w:r>
              <w:rPr>
                <w:rFonts w:hint="eastAsia" w:ascii="宋体" w:hAnsi="宋体" w:eastAsia="宋体" w:cs="宋体"/>
                <w:b w:val="0"/>
                <w:bCs w:val="0"/>
                <w:snapToGrid w:val="0"/>
                <w:sz w:val="24"/>
                <w:szCs w:val="24"/>
                <w:highlight w:val="none"/>
                <w:vertAlign w:val="baseline"/>
                <w:lang w:val="en-US" w:eastAsia="zh-CN"/>
              </w:rPr>
              <w:t>其他符合性分析</w:t>
            </w:r>
          </w:p>
        </w:tc>
        <w:tc>
          <w:tcPr>
            <w:tcW w:w="8441" w:type="dxa"/>
          </w:tcPr>
          <w:p>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default" w:ascii="Times New Roman" w:hAnsi="Times New Roman" w:eastAsia="宋体" w:cs="Times New Roman"/>
                <w:sz w:val="24"/>
                <w:szCs w:val="24"/>
                <w:highlight w:val="none"/>
              </w:rPr>
            </w:pPr>
            <w:r>
              <w:rPr>
                <w:rFonts w:hint="default" w:ascii="Times New Roman" w:hAnsi="Times New Roman" w:eastAsia="宋体" w:cs="Times New Roman"/>
                <w:b/>
                <w:bCs/>
                <w:sz w:val="24"/>
                <w:szCs w:val="24"/>
                <w:highlight w:val="none"/>
                <w:lang w:val="en-US" w:eastAsia="zh-CN"/>
              </w:rPr>
              <w:t>1</w:t>
            </w:r>
            <w:r>
              <w:rPr>
                <w:rFonts w:hint="eastAsia" w:cs="Times New Roman"/>
                <w:b/>
                <w:bCs/>
                <w:sz w:val="24"/>
                <w:szCs w:val="24"/>
                <w:highlight w:val="none"/>
                <w:lang w:val="en-US" w:eastAsia="zh-CN"/>
              </w:rPr>
              <w:t>、</w:t>
            </w:r>
            <w:r>
              <w:rPr>
                <w:rFonts w:hint="default" w:ascii="Times New Roman" w:hAnsi="Times New Roman" w:eastAsia="宋体" w:cs="Times New Roman"/>
                <w:b/>
                <w:bCs/>
                <w:sz w:val="24"/>
                <w:szCs w:val="24"/>
                <w:highlight w:val="none"/>
              </w:rPr>
              <w:t>济源市</w:t>
            </w:r>
            <w:r>
              <w:rPr>
                <w:rFonts w:hint="default" w:ascii="Times New Roman" w:hAnsi="Times New Roman" w:cs="Times New Roman"/>
                <w:b/>
                <w:bCs/>
                <w:sz w:val="24"/>
                <w:szCs w:val="24"/>
                <w:highlight w:val="none"/>
                <w:lang w:val="en-US" w:eastAsia="zh-CN"/>
              </w:rPr>
              <w:t>城市集中式</w:t>
            </w:r>
            <w:r>
              <w:rPr>
                <w:rFonts w:hint="default" w:ascii="Times New Roman" w:hAnsi="Times New Roman" w:eastAsia="宋体" w:cs="Times New Roman"/>
                <w:b/>
                <w:bCs/>
                <w:sz w:val="24"/>
                <w:szCs w:val="24"/>
                <w:highlight w:val="none"/>
              </w:rPr>
              <w:t>饮用水</w:t>
            </w:r>
            <w:r>
              <w:rPr>
                <w:rFonts w:hint="default" w:ascii="Times New Roman" w:hAnsi="Times New Roman" w:cs="Times New Roman"/>
                <w:b/>
                <w:bCs/>
                <w:sz w:val="24"/>
                <w:szCs w:val="24"/>
                <w:highlight w:val="none"/>
                <w:lang w:val="en-US" w:eastAsia="zh-CN"/>
              </w:rPr>
              <w:t>水</w:t>
            </w:r>
            <w:r>
              <w:rPr>
                <w:rFonts w:hint="default" w:ascii="Times New Roman" w:hAnsi="Times New Roman" w:eastAsia="宋体" w:cs="Times New Roman"/>
                <w:b/>
                <w:bCs/>
                <w:sz w:val="24"/>
                <w:szCs w:val="24"/>
                <w:highlight w:val="none"/>
              </w:rPr>
              <w:t>源保护规划</w:t>
            </w:r>
          </w:p>
          <w:p>
            <w:pPr>
              <w:pStyle w:val="35"/>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根据《河南省人民政府关于划定调整取消部分集中式饮用水源保护区的通知》（豫政文〔2019〕125号）</w:t>
            </w:r>
            <w:r>
              <w:rPr>
                <w:rFonts w:hint="eastAsia" w:cs="Times New Roman"/>
                <w:sz w:val="24"/>
                <w:szCs w:val="24"/>
                <w:highlight w:val="none"/>
                <w:lang w:val="en-US" w:eastAsia="zh-CN"/>
              </w:rPr>
              <w:t>及《河南省人民政府关于划定调整取消部分集中式饮用水水源保护区的通知》（豫政文〔2021〕206号）</w:t>
            </w:r>
            <w:r>
              <w:rPr>
                <w:rFonts w:hint="default" w:ascii="Times New Roman" w:hAnsi="Times New Roman" w:eastAsia="宋体" w:cs="Times New Roman"/>
                <w:sz w:val="24"/>
                <w:szCs w:val="24"/>
                <w:highlight w:val="none"/>
              </w:rPr>
              <w:t>，济源市城市集中式饮用水源保护区划分结果如下：</w:t>
            </w:r>
          </w:p>
          <w:p>
            <w:pPr>
              <w:pStyle w:val="35"/>
              <w:keepNext w:val="0"/>
              <w:keepLines w:val="0"/>
              <w:pageBreakBefore w:val="0"/>
              <w:widowControl w:val="0"/>
              <w:kinsoku/>
              <w:wordWrap/>
              <w:overflowPunct/>
              <w:topLinePunct w:val="0"/>
              <w:autoSpaceDE/>
              <w:autoSpaceDN/>
              <w:bidi w:val="0"/>
              <w:adjustRightInd/>
              <w:snapToGrid/>
              <w:spacing w:line="520" w:lineRule="exact"/>
              <w:ind w:firstLine="295" w:firstLineChars="123"/>
              <w:jc w:val="both"/>
              <w:textAlignment w:val="auto"/>
              <w:rPr>
                <w:rFonts w:hint="default" w:ascii="Times New Roman" w:hAnsi="Times New Roman" w:eastAsia="宋体" w:cs="Times New Roman"/>
                <w:sz w:val="24"/>
                <w:szCs w:val="24"/>
                <w:highlight w:val="none"/>
              </w:rPr>
            </w:pPr>
            <w:r>
              <w:rPr>
                <w:rFonts w:hint="default" w:ascii="Times New Roman" w:hAnsi="Times New Roman" w:eastAsia="宋体" w:cs="Times New Roman"/>
                <w:sz w:val="24"/>
                <w:szCs w:val="24"/>
                <w:highlight w:val="none"/>
              </w:rPr>
              <w:t>（1）小庄</w:t>
            </w:r>
            <w:r>
              <w:rPr>
                <w:rFonts w:hint="default" w:ascii="Times New Roman" w:hAnsi="Times New Roman" w:eastAsia="宋体" w:cs="Times New Roman"/>
                <w:kern w:val="0"/>
                <w:sz w:val="24"/>
                <w:szCs w:val="24"/>
                <w:highlight w:val="none"/>
              </w:rPr>
              <w:t>水源地（共14眼井）</w:t>
            </w:r>
          </w:p>
          <w:p>
            <w:pPr>
              <w:pStyle w:val="35"/>
              <w:keepNext w:val="0"/>
              <w:keepLines w:val="0"/>
              <w:pageBreakBefore w:val="0"/>
              <w:widowControl w:val="0"/>
              <w:kinsoku/>
              <w:wordWrap/>
              <w:overflowPunct/>
              <w:topLinePunct w:val="0"/>
              <w:autoSpaceDE/>
              <w:autoSpaceDN/>
              <w:bidi w:val="0"/>
              <w:adjustRightInd/>
              <w:snapToGrid/>
              <w:spacing w:line="520" w:lineRule="exact"/>
              <w:ind w:firstLine="415" w:firstLineChars="173"/>
              <w:jc w:val="both"/>
              <w:textAlignment w:val="auto"/>
              <w:rPr>
                <w:rFonts w:hint="default" w:ascii="Times New Roman" w:hAnsi="Times New Roman" w:eastAsia="宋体" w:cs="Times New Roman"/>
                <w:sz w:val="24"/>
                <w:szCs w:val="24"/>
                <w:highlight w:val="none"/>
                <w:lang w:val="zh-CN"/>
              </w:rPr>
            </w:pPr>
            <w:r>
              <w:rPr>
                <w:rFonts w:hint="default" w:ascii="Times New Roman" w:hAnsi="Times New Roman" w:eastAsia="宋体" w:cs="Times New Roman"/>
                <w:sz w:val="24"/>
                <w:szCs w:val="24"/>
                <w:highlight w:val="none"/>
                <w:lang w:val="zh-CN"/>
              </w:rPr>
              <w:t>一级保护区：井群外包线以内及外围245米至济克路交通量观测站一丰田路（原济克路）西侧红线一济世药业公司西边界一灵山北坡脚线的区域。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15" w:firstLineChars="173"/>
              <w:jc w:val="both"/>
              <w:textAlignment w:val="auto"/>
              <w:rPr>
                <w:rFonts w:hint="default" w:ascii="Times New Roman" w:hAnsi="Times New Roman" w:eastAsia="宋体" w:cs="Times New Roman"/>
                <w:sz w:val="24"/>
                <w:szCs w:val="24"/>
                <w:highlight w:val="none"/>
                <w:lang w:val="zh-CN"/>
              </w:rPr>
            </w:pPr>
            <w:r>
              <w:rPr>
                <w:rFonts w:hint="default" w:ascii="Times New Roman" w:hAnsi="Times New Roman" w:eastAsia="宋体" w:cs="Times New Roman"/>
                <w:sz w:val="24"/>
                <w:szCs w:val="24"/>
                <w:highlight w:val="none"/>
                <w:lang w:val="zh-CN"/>
              </w:rPr>
              <w:t>二级保护区：一级保护区外，东至候月铁路西侧红线、西至大郭富村东界一塘石村东养一洛峪新村东界、南至洛峪新村北界一灵山村北界、北至济源市第五中学南侧道路的区域。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15" w:firstLineChars="173"/>
              <w:jc w:val="both"/>
              <w:textAlignment w:val="auto"/>
              <w:rPr>
                <w:rFonts w:hint="default" w:ascii="Times New Roman" w:hAnsi="Times New Roman" w:eastAsia="宋体" w:cs="Times New Roman"/>
                <w:sz w:val="24"/>
                <w:szCs w:val="24"/>
                <w:highlight w:val="none"/>
                <w:lang w:val="zh-CN"/>
              </w:rPr>
            </w:pPr>
            <w:r>
              <w:rPr>
                <w:rFonts w:hint="default" w:ascii="Times New Roman" w:hAnsi="Times New Roman" w:eastAsia="宋体" w:cs="Times New Roman"/>
                <w:sz w:val="24"/>
                <w:szCs w:val="24"/>
                <w:highlight w:val="none"/>
                <w:lang w:val="zh-CN"/>
              </w:rPr>
              <w:t>准保护区：二级保护区外，东至候月铁路西侧红线、西至克留线（道路）东侧红线、南至范寿村北界一洛塔新村西界、北至任庄煤矿南边界的区域。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15" w:firstLineChars="173"/>
              <w:jc w:val="both"/>
              <w:textAlignment w:val="auto"/>
              <w:rPr>
                <w:rFonts w:hint="default" w:ascii="Times New Roman" w:hAnsi="Times New Roman" w:eastAsia="宋体" w:cs="Times New Roman"/>
                <w:sz w:val="24"/>
                <w:szCs w:val="24"/>
                <w:highlight w:val="none"/>
                <w:lang w:eastAsia="zh-CN"/>
              </w:rPr>
            </w:pPr>
            <w:r>
              <w:rPr>
                <w:rFonts w:hint="default" w:ascii="Times New Roman" w:hAnsi="Times New Roman" w:eastAsia="宋体" w:cs="Times New Roman"/>
                <w:sz w:val="24"/>
                <w:szCs w:val="24"/>
                <w:highlight w:val="none"/>
              </w:rPr>
              <w:t>（</w:t>
            </w:r>
            <w:r>
              <w:rPr>
                <w:rFonts w:hint="eastAsia" w:cs="Times New Roman"/>
                <w:sz w:val="24"/>
                <w:szCs w:val="24"/>
                <w:highlight w:val="none"/>
                <w:lang w:val="en-US" w:eastAsia="zh-CN"/>
              </w:rPr>
              <w:t>2</w:t>
            </w:r>
            <w:r>
              <w:rPr>
                <w:rFonts w:hint="default" w:ascii="Times New Roman" w:hAnsi="Times New Roman" w:eastAsia="宋体" w:cs="Times New Roman"/>
                <w:sz w:val="24"/>
                <w:szCs w:val="24"/>
                <w:highlight w:val="none"/>
              </w:rPr>
              <w:t>）河口村</w:t>
            </w:r>
            <w:r>
              <w:rPr>
                <w:rFonts w:hint="default" w:ascii="Times New Roman" w:hAnsi="Times New Roman" w:eastAsia="宋体" w:cs="Times New Roman"/>
                <w:kern w:val="0"/>
                <w:sz w:val="24"/>
                <w:szCs w:val="24"/>
                <w:highlight w:val="none"/>
              </w:rPr>
              <w:t>水库</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eastAsia="宋体" w:cs="Times New Roman"/>
                <w:sz w:val="24"/>
                <w:szCs w:val="24"/>
                <w:highlight w:val="none"/>
                <w:lang w:val="zh-CN"/>
              </w:rPr>
            </w:pPr>
            <w:r>
              <w:rPr>
                <w:rFonts w:hint="default" w:ascii="Times New Roman" w:hAnsi="Times New Roman" w:eastAsia="宋体" w:cs="Times New Roman"/>
                <w:sz w:val="24"/>
                <w:szCs w:val="24"/>
                <w:highlight w:val="none"/>
                <w:lang w:val="zh-CN"/>
              </w:rPr>
              <w:t>一级保护区：水库大坝至上游830米，正常水位线（275米）以内的区域及正常水位线以外水库左右岸第一重山脊线内的区域；取水池及其下游东至溢洪道西边界、西至低位水电站东侧、南至河道护坡北边界的区域。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eastAsia="宋体" w:cs="Times New Roman"/>
                <w:sz w:val="24"/>
                <w:szCs w:val="24"/>
                <w:highlight w:val="none"/>
                <w:lang w:val="zh-CN"/>
              </w:rPr>
            </w:pPr>
            <w:r>
              <w:rPr>
                <w:rFonts w:hint="default" w:ascii="Times New Roman" w:hAnsi="Times New Roman" w:eastAsia="宋体" w:cs="Times New Roman"/>
                <w:sz w:val="24"/>
                <w:szCs w:val="24"/>
                <w:highlight w:val="none"/>
                <w:lang w:val="zh-CN"/>
              </w:rPr>
              <w:t>二级保护区：一级保护区外至水库上游3000米正常水位线以内的区域及正常水位线以外左右岸第一重山脊线内的区域。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eastAsia="宋体" w:cs="Times New Roman"/>
                <w:sz w:val="24"/>
                <w:szCs w:val="24"/>
                <w:highlight w:val="none"/>
                <w:lang w:val="zh-CN"/>
              </w:rPr>
            </w:pPr>
            <w:r>
              <w:rPr>
                <w:rFonts w:hint="default" w:ascii="Times New Roman" w:hAnsi="Times New Roman" w:eastAsia="宋体" w:cs="Times New Roman"/>
                <w:sz w:val="24"/>
                <w:szCs w:val="24"/>
                <w:highlight w:val="none"/>
                <w:lang w:val="zh-CN"/>
              </w:rPr>
              <w:t>准保护区：二级保护区外至水库上游4000米（圪了滩猕猴过河索桥处）正常水位线以内的区域及正常水位线以外水库左右岸第一重山脊线济源市境内的区域。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eastAsia="宋体" w:cs="Times New Roman"/>
                <w:sz w:val="24"/>
                <w:szCs w:val="24"/>
                <w:highlight w:val="none"/>
                <w:lang w:val="en-US" w:eastAsia="zh-CN"/>
              </w:rPr>
            </w:pPr>
            <w:r>
              <w:rPr>
                <w:rFonts w:hint="default" w:ascii="Times New Roman" w:hAnsi="Times New Roman" w:eastAsia="宋体" w:cs="Times New Roman"/>
                <w:sz w:val="24"/>
                <w:szCs w:val="24"/>
                <w:highlight w:val="none"/>
                <w:lang w:val="en-US" w:eastAsia="zh-CN"/>
              </w:rPr>
              <w:t>本项目位于</w:t>
            </w:r>
            <w:r>
              <w:rPr>
                <w:rFonts w:hint="default" w:ascii="Times New Roman" w:hAnsi="Times New Roman" w:cs="Times New Roman"/>
                <w:sz w:val="24"/>
                <w:szCs w:val="24"/>
                <w:highlight w:val="none"/>
                <w:lang w:val="en-US" w:eastAsia="zh-CN"/>
              </w:rPr>
              <w:t>济源市</w:t>
            </w:r>
            <w:r>
              <w:rPr>
                <w:rFonts w:hint="eastAsia" w:cs="Times New Roman"/>
                <w:sz w:val="24"/>
                <w:szCs w:val="24"/>
                <w:highlight w:val="none"/>
                <w:lang w:val="en-US" w:eastAsia="zh-CN"/>
              </w:rPr>
              <w:t>天坛办事处南白涧村西路北</w:t>
            </w:r>
            <w:r>
              <w:rPr>
                <w:rFonts w:hint="default" w:ascii="Times New Roman" w:hAnsi="Times New Roman" w:eastAsia="宋体" w:cs="Times New Roman"/>
                <w:sz w:val="24"/>
                <w:szCs w:val="24"/>
                <w:highlight w:val="none"/>
                <w:lang w:val="en-US" w:eastAsia="zh-CN"/>
              </w:rPr>
              <w:t>，</w:t>
            </w:r>
            <w:r>
              <w:rPr>
                <w:rFonts w:hint="eastAsia" w:cs="Times New Roman"/>
                <w:sz w:val="24"/>
                <w:szCs w:val="24"/>
                <w:highlight w:val="none"/>
                <w:lang w:val="en-US" w:eastAsia="zh-CN"/>
              </w:rPr>
              <w:t>距离最近的小庄水源地保护区南边界约2.82km，距离河口村水库较远，不在济源市集中式饮用水水源地保护区范围内。</w:t>
            </w: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default" w:ascii="Times New Roman" w:hAnsi="Times New Roman" w:cs="Times New Roman"/>
                <w:b/>
                <w:bCs/>
                <w:sz w:val="24"/>
                <w:szCs w:val="24"/>
                <w:highlight w:val="none"/>
                <w:lang w:val="en-US" w:eastAsia="zh-CN"/>
              </w:rPr>
            </w:pPr>
            <w:r>
              <w:rPr>
                <w:rFonts w:hint="default" w:ascii="Times New Roman" w:hAnsi="Times New Roman" w:cs="Times New Roman"/>
                <w:b/>
                <w:bCs/>
                <w:sz w:val="24"/>
                <w:szCs w:val="24"/>
                <w:highlight w:val="none"/>
                <w:lang w:val="en-US" w:eastAsia="zh-CN"/>
              </w:rPr>
              <w:t>2</w:t>
            </w:r>
            <w:r>
              <w:rPr>
                <w:rFonts w:hint="eastAsia" w:cs="Times New Roman"/>
                <w:b/>
                <w:bCs/>
                <w:sz w:val="24"/>
                <w:szCs w:val="24"/>
                <w:highlight w:val="none"/>
                <w:lang w:val="en-US" w:eastAsia="zh-CN"/>
              </w:rPr>
              <w:t>、</w:t>
            </w:r>
            <w:r>
              <w:rPr>
                <w:rFonts w:hint="default" w:ascii="Times New Roman" w:hAnsi="Times New Roman" w:cs="Times New Roman"/>
                <w:b/>
                <w:bCs/>
                <w:sz w:val="24"/>
                <w:szCs w:val="24"/>
                <w:highlight w:val="none"/>
                <w:lang w:val="en-US" w:eastAsia="zh-CN"/>
              </w:rPr>
              <w:t>项目与河南省乡镇级集中式饮用水水源保护区划相符性分析</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根据《河南省乡镇集中式饮用水水源保护区划》（豫政办〔2016〕23号），济源市规划的乡镇级集中式饮用水水源保护区如下：</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（1）济源市梨林镇地下水井群（共4眼井）</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一级保护区范围：水厂厂区及外围东670米、西670米、南480米、北至沁河中泓线的区域。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（2）济源市王屋镇天坛山水库</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一级保护区范围：水库正常水位线（577米）以下区域及取水口南、北两侧正常水位线以上200米但不超过流域分水岭的区域。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二级保护区范围：一级保护区外，入库主河流上溯2000米河道内及两侧分水岭内的区域。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准保护区范围：二级保护区外，济源市境内的全部汇水区域。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（3）济源市邵原镇布袋沟水库</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一级保护区范围：水库正常水位线（753米）以下的区域，取水口东、西两侧正常水位线以上200米但不超过分水岭的区域。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二级保护区范围：一级保护区外，入库主河流上溯2000米河道内及两侧分水岭内的区域。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cs="Times New Roman"/>
                <w:sz w:val="24"/>
                <w:szCs w:val="24"/>
                <w:highlight w:val="none"/>
                <w:lang w:val="en-US" w:eastAsia="zh-CN"/>
              </w:rPr>
            </w:pPr>
            <w:r>
              <w:rPr>
                <w:rFonts w:hint="default" w:ascii="Times New Roman" w:hAnsi="Times New Roman" w:cs="Times New Roman"/>
                <w:sz w:val="24"/>
                <w:szCs w:val="24"/>
                <w:highlight w:val="none"/>
                <w:lang w:val="en-US" w:eastAsia="zh-CN"/>
              </w:rPr>
              <w:t>准保护区范围：二级保护区外，济源市境内的全部汇水区域。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ascii="Times New Roman" w:hAnsi="Times New Roman" w:eastAsia="宋体" w:cs="Times New Roman"/>
                <w:sz w:val="24"/>
                <w:szCs w:val="24"/>
                <w:highlight w:val="none"/>
                <w:lang w:val="en-US" w:eastAsia="zh-CN"/>
              </w:rPr>
            </w:pPr>
            <w:r>
              <w:rPr>
                <w:rFonts w:hint="default" w:ascii="Times New Roman" w:hAnsi="Times New Roman" w:cs="Times New Roman"/>
                <w:sz w:val="24"/>
                <w:szCs w:val="24"/>
                <w:highlight w:val="none"/>
                <w:lang w:val="en-US" w:eastAsia="zh-CN"/>
              </w:rPr>
              <w:t>本项目位于济源市</w:t>
            </w:r>
            <w:r>
              <w:rPr>
                <w:rFonts w:hint="eastAsia" w:cs="Times New Roman"/>
                <w:sz w:val="24"/>
                <w:szCs w:val="24"/>
                <w:highlight w:val="none"/>
                <w:lang w:val="en-US" w:eastAsia="zh-CN"/>
              </w:rPr>
              <w:t>天坛办事处南白涧村西路北</w:t>
            </w:r>
            <w:r>
              <w:rPr>
                <w:rFonts w:hint="default" w:ascii="Times New Roman" w:hAnsi="Times New Roman" w:eastAsia="宋体" w:cs="Times New Roman"/>
                <w:sz w:val="24"/>
                <w:szCs w:val="24"/>
                <w:highlight w:val="none"/>
                <w:lang w:val="en-US" w:eastAsia="zh-CN"/>
              </w:rPr>
              <w:t>，不在济源市</w:t>
            </w:r>
            <w:r>
              <w:rPr>
                <w:rFonts w:hint="default" w:ascii="Times New Roman" w:hAnsi="Times New Roman" w:cs="Times New Roman"/>
                <w:sz w:val="24"/>
                <w:szCs w:val="24"/>
                <w:highlight w:val="none"/>
                <w:lang w:val="en-US" w:eastAsia="zh-CN"/>
              </w:rPr>
              <w:t>规划的乡镇级集中式饮用水水源保护区内</w:t>
            </w:r>
            <w:r>
              <w:rPr>
                <w:rFonts w:hint="default" w:ascii="Times New Roman" w:hAnsi="Times New Roman" w:eastAsia="宋体" w:cs="Times New Roman"/>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default" w:ascii="Times New Roman" w:hAnsi="Times New Roman" w:cs="Times New Roman"/>
                <w:b/>
                <w:bCs/>
                <w:sz w:val="24"/>
                <w:szCs w:val="24"/>
                <w:highlight w:val="none"/>
                <w:lang w:val="en-US" w:eastAsia="zh-CN"/>
              </w:rPr>
            </w:pPr>
            <w:r>
              <w:rPr>
                <w:rFonts w:hint="eastAsia" w:cs="Times New Roman"/>
                <w:b/>
                <w:bCs/>
                <w:sz w:val="24"/>
                <w:szCs w:val="24"/>
                <w:highlight w:val="none"/>
                <w:lang w:val="en-US" w:eastAsia="zh-CN"/>
              </w:rPr>
              <w:t>3、</w:t>
            </w:r>
            <w:r>
              <w:rPr>
                <w:rFonts w:hint="default" w:ascii="Times New Roman" w:hAnsi="Times New Roman" w:cs="Times New Roman"/>
                <w:b/>
                <w:bCs/>
                <w:sz w:val="24"/>
                <w:szCs w:val="24"/>
                <w:highlight w:val="none"/>
                <w:lang w:val="en-US" w:eastAsia="zh-CN"/>
              </w:rPr>
              <w:t>项目与济源示范区“三线一单”相符性分析</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根据《河南省“三线一单”研究报告》，济源示范区已确定生态保护红线、环境质量底线、资源利用上线，并提出了示范区生态环境总体准入要求和环境管控单元生态环境准入清单。</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（1）示范区生态环境总体准入要求</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生态环境总体准入要求包括空间布局约束、污染物排放控制、环境风险防控、资源利用效率要求四个维度。</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（2）示范区环境管控单元生态环境准入清单</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根据《河南省“三线一单”研究报告》，示范区共划定10个综合管控单元。包括优先保护单元、重点管控单元和一般管控单元3类。</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1、优先保护单元</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优先保护单元包括生态保护红线、一般生态空间、水环境优先保护区。具体分布在河南王屋山国家地质公园、河南济源万阳湖省级湿地公园、王屋山风景名胜区、河南黄河湿地国家级自然保护区、河南黛眉山国家地质公园、河南太行山猕猴国家级自然保护区、济源市河口村水库、五龙口风景名胜区、小浪底水库湿地、西霞院水库湿地、国家一级公益林、国家二级公益林等区域。</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2、重点管控单元</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（1）玉川产业集聚区单元</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（2）虎岭产业集聚区单元</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（3）城镇重点单元</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该单元涉及沁园、玉泉、济水、天坛、北海、轵城镇等。分布企业主要有国电豫源、豫港焦化、方升化学、腾盛纸业、丰田肥业、豫光铅盐、白云实业、玉泉特色产业园</w:t>
            </w:r>
            <w:r>
              <w:rPr>
                <w:rFonts w:hint="eastAsia" w:ascii="宋体" w:hAnsi="宋体" w:eastAsia="宋体" w:cs="宋体"/>
                <w:sz w:val="24"/>
                <w:szCs w:val="24"/>
                <w:highlight w:val="none"/>
                <w:lang w:val="en-US" w:eastAsia="zh-CN"/>
              </w:rPr>
              <w:t>、济源市城</w:t>
            </w:r>
            <w:r>
              <w:rPr>
                <w:rFonts w:hint="eastAsia" w:cs="Times New Roman"/>
                <w:sz w:val="24"/>
                <w:szCs w:val="24"/>
                <w:highlight w:val="none"/>
                <w:lang w:val="en-US" w:eastAsia="zh-CN"/>
              </w:rPr>
              <w:t>市污水处理厂等。</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cs="Times New Roman"/>
                <w:sz w:val="24"/>
                <w:szCs w:val="24"/>
                <w:highlight w:val="none"/>
                <w:lang w:val="en-US" w:eastAsia="zh-CN"/>
              </w:rPr>
            </w:pPr>
            <w:r>
              <w:rPr>
                <w:rFonts w:hint="eastAsia" w:cs="Times New Roman"/>
                <w:sz w:val="24"/>
                <w:szCs w:val="24"/>
                <w:highlight w:val="none"/>
                <w:lang w:val="en-US" w:eastAsia="zh-CN"/>
              </w:rPr>
              <w:t>3、一般管控单元</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cs="Times New Roman"/>
                <w:sz w:val="24"/>
                <w:szCs w:val="24"/>
                <w:highlight w:val="none"/>
                <w:lang w:val="en-US" w:eastAsia="zh-CN"/>
              </w:rPr>
            </w:pPr>
            <w:r>
              <w:rPr>
                <w:rFonts w:hint="eastAsia" w:cs="Times New Roman"/>
                <w:sz w:val="24"/>
                <w:szCs w:val="24"/>
                <w:highlight w:val="none"/>
                <w:lang w:val="en-US" w:eastAsia="zh-CN"/>
              </w:rPr>
              <w:t>该单元为出去优先保护单元和重点管控单元剩余区域，涉及下冶镇、坡头镇、大峪镇、王屋镇、克井镇、邵原镇、轵城镇、承留镇、五龙口镇、思礼镇等。</w:t>
            </w:r>
          </w:p>
          <w:p>
            <w:pPr>
              <w:pStyle w:val="35"/>
              <w:keepNext w:val="0"/>
              <w:keepLines w:val="0"/>
              <w:pageBreakBefore w:val="0"/>
              <w:widowControl w:val="0"/>
              <w:kinsoku/>
              <w:wordWrap/>
              <w:overflowPunct/>
              <w:topLinePunct w:val="0"/>
              <w:autoSpaceDE/>
              <w:autoSpaceDN/>
              <w:bidi w:val="0"/>
              <w:adjustRightInd/>
              <w:snapToGrid/>
              <w:spacing w:line="520" w:lineRule="exact"/>
              <w:ind w:left="0" w:leftChars="0" w:firstLine="480" w:firstLineChars="200"/>
              <w:jc w:val="both"/>
              <w:textAlignment w:val="auto"/>
              <w:rPr>
                <w:rFonts w:hint="eastAsia" w:cs="Times New Roman"/>
                <w:sz w:val="24"/>
                <w:szCs w:val="24"/>
                <w:highlight w:val="none"/>
                <w:lang w:val="en-US" w:eastAsia="zh-CN"/>
              </w:rPr>
            </w:pPr>
            <w:r>
              <w:rPr>
                <w:rFonts w:hint="default" w:ascii="Times New Roman" w:hAnsi="Times New Roman" w:cs="Times New Roman"/>
                <w:sz w:val="24"/>
                <w:szCs w:val="24"/>
                <w:highlight w:val="none"/>
                <w:lang w:val="en-US" w:eastAsia="zh-CN"/>
              </w:rPr>
              <w:t>本项目位于济源市</w:t>
            </w:r>
            <w:r>
              <w:rPr>
                <w:rFonts w:hint="eastAsia" w:cs="Times New Roman"/>
                <w:sz w:val="24"/>
                <w:szCs w:val="24"/>
                <w:highlight w:val="none"/>
                <w:lang w:val="en-US" w:eastAsia="zh-CN"/>
              </w:rPr>
              <w:t>天坛办事处南白涧村西路北</w:t>
            </w:r>
            <w:r>
              <w:rPr>
                <w:rFonts w:hint="default" w:ascii="Times New Roman" w:hAnsi="Times New Roman" w:eastAsia="宋体" w:cs="Times New Roman"/>
                <w:sz w:val="24"/>
                <w:szCs w:val="24"/>
                <w:highlight w:val="none"/>
                <w:lang w:val="en-US" w:eastAsia="zh-CN"/>
              </w:rPr>
              <w:t>，</w:t>
            </w:r>
            <w:r>
              <w:rPr>
                <w:rFonts w:hint="eastAsia" w:cs="Times New Roman"/>
                <w:sz w:val="24"/>
                <w:szCs w:val="24"/>
                <w:highlight w:val="none"/>
                <w:lang w:val="en-US" w:eastAsia="zh-CN"/>
              </w:rPr>
              <w:t>属于优先保护单元中的水环境优先保护区。与“三线一单”优先保护单元要求相符性分析见表1-1。</w:t>
            </w: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jc w:val="center"/>
              <w:textAlignment w:val="auto"/>
              <w:rPr>
                <w:rFonts w:hint="default" w:ascii="Times New Roman" w:hAnsi="Times New Roman" w:cs="Times New Roman"/>
                <w:b/>
                <w:bCs/>
                <w:sz w:val="24"/>
                <w:szCs w:val="24"/>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520" w:lineRule="exact"/>
              <w:ind w:firstLine="482" w:firstLineChars="200"/>
              <w:jc w:val="center"/>
              <w:textAlignment w:val="auto"/>
              <w:rPr>
                <w:rFonts w:hint="default" w:ascii="Times New Roman" w:hAnsi="Times New Roman" w:cs="Times New Roman"/>
                <w:b/>
                <w:bCs/>
                <w:sz w:val="24"/>
                <w:szCs w:val="24"/>
                <w:highlight w:val="none"/>
                <w:lang w:val="en-US" w:eastAsia="zh-CN"/>
              </w:rPr>
            </w:pPr>
            <w:r>
              <w:rPr>
                <w:rFonts w:hint="default" w:ascii="Times New Roman" w:hAnsi="Times New Roman" w:cs="Times New Roman"/>
                <w:b/>
                <w:bCs/>
                <w:sz w:val="24"/>
                <w:szCs w:val="24"/>
                <w:highlight w:val="none"/>
                <w:lang w:val="en-US" w:eastAsia="zh-CN"/>
              </w:rPr>
              <w:t>表1</w:t>
            </w:r>
            <w:r>
              <w:rPr>
                <w:rFonts w:hint="eastAsia" w:cs="Times New Roman"/>
                <w:b/>
                <w:bCs/>
                <w:sz w:val="24"/>
                <w:szCs w:val="24"/>
                <w:highlight w:val="none"/>
                <w:lang w:val="en-US" w:eastAsia="zh-CN"/>
              </w:rPr>
              <w:t>-1</w:t>
            </w:r>
            <w:r>
              <w:rPr>
                <w:rFonts w:hint="default" w:ascii="Times New Roman" w:hAnsi="Times New Roman" w:cs="Times New Roman"/>
                <w:b/>
                <w:bCs/>
                <w:sz w:val="24"/>
                <w:szCs w:val="24"/>
                <w:highlight w:val="none"/>
                <w:lang w:val="en-US" w:eastAsia="zh-CN"/>
              </w:rPr>
              <w:t xml:space="preserve">  项目与“三线一单”的相符性分析表</w:t>
            </w:r>
          </w:p>
          <w:tbl>
            <w:tblPr>
              <w:tblStyle w:val="14"/>
              <w:tblW w:w="77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8"/>
              <w:gridCol w:w="3320"/>
              <w:gridCol w:w="2945"/>
              <w:gridCol w:w="9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trPr>
              <w:tc>
                <w:tcPr>
                  <w:tcW w:w="3898" w:type="dxa"/>
                  <w:gridSpan w:val="2"/>
                  <w:vAlign w:val="center"/>
                </w:tcPr>
                <w:p>
                  <w:pPr>
                    <w:pStyle w:val="35"/>
                    <w:spacing w:line="240" w:lineRule="auto"/>
                    <w:ind w:left="0" w:leftChars="0" w:firstLine="0" w:firstLineChars="0"/>
                    <w:jc w:val="center"/>
                    <w:rPr>
                      <w:rFonts w:hint="default" w:cs="Times New Roman"/>
                      <w:b/>
                      <w:bCs/>
                      <w:sz w:val="21"/>
                      <w:szCs w:val="21"/>
                      <w:highlight w:val="none"/>
                      <w:vertAlign w:val="baseline"/>
                      <w:lang w:val="en-US" w:eastAsia="zh-CN"/>
                    </w:rPr>
                  </w:pPr>
                  <w:r>
                    <w:rPr>
                      <w:rFonts w:hint="eastAsia" w:cs="Times New Roman"/>
                      <w:b/>
                      <w:bCs/>
                      <w:sz w:val="21"/>
                      <w:szCs w:val="21"/>
                      <w:highlight w:val="none"/>
                      <w:vertAlign w:val="baseline"/>
                      <w:lang w:val="en-US" w:eastAsia="zh-CN"/>
                    </w:rPr>
                    <w:t>管控要求</w:t>
                  </w:r>
                </w:p>
              </w:tc>
              <w:tc>
                <w:tcPr>
                  <w:tcW w:w="2945" w:type="dxa"/>
                  <w:vAlign w:val="center"/>
                </w:tcPr>
                <w:p>
                  <w:pPr>
                    <w:pStyle w:val="35"/>
                    <w:spacing w:line="240" w:lineRule="auto"/>
                    <w:ind w:left="0" w:leftChars="0" w:firstLine="0" w:firstLineChars="0"/>
                    <w:jc w:val="center"/>
                    <w:rPr>
                      <w:rFonts w:hint="default" w:cs="Times New Roman"/>
                      <w:b/>
                      <w:bCs/>
                      <w:sz w:val="21"/>
                      <w:szCs w:val="21"/>
                      <w:highlight w:val="none"/>
                      <w:vertAlign w:val="baseline"/>
                      <w:lang w:val="en-US" w:eastAsia="zh-CN"/>
                    </w:rPr>
                  </w:pPr>
                  <w:r>
                    <w:rPr>
                      <w:rFonts w:hint="eastAsia" w:cs="Times New Roman"/>
                      <w:b/>
                      <w:bCs/>
                      <w:sz w:val="21"/>
                      <w:szCs w:val="21"/>
                      <w:highlight w:val="none"/>
                      <w:vertAlign w:val="baseline"/>
                      <w:lang w:val="en-US" w:eastAsia="zh-CN"/>
                    </w:rPr>
                    <w:t>本项目</w:t>
                  </w:r>
                </w:p>
              </w:tc>
              <w:tc>
                <w:tcPr>
                  <w:tcW w:w="947" w:type="dxa"/>
                  <w:vAlign w:val="center"/>
                </w:tcPr>
                <w:p>
                  <w:pPr>
                    <w:pStyle w:val="35"/>
                    <w:spacing w:line="240" w:lineRule="auto"/>
                    <w:ind w:left="0" w:leftChars="0" w:firstLine="0" w:firstLineChars="0"/>
                    <w:jc w:val="center"/>
                    <w:rPr>
                      <w:rFonts w:hint="default" w:cs="Times New Roman"/>
                      <w:b/>
                      <w:bCs/>
                      <w:sz w:val="21"/>
                      <w:szCs w:val="21"/>
                      <w:highlight w:val="none"/>
                      <w:vertAlign w:val="baseline"/>
                      <w:lang w:val="en-US" w:eastAsia="zh-CN"/>
                    </w:rPr>
                  </w:pPr>
                  <w:r>
                    <w:rPr>
                      <w:rFonts w:hint="eastAsia" w:cs="Times New Roman"/>
                      <w:b/>
                      <w:bCs/>
                      <w:sz w:val="21"/>
                      <w:szCs w:val="21"/>
                      <w:highlight w:val="none"/>
                      <w:vertAlign w:val="baseline"/>
                      <w:lang w:val="en-US" w:eastAsia="zh-CN"/>
                    </w:rPr>
                    <w:t>相符性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78" w:type="dxa"/>
                  <w:vAlign w:val="center"/>
                </w:tcPr>
                <w:p>
                  <w:pPr>
                    <w:pStyle w:val="35"/>
                    <w:spacing w:line="240" w:lineRule="auto"/>
                    <w:ind w:left="0" w:leftChars="0" w:firstLine="0" w:firstLineChars="0"/>
                    <w:jc w:val="center"/>
                    <w:rPr>
                      <w:rFonts w:hint="default"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空间布局约束</w:t>
                  </w:r>
                </w:p>
              </w:tc>
              <w:tc>
                <w:tcPr>
                  <w:tcW w:w="3320" w:type="dxa"/>
                  <w:vAlign w:val="top"/>
                </w:tcPr>
                <w:p>
                  <w:pPr>
                    <w:pStyle w:val="35"/>
                    <w:spacing w:line="240" w:lineRule="auto"/>
                    <w:ind w:left="0" w:leftChars="0" w:firstLine="0" w:firstLineChars="0"/>
                    <w:jc w:val="both"/>
                    <w:rPr>
                      <w:rFonts w:hint="eastAsia"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1、禁止在饮用水水源保护区内设置排污口。禁止在饮用水水源一级保护区内新建、改建、扩建与供水设施和保护水源无关的建设项目。禁止在饮用水水源二级保护区内新建、改建、扩建排放污染物的项目。</w:t>
                  </w:r>
                </w:p>
                <w:p>
                  <w:pPr>
                    <w:pStyle w:val="35"/>
                    <w:spacing w:line="240" w:lineRule="auto"/>
                    <w:ind w:left="0" w:leftChars="0" w:firstLine="0" w:firstLineChars="0"/>
                    <w:jc w:val="both"/>
                    <w:rPr>
                      <w:rFonts w:hint="eastAsia"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2、生态保护红线内，自然保护地核心保护区原则上禁止人为活动；自然保护地核心保护区外的其他区域严格禁止开发性、生产性建设活动，在符合现行法律法规前提下，除国家重大战略项目外，仅允许对生态功能不造成破坏的有限人为活动。</w:t>
                  </w:r>
                </w:p>
                <w:p>
                  <w:pPr>
                    <w:pStyle w:val="35"/>
                    <w:spacing w:line="240" w:lineRule="auto"/>
                    <w:ind w:left="0" w:leftChars="0" w:firstLine="0" w:firstLineChars="0"/>
                    <w:jc w:val="both"/>
                    <w:rPr>
                      <w:rFonts w:hint="eastAsia"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3、湿地保护范围内禁止设立开发区、产业园区。</w:t>
                  </w:r>
                </w:p>
                <w:p>
                  <w:pPr>
                    <w:pStyle w:val="35"/>
                    <w:spacing w:line="240" w:lineRule="auto"/>
                    <w:ind w:left="0" w:leftChars="0" w:firstLine="0" w:firstLineChars="0"/>
                    <w:jc w:val="both"/>
                    <w:rPr>
                      <w:rFonts w:hint="default"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4、饮用水水源保护区范围内企业应及时搬出，进入园区。</w:t>
                  </w:r>
                </w:p>
              </w:tc>
              <w:tc>
                <w:tcPr>
                  <w:tcW w:w="2945" w:type="dxa"/>
                  <w:vAlign w:val="center"/>
                </w:tcPr>
                <w:p>
                  <w:pPr>
                    <w:pStyle w:val="35"/>
                    <w:spacing w:line="240" w:lineRule="auto"/>
                    <w:ind w:left="0" w:leftChars="0" w:firstLine="0" w:firstLineChars="0"/>
                    <w:jc w:val="center"/>
                    <w:rPr>
                      <w:rFonts w:hint="eastAsia"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1、本项目没有在饮用水水源保护区内设置排污口。</w:t>
                  </w:r>
                </w:p>
                <w:p>
                  <w:pPr>
                    <w:pStyle w:val="35"/>
                    <w:spacing w:line="240" w:lineRule="auto"/>
                    <w:ind w:left="0" w:leftChars="0" w:firstLine="0" w:firstLineChars="0"/>
                    <w:jc w:val="center"/>
                    <w:rPr>
                      <w:rFonts w:hint="eastAsia"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2、本项目不在生态保护红线内。</w:t>
                  </w:r>
                </w:p>
                <w:p>
                  <w:pPr>
                    <w:pStyle w:val="35"/>
                    <w:spacing w:line="240" w:lineRule="auto"/>
                    <w:ind w:left="0" w:leftChars="0" w:firstLine="0" w:firstLineChars="0"/>
                    <w:jc w:val="center"/>
                    <w:rPr>
                      <w:rFonts w:hint="eastAsia"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3、本项目不在湿地保护范围内。</w:t>
                  </w:r>
                </w:p>
                <w:p>
                  <w:pPr>
                    <w:pStyle w:val="35"/>
                    <w:spacing w:line="240" w:lineRule="auto"/>
                    <w:ind w:left="0" w:leftChars="0" w:firstLine="0" w:firstLineChars="0"/>
                    <w:jc w:val="center"/>
                    <w:rPr>
                      <w:rFonts w:hint="default"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4、本项目不在饮用水水源保护区范围内。</w:t>
                  </w:r>
                </w:p>
              </w:tc>
              <w:tc>
                <w:tcPr>
                  <w:tcW w:w="947" w:type="dxa"/>
                  <w:vAlign w:val="center"/>
                </w:tcPr>
                <w:p>
                  <w:pPr>
                    <w:pStyle w:val="35"/>
                    <w:spacing w:line="240" w:lineRule="auto"/>
                    <w:ind w:left="0" w:leftChars="0" w:firstLine="0" w:firstLineChars="0"/>
                    <w:jc w:val="center"/>
                    <w:rPr>
                      <w:rFonts w:hint="default" w:cs="Times New Roman"/>
                      <w:sz w:val="21"/>
                      <w:szCs w:val="21"/>
                      <w:highlight w:val="none"/>
                      <w:vertAlign w:val="baseline"/>
                      <w:lang w:val="en-US" w:eastAsia="zh-CN"/>
                    </w:rPr>
                  </w:pPr>
                  <w:r>
                    <w:rPr>
                      <w:rFonts w:hint="eastAsia" w:cs="Times New Roman"/>
                      <w:sz w:val="21"/>
                      <w:szCs w:val="21"/>
                      <w:highlight w:val="none"/>
                      <w:vertAlign w:val="baseline"/>
                      <w:lang w:val="en-US" w:eastAsia="zh-CN"/>
                    </w:rPr>
                    <w:t>相符</w:t>
                  </w:r>
                </w:p>
              </w:tc>
            </w:tr>
          </w:tbl>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default" w:cs="Times New Roman"/>
                <w:sz w:val="24"/>
                <w:szCs w:val="24"/>
                <w:highlight w:val="none"/>
                <w:lang w:val="en-US" w:eastAsia="zh-CN"/>
              </w:rPr>
            </w:pPr>
            <w:r>
              <w:rPr>
                <w:rFonts w:hint="eastAsia" w:cs="Times New Roman"/>
                <w:sz w:val="24"/>
                <w:szCs w:val="24"/>
                <w:highlight w:val="none"/>
                <w:lang w:val="en-US" w:eastAsia="zh-CN"/>
              </w:rPr>
              <w:t>综上，本项目符合济源示范区“三线一单”的管控要求。</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4、项目与《河南省重污染天气重点行业应急减排措施制定技术指南》中通用行业中“其它基本要求”相符性分析</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both"/>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根据《济源示范区生态环境局关于贯彻落实&lt;河南省2021年工业企业大气污染物全面达标提升行动方案&gt;&lt;河南省2021年重点行业绩效分级提升行动方案的通知&gt;》（济环管﹝2021﹞68号），将生态环境部和省生态环境厅制定的重点行业和通用涉气A级绩效或环保引领企业标准纳入新扩改项目环评要求，</w:t>
            </w:r>
            <w:r>
              <w:rPr>
                <w:rFonts w:hint="eastAsia" w:ascii="宋体" w:hAnsi="宋体" w:eastAsia="宋体" w:cs="宋体"/>
                <w:b w:val="0"/>
                <w:bCs w:val="0"/>
                <w:sz w:val="24"/>
                <w:szCs w:val="24"/>
                <w:highlight w:val="none"/>
                <w:lang w:val="en-US" w:eastAsia="zh-CN"/>
              </w:rPr>
              <w:t>本项目</w:t>
            </w:r>
            <w:r>
              <w:rPr>
                <w:rFonts w:hint="eastAsia" w:ascii="宋体" w:hAnsi="宋体" w:cs="宋体"/>
                <w:b w:val="0"/>
                <w:bCs w:val="0"/>
                <w:sz w:val="24"/>
                <w:szCs w:val="24"/>
                <w:highlight w:val="none"/>
                <w:lang w:val="en-US" w:eastAsia="zh-CN"/>
              </w:rPr>
              <w:t>无废气污染物排放</w:t>
            </w:r>
            <w:r>
              <w:rPr>
                <w:rFonts w:hint="eastAsia" w:ascii="宋体" w:hAnsi="宋体" w:eastAsia="宋体" w:cs="宋体"/>
                <w:b w:val="0"/>
                <w:bCs w:val="0"/>
                <w:sz w:val="24"/>
                <w:szCs w:val="24"/>
                <w:highlight w:val="none"/>
                <w:lang w:val="en-US" w:eastAsia="zh-CN"/>
              </w:rPr>
              <w:t>，故本次评价参照通用行业中“其他基本要求”对本项目建设进行对标自查，结果如下：</w:t>
            </w:r>
          </w:p>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center"/>
              <w:textAlignment w:val="auto"/>
              <w:rPr>
                <w:rFonts w:hint="default" w:ascii="宋体" w:hAnsi="宋体" w:eastAsia="宋体" w:cs="宋体"/>
                <w:b/>
                <w:bCs/>
                <w:sz w:val="24"/>
                <w:szCs w:val="24"/>
                <w:highlight w:val="none"/>
                <w:vertAlign w:val="baseline"/>
                <w:lang w:val="en-US" w:eastAsia="zh-CN"/>
              </w:rPr>
            </w:pPr>
            <w:r>
              <w:rPr>
                <w:rFonts w:hint="eastAsia" w:ascii="宋体" w:hAnsi="宋体" w:eastAsia="宋体" w:cs="宋体"/>
                <w:b/>
                <w:bCs/>
                <w:sz w:val="24"/>
                <w:szCs w:val="24"/>
                <w:highlight w:val="none"/>
                <w:lang w:val="en-US" w:eastAsia="zh-CN"/>
              </w:rPr>
              <w:t>表</w:t>
            </w: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lang w:val="en-US" w:eastAsia="zh-CN"/>
              </w:rPr>
              <w:t xml:space="preserve">  通用行业“其他基本要求”绩效指标对比情况表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7"/>
              <w:gridCol w:w="735"/>
              <w:gridCol w:w="4620"/>
              <w:gridCol w:w="23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2" w:type="dxa"/>
                  <w:gridSpan w:val="2"/>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highlight w:val="none"/>
                      <w:vertAlign w:val="baseline"/>
                      <w:lang w:val="en-US" w:eastAsia="zh-CN"/>
                    </w:rPr>
                  </w:pPr>
                  <w:r>
                    <w:rPr>
                      <w:rFonts w:hint="eastAsia" w:ascii="宋体" w:hAnsi="宋体" w:eastAsia="宋体" w:cs="宋体"/>
                      <w:b/>
                      <w:bCs/>
                      <w:sz w:val="21"/>
                      <w:szCs w:val="21"/>
                      <w:highlight w:val="none"/>
                      <w:vertAlign w:val="baseline"/>
                      <w:lang w:val="en-US" w:eastAsia="zh-CN"/>
                    </w:rPr>
                    <w:t>差异化指标</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highlight w:val="none"/>
                      <w:vertAlign w:val="baseline"/>
                      <w:lang w:val="en-US" w:eastAsia="zh-CN"/>
                    </w:rPr>
                  </w:pPr>
                  <w:r>
                    <w:rPr>
                      <w:rFonts w:hint="eastAsia" w:ascii="宋体" w:hAnsi="宋体" w:eastAsia="宋体" w:cs="宋体"/>
                      <w:b/>
                      <w:bCs/>
                      <w:sz w:val="21"/>
                      <w:szCs w:val="21"/>
                      <w:highlight w:val="none"/>
                      <w:vertAlign w:val="baseline"/>
                      <w:lang w:val="en-US" w:eastAsia="zh-CN"/>
                    </w:rPr>
                    <w:t>A级企业</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bCs/>
                      <w:sz w:val="21"/>
                      <w:szCs w:val="21"/>
                      <w:highlight w:val="none"/>
                      <w:vertAlign w:val="baseline"/>
                      <w:lang w:val="en-US" w:eastAsia="zh-CN"/>
                    </w:rPr>
                  </w:pPr>
                  <w:r>
                    <w:rPr>
                      <w:rFonts w:hint="eastAsia" w:ascii="宋体" w:hAnsi="宋体" w:eastAsia="宋体" w:cs="宋体"/>
                      <w:b/>
                      <w:bCs/>
                      <w:sz w:val="21"/>
                      <w:szCs w:val="21"/>
                      <w:highlight w:val="none"/>
                      <w:vertAlign w:val="baseline"/>
                      <w:lang w:val="en-US" w:eastAsia="zh-CN"/>
                    </w:rPr>
                    <w:t>本工程建设情况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7" w:type="dxa"/>
                  <w:vMerge w:val="restart"/>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运输方式及运输监管</w:t>
                  </w: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运输</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方式</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①公路运输。物料公路运输使用达到国五及以上排放标准重型载货车辆（含燃气）或新能源车辆比例100%；</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②厂内运输车辆。达到国五及以上排放标准（含燃气）或使用新能源车辆比例100%；</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③危险品及危废运输。国五及以上或新能源车辆100%；</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④场内非道路移动机械。国三及以上排放标准或使用新能源机械100%。</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①物料、产品公路运输均委托社会车辆，委托车辆全部达国五及以上排放标准。</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②不涉及。</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③不涉及。</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④厂区使用行车进行物料转运，无非道路移动机械。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7" w:type="dxa"/>
                  <w:vMerge w:val="continue"/>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val="0"/>
                      <w:bCs w:val="0"/>
                      <w:sz w:val="21"/>
                      <w:szCs w:val="21"/>
                      <w:highlight w:val="none"/>
                      <w:vertAlign w:val="baseline"/>
                      <w:lang w:val="en-US" w:eastAsia="zh-CN"/>
                    </w:rPr>
                  </w:pP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运输</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监管</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b w:val="0"/>
                      <w:bCs w:val="0"/>
                      <w:sz w:val="21"/>
                      <w:szCs w:val="21"/>
                      <w:highlight w:val="none"/>
                      <w:vertAlign w:val="baseline"/>
                      <w:lang w:val="en-US" w:eastAsia="zh-CN"/>
                    </w:rPr>
                    <w:t>厂区货运车辆进出大门口：日均进出货物150吨（或载货车辆日进出10辆次）及以上（货物包括原料、辅料、燃料、产品和其他与生产相关物料）的企业，或纳入我省重点行业年产值1000万及以上的企业，拟申报A、B级企业时，应参照《重污染天气重点行业移动源应急管理技术指南》建立门禁视频监控系统和电子台账；其他企业建立门禁视频监控系统和台账。安装高清视频监控系统并能保留数据6个月以上。</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项目投运后，日均进出货物10吨，要求企业建立视频监控系统和电子台账。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7" w:type="dxa"/>
                  <w:vMerge w:val="restart"/>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环境管理要求</w:t>
                  </w: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环保档案资料齐全</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①环评批复文件和竣工验收文件/现状评估文件；</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②废气治理设施运行管理规程；</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③一年内废气监测报告；</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④国家版排污许可证，并按要求开展自行监测和信息披露，有规范的排气筒监测平台和排污口标识。</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①有环评批复文件。</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②本项目不涉及废气产生。</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③不涉及。</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④已申报。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7" w:type="dxa"/>
                  <w:vMerge w:val="continue"/>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台账记录信息完整</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①生产设施运行管理信息（生产时间、运行负荷、产品产量等）；</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②废气污染治理设施运行管理信息（除尘滤料、活性炭等更换量和时间）；</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③监测记录信息（主要污染排放口废气排放记录（手工监测和在线监测）等）；</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④主要原辅材料、燃料消耗记录（A、B级企业必需）；</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⑤电消耗记录（已安装用电监管设备的A、B级企业必需）。</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①完整登记。</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②本项目不涉及废气产生。</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③不涉及。</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④主要原辅材料完整登记，不涉及燃料。</w:t>
                  </w:r>
                </w:p>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⑤完整登记。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7" w:type="dxa"/>
                  <w:vMerge w:val="continue"/>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宋体" w:hAnsi="宋体" w:cs="宋体"/>
                      <w:b w:val="0"/>
                      <w:bCs w:val="0"/>
                      <w:sz w:val="21"/>
                      <w:szCs w:val="21"/>
                      <w:highlight w:val="none"/>
                      <w:vertAlign w:val="baseline"/>
                      <w:lang w:val="en-US" w:eastAsia="zh-CN"/>
                    </w:rPr>
                  </w:pP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人员配置合理</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配备专/兼职环保人员，并具备相应的环境管理能力（学历、培训、从业经验等）。</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配备有相关环保人员。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557" w:type="dxa"/>
                  <w:vMerge w:val="restart"/>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其他控制要求</w:t>
                  </w: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生产工艺和装备</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不属于《产业结构调整指导目录（2019年版）》淘汰类，不属于省级和市级政府部门明确列入已经限期淘汰类项目。</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项目不属于《产业结构调整指导目录（2019年版）》淘汰类；符合相关行业产业政策；符合河南省相关政策要求；符合市级规划。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557" w:type="dxa"/>
                  <w:vMerge w:val="continue"/>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highlight w:val="none"/>
                    </w:rPr>
                  </w:pP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污染治理副产物</w:t>
                  </w:r>
                </w:p>
              </w:tc>
              <w:tc>
                <w:tcPr>
                  <w:tcW w:w="4620"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color w:val="auto"/>
                      <w:sz w:val="21"/>
                      <w:szCs w:val="21"/>
                      <w:highlight w:val="none"/>
                    </w:rPr>
                    <w:t>除尘器应设置密闭灰仓并及时卸灰，除尘灰应通过气力输送、罐车、袋子等封闭方式卸灰，不得直接卸落到地面。除尘灰如果转运应采用气力输送、封闭传送带方式，如果直接外运应采用罐车或袋装后运输，并在装车过程中采取抑尘措施，除尘灰在厂区内应密闭/封闭储存；脱硫石膏和脱硫废渣等固体废物在转运过程中应采取抑尘措施并应封闭储存</w:t>
                  </w:r>
                  <w:r>
                    <w:rPr>
                      <w:rFonts w:hint="eastAsia" w:ascii="宋体" w:hAnsi="宋体" w:eastAsia="宋体" w:cs="宋体"/>
                      <w:color w:val="auto"/>
                      <w:sz w:val="21"/>
                      <w:szCs w:val="21"/>
                      <w:highlight w:val="none"/>
                      <w:lang w:eastAsia="zh-CN"/>
                    </w:rPr>
                    <w:t>。</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本项目不涉及废气产生。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557" w:type="dxa"/>
                  <w:vMerge w:val="continue"/>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用电量/视频监管</w:t>
                  </w:r>
                </w:p>
              </w:tc>
              <w:tc>
                <w:tcPr>
                  <w:tcW w:w="4620" w:type="dxa"/>
                  <w:vAlign w:val="top"/>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color w:val="auto"/>
                      <w:sz w:val="21"/>
                      <w:szCs w:val="21"/>
                      <w:highlight w:val="none"/>
                      <w:lang w:eastAsia="zh-CN"/>
                    </w:rPr>
                    <w:t>按照</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lang w:eastAsia="zh-CN"/>
                    </w:rPr>
                    <w:t>河南省涉气排污单位污染治理设施用电监管技术指南（试行）》要求安装用电监管设备（有自动在线监控系统的企业除外），用电监管数据直接上传至省、市生态环境部门的污染治理设施用电监管平台服务器；未安装自动在线监控和用电量监管拟申报A、B 级企业，应在主要生产设备（投料口、卸料口等位置）安装视频监控设施，相关数据保存三个月以上。</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本项目不涉及废气产生。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trPr>
              <w:tc>
                <w:tcPr>
                  <w:tcW w:w="557" w:type="dxa"/>
                  <w:vMerge w:val="continue"/>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p>
              </w:tc>
              <w:tc>
                <w:tcPr>
                  <w:tcW w:w="735"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厂容厂貌</w:t>
                  </w:r>
                </w:p>
              </w:tc>
              <w:tc>
                <w:tcPr>
                  <w:tcW w:w="4620" w:type="dxa"/>
                  <w:vAlign w:val="top"/>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eastAsia="宋体" w:cs="宋体"/>
                      <w:color w:val="auto"/>
                      <w:sz w:val="21"/>
                      <w:szCs w:val="21"/>
                      <w:highlight w:val="none"/>
                    </w:rPr>
                    <w:t>厂区内道路、原辅材料和燃料堆场等路面应硬化。厂区内道路采取定期清扫、洒水等措施，保持清洁，路面无明显可见积尘。其他未利用地优先绿化，或进行硬化，无成片裸露土地</w:t>
                  </w:r>
                  <w:r>
                    <w:rPr>
                      <w:rFonts w:hint="eastAsia" w:ascii="宋体" w:hAnsi="宋体" w:eastAsia="宋体" w:cs="宋体"/>
                      <w:color w:val="auto"/>
                      <w:sz w:val="21"/>
                      <w:szCs w:val="21"/>
                      <w:highlight w:val="none"/>
                      <w:lang w:eastAsia="zh-CN"/>
                    </w:rPr>
                    <w:t>。</w:t>
                  </w:r>
                </w:p>
              </w:tc>
              <w:tc>
                <w:tcPr>
                  <w:tcW w:w="2301" w:type="dxa"/>
                  <w:vAlign w:val="center"/>
                </w:tcPr>
                <w:p>
                  <w:pPr>
                    <w:pStyle w:val="35"/>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default" w:ascii="宋体" w:hAnsi="宋体" w:eastAsia="宋体" w:cs="宋体"/>
                      <w:b w:val="0"/>
                      <w:bCs w:val="0"/>
                      <w:sz w:val="21"/>
                      <w:szCs w:val="21"/>
                      <w:highlight w:val="none"/>
                      <w:vertAlign w:val="baseline"/>
                      <w:lang w:val="en-US" w:eastAsia="zh-CN"/>
                    </w:rPr>
                  </w:pPr>
                  <w:r>
                    <w:rPr>
                      <w:rFonts w:hint="eastAsia" w:ascii="宋体" w:hAnsi="宋体" w:cs="宋体"/>
                      <w:b w:val="0"/>
                      <w:bCs w:val="0"/>
                      <w:sz w:val="21"/>
                      <w:szCs w:val="21"/>
                      <w:highlight w:val="none"/>
                      <w:vertAlign w:val="baseline"/>
                      <w:lang w:val="en-US" w:eastAsia="zh-CN"/>
                    </w:rPr>
                    <w:t>厂区内道路路面均采取硬化措施；投运后采取定期清扫、洒水等措施，保持清洁，路面无明显可见积尘；其他未利用地优先绿化，或进行硬化，无成片裸露土地。</w:t>
                  </w:r>
                </w:p>
              </w:tc>
            </w:tr>
          </w:tbl>
          <w:p>
            <w:pPr>
              <w:pStyle w:val="35"/>
              <w:keepNext w:val="0"/>
              <w:keepLines w:val="0"/>
              <w:pageBreakBefore w:val="0"/>
              <w:widowControl w:val="0"/>
              <w:kinsoku/>
              <w:wordWrap/>
              <w:overflowPunct/>
              <w:topLinePunct w:val="0"/>
              <w:autoSpaceDE/>
              <w:autoSpaceDN/>
              <w:bidi w:val="0"/>
              <w:adjustRightInd/>
              <w:snapToGrid/>
              <w:spacing w:line="520" w:lineRule="exact"/>
              <w:ind w:firstLine="465"/>
              <w:jc w:val="center"/>
              <w:textAlignment w:val="auto"/>
              <w:rPr>
                <w:rFonts w:hint="default" w:ascii="宋体" w:hAnsi="宋体" w:eastAsia="宋体" w:cs="宋体"/>
                <w:b/>
                <w:bCs/>
                <w:sz w:val="24"/>
                <w:szCs w:val="24"/>
                <w:highlight w:val="none"/>
                <w:lang w:val="en-US" w:eastAsia="zh-CN"/>
              </w:rPr>
            </w:pPr>
          </w:p>
          <w:p>
            <w:pPr>
              <w:pStyle w:val="35"/>
              <w:spacing w:line="360" w:lineRule="auto"/>
              <w:ind w:firstLine="465"/>
              <w:jc w:val="both"/>
              <w:rPr>
                <w:rFonts w:hint="default" w:cs="Times New Roman"/>
                <w:sz w:val="24"/>
                <w:szCs w:val="24"/>
                <w:highlight w:val="none"/>
                <w:lang w:val="en-US" w:eastAsia="zh-CN"/>
              </w:rPr>
            </w:pPr>
          </w:p>
          <w:p>
            <w:pPr>
              <w:pStyle w:val="11"/>
              <w:jc w:val="center"/>
              <w:outlineLvl w:val="0"/>
              <w:rPr>
                <w:rFonts w:hint="default" w:ascii="Times New Roman" w:hAnsi="Times New Roman" w:eastAsia="黑体" w:cs="Times New Roman"/>
                <w:snapToGrid w:val="0"/>
                <w:sz w:val="30"/>
                <w:szCs w:val="30"/>
                <w:highlight w:val="none"/>
                <w:vertAlign w:val="baseline"/>
              </w:rPr>
            </w:pPr>
          </w:p>
        </w:tc>
      </w:tr>
    </w:tbl>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r>
        <w:rPr>
          <w:rFonts w:hint="default" w:ascii="Times New Roman" w:hAnsi="Times New Roman" w:eastAsia="黑体" w:cs="Times New Roman"/>
          <w:snapToGrid w:val="0"/>
          <w:sz w:val="30"/>
          <w:szCs w:val="30"/>
          <w:highlight w:val="none"/>
        </w:rPr>
        <w:t>二、建设项目工程分析</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496"/>
        <w:gridCol w:w="849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92" w:hRule="atLeast"/>
          <w:jc w:val="center"/>
        </w:trPr>
        <w:tc>
          <w:tcPr>
            <w:tcW w:w="496" w:type="dxa"/>
            <w:noWrap w:val="0"/>
            <w:vAlign w:val="center"/>
          </w:tcPr>
          <w:p>
            <w:pPr>
              <w:pStyle w:val="11"/>
              <w:adjustRightInd w:val="0"/>
              <w:snapToGrid w:val="0"/>
              <w:spacing w:before="0" w:beforeAutospacing="0" w:after="0" w:afterAutospacing="0"/>
              <w:jc w:val="center"/>
              <w:rPr>
                <w:rFonts w:hint="default" w:ascii="Times New Roman" w:hAnsi="Times New Roman" w:cs="Times New Roman"/>
                <w:sz w:val="21"/>
                <w:szCs w:val="21"/>
                <w:highlight w:val="none"/>
              </w:rPr>
            </w:pPr>
            <w:r>
              <w:rPr>
                <w:rFonts w:hint="default" w:ascii="Times New Roman" w:hAnsi="Times New Roman" w:cs="Times New Roman"/>
                <w:sz w:val="24"/>
                <w:szCs w:val="24"/>
                <w:highlight w:val="none"/>
              </w:rPr>
              <w:t>建设内容</w:t>
            </w:r>
          </w:p>
        </w:tc>
        <w:tc>
          <w:tcPr>
            <w:tcW w:w="8498" w:type="dxa"/>
            <w:noWrap w:val="0"/>
            <w:vAlign w:val="top"/>
          </w:tcPr>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1、项目由来</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济源市万鸿机械制造有限公司位于济源市天坛办事处南白涧村西路北，主要进行机械零部件的车床加工</w:t>
            </w:r>
            <w:r>
              <w:rPr>
                <w:rFonts w:hint="eastAsia" w:cs="Times New Roman"/>
                <w:b w:val="0"/>
                <w:bCs/>
                <w:sz w:val="24"/>
                <w:szCs w:val="24"/>
                <w:highlight w:val="none"/>
                <w:lang w:val="en-US" w:eastAsia="zh-CN"/>
              </w:rPr>
              <w:t>，</w:t>
            </w:r>
            <w:r>
              <w:rPr>
                <w:rFonts w:hint="default" w:ascii="Times New Roman" w:hAnsi="Times New Roman" w:cs="Times New Roman"/>
                <w:b w:val="0"/>
                <w:bCs/>
                <w:sz w:val="24"/>
                <w:szCs w:val="24"/>
                <w:highlight w:val="none"/>
                <w:lang w:val="en-US" w:eastAsia="zh-CN"/>
              </w:rPr>
              <w:t>其加工量为120t/a。为了满足市场需求，提高生产规模，企业拟投资800万元在现有厂区内进行扩建，扩建工程完成后，厂区总加工量为1000t/a。</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根据《建设项目环境影响评价分类管理名录》（2021年版），本项目属于“三十一、通用设备制造业”中“69通用零部件制造348其他（仅切割、焊接、组装的除外，年用非溶剂型低VOCs含量涂料10吨以下的除外）”，应编制环境影响报告表。</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济源市万鸿机械制造有限公司委托河南梁好环境科技有限公司承担本项目的环境影响评价工作，我司接受委托后，组织有关人员前往现场勘查，收集资料且进行环境质量现状监测，进行分析后编制本项目的环境影响报告表。</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2、工程内容</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工程主要建设内容见表2-1。</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表2-1  项目组成及建设内容一览表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82"/>
              <w:gridCol w:w="988"/>
              <w:gridCol w:w="1500"/>
              <w:gridCol w:w="2750"/>
              <w:gridCol w:w="12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82"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项目组成</w:t>
                  </w:r>
                </w:p>
              </w:tc>
              <w:tc>
                <w:tcPr>
                  <w:tcW w:w="2488" w:type="dxa"/>
                  <w:gridSpan w:val="2"/>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名称</w:t>
                  </w:r>
                </w:p>
              </w:tc>
              <w:tc>
                <w:tcPr>
                  <w:tcW w:w="2750"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建设内容</w:t>
                  </w:r>
                </w:p>
              </w:tc>
              <w:tc>
                <w:tcPr>
                  <w:tcW w:w="1277"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1282"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主体工程</w:t>
                  </w:r>
                </w:p>
              </w:tc>
              <w:tc>
                <w:tcPr>
                  <w:tcW w:w="2488" w:type="dxa"/>
                  <w:gridSpan w:val="2"/>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生产车间</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一层，占地面积1893m</w:t>
                  </w:r>
                  <w:r>
                    <w:rPr>
                      <w:rFonts w:hint="default" w:ascii="Times New Roman" w:hAnsi="Times New Roman" w:cs="Times New Roman"/>
                      <w:b w:val="0"/>
                      <w:bCs/>
                      <w:sz w:val="21"/>
                      <w:szCs w:val="21"/>
                      <w:highlight w:val="none"/>
                      <w:vertAlign w:val="superscript"/>
                      <w:lang w:val="en-US" w:eastAsia="zh-CN"/>
                    </w:rPr>
                    <w:t>2</w:t>
                  </w:r>
                  <w:r>
                    <w:rPr>
                      <w:rFonts w:hint="default" w:ascii="Times New Roman" w:hAnsi="Times New Roman" w:cs="Times New Roman"/>
                      <w:b w:val="0"/>
                      <w:bCs/>
                      <w:sz w:val="21"/>
                      <w:szCs w:val="21"/>
                      <w:highlight w:val="none"/>
                      <w:vertAlign w:val="baseline"/>
                      <w:lang w:val="en-US" w:eastAsia="zh-CN"/>
                    </w:rPr>
                    <w:t>。</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依托现有生产车间北侧空场地进行设备安装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282"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辅助工程</w:t>
                  </w:r>
                </w:p>
              </w:tc>
              <w:tc>
                <w:tcPr>
                  <w:tcW w:w="2488" w:type="dxa"/>
                  <w:gridSpan w:val="2"/>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办公室</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superscript"/>
                      <w:lang w:val="en-US" w:eastAsia="zh-CN"/>
                    </w:rPr>
                  </w:pPr>
                  <w:r>
                    <w:rPr>
                      <w:rFonts w:hint="default" w:ascii="Times New Roman" w:hAnsi="Times New Roman" w:cs="Times New Roman"/>
                      <w:b w:val="0"/>
                      <w:bCs/>
                      <w:sz w:val="21"/>
                      <w:szCs w:val="21"/>
                      <w:highlight w:val="none"/>
                      <w:vertAlign w:val="baseline"/>
                      <w:lang w:val="en-US" w:eastAsia="zh-CN"/>
                    </w:rPr>
                    <w:t>门口两层、里间一层，共占地340m</w:t>
                  </w:r>
                  <w:r>
                    <w:rPr>
                      <w:rFonts w:hint="default" w:ascii="Times New Roman" w:hAnsi="Times New Roman" w:cs="Times New Roman"/>
                      <w:b w:val="0"/>
                      <w:bCs/>
                      <w:sz w:val="21"/>
                      <w:szCs w:val="21"/>
                      <w:highlight w:val="none"/>
                      <w:vertAlign w:val="superscript"/>
                      <w:lang w:val="en-US" w:eastAsia="zh-CN"/>
                    </w:rPr>
                    <w:t>2</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依托现有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282" w:type="dxa"/>
                  <w:vMerge w:val="restart"/>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公用工程</w:t>
                  </w:r>
                </w:p>
              </w:tc>
              <w:tc>
                <w:tcPr>
                  <w:tcW w:w="2488" w:type="dxa"/>
                  <w:gridSpan w:val="2"/>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供水</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自来水管网</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282"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2488" w:type="dxa"/>
                  <w:gridSpan w:val="2"/>
                  <w:vAlign w:val="center"/>
                </w:tcPr>
                <w:p>
                  <w:pPr>
                    <w:adjustRightInd w:val="0"/>
                    <w:snapToGrid w:val="0"/>
                    <w:jc w:val="center"/>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cs="Times New Roman"/>
                      <w:b w:val="0"/>
                      <w:bCs/>
                      <w:sz w:val="21"/>
                      <w:szCs w:val="21"/>
                      <w:highlight w:val="none"/>
                      <w:vertAlign w:val="baseline"/>
                      <w:lang w:val="en-US" w:eastAsia="zh-CN"/>
                    </w:rPr>
                    <w:t>供电</w:t>
                  </w:r>
                </w:p>
              </w:tc>
              <w:tc>
                <w:tcPr>
                  <w:tcW w:w="2750" w:type="dxa"/>
                  <w:vAlign w:val="center"/>
                </w:tcPr>
                <w:p>
                  <w:pPr>
                    <w:adjustRightInd w:val="0"/>
                    <w:snapToGrid w:val="0"/>
                    <w:jc w:val="center"/>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cs="Times New Roman"/>
                      <w:b w:val="0"/>
                      <w:bCs/>
                      <w:sz w:val="21"/>
                      <w:szCs w:val="21"/>
                      <w:highlight w:val="none"/>
                      <w:vertAlign w:val="baseline"/>
                      <w:lang w:val="en-US" w:eastAsia="zh-CN"/>
                    </w:rPr>
                    <w:t>当地电网</w:t>
                  </w:r>
                </w:p>
              </w:tc>
              <w:tc>
                <w:tcPr>
                  <w:tcW w:w="1277" w:type="dxa"/>
                  <w:vAlign w:val="center"/>
                </w:tcPr>
                <w:p>
                  <w:pPr>
                    <w:adjustRightInd w:val="0"/>
                    <w:snapToGrid w:val="0"/>
                    <w:jc w:val="center"/>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1282"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2488" w:type="dxa"/>
                  <w:gridSpan w:val="2"/>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供暖、制冷</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办公室由空调供暖、制冷</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282" w:type="dxa"/>
                  <w:vMerge w:val="restart"/>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环保工程</w:t>
                  </w:r>
                </w:p>
              </w:tc>
              <w:tc>
                <w:tcPr>
                  <w:tcW w:w="988"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废水</w:t>
                  </w:r>
                </w:p>
              </w:tc>
              <w:tc>
                <w:tcPr>
                  <w:tcW w:w="150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生活污水</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员工生活产生污水经化粪池处理后排入城市污水管网，由济源城市污水处理厂集中处理</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282"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2488" w:type="dxa"/>
                  <w:gridSpan w:val="2"/>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噪声</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282"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988" w:type="dxa"/>
                  <w:vMerge w:val="restart"/>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固废</w:t>
                  </w:r>
                </w:p>
              </w:tc>
              <w:tc>
                <w:tcPr>
                  <w:tcW w:w="150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生活垃圾</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经垃圾桶收集后交由环卫部门处理</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282"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988"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150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危险废物</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废乳化液</w:t>
                  </w:r>
                  <w:r>
                    <w:rPr>
                      <w:rFonts w:hint="eastAsia" w:cs="Times New Roman"/>
                      <w:b w:val="0"/>
                      <w:bCs/>
                      <w:sz w:val="21"/>
                      <w:szCs w:val="21"/>
                      <w:highlight w:val="none"/>
                      <w:vertAlign w:val="baseline"/>
                      <w:lang w:val="en-US" w:eastAsia="zh-CN"/>
                    </w:rPr>
                    <w:t>、废导轨油、废液压油</w:t>
                  </w:r>
                  <w:r>
                    <w:rPr>
                      <w:rFonts w:hint="default" w:ascii="Times New Roman" w:hAnsi="Times New Roman" w:cs="Times New Roman"/>
                      <w:b w:val="0"/>
                      <w:bCs/>
                      <w:sz w:val="21"/>
                      <w:szCs w:val="21"/>
                      <w:highlight w:val="none"/>
                      <w:vertAlign w:val="baseline"/>
                      <w:lang w:val="en-US" w:eastAsia="zh-CN"/>
                    </w:rPr>
                    <w:t>依托现有危废间（10m</w:t>
                  </w:r>
                  <w:r>
                    <w:rPr>
                      <w:rFonts w:hint="default" w:ascii="Times New Roman" w:hAnsi="Times New Roman" w:cs="Times New Roman"/>
                      <w:b w:val="0"/>
                      <w:bCs/>
                      <w:sz w:val="21"/>
                      <w:szCs w:val="21"/>
                      <w:highlight w:val="none"/>
                      <w:vertAlign w:val="superscript"/>
                      <w:lang w:val="en-US" w:eastAsia="zh-CN"/>
                    </w:rPr>
                    <w:t>2</w:t>
                  </w:r>
                  <w:r>
                    <w:rPr>
                      <w:rFonts w:hint="default" w:ascii="Times New Roman" w:hAnsi="Times New Roman" w:cs="Times New Roman"/>
                      <w:b w:val="0"/>
                      <w:bCs/>
                      <w:sz w:val="21"/>
                      <w:szCs w:val="21"/>
                      <w:highlight w:val="none"/>
                      <w:vertAlign w:val="baseline"/>
                      <w:lang w:val="en-US" w:eastAsia="zh-CN"/>
                    </w:rPr>
                    <w:t>）暂存后</w:t>
                  </w:r>
                  <w:r>
                    <w:rPr>
                      <w:rFonts w:hint="default" w:ascii="Times New Roman" w:hAnsi="Times New Roman" w:cs="Times New Roman"/>
                      <w:b w:val="0"/>
                      <w:bCs/>
                      <w:sz w:val="21"/>
                      <w:szCs w:val="21"/>
                      <w:highlight w:val="none"/>
                      <w:vertAlign w:val="baseline"/>
                      <w:lang w:val="en-US" w:eastAsia="zh-CN"/>
                    </w:rPr>
                    <w:t>交由</w:t>
                  </w:r>
                  <w:r>
                    <w:rPr>
                      <w:rFonts w:hint="eastAsia" w:cs="Times New Roman"/>
                      <w:b w:val="0"/>
                      <w:bCs/>
                      <w:sz w:val="21"/>
                      <w:szCs w:val="21"/>
                      <w:highlight w:val="none"/>
                      <w:vertAlign w:val="baseline"/>
                      <w:lang w:val="en-US" w:eastAsia="zh-CN"/>
                    </w:rPr>
                    <w:t>濮阳县鑫地生物能源有限公司</w:t>
                  </w:r>
                  <w:r>
                    <w:rPr>
                      <w:rFonts w:hint="default" w:ascii="Times New Roman" w:hAnsi="Times New Roman" w:cs="Times New Roman"/>
                      <w:b w:val="0"/>
                      <w:bCs/>
                      <w:sz w:val="21"/>
                      <w:szCs w:val="21"/>
                      <w:highlight w:val="none"/>
                      <w:vertAlign w:val="baseline"/>
                      <w:lang w:val="en-US" w:eastAsia="zh-CN"/>
                    </w:rPr>
                    <w:t>处置</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trPr>
              <w:tc>
                <w:tcPr>
                  <w:tcW w:w="1282"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988" w:type="dxa"/>
                  <w:vMerge w:val="continue"/>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p>
              </w:tc>
              <w:tc>
                <w:tcPr>
                  <w:tcW w:w="150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一般固废</w:t>
                  </w:r>
                </w:p>
              </w:tc>
              <w:tc>
                <w:tcPr>
                  <w:tcW w:w="2750"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加工过程产生的边角料以及废铁屑收集暂存后外售</w:t>
                  </w:r>
                </w:p>
              </w:tc>
              <w:tc>
                <w:tcPr>
                  <w:tcW w:w="127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3、产品方案及产量</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该扩建工程建成前后产品</w:t>
            </w:r>
            <w:r>
              <w:rPr>
                <w:rFonts w:hint="eastAsia" w:cs="Times New Roman"/>
                <w:b w:val="0"/>
                <w:bCs/>
                <w:sz w:val="24"/>
                <w:szCs w:val="24"/>
                <w:highlight w:val="none"/>
                <w:lang w:val="en-US" w:eastAsia="zh-CN"/>
              </w:rPr>
              <w:t>方案</w:t>
            </w:r>
            <w:r>
              <w:rPr>
                <w:rFonts w:hint="default" w:ascii="Times New Roman" w:hAnsi="Times New Roman" w:cs="Times New Roman"/>
                <w:b w:val="0"/>
                <w:bCs/>
                <w:sz w:val="24"/>
                <w:szCs w:val="24"/>
                <w:highlight w:val="none"/>
                <w:lang w:val="en-US" w:eastAsia="zh-CN"/>
              </w:rPr>
              <w:t>及</w:t>
            </w:r>
            <w:r>
              <w:rPr>
                <w:rFonts w:hint="default" w:ascii="Times New Roman" w:hAnsi="Times New Roman" w:cs="Times New Roman"/>
                <w:b w:val="0"/>
                <w:bCs/>
                <w:sz w:val="24"/>
                <w:szCs w:val="24"/>
                <w:highlight w:val="none"/>
                <w:lang w:val="en-US" w:eastAsia="zh-CN"/>
              </w:rPr>
              <w:t>产量变化情况见表2-</w:t>
            </w:r>
            <w:r>
              <w:rPr>
                <w:rFonts w:hint="eastAsia" w:cs="Times New Roman"/>
                <w:b w:val="0"/>
                <w:bCs/>
                <w:sz w:val="24"/>
                <w:szCs w:val="24"/>
                <w:highlight w:val="none"/>
                <w:lang w:val="en-US" w:eastAsia="zh-CN"/>
              </w:rPr>
              <w:t>2</w:t>
            </w:r>
            <w:r>
              <w:rPr>
                <w:rFonts w:hint="default" w:ascii="Times New Roman" w:hAnsi="Times New Roman" w:cs="Times New Roman"/>
                <w:b w:val="0"/>
                <w:bCs/>
                <w:sz w:val="24"/>
                <w:szCs w:val="24"/>
                <w:highlight w:val="none"/>
                <w:lang w:val="en-US" w:eastAsia="zh-CN"/>
              </w:rPr>
              <w:t>。</w:t>
            </w:r>
          </w:p>
          <w:p>
            <w:pPr>
              <w:pStyle w:val="2"/>
              <w:rPr>
                <w:rFonts w:hint="default" w:ascii="宋体" w:hAnsi="宋体" w:eastAsia="宋体" w:cs="宋体"/>
                <w:b/>
                <w:bCs w:val="0"/>
                <w:highlight w:val="none"/>
                <w:lang w:val="en-US" w:eastAsia="zh-CN"/>
              </w:rPr>
            </w:pPr>
            <w:r>
              <w:rPr>
                <w:rFonts w:hint="eastAsia" w:ascii="宋体" w:hAnsi="宋体" w:eastAsia="宋体" w:cs="宋体"/>
                <w:b/>
                <w:bCs w:val="0"/>
                <w:sz w:val="24"/>
                <w:szCs w:val="24"/>
                <w:highlight w:val="none"/>
                <w:lang w:val="en-US" w:eastAsia="zh-CN"/>
              </w:rPr>
              <w:t>表2-2  扩建前后产品方案及产量变化情况一览表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70"/>
              <w:gridCol w:w="1665"/>
              <w:gridCol w:w="1695"/>
              <w:gridCol w:w="1787"/>
              <w:gridCol w:w="16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70" w:type="dxa"/>
                  <w:vAlign w:val="center"/>
                </w:tcPr>
                <w:p>
                  <w:pPr>
                    <w:pStyle w:val="3"/>
                    <w:jc w:val="center"/>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产品名称</w:t>
                  </w:r>
                </w:p>
              </w:tc>
              <w:tc>
                <w:tcPr>
                  <w:tcW w:w="1665" w:type="dxa"/>
                  <w:vAlign w:val="center"/>
                </w:tcPr>
                <w:p>
                  <w:pPr>
                    <w:pStyle w:val="3"/>
                    <w:jc w:val="center"/>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扩建前产量</w:t>
                  </w:r>
                </w:p>
              </w:tc>
              <w:tc>
                <w:tcPr>
                  <w:tcW w:w="1695" w:type="dxa"/>
                  <w:vAlign w:val="center"/>
                </w:tcPr>
                <w:p>
                  <w:pPr>
                    <w:pStyle w:val="3"/>
                    <w:jc w:val="center"/>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扩建工程产量</w:t>
                  </w:r>
                </w:p>
              </w:tc>
              <w:tc>
                <w:tcPr>
                  <w:tcW w:w="1787" w:type="dxa"/>
                  <w:vAlign w:val="center"/>
                </w:tcPr>
                <w:p>
                  <w:pPr>
                    <w:pStyle w:val="3"/>
                    <w:jc w:val="center"/>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扩建后全厂产量</w:t>
                  </w:r>
                </w:p>
              </w:tc>
              <w:tc>
                <w:tcPr>
                  <w:tcW w:w="1655" w:type="dxa"/>
                  <w:vAlign w:val="center"/>
                </w:tcPr>
                <w:p>
                  <w:pPr>
                    <w:pStyle w:val="3"/>
                    <w:jc w:val="center"/>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70" w:type="dxa"/>
                  <w:vAlign w:val="center"/>
                </w:tcPr>
                <w:p>
                  <w:pPr>
                    <w:pStyle w:val="3"/>
                    <w:jc w:val="center"/>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机械零部件</w:t>
                  </w:r>
                </w:p>
              </w:tc>
              <w:tc>
                <w:tcPr>
                  <w:tcW w:w="1665" w:type="dxa"/>
                  <w:vAlign w:val="center"/>
                </w:tcPr>
                <w:p>
                  <w:pPr>
                    <w:pStyle w:val="3"/>
                    <w:jc w:val="center"/>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120t/a</w:t>
                  </w:r>
                </w:p>
              </w:tc>
              <w:tc>
                <w:tcPr>
                  <w:tcW w:w="1695" w:type="dxa"/>
                  <w:vAlign w:val="center"/>
                </w:tcPr>
                <w:p>
                  <w:pPr>
                    <w:pStyle w:val="3"/>
                    <w:jc w:val="center"/>
                    <w:rPr>
                      <w:rFonts w:hint="default" w:ascii="Times New Roman" w:hAnsi="Times New Roman" w:eastAsia="宋体" w:cs="Times New Roman"/>
                      <w:b w:val="0"/>
                      <w:bCs w:val="0"/>
                      <w:sz w:val="21"/>
                      <w:szCs w:val="21"/>
                      <w:highlight w:val="none"/>
                      <w:vertAlign w:val="baseline"/>
                      <w:lang w:val="en-US" w:eastAsia="zh-CN"/>
                    </w:rPr>
                  </w:pPr>
                  <w:r>
                    <w:rPr>
                      <w:rFonts w:hint="eastAsia" w:ascii="Times New Roman" w:hAnsi="Times New Roman" w:eastAsia="宋体" w:cs="Times New Roman"/>
                      <w:b w:val="0"/>
                      <w:bCs w:val="0"/>
                      <w:sz w:val="21"/>
                      <w:szCs w:val="21"/>
                      <w:highlight w:val="none"/>
                      <w:vertAlign w:val="baseline"/>
                      <w:lang w:val="en-US" w:eastAsia="zh-CN"/>
                    </w:rPr>
                    <w:t>880t/a</w:t>
                  </w:r>
                </w:p>
              </w:tc>
              <w:tc>
                <w:tcPr>
                  <w:tcW w:w="1787" w:type="dxa"/>
                  <w:vAlign w:val="center"/>
                </w:tcPr>
                <w:p>
                  <w:pPr>
                    <w:pStyle w:val="3"/>
                    <w:jc w:val="center"/>
                    <w:rPr>
                      <w:rFonts w:hint="default" w:ascii="Times New Roman" w:hAnsi="Times New Roman" w:eastAsia="宋体" w:cs="Times New Roman"/>
                      <w:b w:val="0"/>
                      <w:bCs w:val="0"/>
                      <w:sz w:val="21"/>
                      <w:szCs w:val="21"/>
                      <w:highlight w:val="none"/>
                      <w:vertAlign w:val="baseline"/>
                      <w:lang w:val="en-US" w:eastAsia="zh-CN"/>
                    </w:rPr>
                  </w:pPr>
                  <w:r>
                    <w:rPr>
                      <w:rFonts w:hint="eastAsia" w:ascii="Times New Roman" w:hAnsi="Times New Roman" w:eastAsia="宋体" w:cs="Times New Roman"/>
                      <w:b w:val="0"/>
                      <w:bCs w:val="0"/>
                      <w:sz w:val="21"/>
                      <w:szCs w:val="21"/>
                      <w:highlight w:val="none"/>
                      <w:vertAlign w:val="baseline"/>
                      <w:lang w:val="en-US" w:eastAsia="zh-CN"/>
                    </w:rPr>
                    <w:t>1000t/a</w:t>
                  </w:r>
                </w:p>
              </w:tc>
              <w:tc>
                <w:tcPr>
                  <w:tcW w:w="1655" w:type="dxa"/>
                  <w:vAlign w:val="center"/>
                </w:tcPr>
                <w:p>
                  <w:pPr>
                    <w:pStyle w:val="3"/>
                    <w:jc w:val="center"/>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4、主要设备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eastAsia" w:cs="Times New Roman"/>
                <w:b w:val="0"/>
                <w:bCs/>
                <w:sz w:val="24"/>
                <w:szCs w:val="24"/>
                <w:highlight w:val="none"/>
                <w:lang w:val="en-US" w:eastAsia="zh-CN"/>
              </w:rPr>
              <w:t>本</w:t>
            </w:r>
            <w:r>
              <w:rPr>
                <w:rFonts w:hint="default" w:ascii="Times New Roman" w:hAnsi="Times New Roman" w:cs="Times New Roman"/>
                <w:b w:val="0"/>
                <w:bCs/>
                <w:sz w:val="24"/>
                <w:szCs w:val="24"/>
                <w:highlight w:val="none"/>
                <w:lang w:val="en-US" w:eastAsia="zh-CN"/>
              </w:rPr>
              <w:t>项目主要</w:t>
            </w:r>
            <w:r>
              <w:rPr>
                <w:rFonts w:hint="eastAsia" w:cs="Times New Roman"/>
                <w:b w:val="0"/>
                <w:bCs/>
                <w:sz w:val="24"/>
                <w:szCs w:val="24"/>
                <w:highlight w:val="none"/>
                <w:lang w:val="en-US" w:eastAsia="zh-CN"/>
              </w:rPr>
              <w:t>新增</w:t>
            </w:r>
            <w:r>
              <w:rPr>
                <w:rFonts w:hint="default" w:ascii="Times New Roman" w:hAnsi="Times New Roman" w:cs="Times New Roman"/>
                <w:b w:val="0"/>
                <w:bCs/>
                <w:sz w:val="24"/>
                <w:szCs w:val="24"/>
                <w:highlight w:val="none"/>
                <w:lang w:val="en-US" w:eastAsia="zh-CN"/>
              </w:rPr>
              <w:t>设备情况</w:t>
            </w:r>
            <w:r>
              <w:rPr>
                <w:rFonts w:hint="default" w:ascii="Times New Roman" w:hAnsi="Times New Roman" w:cs="Times New Roman"/>
                <w:b w:val="0"/>
                <w:bCs/>
                <w:sz w:val="24"/>
                <w:szCs w:val="24"/>
                <w:highlight w:val="none"/>
                <w:lang w:val="en-US" w:eastAsia="zh-CN"/>
              </w:rPr>
              <w:t>见表2-</w:t>
            </w:r>
            <w:r>
              <w:rPr>
                <w:rFonts w:hint="eastAsia" w:cs="Times New Roman"/>
                <w:b w:val="0"/>
                <w:bCs/>
                <w:sz w:val="24"/>
                <w:szCs w:val="24"/>
                <w:highlight w:val="none"/>
                <w:lang w:val="en-US" w:eastAsia="zh-CN"/>
              </w:rPr>
              <w:t>3</w:t>
            </w:r>
            <w:r>
              <w:rPr>
                <w:rFonts w:hint="default" w:ascii="Times New Roman" w:hAnsi="Times New Roman" w:cs="Times New Roman"/>
                <w:b w:val="0"/>
                <w:bCs/>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表2-</w:t>
            </w:r>
            <w:r>
              <w:rPr>
                <w:rFonts w:hint="eastAsia" w:cs="Times New Roman"/>
                <w:b/>
                <w:bCs w:val="0"/>
                <w:sz w:val="24"/>
                <w:szCs w:val="24"/>
                <w:highlight w:val="none"/>
                <w:lang w:val="en-US" w:eastAsia="zh-CN"/>
              </w:rPr>
              <w:t>3</w:t>
            </w:r>
            <w:r>
              <w:rPr>
                <w:rFonts w:hint="default" w:ascii="Times New Roman" w:hAnsi="Times New Roman" w:cs="Times New Roman"/>
                <w:b/>
                <w:bCs w:val="0"/>
                <w:sz w:val="24"/>
                <w:szCs w:val="24"/>
                <w:highlight w:val="none"/>
                <w:lang w:val="en-US" w:eastAsia="zh-CN"/>
              </w:rPr>
              <w:t xml:space="preserve">  </w:t>
            </w:r>
            <w:r>
              <w:rPr>
                <w:rFonts w:hint="eastAsia" w:cs="Times New Roman"/>
                <w:b/>
                <w:bCs w:val="0"/>
                <w:sz w:val="24"/>
                <w:szCs w:val="24"/>
                <w:highlight w:val="none"/>
                <w:lang w:val="en-US" w:eastAsia="zh-CN"/>
              </w:rPr>
              <w:t>本</w:t>
            </w:r>
            <w:r>
              <w:rPr>
                <w:rFonts w:hint="default" w:ascii="Times New Roman" w:hAnsi="Times New Roman" w:cs="Times New Roman"/>
                <w:b/>
                <w:bCs w:val="0"/>
                <w:sz w:val="24"/>
                <w:szCs w:val="24"/>
                <w:highlight w:val="none"/>
                <w:lang w:val="en-US" w:eastAsia="zh-CN"/>
              </w:rPr>
              <w:t>项目</w:t>
            </w:r>
            <w:r>
              <w:rPr>
                <w:rFonts w:hint="eastAsia" w:cs="Times New Roman"/>
                <w:b/>
                <w:bCs w:val="0"/>
                <w:sz w:val="24"/>
                <w:szCs w:val="24"/>
                <w:highlight w:val="none"/>
                <w:lang w:val="en-US" w:eastAsia="zh-CN"/>
              </w:rPr>
              <w:t>新增</w:t>
            </w:r>
            <w:r>
              <w:rPr>
                <w:rFonts w:hint="default" w:ascii="Times New Roman" w:hAnsi="Times New Roman" w:cs="Times New Roman"/>
                <w:b/>
                <w:bCs w:val="0"/>
                <w:sz w:val="24"/>
                <w:szCs w:val="24"/>
                <w:highlight w:val="none"/>
                <w:lang w:val="en-US" w:eastAsia="zh-CN"/>
              </w:rPr>
              <w:t>设备情况一览表</w:t>
            </w:r>
          </w:p>
          <w:tbl>
            <w:tblPr>
              <w:tblStyle w:val="14"/>
              <w:tblW w:w="79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6"/>
              <w:gridCol w:w="1986"/>
              <w:gridCol w:w="1986"/>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设备名称</w:t>
                  </w:r>
                </w:p>
              </w:tc>
              <w:tc>
                <w:tcPr>
                  <w:tcW w:w="1986"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规格及型号</w:t>
                  </w:r>
                </w:p>
              </w:tc>
              <w:tc>
                <w:tcPr>
                  <w:tcW w:w="1986"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数量</w:t>
                  </w:r>
                </w:p>
              </w:tc>
              <w:tc>
                <w:tcPr>
                  <w:tcW w:w="1987"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GLU28/60</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GLU18/40</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PV-4216</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MS-2616</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GLUII13</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GLU18/30</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龙门式加工中心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H7M-3216G</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立式加工中心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VMC1801</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立式加工中心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VMC1400</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立式加工中心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AM855</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立式加工中心</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VMC1000L</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卧式车床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61100E</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车圆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卧式车床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CW61125E</w:t>
                  </w:r>
                </w:p>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（1.25m×8m）</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车圆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卧式车床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CW6280B</w:t>
                  </w:r>
                </w:p>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（0.8m×3m）</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车圆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卧式车床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CW6220B</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车圆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卧式铣床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X6132C</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铣平面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平面磨床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MY7130C</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磨面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卧式铣镗床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TPX6113</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外圆加工、镗孔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卧式铣镗床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AH130</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外圆加工、镗孔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cs="Times New Roman"/>
                      <w:b w:val="0"/>
                      <w:bCs/>
                      <w:sz w:val="21"/>
                      <w:szCs w:val="21"/>
                      <w:highlight w:val="none"/>
                      <w:vertAlign w:val="baseline"/>
                      <w:lang w:val="en-US" w:eastAsia="zh-CN"/>
                    </w:rPr>
                    <w:t>摇臂钻床</w:t>
                  </w:r>
                </w:p>
              </w:tc>
              <w:tc>
                <w:tcPr>
                  <w:tcW w:w="1986" w:type="dxa"/>
                  <w:vAlign w:val="center"/>
                </w:tcPr>
                <w:p>
                  <w:pPr>
                    <w:adjustRightInd w:val="0"/>
                    <w:snapToGrid w:val="0"/>
                    <w:jc w:val="center"/>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cs="Times New Roman"/>
                      <w:b w:val="0"/>
                      <w:bCs/>
                      <w:sz w:val="21"/>
                      <w:szCs w:val="21"/>
                      <w:highlight w:val="none"/>
                      <w:vertAlign w:val="baseline"/>
                      <w:lang w:val="en-US" w:eastAsia="zh-CN"/>
                    </w:rPr>
                    <w:t>Z3050×16/1</w:t>
                  </w:r>
                </w:p>
              </w:tc>
              <w:tc>
                <w:tcPr>
                  <w:tcW w:w="1986" w:type="dxa"/>
                  <w:vAlign w:val="center"/>
                </w:tcPr>
                <w:p>
                  <w:pPr>
                    <w:adjustRightInd w:val="0"/>
                    <w:snapToGrid w:val="0"/>
                    <w:jc w:val="center"/>
                    <w:rPr>
                      <w:rFonts w:hint="default" w:ascii="Times New Roman" w:hAnsi="Times New Roman" w:eastAsia="宋体" w:cs="Times New Roman"/>
                      <w:b w:val="0"/>
                      <w:bCs/>
                      <w:kern w:val="2"/>
                      <w:sz w:val="21"/>
                      <w:szCs w:val="21"/>
                      <w:highlight w:val="none"/>
                      <w:vertAlign w:val="baseline"/>
                      <w:lang w:val="en-US" w:eastAsia="zh-CN" w:bidi="ar-SA"/>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钻孔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万向摇臂钻床</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Z3132H</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钻孔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空压机</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BMVF15</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提供压缩空气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行车</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5吨</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物料吊运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行车</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10吨</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5</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物料吊运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行车</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20吨</w:t>
                  </w:r>
                </w:p>
              </w:tc>
              <w:tc>
                <w:tcPr>
                  <w:tcW w:w="1986"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987"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物料吊运</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5、主要原辅材料及能源消耗</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项目</w:t>
            </w:r>
            <w:r>
              <w:rPr>
                <w:rFonts w:hint="eastAsia" w:cs="Times New Roman"/>
                <w:b w:val="0"/>
                <w:bCs/>
                <w:sz w:val="24"/>
                <w:szCs w:val="24"/>
                <w:highlight w:val="none"/>
                <w:lang w:val="en-US" w:eastAsia="zh-CN"/>
              </w:rPr>
              <w:t>扩建前后</w:t>
            </w:r>
            <w:r>
              <w:rPr>
                <w:rFonts w:hint="default" w:ascii="Times New Roman" w:hAnsi="Times New Roman" w:cs="Times New Roman"/>
                <w:b w:val="0"/>
                <w:bCs/>
                <w:sz w:val="24"/>
                <w:szCs w:val="24"/>
                <w:highlight w:val="none"/>
                <w:lang w:val="en-US" w:eastAsia="zh-CN"/>
              </w:rPr>
              <w:t>主要原辅材料及能源消耗情况见表2-</w:t>
            </w:r>
            <w:r>
              <w:rPr>
                <w:rFonts w:hint="eastAsia" w:cs="Times New Roman"/>
                <w:b w:val="0"/>
                <w:bCs/>
                <w:sz w:val="24"/>
                <w:szCs w:val="24"/>
                <w:highlight w:val="none"/>
                <w:lang w:val="en-US" w:eastAsia="zh-CN"/>
              </w:rPr>
              <w:t>4</w:t>
            </w:r>
            <w:r>
              <w:rPr>
                <w:rFonts w:hint="default" w:ascii="Times New Roman" w:hAnsi="Times New Roman" w:cs="Times New Roman"/>
                <w:b w:val="0"/>
                <w:bCs/>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表2-</w:t>
            </w:r>
            <w:r>
              <w:rPr>
                <w:rFonts w:hint="eastAsia" w:cs="Times New Roman"/>
                <w:b/>
                <w:bCs w:val="0"/>
                <w:sz w:val="24"/>
                <w:szCs w:val="24"/>
                <w:highlight w:val="none"/>
                <w:lang w:val="en-US" w:eastAsia="zh-CN"/>
              </w:rPr>
              <w:t>4</w:t>
            </w:r>
            <w:r>
              <w:rPr>
                <w:rFonts w:hint="default" w:ascii="Times New Roman" w:hAnsi="Times New Roman" w:cs="Times New Roman"/>
                <w:b/>
                <w:bCs w:val="0"/>
                <w:sz w:val="24"/>
                <w:szCs w:val="24"/>
                <w:highlight w:val="none"/>
                <w:lang w:val="en-US" w:eastAsia="zh-CN"/>
              </w:rPr>
              <w:t xml:space="preserve">  项目</w:t>
            </w:r>
            <w:r>
              <w:rPr>
                <w:rFonts w:hint="eastAsia" w:cs="Times New Roman"/>
                <w:b/>
                <w:bCs w:val="0"/>
                <w:sz w:val="24"/>
                <w:szCs w:val="24"/>
                <w:highlight w:val="none"/>
                <w:lang w:val="en-US" w:eastAsia="zh-CN"/>
              </w:rPr>
              <w:t>扩建前后</w:t>
            </w:r>
            <w:r>
              <w:rPr>
                <w:rFonts w:hint="default" w:ascii="Times New Roman" w:hAnsi="Times New Roman" w:cs="Times New Roman"/>
                <w:b/>
                <w:bCs w:val="0"/>
                <w:sz w:val="24"/>
                <w:szCs w:val="24"/>
                <w:highlight w:val="none"/>
                <w:lang w:val="en-US" w:eastAsia="zh-CN"/>
              </w:rPr>
              <w:t>主要原辅材</w:t>
            </w:r>
            <w:r>
              <w:rPr>
                <w:rFonts w:hint="default" w:ascii="Times New Roman" w:hAnsi="Times New Roman" w:cs="Times New Roman"/>
                <w:b/>
                <w:bCs w:val="0"/>
                <w:sz w:val="24"/>
                <w:szCs w:val="24"/>
                <w:highlight w:val="none"/>
                <w:lang w:val="en-US" w:eastAsia="zh-CN"/>
              </w:rPr>
              <w:t>料及能源消耗一览表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78"/>
              <w:gridCol w:w="1378"/>
              <w:gridCol w:w="1378"/>
              <w:gridCol w:w="1378"/>
              <w:gridCol w:w="1380"/>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trPr>
              <w:tc>
                <w:tcPr>
                  <w:tcW w:w="1378" w:type="dxa"/>
                  <w:vMerge w:val="restart"/>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序号</w:t>
                  </w:r>
                </w:p>
              </w:tc>
              <w:tc>
                <w:tcPr>
                  <w:tcW w:w="1378" w:type="dxa"/>
                  <w:vMerge w:val="restart"/>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名称</w:t>
                  </w:r>
                </w:p>
              </w:tc>
              <w:tc>
                <w:tcPr>
                  <w:tcW w:w="2756" w:type="dxa"/>
                  <w:gridSpan w:val="2"/>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消耗量</w:t>
                  </w:r>
                </w:p>
              </w:tc>
              <w:tc>
                <w:tcPr>
                  <w:tcW w:w="1380" w:type="dxa"/>
                  <w:vMerge w:val="restart"/>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变化情况</w:t>
                  </w:r>
                </w:p>
              </w:tc>
              <w:tc>
                <w:tcPr>
                  <w:tcW w:w="1380" w:type="dxa"/>
                  <w:vMerge w:val="restart"/>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数量单位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1378" w:type="dxa"/>
                  <w:vMerge w:val="continue"/>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p>
              </w:tc>
              <w:tc>
                <w:tcPr>
                  <w:tcW w:w="1378" w:type="dxa"/>
                  <w:vMerge w:val="continue"/>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扩建前</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扩建后全厂</w:t>
                  </w:r>
                </w:p>
              </w:tc>
              <w:tc>
                <w:tcPr>
                  <w:tcW w:w="1380" w:type="dxa"/>
                  <w:vMerge w:val="continue"/>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p>
              </w:tc>
              <w:tc>
                <w:tcPr>
                  <w:tcW w:w="1380" w:type="dxa"/>
                  <w:vMerge w:val="continue"/>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1</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钢板</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75</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300</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+225</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2</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铸铁件</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65</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200</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+135</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3</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锻件</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500</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+500</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4</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乳化液</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0.04</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1.5</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+1.42</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5</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导轨油</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0.8</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+0.8</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6</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液压油</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0.7</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+0.7</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7</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电</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3.6</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30</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+26.4</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万kW·h/a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8</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水</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100.4</w:t>
                  </w:r>
                </w:p>
              </w:tc>
              <w:tc>
                <w:tcPr>
                  <w:tcW w:w="137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810</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eastAsia" w:ascii="Times New Roman" w:hAnsi="Times New Roman" w:eastAsia="宋体" w:cs="Times New Roman"/>
                      <w:sz w:val="21"/>
                      <w:szCs w:val="21"/>
                      <w:highlight w:val="none"/>
                      <w:vertAlign w:val="baseline"/>
                      <w:lang w:val="en-US" w:eastAsia="zh-CN"/>
                    </w:rPr>
                    <w:t>+709.6</w:t>
                  </w:r>
                </w:p>
              </w:tc>
              <w:tc>
                <w:tcPr>
                  <w:tcW w:w="138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m</w:t>
                  </w:r>
                  <w:r>
                    <w:rPr>
                      <w:rFonts w:hint="default" w:ascii="Times New Roman" w:hAnsi="Times New Roman" w:eastAsia="宋体" w:cs="Times New Roman"/>
                      <w:sz w:val="21"/>
                      <w:szCs w:val="21"/>
                      <w:highlight w:val="none"/>
                      <w:vertAlign w:val="superscript"/>
                      <w:lang w:val="en-US" w:eastAsia="zh-CN"/>
                    </w:rPr>
                    <w:t>3</w:t>
                  </w:r>
                  <w:r>
                    <w:rPr>
                      <w:rFonts w:hint="default" w:ascii="Times New Roman" w:hAnsi="Times New Roman" w:eastAsia="宋体" w:cs="Times New Roman"/>
                      <w:sz w:val="21"/>
                      <w:szCs w:val="21"/>
                      <w:highlight w:val="none"/>
                      <w:vertAlign w:val="baseline"/>
                      <w:lang w:val="en-US" w:eastAsia="zh-CN"/>
                    </w:rPr>
                    <w:t>/a</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6、劳动定员及工作制度</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本项目新增劳动定员55人，扩建后厂区员工总数为65人，两班制，每班工作8小时，白班45人，夜班20人，所有员工均不在厂区食宿，年生产天数300天。</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7、平面布置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本项目厂区平面布置图见附图。</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厂区大门两侧一、二层，进门东侧一层楼均为员工办公室，西侧为停车棚以及食堂，北侧为生产车间。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71" w:hRule="atLeast"/>
          <w:jc w:val="center"/>
        </w:trPr>
        <w:tc>
          <w:tcPr>
            <w:tcW w:w="496" w:type="dxa"/>
            <w:noWrap w:val="0"/>
            <w:vAlign w:val="center"/>
          </w:tcPr>
          <w:p>
            <w:pPr>
              <w:pStyle w:val="11"/>
              <w:adjustRightInd w:val="0"/>
              <w:snapToGrid w:val="0"/>
              <w:spacing w:before="0" w:beforeAutospacing="0" w:after="0" w:afterAutospacing="0"/>
              <w:jc w:val="center"/>
              <w:rPr>
                <w:rFonts w:hint="default" w:ascii="Times New Roman" w:hAnsi="Times New Roman" w:cs="Times New Roman"/>
                <w:sz w:val="24"/>
                <w:szCs w:val="24"/>
                <w:highlight w:val="none"/>
              </w:rPr>
            </w:pPr>
            <w:r>
              <w:rPr>
                <w:rFonts w:hint="default" w:ascii="Times New Roman" w:hAnsi="Times New Roman" w:cs="Times New Roman"/>
                <w:sz w:val="24"/>
                <w:szCs w:val="24"/>
                <w:highlight w:val="none"/>
              </w:rPr>
              <w:t>工艺流程和产排污环节</w:t>
            </w:r>
          </w:p>
        </w:tc>
        <w:tc>
          <w:tcPr>
            <w:tcW w:w="8498" w:type="dxa"/>
            <w:noWrap w:val="0"/>
            <w:vAlign w:val="top"/>
          </w:tcPr>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1、营运期工艺流程简述</w:t>
            </w:r>
          </w:p>
          <w:p>
            <w:pPr>
              <w:adjustRightInd w:val="0"/>
              <w:snapToGrid w:val="0"/>
              <w:ind w:firstLine="420" w:firstLineChars="200"/>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highlight w:val="none"/>
              </w:rPr>
              <w:drawing>
                <wp:inline distT="0" distB="0" distL="114300" distR="114300">
                  <wp:extent cx="4638675" cy="1922780"/>
                  <wp:effectExtent l="0" t="0" r="9525" b="1270"/>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9"/>
                          <a:stretch>
                            <a:fillRect/>
                          </a:stretch>
                        </pic:blipFill>
                        <pic:spPr>
                          <a:xfrm>
                            <a:off x="0" y="0"/>
                            <a:ext cx="4638675" cy="192278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图1  营运期工艺流程及产污环节示意图</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工艺简述：</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根据设计要求，将原材料放入车床外圆后，进行铣面、镗孔、钻孔工作，各部件加工完成后，进行组装，成品出库。</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2、主要污染工序</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①废水</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主要为员工产生的生活污水。</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②固废</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包括生产过程中产生的</w:t>
            </w:r>
            <w:r>
              <w:rPr>
                <w:rFonts w:hint="eastAsia" w:cs="Times New Roman"/>
                <w:b w:val="0"/>
                <w:bCs/>
                <w:sz w:val="24"/>
                <w:szCs w:val="24"/>
                <w:highlight w:val="none"/>
                <w:lang w:val="en-US" w:eastAsia="zh-CN"/>
              </w:rPr>
              <w:t>废边角料、</w:t>
            </w:r>
            <w:r>
              <w:rPr>
                <w:rFonts w:hint="default" w:ascii="Times New Roman" w:hAnsi="Times New Roman" w:cs="Times New Roman"/>
                <w:b w:val="0"/>
                <w:bCs/>
                <w:sz w:val="24"/>
                <w:szCs w:val="24"/>
                <w:highlight w:val="none"/>
                <w:lang w:val="en-US" w:eastAsia="zh-CN"/>
              </w:rPr>
              <w:t>废铁屑、废导轨油、废乳化液和废液压油和员工产生的生活垃圾。</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③噪声</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主要为生产设备运行过程中产生的噪声。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726" w:hRule="atLeast"/>
          <w:jc w:val="center"/>
        </w:trPr>
        <w:tc>
          <w:tcPr>
            <w:tcW w:w="496" w:type="dxa"/>
            <w:noWrap w:val="0"/>
            <w:vAlign w:val="center"/>
          </w:tcPr>
          <w:p>
            <w:pPr>
              <w:pStyle w:val="11"/>
              <w:adjustRightInd w:val="0"/>
              <w:snapToGrid w:val="0"/>
              <w:spacing w:before="0" w:beforeAutospacing="0" w:after="0" w:afterAutospacing="0"/>
              <w:jc w:val="center"/>
              <w:rPr>
                <w:rFonts w:hint="default" w:ascii="Times New Roman" w:hAnsi="Times New Roman" w:cs="Times New Roman"/>
                <w:sz w:val="24"/>
                <w:szCs w:val="24"/>
                <w:highlight w:val="none"/>
              </w:rPr>
            </w:pPr>
            <w:r>
              <w:rPr>
                <w:rFonts w:hint="default" w:ascii="Times New Roman" w:hAnsi="Times New Roman" w:cs="Times New Roman"/>
                <w:bCs/>
                <w:kern w:val="2"/>
                <w:sz w:val="24"/>
                <w:szCs w:val="24"/>
                <w:highlight w:val="none"/>
              </w:rPr>
              <w:t>与项目有关的原有环境污染问题</w:t>
            </w:r>
          </w:p>
        </w:tc>
        <w:tc>
          <w:tcPr>
            <w:tcW w:w="8498" w:type="dxa"/>
            <w:noWrap w:val="0"/>
            <w:vAlign w:val="top"/>
          </w:tcPr>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both"/>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1、现有工程基本情况</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济源市万鸿机械制造有限公司现有年加工120t机械零部件项目，具体执行情况见表2-</w:t>
            </w:r>
            <w:r>
              <w:rPr>
                <w:rFonts w:hint="eastAsia" w:cs="Times New Roman"/>
                <w:b w:val="0"/>
                <w:bCs/>
                <w:sz w:val="24"/>
                <w:szCs w:val="24"/>
                <w:highlight w:val="none"/>
                <w:shd w:val="clear" w:color="auto" w:fill="auto"/>
                <w:lang w:val="en-US" w:eastAsia="zh-CN"/>
              </w:rPr>
              <w:t>5</w:t>
            </w:r>
            <w:r>
              <w:rPr>
                <w:rFonts w:hint="default" w:ascii="Times New Roman" w:hAnsi="Times New Roman" w:cs="Times New Roman"/>
                <w:b w:val="0"/>
                <w:bCs/>
                <w:sz w:val="24"/>
                <w:szCs w:val="24"/>
                <w:highlight w:val="none"/>
                <w:shd w:val="clear" w:color="auto" w:fill="auto"/>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表2-</w:t>
            </w:r>
            <w:r>
              <w:rPr>
                <w:rFonts w:hint="eastAsia" w:cs="Times New Roman"/>
                <w:b/>
                <w:bCs w:val="0"/>
                <w:sz w:val="24"/>
                <w:szCs w:val="24"/>
                <w:highlight w:val="none"/>
                <w:shd w:val="clear" w:color="auto" w:fill="auto"/>
                <w:lang w:val="en-US" w:eastAsia="zh-CN"/>
              </w:rPr>
              <w:t>5</w:t>
            </w:r>
            <w:r>
              <w:rPr>
                <w:rFonts w:hint="default" w:ascii="Times New Roman" w:hAnsi="Times New Roman" w:cs="Times New Roman"/>
                <w:b/>
                <w:bCs w:val="0"/>
                <w:sz w:val="24"/>
                <w:szCs w:val="24"/>
                <w:highlight w:val="none"/>
                <w:shd w:val="clear" w:color="auto" w:fill="auto"/>
                <w:lang w:val="en-US" w:eastAsia="zh-CN"/>
              </w:rPr>
              <w:t xml:space="preserve">  公司现有工程环保手续执行情况</w:t>
            </w:r>
          </w:p>
          <w:tbl>
            <w:tblPr>
              <w:tblStyle w:val="14"/>
              <w:tblW w:w="79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92"/>
              <w:gridCol w:w="2780"/>
              <w:gridCol w:w="2040"/>
              <w:gridCol w:w="12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892" w:type="dxa"/>
                  <w:vAlign w:val="center"/>
                </w:tcPr>
                <w:p>
                  <w:pPr>
                    <w:adjustRightInd w:val="0"/>
                    <w:snapToGrid w:val="0"/>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项目名称</w:t>
                  </w:r>
                </w:p>
              </w:tc>
              <w:tc>
                <w:tcPr>
                  <w:tcW w:w="2780" w:type="dxa"/>
                  <w:vAlign w:val="center"/>
                </w:tcPr>
                <w:p>
                  <w:pPr>
                    <w:adjustRightInd w:val="0"/>
                    <w:snapToGrid w:val="0"/>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环评批复</w:t>
                  </w:r>
                </w:p>
              </w:tc>
              <w:tc>
                <w:tcPr>
                  <w:tcW w:w="2040" w:type="dxa"/>
                  <w:vAlign w:val="center"/>
                </w:tcPr>
                <w:p>
                  <w:pPr>
                    <w:adjustRightInd w:val="0"/>
                    <w:snapToGrid w:val="0"/>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验收</w:t>
                  </w:r>
                </w:p>
              </w:tc>
              <w:tc>
                <w:tcPr>
                  <w:tcW w:w="1233" w:type="dxa"/>
                  <w:vAlign w:val="center"/>
                </w:tcPr>
                <w:p>
                  <w:pPr>
                    <w:adjustRightInd w:val="0"/>
                    <w:snapToGrid w:val="0"/>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生产情况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1892" w:type="dxa"/>
                  <w:vAlign w:val="center"/>
                </w:tcPr>
                <w:p>
                  <w:pPr>
                    <w:adjustRightInd w:val="0"/>
                    <w:snapToGrid w:val="0"/>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年加工120t机械零部件项目</w:t>
                  </w:r>
                </w:p>
              </w:tc>
              <w:tc>
                <w:tcPr>
                  <w:tcW w:w="2780" w:type="dxa"/>
                  <w:vAlign w:val="center"/>
                </w:tcPr>
                <w:p>
                  <w:pPr>
                    <w:adjustRightInd w:val="0"/>
                    <w:snapToGrid w:val="0"/>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建设单位于2009年4月28日得到批复，批复文号为：济环开﹝2009﹞041号</w:t>
                  </w:r>
                </w:p>
              </w:tc>
              <w:tc>
                <w:tcPr>
                  <w:tcW w:w="2040" w:type="dxa"/>
                  <w:vAlign w:val="center"/>
                </w:tcPr>
                <w:p>
                  <w:pPr>
                    <w:adjustRightInd w:val="0"/>
                    <w:snapToGrid w:val="0"/>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建设单位于2010年1月21日验收完毕，验收文号为：济环验﹝2010﹞04号</w:t>
                  </w:r>
                </w:p>
              </w:tc>
              <w:tc>
                <w:tcPr>
                  <w:tcW w:w="1233" w:type="dxa"/>
                  <w:vAlign w:val="center"/>
                </w:tcPr>
                <w:p>
                  <w:pPr>
                    <w:adjustRightInd w:val="0"/>
                    <w:snapToGrid w:val="0"/>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正常生产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trPr>
              <w:tc>
                <w:tcPr>
                  <w:tcW w:w="1892" w:type="dxa"/>
                  <w:vAlign w:val="center"/>
                </w:tcPr>
                <w:p>
                  <w:pPr>
                    <w:adjustRightInd w:val="0"/>
                    <w:snapToGrid w:val="0"/>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排污许可证</w:t>
                  </w:r>
                </w:p>
              </w:tc>
              <w:tc>
                <w:tcPr>
                  <w:tcW w:w="6053" w:type="dxa"/>
                  <w:gridSpan w:val="3"/>
                  <w:vAlign w:val="center"/>
                </w:tcPr>
                <w:p>
                  <w:pPr>
                    <w:adjustRightInd w:val="0"/>
                    <w:snapToGrid w:val="0"/>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建设单位已于2020年6月23日填报排污许可证登记，编号：91419001688173355T</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1.1现有工程项目组成</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表2-</w:t>
            </w:r>
            <w:r>
              <w:rPr>
                <w:rFonts w:hint="eastAsia" w:cs="Times New Roman"/>
                <w:b/>
                <w:bCs w:val="0"/>
                <w:sz w:val="24"/>
                <w:szCs w:val="24"/>
                <w:highlight w:val="none"/>
                <w:shd w:val="clear" w:color="auto" w:fill="auto"/>
                <w:lang w:val="en-US" w:eastAsia="zh-CN"/>
              </w:rPr>
              <w:t>6</w:t>
            </w:r>
            <w:r>
              <w:rPr>
                <w:rFonts w:hint="default" w:ascii="Times New Roman" w:hAnsi="Times New Roman" w:cs="Times New Roman"/>
                <w:b/>
                <w:bCs w:val="0"/>
                <w:sz w:val="24"/>
                <w:szCs w:val="24"/>
                <w:highlight w:val="none"/>
                <w:shd w:val="clear" w:color="auto" w:fill="auto"/>
                <w:lang w:val="en-US" w:eastAsia="zh-CN"/>
              </w:rPr>
              <w:t xml:space="preserve">  现有工程内容一览表</w:t>
            </w:r>
          </w:p>
          <w:tbl>
            <w:tblPr>
              <w:tblStyle w:val="14"/>
              <w:tblW w:w="79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96"/>
              <w:gridCol w:w="1005"/>
              <w:gridCol w:w="1425"/>
              <w:gridCol w:w="2955"/>
              <w:gridCol w:w="1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项目组成</w:t>
                  </w:r>
                </w:p>
              </w:tc>
              <w:tc>
                <w:tcPr>
                  <w:tcW w:w="2430" w:type="dxa"/>
                  <w:gridSpan w:val="2"/>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名称</w:t>
                  </w:r>
                </w:p>
              </w:tc>
              <w:tc>
                <w:tcPr>
                  <w:tcW w:w="2955"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建设内容</w:t>
                  </w:r>
                </w:p>
              </w:tc>
              <w:tc>
                <w:tcPr>
                  <w:tcW w:w="1264"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主体工程</w:t>
                  </w:r>
                </w:p>
              </w:tc>
              <w:tc>
                <w:tcPr>
                  <w:tcW w:w="2430" w:type="dxa"/>
                  <w:gridSpan w:val="2"/>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生产车间</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superscript"/>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一层，占地面积1893m</w:t>
                  </w:r>
                  <w:r>
                    <w:rPr>
                      <w:rFonts w:hint="default" w:ascii="Times New Roman" w:hAnsi="Times New Roman" w:cs="Times New Roman"/>
                      <w:b w:val="0"/>
                      <w:bCs/>
                      <w:sz w:val="21"/>
                      <w:szCs w:val="21"/>
                      <w:highlight w:val="none"/>
                      <w:shd w:val="clear" w:color="auto" w:fill="auto"/>
                      <w:vertAlign w:val="superscript"/>
                      <w:lang w:val="en-US" w:eastAsia="zh-CN"/>
                    </w:rPr>
                    <w:t>2</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辅助工程</w:t>
                  </w:r>
                </w:p>
              </w:tc>
              <w:tc>
                <w:tcPr>
                  <w:tcW w:w="2430" w:type="dxa"/>
                  <w:gridSpan w:val="2"/>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办公室</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superscript"/>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门口两层、里间一层，共占地340m</w:t>
                  </w:r>
                  <w:r>
                    <w:rPr>
                      <w:rFonts w:hint="default" w:ascii="Times New Roman" w:hAnsi="Times New Roman" w:cs="Times New Roman"/>
                      <w:b w:val="0"/>
                      <w:bCs/>
                      <w:sz w:val="21"/>
                      <w:szCs w:val="21"/>
                      <w:highlight w:val="none"/>
                      <w:shd w:val="clear" w:color="auto" w:fill="auto"/>
                      <w:vertAlign w:val="superscript"/>
                      <w:lang w:val="en-US" w:eastAsia="zh-CN"/>
                    </w:rPr>
                    <w:t>2</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restart"/>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公用工程</w:t>
                  </w:r>
                </w:p>
              </w:tc>
              <w:tc>
                <w:tcPr>
                  <w:tcW w:w="2430" w:type="dxa"/>
                  <w:gridSpan w:val="2"/>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供水</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自来水管网</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2430" w:type="dxa"/>
                  <w:gridSpan w:val="2"/>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供电</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当地电网</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2430" w:type="dxa"/>
                  <w:gridSpan w:val="2"/>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供暖、制冷</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办公室由空调提供供暖、制冷</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restart"/>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环保工程</w:t>
                  </w:r>
                </w:p>
              </w:tc>
              <w:tc>
                <w:tcPr>
                  <w:tcW w:w="100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废水</w:t>
                  </w:r>
                </w:p>
              </w:tc>
              <w:tc>
                <w:tcPr>
                  <w:tcW w:w="142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生活污水</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员工生活产生污水经化粪池处理后排入城市污水管网，由济源城市污水处理厂集中处理</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2430" w:type="dxa"/>
                  <w:gridSpan w:val="2"/>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噪声</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基础减震、厂房隔声</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129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1005" w:type="dxa"/>
                  <w:vMerge w:val="restart"/>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固废</w:t>
                  </w:r>
                </w:p>
              </w:tc>
              <w:tc>
                <w:tcPr>
                  <w:tcW w:w="142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生活垃圾</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经垃圾桶收集后交由环卫部门处理</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1005"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142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危险废物</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废乳化液暂存于危废间，定期交由</w:t>
                  </w:r>
                  <w:r>
                    <w:rPr>
                      <w:rFonts w:hint="eastAsia" w:cs="Times New Roman"/>
                      <w:b w:val="0"/>
                      <w:bCs/>
                      <w:sz w:val="21"/>
                      <w:szCs w:val="21"/>
                      <w:highlight w:val="none"/>
                      <w:shd w:val="clear" w:color="auto" w:fill="auto"/>
                      <w:vertAlign w:val="baseline"/>
                      <w:lang w:val="en-US" w:eastAsia="zh-CN"/>
                    </w:rPr>
                    <w:t>濮阳县鑫地生物能源有限公司处置</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1005"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142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一般固废</w:t>
                  </w:r>
                </w:p>
              </w:tc>
              <w:tc>
                <w:tcPr>
                  <w:tcW w:w="295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加工过程产生的边角料以及废铁屑收集暂存后外售</w:t>
                  </w:r>
                </w:p>
              </w:tc>
              <w:tc>
                <w:tcPr>
                  <w:tcW w:w="1264"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1.2现有工程产品及产量</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表2-</w:t>
            </w:r>
            <w:r>
              <w:rPr>
                <w:rFonts w:hint="eastAsia" w:cs="Times New Roman"/>
                <w:b/>
                <w:bCs w:val="0"/>
                <w:sz w:val="24"/>
                <w:szCs w:val="24"/>
                <w:highlight w:val="none"/>
                <w:shd w:val="clear" w:color="auto" w:fill="auto"/>
                <w:lang w:val="en-US" w:eastAsia="zh-CN"/>
              </w:rPr>
              <w:t>7</w:t>
            </w:r>
            <w:r>
              <w:rPr>
                <w:rFonts w:hint="default" w:ascii="Times New Roman" w:hAnsi="Times New Roman" w:cs="Times New Roman"/>
                <w:b/>
                <w:bCs w:val="0"/>
                <w:sz w:val="24"/>
                <w:szCs w:val="24"/>
                <w:highlight w:val="none"/>
                <w:shd w:val="clear" w:color="auto" w:fill="auto"/>
                <w:lang w:val="en-US" w:eastAsia="zh-CN"/>
              </w:rPr>
              <w:t xml:space="preserve">  现有工程产品及产量</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48"/>
              <w:gridCol w:w="2648"/>
              <w:gridCol w:w="2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产品名称</w:t>
                  </w:r>
                </w:p>
              </w:tc>
              <w:tc>
                <w:tcPr>
                  <w:tcW w:w="2648"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单位</w:t>
                  </w:r>
                </w:p>
              </w:tc>
              <w:tc>
                <w:tcPr>
                  <w:tcW w:w="2649"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产量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机械零部件</w:t>
                  </w:r>
                </w:p>
              </w:tc>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t/a</w:t>
                  </w:r>
                </w:p>
              </w:tc>
              <w:tc>
                <w:tcPr>
                  <w:tcW w:w="2649"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120</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1.3现有工程主要原辅材料及能源消耗</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表2-</w:t>
            </w:r>
            <w:r>
              <w:rPr>
                <w:rFonts w:hint="eastAsia" w:cs="Times New Roman"/>
                <w:b/>
                <w:bCs w:val="0"/>
                <w:sz w:val="24"/>
                <w:szCs w:val="24"/>
                <w:highlight w:val="none"/>
                <w:shd w:val="clear" w:color="auto" w:fill="auto"/>
                <w:lang w:val="en-US" w:eastAsia="zh-CN"/>
              </w:rPr>
              <w:t>8</w:t>
            </w:r>
            <w:r>
              <w:rPr>
                <w:rFonts w:hint="default" w:ascii="Times New Roman" w:hAnsi="Times New Roman" w:cs="Times New Roman"/>
                <w:b/>
                <w:bCs w:val="0"/>
                <w:sz w:val="24"/>
                <w:szCs w:val="24"/>
                <w:highlight w:val="none"/>
                <w:shd w:val="clear" w:color="auto" w:fill="auto"/>
                <w:lang w:val="en-US" w:eastAsia="zh-CN"/>
              </w:rPr>
              <w:t xml:space="preserve">  现有工程主要原辅材料及能源消耗</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48"/>
              <w:gridCol w:w="2648"/>
              <w:gridCol w:w="2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主要原料</w:t>
                  </w:r>
                </w:p>
              </w:tc>
              <w:tc>
                <w:tcPr>
                  <w:tcW w:w="2648"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单位</w:t>
                  </w:r>
                </w:p>
              </w:tc>
              <w:tc>
                <w:tcPr>
                  <w:tcW w:w="2649"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钢板</w:t>
                  </w:r>
                </w:p>
              </w:tc>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t/a</w:t>
                  </w:r>
                </w:p>
              </w:tc>
              <w:tc>
                <w:tcPr>
                  <w:tcW w:w="2649"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铸铁件</w:t>
                  </w:r>
                </w:p>
              </w:tc>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t/a</w:t>
                  </w:r>
                </w:p>
              </w:tc>
              <w:tc>
                <w:tcPr>
                  <w:tcW w:w="2649"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5</w:t>
                  </w:r>
                  <w:r>
                    <w:rPr>
                      <w:rFonts w:hint="default" w:ascii="Times New Roman" w:hAnsi="Times New Roman" w:cs="Times New Roman"/>
                      <w:b w:val="0"/>
                      <w:bCs/>
                      <w:sz w:val="21"/>
                      <w:szCs w:val="21"/>
                      <w:highlight w:val="none"/>
                      <w:shd w:val="clear" w:color="auto" w:fill="auto"/>
                      <w:vertAlign w:val="baseli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乳化液</w:t>
                  </w:r>
                </w:p>
              </w:tc>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t/a</w:t>
                  </w:r>
                </w:p>
              </w:tc>
              <w:tc>
                <w:tcPr>
                  <w:tcW w:w="2649"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0.</w:t>
                  </w:r>
                  <w:r>
                    <w:rPr>
                      <w:rFonts w:hint="eastAsia" w:cs="Times New Roman"/>
                      <w:b w:val="0"/>
                      <w:bCs/>
                      <w:sz w:val="21"/>
                      <w:szCs w:val="21"/>
                      <w:highlight w:val="none"/>
                      <w:shd w:val="clear" w:color="auto" w:fill="auto"/>
                      <w:vertAlign w:val="baseline"/>
                      <w:lang w:val="en-US" w:eastAsia="zh-CN"/>
                    </w:rPr>
                    <w:t>0</w:t>
                  </w:r>
                  <w:r>
                    <w:rPr>
                      <w:rFonts w:hint="default" w:ascii="Times New Roman" w:hAnsi="Times New Roman" w:cs="Times New Roman"/>
                      <w:b w:val="0"/>
                      <w:bCs/>
                      <w:sz w:val="21"/>
                      <w:szCs w:val="21"/>
                      <w:highlight w:val="none"/>
                      <w:shd w:val="clear" w:color="auto" w:fill="auto"/>
                      <w:vertAlign w:val="baseline"/>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电</w:t>
                  </w:r>
                </w:p>
              </w:tc>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万kW·h/a</w:t>
                  </w:r>
                </w:p>
              </w:tc>
              <w:tc>
                <w:tcPr>
                  <w:tcW w:w="2649"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eastAsia" w:ascii="Times New Roman" w:hAnsi="Times New Roman" w:cs="Times New Roman"/>
                      <w:b w:val="0"/>
                      <w:bCs/>
                      <w:sz w:val="21"/>
                      <w:szCs w:val="21"/>
                      <w:highlight w:val="none"/>
                      <w:shd w:val="clear" w:color="auto" w:fill="auto"/>
                      <w:vertAlign w:val="baseline"/>
                      <w:lang w:val="en-US" w:eastAsia="zh-CN"/>
                    </w:rPr>
                    <w:t>水</w:t>
                  </w:r>
                </w:p>
              </w:tc>
              <w:tc>
                <w:tcPr>
                  <w:tcW w:w="264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eastAsia" w:ascii="Times New Roman" w:hAnsi="Times New Roman" w:cs="Times New Roman"/>
                      <w:b w:val="0"/>
                      <w:bCs/>
                      <w:sz w:val="21"/>
                      <w:szCs w:val="21"/>
                      <w:highlight w:val="none"/>
                      <w:shd w:val="clear" w:color="auto" w:fill="auto"/>
                      <w:vertAlign w:val="baseline"/>
                      <w:lang w:val="en-US" w:eastAsia="zh-CN"/>
                    </w:rPr>
                    <w:t>m</w:t>
                  </w:r>
                  <w:r>
                    <w:rPr>
                      <w:rFonts w:hint="eastAsia" w:ascii="Times New Roman" w:hAnsi="Times New Roman" w:cs="Times New Roman"/>
                      <w:b w:val="0"/>
                      <w:bCs/>
                      <w:sz w:val="21"/>
                      <w:szCs w:val="21"/>
                      <w:highlight w:val="none"/>
                      <w:shd w:val="clear" w:color="auto" w:fill="auto"/>
                      <w:vertAlign w:val="superscript"/>
                      <w:lang w:val="en-US" w:eastAsia="zh-CN"/>
                    </w:rPr>
                    <w:t>3</w:t>
                  </w:r>
                  <w:r>
                    <w:rPr>
                      <w:rFonts w:hint="eastAsia" w:ascii="Times New Roman" w:hAnsi="Times New Roman" w:cs="Times New Roman"/>
                      <w:b w:val="0"/>
                      <w:bCs/>
                      <w:sz w:val="21"/>
                      <w:szCs w:val="21"/>
                      <w:highlight w:val="none"/>
                      <w:shd w:val="clear" w:color="auto" w:fill="auto"/>
                      <w:vertAlign w:val="baseline"/>
                      <w:lang w:val="en-US" w:eastAsia="zh-CN"/>
                    </w:rPr>
                    <w:t>/a</w:t>
                  </w:r>
                </w:p>
              </w:tc>
              <w:tc>
                <w:tcPr>
                  <w:tcW w:w="2649"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eastAsia" w:ascii="Times New Roman" w:hAnsi="Times New Roman" w:cs="Times New Roman"/>
                      <w:b w:val="0"/>
                      <w:bCs/>
                      <w:sz w:val="21"/>
                      <w:szCs w:val="21"/>
                      <w:highlight w:val="none"/>
                      <w:shd w:val="clear" w:color="auto" w:fill="auto"/>
                      <w:vertAlign w:val="baseline"/>
                      <w:lang w:val="en-US" w:eastAsia="zh-CN"/>
                    </w:rPr>
                    <w:t>100</w:t>
                  </w:r>
                  <w:r>
                    <w:rPr>
                      <w:rFonts w:hint="eastAsia" w:cs="Times New Roman"/>
                      <w:b w:val="0"/>
                      <w:bCs/>
                      <w:sz w:val="21"/>
                      <w:szCs w:val="21"/>
                      <w:highlight w:val="none"/>
                      <w:shd w:val="clear" w:color="auto" w:fill="auto"/>
                      <w:vertAlign w:val="baseline"/>
                      <w:lang w:val="en-US" w:eastAsia="zh-CN"/>
                    </w:rPr>
                    <w:t>.4</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cs="Times New Roman"/>
                <w:b w:val="0"/>
                <w:bCs/>
                <w:sz w:val="24"/>
                <w:szCs w:val="24"/>
                <w:highlight w:val="none"/>
                <w:shd w:val="clear" w:color="auto" w:fill="auto"/>
                <w:lang w:val="en-US" w:eastAsia="zh-CN"/>
              </w:rPr>
            </w:pPr>
            <w:r>
              <w:rPr>
                <w:rFonts w:hint="eastAsia" w:cs="Times New Roman"/>
                <w:b/>
                <w:bCs w:val="0"/>
                <w:sz w:val="24"/>
                <w:szCs w:val="24"/>
                <w:highlight w:val="none"/>
                <w:shd w:val="clear" w:color="auto" w:fill="auto"/>
                <w:lang w:val="en-US" w:eastAsia="zh-CN"/>
              </w:rPr>
              <w:t>用水量分析</w:t>
            </w:r>
            <w:r>
              <w:rPr>
                <w:rFonts w:hint="eastAsia" w:cs="Times New Roman"/>
                <w:b w:val="0"/>
                <w:bCs/>
                <w:sz w:val="24"/>
                <w:szCs w:val="24"/>
                <w:highlight w:val="none"/>
                <w:shd w:val="clear" w:color="auto" w:fill="auto"/>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eastAsia" w:cs="Times New Roman"/>
                <w:b w:val="0"/>
                <w:bCs/>
                <w:sz w:val="24"/>
                <w:szCs w:val="24"/>
                <w:highlight w:val="none"/>
                <w:shd w:val="clear" w:color="auto" w:fill="auto"/>
                <w:lang w:val="en-US" w:eastAsia="zh-CN"/>
              </w:rPr>
              <w:t>项目职工人数为10人，一班制，年生产250天，参考《河南省工业与城镇生活用水定额》（DB41/T385-2020），生活用水按照每人每天40L计，则厂区总生活用水量为0.4m</w:t>
            </w:r>
            <w:r>
              <w:rPr>
                <w:rFonts w:hint="eastAsia" w:cs="Times New Roman"/>
                <w:b w:val="0"/>
                <w:bCs/>
                <w:sz w:val="24"/>
                <w:szCs w:val="24"/>
                <w:highlight w:val="none"/>
                <w:shd w:val="clear" w:color="auto" w:fill="auto"/>
                <w:vertAlign w:val="superscript"/>
                <w:lang w:val="en-US" w:eastAsia="zh-CN"/>
              </w:rPr>
              <w:t>3</w:t>
            </w:r>
            <w:r>
              <w:rPr>
                <w:rFonts w:hint="eastAsia" w:cs="Times New Roman"/>
                <w:b w:val="0"/>
                <w:bCs/>
                <w:sz w:val="24"/>
                <w:szCs w:val="24"/>
                <w:highlight w:val="none"/>
                <w:shd w:val="clear" w:color="auto" w:fill="auto"/>
                <w:vertAlign w:val="baseline"/>
                <w:lang w:val="en-US" w:eastAsia="zh-CN"/>
              </w:rPr>
              <w:t>/d，即100m</w:t>
            </w:r>
            <w:r>
              <w:rPr>
                <w:rFonts w:hint="eastAsia" w:cs="Times New Roman"/>
                <w:b w:val="0"/>
                <w:bCs/>
                <w:sz w:val="24"/>
                <w:szCs w:val="24"/>
                <w:highlight w:val="none"/>
                <w:shd w:val="clear" w:color="auto" w:fill="auto"/>
                <w:vertAlign w:val="superscript"/>
                <w:lang w:val="en-US" w:eastAsia="zh-CN"/>
              </w:rPr>
              <w:t>3</w:t>
            </w:r>
            <w:r>
              <w:rPr>
                <w:rFonts w:hint="eastAsia" w:cs="Times New Roman"/>
                <w:b w:val="0"/>
                <w:bCs/>
                <w:sz w:val="24"/>
                <w:szCs w:val="24"/>
                <w:highlight w:val="none"/>
                <w:shd w:val="clear" w:color="auto" w:fill="auto"/>
                <w:vertAlign w:val="baseline"/>
                <w:lang w:val="en-US" w:eastAsia="zh-CN"/>
              </w:rPr>
              <w:t>/a。</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eastAsia" w:cs="Times New Roman"/>
                <w:b w:val="0"/>
                <w:bCs/>
                <w:sz w:val="24"/>
                <w:szCs w:val="24"/>
                <w:highlight w:val="none"/>
                <w:shd w:val="clear" w:color="auto" w:fill="auto"/>
                <w:lang w:val="en-US" w:eastAsia="zh-CN"/>
              </w:rPr>
              <w:t>乳化液年补充量为0.04t/a，兑水稀释比例为1:10，需要用水量为0.4t/a。</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vertAlign w:val="baseline"/>
                <w:lang w:val="en-US" w:eastAsia="zh-CN"/>
              </w:rPr>
            </w:pPr>
            <w:r>
              <w:rPr>
                <w:rFonts w:hint="eastAsia" w:cs="Times New Roman"/>
                <w:b w:val="0"/>
                <w:bCs/>
                <w:sz w:val="24"/>
                <w:szCs w:val="24"/>
                <w:highlight w:val="none"/>
                <w:shd w:val="clear" w:color="auto" w:fill="auto"/>
                <w:lang w:val="en-US" w:eastAsia="zh-CN"/>
              </w:rPr>
              <w:t>因此，现有工程共计用水量为100.4m</w:t>
            </w:r>
            <w:r>
              <w:rPr>
                <w:rFonts w:hint="eastAsia" w:cs="Times New Roman"/>
                <w:b w:val="0"/>
                <w:bCs/>
                <w:sz w:val="24"/>
                <w:szCs w:val="24"/>
                <w:highlight w:val="none"/>
                <w:shd w:val="clear" w:color="auto" w:fill="auto"/>
                <w:vertAlign w:val="superscript"/>
                <w:lang w:val="en-US" w:eastAsia="zh-CN"/>
              </w:rPr>
              <w:t>3</w:t>
            </w:r>
            <w:r>
              <w:rPr>
                <w:rFonts w:hint="eastAsia" w:cs="Times New Roman"/>
                <w:b w:val="0"/>
                <w:bCs/>
                <w:sz w:val="24"/>
                <w:szCs w:val="24"/>
                <w:highlight w:val="none"/>
                <w:shd w:val="clear" w:color="auto" w:fill="auto"/>
                <w:vertAlign w:val="baseline"/>
                <w:lang w:val="en-US" w:eastAsia="zh-CN"/>
              </w:rPr>
              <w:t>/a。</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1.4现有工程主要生产设备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该项目的主要生产设备见下表：</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表2</w:t>
            </w:r>
            <w:r>
              <w:rPr>
                <w:rFonts w:hint="eastAsia" w:cs="Times New Roman"/>
                <w:b/>
                <w:bCs w:val="0"/>
                <w:sz w:val="24"/>
                <w:szCs w:val="24"/>
                <w:highlight w:val="none"/>
                <w:shd w:val="clear" w:color="auto" w:fill="auto"/>
                <w:lang w:val="en-US" w:eastAsia="zh-CN"/>
              </w:rPr>
              <w:t>-9</w:t>
            </w:r>
            <w:r>
              <w:rPr>
                <w:rFonts w:hint="default" w:ascii="Times New Roman" w:hAnsi="Times New Roman" w:cs="Times New Roman"/>
                <w:b/>
                <w:bCs w:val="0"/>
                <w:sz w:val="24"/>
                <w:szCs w:val="24"/>
                <w:highlight w:val="none"/>
                <w:shd w:val="clear" w:color="auto" w:fill="auto"/>
                <w:lang w:val="en-US" w:eastAsia="zh-CN"/>
              </w:rPr>
              <w:t xml:space="preserve">  现有工程主要生产设备</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86"/>
              <w:gridCol w:w="1986"/>
              <w:gridCol w:w="1986"/>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设备名称</w:t>
                  </w:r>
                </w:p>
              </w:tc>
              <w:tc>
                <w:tcPr>
                  <w:tcW w:w="1986"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规格及型号</w:t>
                  </w:r>
                </w:p>
              </w:tc>
              <w:tc>
                <w:tcPr>
                  <w:tcW w:w="1986"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数量</w:t>
                  </w:r>
                </w:p>
              </w:tc>
              <w:tc>
                <w:tcPr>
                  <w:tcW w:w="1987"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圆车</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CW6280B</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车圆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圆车</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CA6140A</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2台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车圆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铣床</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X6132C</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2台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铣平面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钻床</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Z3032×9型</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钻孔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钻床</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Z3050×1/16</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钻孔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线切割</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NH7740B</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切割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锯床</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GB系列</w:t>
                  </w:r>
                </w:p>
              </w:tc>
              <w:tc>
                <w:tcPr>
                  <w:tcW w:w="198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1台</w:t>
                  </w:r>
                </w:p>
              </w:tc>
              <w:tc>
                <w:tcPr>
                  <w:tcW w:w="1987"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2、现有工程主要产污环节及污染防治措施</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现有工程工艺流程及产污环节见下图</w:t>
            </w:r>
            <w:r>
              <w:rPr>
                <w:rFonts w:hint="eastAsia" w:cs="Times New Roman"/>
                <w:b w:val="0"/>
                <w:bCs/>
                <w:sz w:val="24"/>
                <w:szCs w:val="24"/>
                <w:highlight w:val="none"/>
                <w:shd w:val="clear" w:color="auto" w:fill="auto"/>
                <w:lang w:val="en-US" w:eastAsia="zh-CN"/>
              </w:rPr>
              <w:t>：</w:t>
            </w:r>
          </w:p>
          <w:p>
            <w:pPr>
              <w:adjustRightInd w:val="0"/>
              <w:snapToGrid w:val="0"/>
              <w:spacing w:line="240" w:lineRule="auto"/>
              <w:ind w:firstLine="420" w:firstLineChars="200"/>
              <w:jc w:val="left"/>
              <w:rPr>
                <w:rFonts w:hint="default" w:ascii="Times New Roman" w:hAnsi="Times New Roman" w:cs="Times New Roman"/>
                <w:highlight w:val="none"/>
              </w:rPr>
            </w:pPr>
            <w:r>
              <w:rPr>
                <w:rFonts w:hint="default" w:ascii="Times New Roman" w:hAnsi="Times New Roman" w:cs="Times New Roman"/>
                <w:highlight w:val="none"/>
              </w:rPr>
              <w:drawing>
                <wp:inline distT="0" distB="0" distL="114300" distR="114300">
                  <wp:extent cx="4694555" cy="1374140"/>
                  <wp:effectExtent l="0" t="0" r="10795" b="16510"/>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10"/>
                          <a:stretch>
                            <a:fillRect/>
                          </a:stretch>
                        </pic:blipFill>
                        <pic:spPr>
                          <a:xfrm>
                            <a:off x="0" y="0"/>
                            <a:ext cx="4694555" cy="1374140"/>
                          </a:xfrm>
                          <a:prstGeom prst="rect">
                            <a:avLst/>
                          </a:prstGeom>
                          <a:noFill/>
                          <a:ln>
                            <a:noFill/>
                          </a:ln>
                        </pic:spPr>
                      </pic:pic>
                    </a:graphicData>
                  </a:graphic>
                </wp:inline>
              </w:drawing>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图2  现有工程工艺流程及产污环节示意图</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由图2可知，现有工程运行过程中产生的污染物主要为设备运行噪声、机械加工过程中产生的废铁屑和边角料，废乳化液以及职工产生的生活垃圾和生活污水等。</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2.1废水</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eastAsia" w:cs="Times New Roman"/>
                <w:b w:val="0"/>
                <w:bCs/>
                <w:sz w:val="24"/>
                <w:szCs w:val="24"/>
                <w:highlight w:val="none"/>
                <w:shd w:val="clear" w:color="auto" w:fill="auto"/>
                <w:lang w:val="en-US" w:eastAsia="zh-CN"/>
              </w:rPr>
            </w:pPr>
            <w:r>
              <w:rPr>
                <w:rFonts w:hint="eastAsia" w:cs="Times New Roman"/>
                <w:b w:val="0"/>
                <w:bCs/>
                <w:sz w:val="24"/>
                <w:szCs w:val="24"/>
                <w:highlight w:val="none"/>
                <w:shd w:val="clear" w:color="auto" w:fill="auto"/>
                <w:lang w:val="en-US" w:eastAsia="zh-CN"/>
              </w:rPr>
              <w:t>现有工程项目水平衡见下图：</w:t>
            </w:r>
          </w:p>
          <w:p>
            <w:pPr>
              <w:pStyle w:val="2"/>
              <w:wordWrap w:val="0"/>
              <w:jc w:val="right"/>
              <w:rPr>
                <w:rFonts w:hint="eastAsia" w:ascii="宋体" w:hAnsi="宋体" w:eastAsia="宋体" w:cs="宋体"/>
                <w:highlight w:val="none"/>
                <w:lang w:val="en-US" w:eastAsia="zh-CN"/>
              </w:rPr>
            </w:pPr>
            <w:r>
              <w:rPr>
                <w:rFonts w:hint="eastAsia" w:ascii="宋体" w:hAnsi="宋体" w:eastAsia="宋体" w:cs="宋体"/>
                <w:highlight w:val="none"/>
                <w:lang w:val="en-US" w:eastAsia="zh-CN"/>
              </w:rPr>
              <w:t xml:space="preserve">单位：t/a   </w:t>
            </w:r>
          </w:p>
          <w:p>
            <w:pPr>
              <w:pStyle w:val="2"/>
              <w:wordWrap/>
              <w:jc w:val="right"/>
              <w:rPr>
                <w:rFonts w:hint="default" w:ascii="宋体" w:hAnsi="宋体" w:eastAsia="宋体" w:cs="宋体"/>
                <w:highlight w:val="none"/>
                <w:lang w:val="en-US" w:eastAsia="zh-CN"/>
              </w:rPr>
            </w:pPr>
            <w:r>
              <w:rPr>
                <w:highlight w:val="none"/>
              </w:rPr>
              <w:drawing>
                <wp:anchor distT="0" distB="0" distL="114300" distR="114300" simplePos="0" relativeHeight="251659264" behindDoc="0" locked="0" layoutInCell="1" allowOverlap="1">
                  <wp:simplePos x="0" y="0"/>
                  <wp:positionH relativeFrom="column">
                    <wp:posOffset>266700</wp:posOffset>
                  </wp:positionH>
                  <wp:positionV relativeFrom="paragraph">
                    <wp:posOffset>202565</wp:posOffset>
                  </wp:positionV>
                  <wp:extent cx="4805045" cy="2336165"/>
                  <wp:effectExtent l="0" t="0" r="14605" b="6985"/>
                  <wp:wrapSquare wrapText="bothSides"/>
                  <wp:docPr id="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
                          <pic:cNvPicPr>
                            <a:picLocks noChangeAspect="1"/>
                          </pic:cNvPicPr>
                        </pic:nvPicPr>
                        <pic:blipFill>
                          <a:blip r:embed="rId11"/>
                          <a:stretch>
                            <a:fillRect/>
                          </a:stretch>
                        </pic:blipFill>
                        <pic:spPr>
                          <a:xfrm>
                            <a:off x="0" y="0"/>
                            <a:ext cx="4805045" cy="2336165"/>
                          </a:xfrm>
                          <a:prstGeom prst="rect">
                            <a:avLst/>
                          </a:prstGeom>
                          <a:noFill/>
                          <a:ln>
                            <a:noFill/>
                          </a:ln>
                        </pic:spPr>
                      </pic:pic>
                    </a:graphicData>
                  </a:graphic>
                </wp:anchor>
              </w:drawing>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eastAsia" w:cs="Times New Roman"/>
                <w:b/>
                <w:bCs w:val="0"/>
                <w:sz w:val="24"/>
                <w:szCs w:val="24"/>
                <w:highlight w:val="none"/>
                <w:shd w:val="clear" w:color="auto" w:fill="auto"/>
                <w:lang w:val="en-US" w:eastAsia="zh-CN"/>
              </w:rPr>
              <w:t>图3  现有工程项目水平衡图</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现有工程无生产废水产生，主要为职工生活污水</w:t>
            </w:r>
            <w:r>
              <w:rPr>
                <w:rFonts w:hint="eastAsia" w:cs="Times New Roman"/>
                <w:b w:val="0"/>
                <w:bCs/>
                <w:sz w:val="24"/>
                <w:szCs w:val="24"/>
                <w:highlight w:val="none"/>
                <w:shd w:val="clear" w:color="auto" w:fill="auto"/>
                <w:lang w:val="en-US" w:eastAsia="zh-CN"/>
              </w:rPr>
              <w:t>。污水产生系数按80%计，则产生的废水量为80t</w:t>
            </w:r>
            <w:r>
              <w:rPr>
                <w:rFonts w:hint="eastAsia" w:cs="Times New Roman"/>
                <w:b w:val="0"/>
                <w:bCs/>
                <w:sz w:val="24"/>
                <w:szCs w:val="24"/>
                <w:highlight w:val="none"/>
                <w:shd w:val="clear" w:color="auto" w:fill="auto"/>
                <w:vertAlign w:val="baseline"/>
                <w:lang w:val="en-US" w:eastAsia="zh-CN"/>
              </w:rPr>
              <w:t>/a。</w:t>
            </w:r>
            <w:r>
              <w:rPr>
                <w:rFonts w:hint="default" w:ascii="Times New Roman" w:hAnsi="Times New Roman" w:cs="Times New Roman"/>
                <w:b w:val="0"/>
                <w:bCs/>
                <w:sz w:val="24"/>
                <w:szCs w:val="24"/>
                <w:highlight w:val="none"/>
                <w:shd w:val="clear" w:color="auto" w:fill="auto"/>
                <w:lang w:val="en-US" w:eastAsia="zh-CN"/>
              </w:rPr>
              <w:t>生活污水经化粪池处理后排入城市污水管网，后进入济源城市污水处理厂进行处理。</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2.2噪声</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根据监测报告</w:t>
            </w:r>
            <w:r>
              <w:rPr>
                <w:rFonts w:hint="default" w:ascii="Times New Roman" w:hAnsi="Times New Roman" w:cs="Times New Roman"/>
                <w:b w:val="0"/>
                <w:bCs/>
                <w:sz w:val="24"/>
                <w:szCs w:val="24"/>
                <w:highlight w:val="none"/>
                <w:shd w:val="clear" w:color="auto" w:fill="auto"/>
                <w:lang w:val="en-US" w:eastAsia="zh-CN"/>
              </w:rPr>
              <w:t>，现有工程运行时</w:t>
            </w:r>
            <w:r>
              <w:rPr>
                <w:rFonts w:hint="eastAsia" w:cs="Times New Roman"/>
                <w:b w:val="0"/>
                <w:bCs/>
                <w:sz w:val="24"/>
                <w:szCs w:val="24"/>
                <w:highlight w:val="none"/>
                <w:shd w:val="clear" w:color="auto" w:fill="auto"/>
                <w:lang w:val="en-US" w:eastAsia="zh-CN"/>
              </w:rPr>
              <w:t>，</w:t>
            </w:r>
            <w:r>
              <w:rPr>
                <w:rFonts w:hint="default" w:ascii="Times New Roman" w:hAnsi="Times New Roman" w:cs="Times New Roman"/>
                <w:b w:val="0"/>
                <w:bCs/>
                <w:sz w:val="24"/>
                <w:szCs w:val="24"/>
                <w:highlight w:val="none"/>
                <w:shd w:val="clear" w:color="auto" w:fill="auto"/>
                <w:lang w:val="en-US" w:eastAsia="zh-CN"/>
              </w:rPr>
              <w:t>东、南、西、北厂界</w:t>
            </w:r>
            <w:r>
              <w:rPr>
                <w:rFonts w:hint="eastAsia" w:cs="Times New Roman"/>
                <w:b w:val="0"/>
                <w:bCs/>
                <w:sz w:val="24"/>
                <w:szCs w:val="24"/>
                <w:highlight w:val="none"/>
                <w:shd w:val="clear" w:color="auto" w:fill="auto"/>
                <w:lang w:val="en-US" w:eastAsia="zh-CN"/>
              </w:rPr>
              <w:t>昼间</w:t>
            </w:r>
            <w:r>
              <w:rPr>
                <w:rFonts w:hint="default" w:ascii="Times New Roman" w:hAnsi="Times New Roman" w:cs="Times New Roman"/>
                <w:b w:val="0"/>
                <w:bCs/>
                <w:sz w:val="24"/>
                <w:szCs w:val="24"/>
                <w:highlight w:val="none"/>
                <w:shd w:val="clear" w:color="auto" w:fill="auto"/>
                <w:lang w:val="en-US" w:eastAsia="zh-CN"/>
              </w:rPr>
              <w:t>噪声值在52.6~5</w:t>
            </w:r>
            <w:r>
              <w:rPr>
                <w:rFonts w:hint="eastAsia" w:cs="Times New Roman"/>
                <w:b w:val="0"/>
                <w:bCs/>
                <w:sz w:val="24"/>
                <w:szCs w:val="24"/>
                <w:highlight w:val="none"/>
                <w:shd w:val="clear" w:color="auto" w:fill="auto"/>
                <w:lang w:val="en-US" w:eastAsia="zh-CN"/>
              </w:rPr>
              <w:t>7.4</w:t>
            </w:r>
            <w:r>
              <w:rPr>
                <w:rFonts w:hint="default" w:ascii="Times New Roman" w:hAnsi="Times New Roman" w:cs="Times New Roman"/>
                <w:b w:val="0"/>
                <w:bCs/>
                <w:sz w:val="24"/>
                <w:szCs w:val="24"/>
                <w:highlight w:val="none"/>
                <w:shd w:val="clear" w:color="auto" w:fill="auto"/>
                <w:lang w:val="en-US" w:eastAsia="zh-CN"/>
              </w:rPr>
              <w:t>dB（A）之间，</w:t>
            </w:r>
            <w:r>
              <w:rPr>
                <w:rFonts w:hint="eastAsia" w:cs="Times New Roman"/>
                <w:b w:val="0"/>
                <w:bCs/>
                <w:sz w:val="24"/>
                <w:szCs w:val="24"/>
                <w:highlight w:val="none"/>
                <w:shd w:val="clear" w:color="auto" w:fill="auto"/>
                <w:lang w:val="en-US" w:eastAsia="zh-CN"/>
              </w:rPr>
              <w:t>夜间噪声值在48.0~50.0dB（A）之间，其中东、西、北厂界噪声值</w:t>
            </w:r>
            <w:r>
              <w:rPr>
                <w:rFonts w:hint="default" w:ascii="Times New Roman" w:hAnsi="Times New Roman" w:cs="Times New Roman"/>
                <w:b w:val="0"/>
                <w:bCs/>
                <w:sz w:val="24"/>
                <w:szCs w:val="24"/>
                <w:highlight w:val="none"/>
                <w:shd w:val="clear" w:color="auto" w:fill="auto"/>
                <w:lang w:val="en-US" w:eastAsia="zh-CN"/>
              </w:rPr>
              <w:t>能够满足《工业企业厂界环境噪声排放标准》（GB12348-2008）中</w:t>
            </w:r>
            <w:r>
              <w:rPr>
                <w:rFonts w:hint="eastAsia" w:cs="Times New Roman"/>
                <w:b w:val="0"/>
                <w:bCs/>
                <w:sz w:val="24"/>
                <w:szCs w:val="24"/>
                <w:highlight w:val="none"/>
                <w:shd w:val="clear" w:color="auto" w:fill="auto"/>
                <w:lang w:val="en-US" w:eastAsia="zh-CN"/>
              </w:rPr>
              <w:t>2</w:t>
            </w:r>
            <w:r>
              <w:rPr>
                <w:rFonts w:hint="default" w:ascii="Times New Roman" w:hAnsi="Times New Roman" w:cs="Times New Roman"/>
                <w:b w:val="0"/>
                <w:bCs/>
                <w:sz w:val="24"/>
                <w:szCs w:val="24"/>
                <w:highlight w:val="none"/>
                <w:shd w:val="clear" w:color="auto" w:fill="auto"/>
                <w:lang w:val="en-US" w:eastAsia="zh-CN"/>
              </w:rPr>
              <w:t>类</w:t>
            </w:r>
            <w:r>
              <w:rPr>
                <w:rFonts w:hint="eastAsia" w:cs="Times New Roman"/>
                <w:b w:val="0"/>
                <w:bCs/>
                <w:sz w:val="24"/>
                <w:szCs w:val="24"/>
                <w:highlight w:val="none"/>
                <w:shd w:val="clear" w:color="auto" w:fill="auto"/>
                <w:lang w:val="en-US" w:eastAsia="zh-CN"/>
              </w:rPr>
              <w:t>标准</w:t>
            </w:r>
            <w:r>
              <w:rPr>
                <w:rFonts w:hint="default" w:ascii="Times New Roman" w:hAnsi="Times New Roman" w:cs="Times New Roman"/>
                <w:b w:val="0"/>
                <w:bCs/>
                <w:sz w:val="24"/>
                <w:szCs w:val="24"/>
                <w:highlight w:val="none"/>
                <w:shd w:val="clear" w:color="auto" w:fill="auto"/>
                <w:lang w:val="en-US" w:eastAsia="zh-CN"/>
              </w:rPr>
              <w:t>要求</w:t>
            </w:r>
            <w:r>
              <w:rPr>
                <w:rFonts w:hint="eastAsia" w:cs="Times New Roman"/>
                <w:b w:val="0"/>
                <w:bCs/>
                <w:sz w:val="24"/>
                <w:szCs w:val="24"/>
                <w:highlight w:val="none"/>
                <w:shd w:val="clear" w:color="auto" w:fill="auto"/>
                <w:lang w:val="en-US" w:eastAsia="zh-CN"/>
              </w:rPr>
              <w:t>，南厂界噪声值能够满足《工业企业厂界环境噪声排放标准》（GB12348-2008）中4类标准要求</w:t>
            </w:r>
            <w:r>
              <w:rPr>
                <w:rFonts w:hint="default" w:ascii="Times New Roman" w:hAnsi="Times New Roman" w:cs="Times New Roman"/>
                <w:b w:val="0"/>
                <w:bCs/>
                <w:sz w:val="24"/>
                <w:szCs w:val="24"/>
                <w:highlight w:val="none"/>
                <w:shd w:val="clear" w:color="auto" w:fill="auto"/>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2.3固废</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现有工程职工人数10人，年工作日250天，产生固废主要为职工产生的生活垃圾（每人每天按0.5kg计）和生产过程中产生的废弃边角料、铁屑和钢板，以及机加工设备产生的废乳化液。</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r>
              <w:rPr>
                <w:rFonts w:hint="default" w:ascii="Times New Roman" w:hAnsi="Times New Roman" w:cs="Times New Roman"/>
                <w:b w:val="0"/>
                <w:bCs/>
                <w:sz w:val="24"/>
                <w:szCs w:val="24"/>
                <w:highlight w:val="none"/>
                <w:shd w:val="clear" w:color="auto" w:fill="auto"/>
                <w:lang w:val="en-US" w:eastAsia="zh-CN"/>
              </w:rPr>
              <w:t>具体产排情况见表2-</w:t>
            </w:r>
            <w:r>
              <w:rPr>
                <w:rFonts w:hint="eastAsia" w:cs="Times New Roman"/>
                <w:b w:val="0"/>
                <w:bCs/>
                <w:sz w:val="24"/>
                <w:szCs w:val="24"/>
                <w:highlight w:val="none"/>
                <w:shd w:val="clear" w:color="auto" w:fill="auto"/>
                <w:lang w:val="en-US" w:eastAsia="zh-CN"/>
              </w:rPr>
              <w:t>10</w:t>
            </w:r>
            <w:r>
              <w:rPr>
                <w:rFonts w:hint="default" w:ascii="Times New Roman" w:hAnsi="Times New Roman" w:cs="Times New Roman"/>
                <w:b w:val="0"/>
                <w:bCs/>
                <w:sz w:val="24"/>
                <w:szCs w:val="24"/>
                <w:highlight w:val="none"/>
                <w:shd w:val="clear" w:color="auto" w:fill="auto"/>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表2-</w:t>
            </w:r>
            <w:r>
              <w:rPr>
                <w:rFonts w:hint="eastAsia" w:cs="Times New Roman"/>
                <w:b/>
                <w:bCs w:val="0"/>
                <w:sz w:val="24"/>
                <w:szCs w:val="24"/>
                <w:highlight w:val="none"/>
                <w:shd w:val="clear" w:color="auto" w:fill="auto"/>
                <w:lang w:val="en-US" w:eastAsia="zh-CN"/>
              </w:rPr>
              <w:t>10</w:t>
            </w:r>
            <w:r>
              <w:rPr>
                <w:rFonts w:hint="default" w:ascii="Times New Roman" w:hAnsi="Times New Roman" w:cs="Times New Roman"/>
                <w:b/>
                <w:bCs w:val="0"/>
                <w:sz w:val="24"/>
                <w:szCs w:val="24"/>
                <w:highlight w:val="none"/>
                <w:shd w:val="clear" w:color="auto" w:fill="auto"/>
                <w:lang w:val="en-US" w:eastAsia="zh-CN"/>
              </w:rPr>
              <w:t xml:space="preserve">  现有工程固废产排情况一览表</w:t>
            </w:r>
          </w:p>
          <w:p>
            <w:pPr>
              <w:pStyle w:val="2"/>
              <w:rPr>
                <w:rFonts w:hint="default"/>
                <w:highlight w:val="none"/>
                <w:lang w:val="en-US" w:eastAsia="zh-CN"/>
              </w:rPr>
            </w:pPr>
          </w:p>
          <w:tbl>
            <w:tblPr>
              <w:tblStyle w:val="14"/>
              <w:tblW w:w="794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1695"/>
              <w:gridCol w:w="1200"/>
              <w:gridCol w:w="2656"/>
              <w:gridCol w:w="1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6"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排放源</w:t>
                  </w:r>
                </w:p>
              </w:tc>
              <w:tc>
                <w:tcPr>
                  <w:tcW w:w="1695"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污染物</w:t>
                  </w:r>
                </w:p>
              </w:tc>
              <w:tc>
                <w:tcPr>
                  <w:tcW w:w="1200"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产生量</w:t>
                  </w:r>
                </w:p>
              </w:tc>
              <w:tc>
                <w:tcPr>
                  <w:tcW w:w="2656"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防治措施</w:t>
                  </w:r>
                </w:p>
              </w:tc>
              <w:tc>
                <w:tcPr>
                  <w:tcW w:w="1388" w:type="dxa"/>
                  <w:vAlign w:val="center"/>
                </w:tcPr>
                <w:p>
                  <w:pPr>
                    <w:adjustRightInd w:val="0"/>
                    <w:snapToGrid w:val="0"/>
                    <w:spacing w:line="240" w:lineRule="auto"/>
                    <w:jc w:val="center"/>
                    <w:rPr>
                      <w:rFonts w:hint="default" w:ascii="Times New Roman" w:hAnsi="Times New Roman" w:cs="Times New Roman"/>
                      <w:b/>
                      <w:bCs w:val="0"/>
                      <w:sz w:val="21"/>
                      <w:szCs w:val="21"/>
                      <w:highlight w:val="none"/>
                      <w:shd w:val="clear" w:color="auto" w:fill="auto"/>
                      <w:vertAlign w:val="baseline"/>
                      <w:lang w:val="en-US" w:eastAsia="zh-CN"/>
                    </w:rPr>
                  </w:pPr>
                  <w:r>
                    <w:rPr>
                      <w:rFonts w:hint="default" w:ascii="Times New Roman" w:hAnsi="Times New Roman" w:cs="Times New Roman"/>
                      <w:b/>
                      <w:bCs w:val="0"/>
                      <w:sz w:val="21"/>
                      <w:szCs w:val="21"/>
                      <w:highlight w:val="none"/>
                      <w:shd w:val="clear" w:color="auto" w:fill="auto"/>
                      <w:vertAlign w:val="baseline"/>
                      <w:lang w:val="en-US" w:eastAsia="zh-CN"/>
                    </w:rPr>
                    <w:t>处置情况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6" w:type="dxa"/>
                  <w:vMerge w:val="restart"/>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生产过程</w:t>
                  </w:r>
                </w:p>
              </w:tc>
              <w:tc>
                <w:tcPr>
                  <w:tcW w:w="169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废弃边角料、铁屑和钢板</w:t>
                  </w:r>
                </w:p>
              </w:tc>
              <w:tc>
                <w:tcPr>
                  <w:tcW w:w="1200"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8t/a</w:t>
                  </w:r>
                </w:p>
              </w:tc>
              <w:tc>
                <w:tcPr>
                  <w:tcW w:w="265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收集暂存，定期外售</w:t>
                  </w:r>
                </w:p>
              </w:tc>
              <w:tc>
                <w:tcPr>
                  <w:tcW w:w="138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合理处置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6" w:type="dxa"/>
                  <w:vMerge w:val="continue"/>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p>
              </w:tc>
              <w:tc>
                <w:tcPr>
                  <w:tcW w:w="169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废乳化液</w:t>
                  </w:r>
                </w:p>
              </w:tc>
              <w:tc>
                <w:tcPr>
                  <w:tcW w:w="1200"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0.</w:t>
                  </w:r>
                  <w:r>
                    <w:rPr>
                      <w:rFonts w:hint="eastAsia" w:cs="Times New Roman"/>
                      <w:b w:val="0"/>
                      <w:bCs/>
                      <w:sz w:val="21"/>
                      <w:szCs w:val="21"/>
                      <w:highlight w:val="none"/>
                      <w:shd w:val="clear" w:color="auto" w:fill="auto"/>
                      <w:vertAlign w:val="baseline"/>
                      <w:lang w:val="en-US" w:eastAsia="zh-CN"/>
                    </w:rPr>
                    <w:t>0</w:t>
                  </w:r>
                  <w:r>
                    <w:rPr>
                      <w:rFonts w:hint="default" w:ascii="Times New Roman" w:hAnsi="Times New Roman" w:cs="Times New Roman"/>
                      <w:b w:val="0"/>
                      <w:bCs/>
                      <w:sz w:val="21"/>
                      <w:szCs w:val="21"/>
                      <w:highlight w:val="none"/>
                      <w:shd w:val="clear" w:color="auto" w:fill="auto"/>
                      <w:vertAlign w:val="baseline"/>
                      <w:lang w:val="en-US" w:eastAsia="zh-CN"/>
                    </w:rPr>
                    <w:t>8t/a</w:t>
                  </w:r>
                </w:p>
              </w:tc>
              <w:tc>
                <w:tcPr>
                  <w:tcW w:w="265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暂存于危废间，定期交由</w:t>
                  </w:r>
                  <w:r>
                    <w:rPr>
                      <w:rFonts w:hint="eastAsia" w:cs="Times New Roman"/>
                      <w:b w:val="0"/>
                      <w:bCs/>
                      <w:sz w:val="21"/>
                      <w:szCs w:val="21"/>
                      <w:highlight w:val="none"/>
                      <w:shd w:val="clear" w:color="auto" w:fill="auto"/>
                      <w:vertAlign w:val="baseline"/>
                      <w:lang w:val="en-US" w:eastAsia="zh-CN"/>
                    </w:rPr>
                    <w:t>濮阳县鑫地生物能源有限公司</w:t>
                  </w:r>
                  <w:r>
                    <w:rPr>
                      <w:rFonts w:hint="default" w:ascii="Times New Roman" w:hAnsi="Times New Roman" w:cs="Times New Roman"/>
                      <w:b w:val="0"/>
                      <w:bCs/>
                      <w:sz w:val="21"/>
                      <w:szCs w:val="21"/>
                      <w:highlight w:val="none"/>
                      <w:shd w:val="clear" w:color="auto" w:fill="auto"/>
                      <w:vertAlign w:val="baseline"/>
                      <w:lang w:val="en-US" w:eastAsia="zh-CN"/>
                    </w:rPr>
                    <w:t>处置</w:t>
                  </w:r>
                </w:p>
              </w:tc>
              <w:tc>
                <w:tcPr>
                  <w:tcW w:w="138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合理处置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0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职工生活</w:t>
                  </w:r>
                </w:p>
              </w:tc>
              <w:tc>
                <w:tcPr>
                  <w:tcW w:w="1695"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生活垃圾</w:t>
                  </w:r>
                </w:p>
              </w:tc>
              <w:tc>
                <w:tcPr>
                  <w:tcW w:w="1200"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1.25/a</w:t>
                  </w:r>
                </w:p>
              </w:tc>
              <w:tc>
                <w:tcPr>
                  <w:tcW w:w="2656"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由垃圾桶收集后交由环卫部门清理</w:t>
                  </w:r>
                </w:p>
              </w:tc>
              <w:tc>
                <w:tcPr>
                  <w:tcW w:w="1388" w:type="dxa"/>
                  <w:vAlign w:val="center"/>
                </w:tcPr>
                <w:p>
                  <w:pPr>
                    <w:adjustRightInd w:val="0"/>
                    <w:snapToGrid w:val="0"/>
                    <w:spacing w:line="240" w:lineRule="auto"/>
                    <w:jc w:val="center"/>
                    <w:rPr>
                      <w:rFonts w:hint="default" w:ascii="Times New Roman" w:hAnsi="Times New Roman" w:cs="Times New Roman"/>
                      <w:b w:val="0"/>
                      <w:bCs/>
                      <w:sz w:val="21"/>
                      <w:szCs w:val="21"/>
                      <w:highlight w:val="none"/>
                      <w:shd w:val="clear" w:color="auto" w:fill="auto"/>
                      <w:vertAlign w:val="baseline"/>
                      <w:lang w:val="en-US" w:eastAsia="zh-CN"/>
                    </w:rPr>
                  </w:pPr>
                  <w:r>
                    <w:rPr>
                      <w:rFonts w:hint="default" w:ascii="Times New Roman" w:hAnsi="Times New Roman" w:cs="Times New Roman"/>
                      <w:b w:val="0"/>
                      <w:bCs/>
                      <w:sz w:val="21"/>
                      <w:szCs w:val="21"/>
                      <w:highlight w:val="none"/>
                      <w:shd w:val="clear" w:color="auto" w:fill="auto"/>
                      <w:vertAlign w:val="baseline"/>
                      <w:lang w:val="en-US" w:eastAsia="zh-CN"/>
                    </w:rPr>
                    <w:t>合理处置</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shd w:val="clear" w:color="auto" w:fill="auto"/>
                <w:lang w:val="en-US" w:eastAsia="zh-CN"/>
              </w:rPr>
            </w:pPr>
            <w:r>
              <w:rPr>
                <w:rFonts w:hint="default" w:ascii="Times New Roman" w:hAnsi="Times New Roman" w:cs="Times New Roman"/>
                <w:b/>
                <w:bCs w:val="0"/>
                <w:sz w:val="24"/>
                <w:szCs w:val="24"/>
                <w:highlight w:val="none"/>
                <w:shd w:val="clear" w:color="auto" w:fill="auto"/>
                <w:lang w:val="en-US" w:eastAsia="zh-CN"/>
              </w:rPr>
              <w:t>3、现有工程存在的环保问题及整改措施</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eastAsia" w:ascii="Times New Roman" w:hAnsi="Times New Roman" w:cs="Times New Roman"/>
                <w:b w:val="0"/>
                <w:bCs/>
                <w:sz w:val="24"/>
                <w:szCs w:val="24"/>
                <w:highlight w:val="none"/>
                <w:shd w:val="clear" w:color="auto" w:fill="auto"/>
                <w:lang w:val="en-US" w:eastAsia="zh-CN"/>
              </w:rPr>
            </w:pPr>
            <w:r>
              <w:rPr>
                <w:rFonts w:hint="eastAsia" w:cs="Times New Roman"/>
                <w:b w:val="0"/>
                <w:bCs/>
                <w:sz w:val="24"/>
                <w:szCs w:val="24"/>
                <w:highlight w:val="none"/>
                <w:shd w:val="clear" w:color="auto" w:fill="auto"/>
                <w:lang w:val="en-US" w:eastAsia="zh-CN"/>
              </w:rPr>
              <w:t>现有工程属于机械零部件加工行业，无废气产生，未参与2021年绩效评级工作。根据现场查看，现有工程存在环保问题及相应整改措施见下表2-11。</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eastAsia" w:ascii="Times New Roman" w:hAnsi="Times New Roman" w:cs="Times New Roman"/>
                <w:b w:val="0"/>
                <w:bCs/>
                <w:sz w:val="24"/>
                <w:szCs w:val="24"/>
                <w:highlight w:val="none"/>
                <w:shd w:val="clear" w:color="auto" w:fill="auto"/>
                <w:lang w:val="en-US" w:eastAsia="zh-CN"/>
              </w:rPr>
            </w:pPr>
            <w:r>
              <w:rPr>
                <w:rFonts w:hint="eastAsia" w:cs="Times New Roman"/>
                <w:b/>
                <w:bCs w:val="0"/>
                <w:sz w:val="24"/>
                <w:szCs w:val="24"/>
                <w:highlight w:val="none"/>
                <w:shd w:val="clear" w:color="auto" w:fill="auto"/>
                <w:lang w:val="en-US" w:eastAsia="zh-CN"/>
              </w:rPr>
              <w:t>表2-11  现有工程存在问题及整改措施一览表</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1"/>
              <w:gridCol w:w="1890"/>
              <w:gridCol w:w="4215"/>
              <w:gridCol w:w="11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1" w:type="dxa"/>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default" w:ascii="Times New Roman" w:hAnsi="Times New Roman" w:cs="Times New Roman"/>
                      <w:b/>
                      <w:bCs w:val="0"/>
                      <w:sz w:val="21"/>
                      <w:szCs w:val="21"/>
                      <w:highlight w:val="none"/>
                      <w:shd w:val="clear" w:color="auto" w:fill="auto"/>
                      <w:vertAlign w:val="baseline"/>
                      <w:lang w:val="en-US" w:eastAsia="zh-CN"/>
                    </w:rPr>
                  </w:pPr>
                  <w:r>
                    <w:rPr>
                      <w:rFonts w:hint="eastAsia" w:cs="Times New Roman"/>
                      <w:b/>
                      <w:bCs w:val="0"/>
                      <w:sz w:val="21"/>
                      <w:szCs w:val="21"/>
                      <w:highlight w:val="none"/>
                      <w:shd w:val="clear" w:color="auto" w:fill="auto"/>
                      <w:vertAlign w:val="baseline"/>
                      <w:lang w:val="en-US" w:eastAsia="zh-CN"/>
                    </w:rPr>
                    <w:t>类别</w:t>
                  </w:r>
                </w:p>
              </w:tc>
              <w:tc>
                <w:tcPr>
                  <w:tcW w:w="1890" w:type="dxa"/>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default" w:ascii="Times New Roman" w:hAnsi="Times New Roman" w:cs="Times New Roman"/>
                      <w:b/>
                      <w:bCs w:val="0"/>
                      <w:sz w:val="21"/>
                      <w:szCs w:val="21"/>
                      <w:highlight w:val="none"/>
                      <w:shd w:val="clear" w:color="auto" w:fill="auto"/>
                      <w:vertAlign w:val="baseline"/>
                      <w:lang w:val="en-US" w:eastAsia="zh-CN"/>
                    </w:rPr>
                  </w:pPr>
                  <w:r>
                    <w:rPr>
                      <w:rFonts w:hint="eastAsia" w:cs="Times New Roman"/>
                      <w:b/>
                      <w:bCs w:val="0"/>
                      <w:sz w:val="21"/>
                      <w:szCs w:val="21"/>
                      <w:highlight w:val="none"/>
                      <w:shd w:val="clear" w:color="auto" w:fill="auto"/>
                      <w:vertAlign w:val="baseline"/>
                      <w:lang w:val="en-US" w:eastAsia="zh-CN"/>
                    </w:rPr>
                    <w:t>存在问题</w:t>
                  </w:r>
                </w:p>
              </w:tc>
              <w:tc>
                <w:tcPr>
                  <w:tcW w:w="4215" w:type="dxa"/>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default" w:ascii="Times New Roman" w:hAnsi="Times New Roman" w:cs="Times New Roman"/>
                      <w:b/>
                      <w:bCs w:val="0"/>
                      <w:sz w:val="21"/>
                      <w:szCs w:val="21"/>
                      <w:highlight w:val="none"/>
                      <w:shd w:val="clear" w:color="auto" w:fill="auto"/>
                      <w:vertAlign w:val="baseline"/>
                      <w:lang w:val="en-US" w:eastAsia="zh-CN"/>
                    </w:rPr>
                  </w:pPr>
                  <w:r>
                    <w:rPr>
                      <w:rFonts w:hint="eastAsia" w:cs="Times New Roman"/>
                      <w:b/>
                      <w:bCs w:val="0"/>
                      <w:sz w:val="21"/>
                      <w:szCs w:val="21"/>
                      <w:highlight w:val="none"/>
                      <w:shd w:val="clear" w:color="auto" w:fill="auto"/>
                      <w:vertAlign w:val="baseline"/>
                      <w:lang w:val="en-US" w:eastAsia="zh-CN"/>
                    </w:rPr>
                    <w:t>整改措施</w:t>
                  </w:r>
                </w:p>
              </w:tc>
              <w:tc>
                <w:tcPr>
                  <w:tcW w:w="1176" w:type="dxa"/>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default" w:ascii="Times New Roman" w:hAnsi="Times New Roman" w:cs="Times New Roman"/>
                      <w:b/>
                      <w:bCs w:val="0"/>
                      <w:sz w:val="21"/>
                      <w:szCs w:val="21"/>
                      <w:highlight w:val="none"/>
                      <w:shd w:val="clear" w:color="auto" w:fill="auto"/>
                      <w:vertAlign w:val="baseline"/>
                      <w:lang w:val="en-US" w:eastAsia="zh-CN"/>
                    </w:rPr>
                  </w:pPr>
                  <w:r>
                    <w:rPr>
                      <w:rFonts w:hint="eastAsia" w:cs="Times New Roman"/>
                      <w:b/>
                      <w:bCs w:val="0"/>
                      <w:sz w:val="21"/>
                      <w:szCs w:val="21"/>
                      <w:highlight w:val="none"/>
                      <w:shd w:val="clear" w:color="auto" w:fill="auto"/>
                      <w:vertAlign w:val="baseline"/>
                      <w:lang w:val="en-US" w:eastAsia="zh-CN"/>
                    </w:rPr>
                    <w:t>完成时间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1"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环境</w:t>
                  </w:r>
                </w:p>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管理</w:t>
                  </w:r>
                </w:p>
              </w:tc>
              <w:tc>
                <w:tcPr>
                  <w:tcW w:w="1890"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机加工设备周围存在跑、冒、滴、漏现象</w:t>
                  </w:r>
                </w:p>
              </w:tc>
              <w:tc>
                <w:tcPr>
                  <w:tcW w:w="421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企业加强管理，定期对设备设施检查、维护，制定严格的检修标准、周期和考核标准，落实责任人</w:t>
                  </w:r>
                </w:p>
              </w:tc>
              <w:tc>
                <w:tcPr>
                  <w:tcW w:w="1176"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本项目建成前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1"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p>
              </w:tc>
              <w:tc>
                <w:tcPr>
                  <w:tcW w:w="1890"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乳化液、导轨油等原料放置在危废间内</w:t>
                  </w:r>
                </w:p>
              </w:tc>
              <w:tc>
                <w:tcPr>
                  <w:tcW w:w="4215" w:type="dxa"/>
                  <w:vAlign w:val="center"/>
                </w:tcPr>
                <w:p>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r>
                    <w:rPr>
                      <w:rFonts w:hint="eastAsia" w:cs="Times New Roman"/>
                      <w:b w:val="0"/>
                      <w:bCs/>
                      <w:sz w:val="21"/>
                      <w:szCs w:val="21"/>
                      <w:highlight w:val="none"/>
                      <w:shd w:val="clear" w:color="auto" w:fill="auto"/>
                      <w:vertAlign w:val="baseline"/>
                      <w:lang w:val="en-US" w:eastAsia="zh-CN"/>
                    </w:rPr>
                    <w:t>严格规范危废间管理制度，责任到人。原辅料划定区域单独存放，严禁将两者混放。</w:t>
                  </w:r>
                  <w:r>
                    <w:rPr>
                      <w:rFonts w:hint="eastAsia" w:cs="Times New Roman"/>
                      <w:b w:val="0"/>
                      <w:bCs/>
                      <w:sz w:val="21"/>
                      <w:szCs w:val="21"/>
                      <w:highlight w:val="none"/>
                      <w:shd w:val="clear" w:color="auto" w:fill="auto"/>
                      <w:vertAlign w:val="baseline"/>
                      <w:lang w:val="en-US" w:eastAsia="zh-CN"/>
                    </w:rPr>
                    <w:t>危废间只放置更换下来的废液，新液挪出另外放置</w:t>
                  </w:r>
                </w:p>
              </w:tc>
              <w:tc>
                <w:tcPr>
                  <w:tcW w:w="1176" w:type="dxa"/>
                  <w:vMerge w:val="continue"/>
                  <w:vAlign w:val="center"/>
                </w:tcPr>
                <w:p>
                  <w:pPr>
                    <w:keepNext w:val="0"/>
                    <w:keepLines w:val="0"/>
                    <w:pageBreakBefore w:val="0"/>
                    <w:widowControl w:val="0"/>
                    <w:kinsoku/>
                    <w:wordWrap/>
                    <w:overflowPunct/>
                    <w:topLinePunct w:val="0"/>
                    <w:autoSpaceDE/>
                    <w:autoSpaceDN/>
                    <w:bidi w:val="0"/>
                    <w:adjustRightInd w:val="0"/>
                    <w:snapToGrid w:val="0"/>
                    <w:spacing w:line="520" w:lineRule="exact"/>
                    <w:jc w:val="center"/>
                    <w:textAlignment w:val="auto"/>
                    <w:rPr>
                      <w:rFonts w:hint="default" w:ascii="Times New Roman" w:hAnsi="Times New Roman" w:cs="Times New Roman"/>
                      <w:b w:val="0"/>
                      <w:bCs/>
                      <w:sz w:val="21"/>
                      <w:szCs w:val="21"/>
                      <w:highlight w:val="none"/>
                      <w:shd w:val="clear" w:color="auto" w:fill="auto"/>
                      <w:vertAlign w:val="baseline"/>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shd w:val="clear" w:color="auto" w:fill="auto"/>
                <w:lang w:val="en-US" w:eastAsia="zh-CN"/>
              </w:rPr>
            </w:pPr>
          </w:p>
        </w:tc>
      </w:tr>
    </w:tbl>
    <w:p>
      <w:pPr>
        <w:pStyle w:val="11"/>
        <w:jc w:val="center"/>
        <w:rPr>
          <w:rFonts w:hint="eastAsia" w:ascii="Times New Roman" w:hAnsi="Times New Roman" w:eastAsia="黑体" w:cs="Times New Roman"/>
          <w:snapToGrid w:val="0"/>
          <w:sz w:val="24"/>
          <w:szCs w:val="24"/>
          <w:highlight w:val="none"/>
          <w:lang w:val="en-US" w:eastAsia="zh-CN"/>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1"/>
        <w:adjustRightInd w:val="0"/>
        <w:snapToGrid w:val="0"/>
        <w:spacing w:before="0" w:beforeAutospacing="0" w:after="0" w:afterAutospacing="0" w:line="14" w:lineRule="auto"/>
        <w:jc w:val="center"/>
        <w:outlineLvl w:val="0"/>
        <w:rPr>
          <w:rFonts w:hint="default" w:ascii="Times New Roman" w:hAnsi="Times New Roman" w:eastAsia="黑体" w:cs="Times New Roman"/>
          <w:snapToGrid w:val="0"/>
          <w:sz w:val="30"/>
          <w:szCs w:val="30"/>
          <w:highlight w:val="none"/>
        </w:rPr>
      </w:pPr>
    </w:p>
    <w:p>
      <w:pPr>
        <w:pStyle w:val="11"/>
        <w:jc w:val="center"/>
        <w:outlineLvl w:val="0"/>
        <w:rPr>
          <w:rFonts w:hint="default" w:ascii="Times New Roman" w:hAnsi="Times New Roman" w:eastAsia="黑体" w:cs="Times New Roman"/>
          <w:snapToGrid w:val="0"/>
          <w:sz w:val="30"/>
          <w:szCs w:val="30"/>
          <w:highlight w:val="none"/>
        </w:rPr>
      </w:pPr>
      <w:r>
        <w:rPr>
          <w:rFonts w:hint="default" w:ascii="Times New Roman" w:hAnsi="Times New Roman" w:eastAsia="黑体" w:cs="Times New Roman"/>
          <w:snapToGrid w:val="0"/>
          <w:sz w:val="30"/>
          <w:szCs w:val="30"/>
          <w:highlight w:val="none"/>
        </w:rPr>
        <w:t>三、区域环境质量现状、环境保护目标及评价标准</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09"/>
        <w:gridCol w:w="848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06" w:hRule="atLeast"/>
          <w:jc w:val="center"/>
        </w:trPr>
        <w:tc>
          <w:tcPr>
            <w:tcW w:w="509" w:type="dxa"/>
            <w:noWrap w:val="0"/>
            <w:vAlign w:val="center"/>
          </w:tcPr>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区域</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环境</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质量</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现状</w:t>
            </w:r>
          </w:p>
        </w:tc>
        <w:tc>
          <w:tcPr>
            <w:tcW w:w="8481" w:type="dxa"/>
            <w:noWrap w:val="0"/>
            <w:vAlign w:val="top"/>
          </w:tcPr>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宋体" w:hAnsi="宋体" w:cs="宋体"/>
                <w:b/>
                <w:bCs w:val="0"/>
                <w:sz w:val="24"/>
                <w:szCs w:val="24"/>
                <w:highlight w:val="none"/>
                <w:lang w:val="en-US" w:eastAsia="zh-CN"/>
              </w:rPr>
            </w:pPr>
            <w:r>
              <w:rPr>
                <w:rFonts w:hint="eastAsia" w:ascii="宋体" w:hAnsi="宋体" w:cs="宋体"/>
                <w:b/>
                <w:bCs w:val="0"/>
                <w:sz w:val="24"/>
                <w:szCs w:val="24"/>
                <w:highlight w:val="none"/>
                <w:lang w:val="en-US" w:eastAsia="zh-CN"/>
              </w:rPr>
              <w:t>1、空气质量现状</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eastAsia" w:ascii="宋体" w:hAnsi="宋体" w:cs="宋体"/>
                <w:b w:val="0"/>
                <w:bCs w:val="0"/>
                <w:kern w:val="0"/>
                <w:sz w:val="24"/>
                <w:szCs w:val="24"/>
                <w:highlight w:val="none"/>
                <w:lang w:val="en-US" w:eastAsia="zh-CN"/>
              </w:rPr>
            </w:pPr>
            <w:r>
              <w:rPr>
                <w:rFonts w:hint="eastAsia" w:ascii="宋体" w:hAnsi="宋体" w:cs="宋体"/>
                <w:b w:val="0"/>
                <w:bCs w:val="0"/>
                <w:kern w:val="0"/>
                <w:sz w:val="24"/>
                <w:szCs w:val="24"/>
                <w:highlight w:val="none"/>
                <w:lang w:val="en-US" w:eastAsia="zh-CN"/>
              </w:rPr>
              <w:t>根据济源市生态环境局公布的《济源示范区2020年生态环境质量状况公报》，2020年济源市区域空气质量现状见表3-1。</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eastAsia" w:ascii="宋体" w:hAnsi="宋体" w:cs="宋体"/>
                <w:b/>
                <w:bCs/>
                <w:kern w:val="0"/>
                <w:sz w:val="24"/>
                <w:szCs w:val="24"/>
                <w:highlight w:val="none"/>
                <w:lang w:val="en-US" w:eastAsia="zh-CN"/>
              </w:rPr>
            </w:pPr>
            <w:r>
              <w:rPr>
                <w:rFonts w:hint="eastAsia" w:ascii="宋体" w:hAnsi="宋体" w:cs="宋体"/>
                <w:b/>
                <w:bCs/>
                <w:kern w:val="0"/>
                <w:sz w:val="24"/>
                <w:szCs w:val="24"/>
                <w:highlight w:val="none"/>
                <w:lang w:val="en-US" w:eastAsia="zh-CN"/>
              </w:rPr>
              <w:t>表3-1  2020年济源市区域空气质量现状评价表</w:t>
            </w:r>
          </w:p>
          <w:tbl>
            <w:tblPr>
              <w:tblStyle w:val="14"/>
              <w:tblW w:w="7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950"/>
              <w:gridCol w:w="1296"/>
              <w:gridCol w:w="1125"/>
              <w:gridCol w:w="1329"/>
              <w:gridCol w:w="13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污染物</w:t>
                  </w:r>
                </w:p>
              </w:tc>
              <w:tc>
                <w:tcPr>
                  <w:tcW w:w="1950" w:type="dxa"/>
                  <w:vAlign w:val="center"/>
                </w:tcPr>
                <w:p>
                  <w:pPr>
                    <w:adjustRightInd w:val="0"/>
                    <w:snapToGrid w:val="0"/>
                    <w:jc w:val="center"/>
                    <w:rPr>
                      <w:rFonts w:hint="default"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年评价指标</w:t>
                  </w:r>
                </w:p>
              </w:tc>
              <w:tc>
                <w:tcPr>
                  <w:tcW w:w="1296" w:type="dxa"/>
                  <w:vAlign w:val="center"/>
                </w:tcPr>
                <w:p>
                  <w:pPr>
                    <w:adjustRightInd w:val="0"/>
                    <w:snapToGrid w:val="0"/>
                    <w:jc w:val="center"/>
                    <w:rPr>
                      <w:rFonts w:hint="default"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现状浓度（</w:t>
                  </w:r>
                  <w:r>
                    <w:rPr>
                      <w:rFonts w:hint="default" w:ascii="Times New Roman" w:hAnsi="Times New Roman" w:cs="Times New Roman"/>
                      <w:b/>
                      <w:bCs/>
                      <w:kern w:val="0"/>
                      <w:sz w:val="21"/>
                      <w:szCs w:val="21"/>
                      <w:highlight w:val="none"/>
                      <w:vertAlign w:val="baseline"/>
                      <w:lang w:val="en-US" w:eastAsia="zh-CN"/>
                    </w:rPr>
                    <w:t>μg/m</w:t>
                  </w:r>
                  <w:r>
                    <w:rPr>
                      <w:rFonts w:hint="default" w:ascii="Times New Roman" w:hAnsi="Times New Roman" w:cs="Times New Roman"/>
                      <w:b/>
                      <w:bCs/>
                      <w:kern w:val="0"/>
                      <w:sz w:val="21"/>
                      <w:szCs w:val="21"/>
                      <w:highlight w:val="none"/>
                      <w:vertAlign w:val="superscript"/>
                      <w:lang w:val="en-US" w:eastAsia="zh-CN"/>
                    </w:rPr>
                    <w:t>3</w:t>
                  </w:r>
                  <w:r>
                    <w:rPr>
                      <w:rFonts w:hint="eastAsia" w:ascii="宋体" w:hAnsi="宋体" w:cs="宋体"/>
                      <w:b/>
                      <w:bCs/>
                      <w:kern w:val="0"/>
                      <w:sz w:val="21"/>
                      <w:szCs w:val="21"/>
                      <w:highlight w:val="none"/>
                      <w:vertAlign w:val="baseline"/>
                      <w:lang w:val="en-US" w:eastAsia="zh-CN"/>
                    </w:rPr>
                    <w:t>）</w:t>
                  </w:r>
                </w:p>
              </w:tc>
              <w:tc>
                <w:tcPr>
                  <w:tcW w:w="1125" w:type="dxa"/>
                  <w:vAlign w:val="center"/>
                </w:tcPr>
                <w:p>
                  <w:pPr>
                    <w:adjustRightInd w:val="0"/>
                    <w:snapToGrid w:val="0"/>
                    <w:jc w:val="center"/>
                    <w:rPr>
                      <w:rFonts w:hint="default"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标准值（</w:t>
                  </w:r>
                  <w:r>
                    <w:rPr>
                      <w:rFonts w:hint="default" w:ascii="Times New Roman" w:hAnsi="Times New Roman" w:cs="Times New Roman"/>
                      <w:b/>
                      <w:bCs/>
                      <w:kern w:val="0"/>
                      <w:sz w:val="21"/>
                      <w:szCs w:val="21"/>
                      <w:highlight w:val="none"/>
                      <w:vertAlign w:val="baseline"/>
                      <w:lang w:val="en-US" w:eastAsia="zh-CN"/>
                    </w:rPr>
                    <w:t>μg/m</w:t>
                  </w:r>
                  <w:r>
                    <w:rPr>
                      <w:rFonts w:hint="default" w:ascii="Times New Roman" w:hAnsi="Times New Roman" w:cs="Times New Roman"/>
                      <w:b/>
                      <w:bCs/>
                      <w:kern w:val="0"/>
                      <w:sz w:val="21"/>
                      <w:szCs w:val="21"/>
                      <w:highlight w:val="none"/>
                      <w:vertAlign w:val="superscript"/>
                      <w:lang w:val="en-US" w:eastAsia="zh-CN"/>
                    </w:rPr>
                    <w:t>3</w:t>
                  </w:r>
                  <w:r>
                    <w:rPr>
                      <w:rFonts w:hint="eastAsia" w:ascii="宋体" w:hAnsi="宋体" w:cs="宋体"/>
                      <w:b/>
                      <w:bCs/>
                      <w:kern w:val="0"/>
                      <w:sz w:val="21"/>
                      <w:szCs w:val="21"/>
                      <w:highlight w:val="none"/>
                      <w:vertAlign w:val="baseline"/>
                      <w:lang w:val="en-US" w:eastAsia="zh-CN"/>
                    </w:rPr>
                    <w:t>）</w:t>
                  </w:r>
                </w:p>
              </w:tc>
              <w:tc>
                <w:tcPr>
                  <w:tcW w:w="1329" w:type="dxa"/>
                  <w:vAlign w:val="center"/>
                </w:tcPr>
                <w:p>
                  <w:pPr>
                    <w:adjustRightInd w:val="0"/>
                    <w:snapToGrid w:val="0"/>
                    <w:jc w:val="center"/>
                    <w:rPr>
                      <w:rFonts w:hint="eastAsia"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占标率</w:t>
                  </w:r>
                </w:p>
                <w:p>
                  <w:pPr>
                    <w:adjustRightInd w:val="0"/>
                    <w:snapToGrid w:val="0"/>
                    <w:jc w:val="center"/>
                    <w:rPr>
                      <w:rFonts w:hint="default"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w:t>
                  </w:r>
                </w:p>
              </w:tc>
              <w:tc>
                <w:tcPr>
                  <w:tcW w:w="1329" w:type="dxa"/>
                  <w:vAlign w:val="center"/>
                </w:tcPr>
                <w:p>
                  <w:pPr>
                    <w:adjustRightInd w:val="0"/>
                    <w:snapToGrid w:val="0"/>
                    <w:jc w:val="center"/>
                    <w:rPr>
                      <w:rFonts w:hint="default" w:ascii="宋体" w:hAnsi="宋体" w:cs="宋体"/>
                      <w:b/>
                      <w:bCs/>
                      <w:kern w:val="0"/>
                      <w:sz w:val="21"/>
                      <w:szCs w:val="21"/>
                      <w:highlight w:val="none"/>
                      <w:vertAlign w:val="baseline"/>
                      <w:lang w:val="en-US" w:eastAsia="zh-CN"/>
                    </w:rPr>
                  </w:pPr>
                  <w:r>
                    <w:rPr>
                      <w:rFonts w:hint="eastAsia" w:ascii="宋体" w:hAnsi="宋体" w:cs="宋体"/>
                      <w:b/>
                      <w:bCs/>
                      <w:kern w:val="0"/>
                      <w:sz w:val="21"/>
                      <w:szCs w:val="21"/>
                      <w:highlight w:val="none"/>
                      <w:vertAlign w:val="baseline"/>
                      <w:lang w:val="en-US" w:eastAsia="zh-CN"/>
                    </w:rPr>
                    <w:t>达标情况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default" w:ascii="Times New Roman" w:hAnsi="Times New Roman" w:cs="Times New Roman"/>
                      <w:b w:val="0"/>
                      <w:bCs w:val="0"/>
                      <w:kern w:val="0"/>
                      <w:sz w:val="21"/>
                      <w:szCs w:val="21"/>
                      <w:highlight w:val="none"/>
                      <w:vertAlign w:val="baseline"/>
                      <w:lang w:val="en-US" w:eastAsia="zh-CN"/>
                    </w:rPr>
                    <w:t>PM</w:t>
                  </w:r>
                  <w:r>
                    <w:rPr>
                      <w:rFonts w:hint="default" w:ascii="Times New Roman" w:hAnsi="Times New Roman" w:cs="Times New Roman"/>
                      <w:b w:val="0"/>
                      <w:bCs w:val="0"/>
                      <w:kern w:val="0"/>
                      <w:sz w:val="21"/>
                      <w:szCs w:val="21"/>
                      <w:highlight w:val="none"/>
                      <w:vertAlign w:val="subscript"/>
                      <w:lang w:val="en-US" w:eastAsia="zh-CN"/>
                    </w:rPr>
                    <w:t>10</w:t>
                  </w:r>
                </w:p>
              </w:tc>
              <w:tc>
                <w:tcPr>
                  <w:tcW w:w="1950"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年平均质量浓度值</w:t>
                  </w:r>
                </w:p>
              </w:tc>
              <w:tc>
                <w:tcPr>
                  <w:tcW w:w="1296"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85</w:t>
                  </w:r>
                </w:p>
              </w:tc>
              <w:tc>
                <w:tcPr>
                  <w:tcW w:w="112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70</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121</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default" w:ascii="Times New Roman" w:hAnsi="Times New Roman" w:cs="Times New Roman"/>
                      <w:b w:val="0"/>
                      <w:bCs w:val="0"/>
                      <w:kern w:val="0"/>
                      <w:sz w:val="21"/>
                      <w:szCs w:val="21"/>
                      <w:highlight w:val="none"/>
                      <w:vertAlign w:val="baseline"/>
                      <w:lang w:val="en-US" w:eastAsia="zh-CN"/>
                    </w:rPr>
                    <w:t>PM</w:t>
                  </w:r>
                  <w:r>
                    <w:rPr>
                      <w:rFonts w:hint="default" w:ascii="Times New Roman" w:hAnsi="Times New Roman" w:cs="Times New Roman"/>
                      <w:b w:val="0"/>
                      <w:bCs w:val="0"/>
                      <w:kern w:val="0"/>
                      <w:sz w:val="21"/>
                      <w:szCs w:val="21"/>
                      <w:highlight w:val="none"/>
                      <w:vertAlign w:val="subscript"/>
                      <w:lang w:val="en-US" w:eastAsia="zh-CN"/>
                    </w:rPr>
                    <w:t>2.5</w:t>
                  </w:r>
                </w:p>
              </w:tc>
              <w:tc>
                <w:tcPr>
                  <w:tcW w:w="1950"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年平均质量浓度值</w:t>
                  </w:r>
                </w:p>
              </w:tc>
              <w:tc>
                <w:tcPr>
                  <w:tcW w:w="1296"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54</w:t>
                  </w:r>
                </w:p>
              </w:tc>
              <w:tc>
                <w:tcPr>
                  <w:tcW w:w="112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35</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154</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超标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Times New Roman" w:hAnsi="Times New Roman" w:cs="Times New Roman"/>
                      <w:b w:val="0"/>
                      <w:bCs w:val="0"/>
                      <w:kern w:val="0"/>
                      <w:sz w:val="21"/>
                      <w:szCs w:val="21"/>
                      <w:highlight w:val="none"/>
                      <w:vertAlign w:val="subscript"/>
                      <w:lang w:val="en-US" w:eastAsia="zh-CN"/>
                    </w:rPr>
                  </w:pPr>
                  <w:r>
                    <w:rPr>
                      <w:rFonts w:hint="default" w:ascii="Times New Roman" w:hAnsi="Times New Roman" w:cs="Times New Roman"/>
                      <w:b w:val="0"/>
                      <w:bCs w:val="0"/>
                      <w:kern w:val="0"/>
                      <w:sz w:val="21"/>
                      <w:szCs w:val="21"/>
                      <w:highlight w:val="none"/>
                      <w:vertAlign w:val="baseline"/>
                      <w:lang w:val="en-US" w:eastAsia="zh-CN"/>
                    </w:rPr>
                    <w:t>SO</w:t>
                  </w:r>
                  <w:r>
                    <w:rPr>
                      <w:rFonts w:hint="default" w:ascii="Times New Roman" w:hAnsi="Times New Roman" w:cs="Times New Roman"/>
                      <w:b w:val="0"/>
                      <w:bCs w:val="0"/>
                      <w:kern w:val="0"/>
                      <w:sz w:val="21"/>
                      <w:szCs w:val="21"/>
                      <w:highlight w:val="none"/>
                      <w:vertAlign w:val="subscript"/>
                      <w:lang w:val="en-US" w:eastAsia="zh-CN"/>
                    </w:rPr>
                    <w:t>2</w:t>
                  </w:r>
                </w:p>
              </w:tc>
              <w:tc>
                <w:tcPr>
                  <w:tcW w:w="1950"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年平均质量浓度值</w:t>
                  </w:r>
                </w:p>
              </w:tc>
              <w:tc>
                <w:tcPr>
                  <w:tcW w:w="1296"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13</w:t>
                  </w:r>
                </w:p>
              </w:tc>
              <w:tc>
                <w:tcPr>
                  <w:tcW w:w="112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60</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22</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Times New Roman" w:hAnsi="Times New Roman" w:cs="Times New Roman"/>
                      <w:b w:val="0"/>
                      <w:bCs w:val="0"/>
                      <w:kern w:val="0"/>
                      <w:sz w:val="21"/>
                      <w:szCs w:val="21"/>
                      <w:highlight w:val="none"/>
                      <w:vertAlign w:val="subscript"/>
                      <w:lang w:val="en-US" w:eastAsia="zh-CN"/>
                    </w:rPr>
                  </w:pPr>
                  <w:r>
                    <w:rPr>
                      <w:rFonts w:hint="default" w:ascii="Times New Roman" w:hAnsi="Times New Roman" w:cs="Times New Roman"/>
                      <w:b w:val="0"/>
                      <w:bCs w:val="0"/>
                      <w:kern w:val="0"/>
                      <w:sz w:val="21"/>
                      <w:szCs w:val="21"/>
                      <w:highlight w:val="none"/>
                      <w:vertAlign w:val="baseline"/>
                      <w:lang w:val="en-US" w:eastAsia="zh-CN"/>
                    </w:rPr>
                    <w:t>NO</w:t>
                  </w:r>
                  <w:r>
                    <w:rPr>
                      <w:rFonts w:hint="default" w:ascii="Times New Roman" w:hAnsi="Times New Roman" w:cs="Times New Roman"/>
                      <w:b w:val="0"/>
                      <w:bCs w:val="0"/>
                      <w:kern w:val="0"/>
                      <w:sz w:val="21"/>
                      <w:szCs w:val="21"/>
                      <w:highlight w:val="none"/>
                      <w:vertAlign w:val="subscript"/>
                      <w:lang w:val="en-US" w:eastAsia="zh-CN"/>
                    </w:rPr>
                    <w:t>2</w:t>
                  </w:r>
                </w:p>
              </w:tc>
              <w:tc>
                <w:tcPr>
                  <w:tcW w:w="1950"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年平均质量浓度值</w:t>
                  </w:r>
                </w:p>
              </w:tc>
              <w:tc>
                <w:tcPr>
                  <w:tcW w:w="1296"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34</w:t>
                  </w:r>
                </w:p>
              </w:tc>
              <w:tc>
                <w:tcPr>
                  <w:tcW w:w="112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40</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85</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default" w:ascii="Times New Roman" w:hAnsi="Times New Roman" w:cs="Times New Roman"/>
                      <w:b w:val="0"/>
                      <w:bCs w:val="0"/>
                      <w:kern w:val="0"/>
                      <w:sz w:val="21"/>
                      <w:szCs w:val="21"/>
                      <w:highlight w:val="none"/>
                      <w:vertAlign w:val="baseline"/>
                      <w:lang w:val="en-US" w:eastAsia="zh-CN"/>
                    </w:rPr>
                    <w:t>CO</w:t>
                  </w:r>
                </w:p>
              </w:tc>
              <w:tc>
                <w:tcPr>
                  <w:tcW w:w="1950"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年平均质量浓度值</w:t>
                  </w:r>
                </w:p>
              </w:tc>
              <w:tc>
                <w:tcPr>
                  <w:tcW w:w="1296"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2</w:t>
                  </w:r>
                </w:p>
              </w:tc>
              <w:tc>
                <w:tcPr>
                  <w:tcW w:w="112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4</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50</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45" w:type="dxa"/>
                  <w:vAlign w:val="center"/>
                </w:tcPr>
                <w:p>
                  <w:pPr>
                    <w:adjustRightInd w:val="0"/>
                    <w:snapToGrid w:val="0"/>
                    <w:jc w:val="center"/>
                    <w:rPr>
                      <w:rFonts w:hint="default" w:ascii="Times New Roman" w:hAnsi="Times New Roman" w:cs="Times New Roman"/>
                      <w:b w:val="0"/>
                      <w:bCs w:val="0"/>
                      <w:kern w:val="0"/>
                      <w:sz w:val="21"/>
                      <w:szCs w:val="21"/>
                      <w:highlight w:val="none"/>
                      <w:vertAlign w:val="subscript"/>
                      <w:lang w:val="en-US" w:eastAsia="zh-CN"/>
                    </w:rPr>
                  </w:pPr>
                  <w:r>
                    <w:rPr>
                      <w:rFonts w:hint="default" w:ascii="Times New Roman" w:hAnsi="Times New Roman" w:cs="Times New Roman"/>
                      <w:b w:val="0"/>
                      <w:bCs w:val="0"/>
                      <w:kern w:val="0"/>
                      <w:sz w:val="21"/>
                      <w:szCs w:val="21"/>
                      <w:highlight w:val="none"/>
                      <w:vertAlign w:val="baseline"/>
                      <w:lang w:val="en-US" w:eastAsia="zh-CN"/>
                    </w:rPr>
                    <w:t>O</w:t>
                  </w:r>
                  <w:r>
                    <w:rPr>
                      <w:rFonts w:hint="default" w:ascii="Times New Roman" w:hAnsi="Times New Roman" w:cs="Times New Roman"/>
                      <w:b w:val="0"/>
                      <w:bCs w:val="0"/>
                      <w:kern w:val="0"/>
                      <w:sz w:val="21"/>
                      <w:szCs w:val="21"/>
                      <w:highlight w:val="none"/>
                      <w:vertAlign w:val="subscript"/>
                      <w:lang w:val="en-US" w:eastAsia="zh-CN"/>
                    </w:rPr>
                    <w:t>3</w:t>
                  </w:r>
                </w:p>
              </w:tc>
              <w:tc>
                <w:tcPr>
                  <w:tcW w:w="1950"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年平均质量浓度值</w:t>
                  </w:r>
                </w:p>
              </w:tc>
              <w:tc>
                <w:tcPr>
                  <w:tcW w:w="1296"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172</w:t>
                  </w:r>
                </w:p>
              </w:tc>
              <w:tc>
                <w:tcPr>
                  <w:tcW w:w="1125"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160</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107.5</w:t>
                  </w:r>
                </w:p>
              </w:tc>
              <w:tc>
                <w:tcPr>
                  <w:tcW w:w="1329" w:type="dxa"/>
                  <w:vAlign w:val="center"/>
                </w:tcPr>
                <w:p>
                  <w:pPr>
                    <w:adjustRightInd w:val="0"/>
                    <w:snapToGrid w:val="0"/>
                    <w:jc w:val="center"/>
                    <w:rPr>
                      <w:rFonts w:hint="default" w:ascii="Times New Roman" w:hAnsi="Times New Roman" w:cs="Times New Roman"/>
                      <w:b w:val="0"/>
                      <w:bCs w:val="0"/>
                      <w:kern w:val="0"/>
                      <w:sz w:val="21"/>
                      <w:szCs w:val="21"/>
                      <w:highlight w:val="none"/>
                      <w:vertAlign w:val="baseline"/>
                      <w:lang w:val="en-US" w:eastAsia="zh-CN"/>
                    </w:rPr>
                  </w:pPr>
                  <w:r>
                    <w:rPr>
                      <w:rFonts w:hint="eastAsia" w:ascii="Times New Roman" w:hAnsi="Times New Roman" w:cs="Times New Roman"/>
                      <w:b w:val="0"/>
                      <w:bCs w:val="0"/>
                      <w:kern w:val="0"/>
                      <w:sz w:val="21"/>
                      <w:szCs w:val="21"/>
                      <w:highlight w:val="none"/>
                      <w:vertAlign w:val="baseline"/>
                      <w:lang w:val="en-US" w:eastAsia="zh-CN"/>
                    </w:rPr>
                    <w:t>超标</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eastAsia" w:ascii="宋体" w:hAnsi="宋体" w:cs="宋体"/>
                <w:b w:val="0"/>
                <w:bCs w:val="0"/>
                <w:kern w:val="0"/>
                <w:sz w:val="24"/>
                <w:szCs w:val="24"/>
                <w:highlight w:val="none"/>
                <w:vertAlign w:val="baseline"/>
                <w:lang w:val="en-US" w:eastAsia="zh-CN"/>
              </w:rPr>
            </w:pPr>
            <w:r>
              <w:rPr>
                <w:rFonts w:hint="eastAsia" w:ascii="宋体" w:hAnsi="宋体" w:cs="宋体"/>
                <w:b w:val="0"/>
                <w:bCs w:val="0"/>
                <w:kern w:val="0"/>
                <w:sz w:val="24"/>
                <w:szCs w:val="24"/>
                <w:highlight w:val="none"/>
                <w:lang w:val="en-US" w:eastAsia="zh-CN"/>
              </w:rPr>
              <w:t>注：CO单位为mg/m</w:t>
            </w:r>
            <w:r>
              <w:rPr>
                <w:rFonts w:hint="eastAsia" w:ascii="宋体" w:hAnsi="宋体" w:cs="宋体"/>
                <w:b w:val="0"/>
                <w:bCs w:val="0"/>
                <w:kern w:val="0"/>
                <w:sz w:val="24"/>
                <w:szCs w:val="24"/>
                <w:highlight w:val="none"/>
                <w:vertAlign w:val="superscript"/>
                <w:lang w:val="en-US" w:eastAsia="zh-CN"/>
              </w:rPr>
              <w:t>3</w:t>
            </w:r>
            <w:r>
              <w:rPr>
                <w:rFonts w:hint="eastAsia" w:ascii="宋体" w:hAnsi="宋体" w:cs="宋体"/>
                <w:b w:val="0"/>
                <w:bCs w:val="0"/>
                <w:kern w:val="0"/>
                <w:sz w:val="24"/>
                <w:szCs w:val="24"/>
                <w:highlight w:val="none"/>
                <w:vertAlign w:val="baseli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eastAsia" w:cs="Times New Roman"/>
                <w:b w:val="0"/>
                <w:bCs w:val="0"/>
                <w:kern w:val="0"/>
                <w:sz w:val="24"/>
                <w:szCs w:val="24"/>
                <w:highlight w:val="none"/>
                <w:vertAlign w:val="baseline"/>
                <w:lang w:val="en-US" w:eastAsia="zh-CN"/>
              </w:rPr>
            </w:pPr>
            <w:r>
              <w:rPr>
                <w:rFonts w:hint="eastAsia" w:ascii="宋体" w:hAnsi="宋体" w:cs="宋体"/>
                <w:b w:val="0"/>
                <w:bCs w:val="0"/>
                <w:kern w:val="0"/>
                <w:sz w:val="24"/>
                <w:szCs w:val="24"/>
                <w:highlight w:val="none"/>
                <w:vertAlign w:val="baseline"/>
                <w:lang w:val="en-US" w:eastAsia="zh-CN"/>
              </w:rPr>
              <w:t>由上表看出，济源市区域</w:t>
            </w:r>
            <w:r>
              <w:rPr>
                <w:rFonts w:hint="default" w:ascii="Times New Roman" w:hAnsi="Times New Roman" w:cs="Times New Roman"/>
                <w:b w:val="0"/>
                <w:bCs w:val="0"/>
                <w:kern w:val="0"/>
                <w:sz w:val="21"/>
                <w:szCs w:val="21"/>
                <w:highlight w:val="none"/>
                <w:vertAlign w:val="baseline"/>
                <w:lang w:val="en-US" w:eastAsia="zh-CN"/>
              </w:rPr>
              <w:t>PM</w:t>
            </w:r>
            <w:r>
              <w:rPr>
                <w:rFonts w:hint="default" w:ascii="Times New Roman" w:hAnsi="Times New Roman" w:cs="Times New Roman"/>
                <w:b w:val="0"/>
                <w:bCs w:val="0"/>
                <w:kern w:val="0"/>
                <w:sz w:val="21"/>
                <w:szCs w:val="21"/>
                <w:highlight w:val="none"/>
                <w:vertAlign w:val="subscript"/>
                <w:lang w:val="en-US" w:eastAsia="zh-CN"/>
              </w:rPr>
              <w:t>10</w:t>
            </w:r>
            <w:r>
              <w:rPr>
                <w:rFonts w:hint="eastAsia" w:cs="Times New Roman"/>
                <w:b w:val="0"/>
                <w:bCs w:val="0"/>
                <w:kern w:val="0"/>
                <w:sz w:val="21"/>
                <w:szCs w:val="21"/>
                <w:highlight w:val="none"/>
                <w:vertAlign w:val="baseline"/>
                <w:lang w:val="en-US" w:eastAsia="zh-CN"/>
              </w:rPr>
              <w:t>、</w:t>
            </w:r>
            <w:r>
              <w:rPr>
                <w:rFonts w:hint="default" w:ascii="Times New Roman" w:hAnsi="Times New Roman" w:cs="Times New Roman"/>
                <w:b w:val="0"/>
                <w:bCs w:val="0"/>
                <w:kern w:val="0"/>
                <w:sz w:val="21"/>
                <w:szCs w:val="21"/>
                <w:highlight w:val="none"/>
                <w:vertAlign w:val="baseline"/>
                <w:lang w:val="en-US" w:eastAsia="zh-CN"/>
              </w:rPr>
              <w:t>PM</w:t>
            </w:r>
            <w:r>
              <w:rPr>
                <w:rFonts w:hint="default" w:ascii="Times New Roman" w:hAnsi="Times New Roman" w:cs="Times New Roman"/>
                <w:b w:val="0"/>
                <w:bCs w:val="0"/>
                <w:kern w:val="0"/>
                <w:sz w:val="21"/>
                <w:szCs w:val="21"/>
                <w:highlight w:val="none"/>
                <w:vertAlign w:val="subscript"/>
                <w:lang w:val="en-US" w:eastAsia="zh-CN"/>
              </w:rPr>
              <w:t>2.5</w:t>
            </w:r>
            <w:r>
              <w:rPr>
                <w:rFonts w:hint="eastAsia" w:cs="Times New Roman"/>
                <w:b w:val="0"/>
                <w:bCs w:val="0"/>
                <w:kern w:val="0"/>
                <w:sz w:val="21"/>
                <w:szCs w:val="21"/>
                <w:highlight w:val="none"/>
                <w:vertAlign w:val="baseline"/>
                <w:lang w:val="en-US" w:eastAsia="zh-CN"/>
              </w:rPr>
              <w:t>、</w:t>
            </w:r>
            <w:r>
              <w:rPr>
                <w:rFonts w:hint="default" w:ascii="Times New Roman" w:hAnsi="Times New Roman" w:cs="Times New Roman"/>
                <w:b w:val="0"/>
                <w:bCs w:val="0"/>
                <w:kern w:val="0"/>
                <w:sz w:val="21"/>
                <w:szCs w:val="21"/>
                <w:highlight w:val="none"/>
                <w:vertAlign w:val="baseline"/>
                <w:lang w:val="en-US" w:eastAsia="zh-CN"/>
              </w:rPr>
              <w:t>O</w:t>
            </w:r>
            <w:r>
              <w:rPr>
                <w:rFonts w:hint="default" w:ascii="Times New Roman" w:hAnsi="Times New Roman" w:cs="Times New Roman"/>
                <w:b w:val="0"/>
                <w:bCs w:val="0"/>
                <w:kern w:val="0"/>
                <w:sz w:val="21"/>
                <w:szCs w:val="21"/>
                <w:highlight w:val="none"/>
                <w:vertAlign w:val="subscript"/>
                <w:lang w:val="en-US" w:eastAsia="zh-CN"/>
              </w:rPr>
              <w:t>3</w:t>
            </w:r>
            <w:r>
              <w:rPr>
                <w:rFonts w:hint="eastAsia" w:cs="Times New Roman"/>
                <w:b w:val="0"/>
                <w:bCs w:val="0"/>
                <w:kern w:val="0"/>
                <w:sz w:val="24"/>
                <w:szCs w:val="24"/>
                <w:highlight w:val="none"/>
                <w:vertAlign w:val="baseline"/>
                <w:lang w:val="en-US" w:eastAsia="zh-CN"/>
              </w:rPr>
              <w:t>评价指标超标，</w:t>
            </w:r>
            <w:r>
              <w:rPr>
                <w:rFonts w:hint="default" w:ascii="Times New Roman" w:hAnsi="Times New Roman" w:cs="Times New Roman"/>
                <w:b w:val="0"/>
                <w:bCs w:val="0"/>
                <w:kern w:val="0"/>
                <w:sz w:val="21"/>
                <w:szCs w:val="21"/>
                <w:highlight w:val="none"/>
                <w:vertAlign w:val="baseline"/>
                <w:lang w:val="en-US" w:eastAsia="zh-CN"/>
              </w:rPr>
              <w:t>SO</w:t>
            </w:r>
            <w:r>
              <w:rPr>
                <w:rFonts w:hint="default" w:ascii="Times New Roman" w:hAnsi="Times New Roman" w:cs="Times New Roman"/>
                <w:b w:val="0"/>
                <w:bCs w:val="0"/>
                <w:kern w:val="0"/>
                <w:sz w:val="21"/>
                <w:szCs w:val="21"/>
                <w:highlight w:val="none"/>
                <w:vertAlign w:val="subscript"/>
                <w:lang w:val="en-US" w:eastAsia="zh-CN"/>
              </w:rPr>
              <w:t>2</w:t>
            </w:r>
            <w:r>
              <w:rPr>
                <w:rFonts w:hint="eastAsia" w:cs="Times New Roman"/>
                <w:b w:val="0"/>
                <w:bCs w:val="0"/>
                <w:kern w:val="0"/>
                <w:sz w:val="21"/>
                <w:szCs w:val="21"/>
                <w:highlight w:val="none"/>
                <w:vertAlign w:val="baseline"/>
                <w:lang w:val="en-US" w:eastAsia="zh-CN"/>
              </w:rPr>
              <w:t>、</w:t>
            </w:r>
            <w:r>
              <w:rPr>
                <w:rFonts w:hint="default" w:ascii="Times New Roman" w:hAnsi="Times New Roman" w:cs="Times New Roman"/>
                <w:b w:val="0"/>
                <w:bCs w:val="0"/>
                <w:kern w:val="0"/>
                <w:sz w:val="21"/>
                <w:szCs w:val="21"/>
                <w:highlight w:val="none"/>
                <w:vertAlign w:val="baseline"/>
                <w:lang w:val="en-US" w:eastAsia="zh-CN"/>
              </w:rPr>
              <w:t>NO</w:t>
            </w:r>
            <w:r>
              <w:rPr>
                <w:rFonts w:hint="default" w:ascii="Times New Roman" w:hAnsi="Times New Roman" w:cs="Times New Roman"/>
                <w:b w:val="0"/>
                <w:bCs w:val="0"/>
                <w:kern w:val="0"/>
                <w:sz w:val="21"/>
                <w:szCs w:val="21"/>
                <w:highlight w:val="none"/>
                <w:vertAlign w:val="subscript"/>
                <w:lang w:val="en-US" w:eastAsia="zh-CN"/>
              </w:rPr>
              <w:t>2</w:t>
            </w:r>
            <w:r>
              <w:rPr>
                <w:rFonts w:hint="eastAsia" w:cs="Times New Roman"/>
                <w:b w:val="0"/>
                <w:bCs w:val="0"/>
                <w:kern w:val="0"/>
                <w:sz w:val="21"/>
                <w:szCs w:val="21"/>
                <w:highlight w:val="none"/>
                <w:vertAlign w:val="baseline"/>
                <w:lang w:val="en-US" w:eastAsia="zh-CN"/>
              </w:rPr>
              <w:t>、</w:t>
            </w:r>
            <w:r>
              <w:rPr>
                <w:rFonts w:hint="default" w:ascii="Times New Roman" w:hAnsi="Times New Roman" w:cs="Times New Roman"/>
                <w:b w:val="0"/>
                <w:bCs w:val="0"/>
                <w:kern w:val="0"/>
                <w:sz w:val="21"/>
                <w:szCs w:val="21"/>
                <w:highlight w:val="none"/>
                <w:vertAlign w:val="baseline"/>
                <w:lang w:val="en-US" w:eastAsia="zh-CN"/>
              </w:rPr>
              <w:t>CO</w:t>
            </w:r>
            <w:r>
              <w:rPr>
                <w:rFonts w:hint="eastAsia" w:cs="Times New Roman"/>
                <w:b w:val="0"/>
                <w:bCs w:val="0"/>
                <w:kern w:val="0"/>
                <w:sz w:val="24"/>
                <w:szCs w:val="24"/>
                <w:highlight w:val="none"/>
                <w:vertAlign w:val="baseline"/>
                <w:lang w:val="en-US" w:eastAsia="zh-CN"/>
              </w:rPr>
              <w:t>评价指标达标，总体评价属于不达标区。</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eastAsia" w:ascii="宋体" w:hAnsi="宋体" w:cs="宋体"/>
                <w:b/>
                <w:bCs w:val="0"/>
                <w:sz w:val="24"/>
                <w:szCs w:val="24"/>
                <w:highlight w:val="none"/>
                <w:lang w:val="en-US" w:eastAsia="zh-CN"/>
              </w:rPr>
            </w:pPr>
            <w:r>
              <w:rPr>
                <w:rFonts w:hint="eastAsia" w:ascii="宋体" w:hAnsi="宋体" w:cs="宋体"/>
                <w:b/>
                <w:bCs w:val="0"/>
                <w:sz w:val="24"/>
                <w:szCs w:val="24"/>
                <w:highlight w:val="none"/>
                <w:lang w:val="en-US" w:eastAsia="zh-CN"/>
              </w:rPr>
              <w:t>2、水环境质量现状</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eastAsia" w:ascii="宋体" w:hAnsi="宋体" w:cs="宋体"/>
                <w:b w:val="0"/>
                <w:bCs/>
                <w:sz w:val="24"/>
                <w:szCs w:val="24"/>
                <w:highlight w:val="none"/>
                <w:lang w:val="en-US" w:eastAsia="zh-CN"/>
              </w:rPr>
            </w:pPr>
            <w:r>
              <w:rPr>
                <w:rFonts w:hint="eastAsia" w:ascii="宋体" w:hAnsi="宋体" w:cs="宋体"/>
                <w:b w:val="0"/>
                <w:bCs/>
                <w:sz w:val="24"/>
                <w:szCs w:val="24"/>
                <w:highlight w:val="none"/>
                <w:lang w:val="en-US" w:eastAsia="zh-CN"/>
              </w:rPr>
              <w:t>项目无生产废水产生，员工产生的生活污水进入济源市城市污水处理厂处理，处理达标后排入蟒河，所以本项目评价参考蟒河南官庄断面的地表水监测数据，其监测结果数据统计见表3-2。</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eastAsia" w:ascii="宋体" w:hAnsi="宋体" w:cs="宋体"/>
                <w:b/>
                <w:bCs w:val="0"/>
                <w:sz w:val="24"/>
                <w:szCs w:val="24"/>
                <w:highlight w:val="none"/>
                <w:lang w:val="en-US" w:eastAsia="zh-CN"/>
              </w:rPr>
            </w:pPr>
            <w:r>
              <w:rPr>
                <w:rFonts w:hint="eastAsia" w:ascii="宋体" w:hAnsi="宋体" w:cs="宋体"/>
                <w:b/>
                <w:bCs w:val="0"/>
                <w:sz w:val="24"/>
                <w:szCs w:val="24"/>
                <w:highlight w:val="none"/>
                <w:lang w:val="en-US" w:eastAsia="zh-CN"/>
              </w:rPr>
              <w:t>表3-2  蟒河南官庄断面地表水监测数据</w:t>
            </w:r>
          </w:p>
          <w:tbl>
            <w:tblPr>
              <w:tblStyle w:val="14"/>
              <w:tblW w:w="7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94"/>
              <w:gridCol w:w="1942"/>
              <w:gridCol w:w="1248"/>
              <w:gridCol w:w="1595"/>
              <w:gridCol w:w="15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Align w:val="center"/>
                </w:tcPr>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点位</w:t>
                  </w:r>
                </w:p>
              </w:tc>
              <w:tc>
                <w:tcPr>
                  <w:tcW w:w="1942" w:type="dxa"/>
                  <w:vAlign w:val="center"/>
                </w:tcPr>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时间</w:t>
                  </w:r>
                </w:p>
              </w:tc>
              <w:tc>
                <w:tcPr>
                  <w:tcW w:w="1248" w:type="dxa"/>
                  <w:vAlign w:val="center"/>
                </w:tcPr>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COD（mg/L）</w:t>
                  </w:r>
                </w:p>
              </w:tc>
              <w:tc>
                <w:tcPr>
                  <w:tcW w:w="1595" w:type="dxa"/>
                  <w:vAlign w:val="center"/>
                </w:tcPr>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氨氮（mg/L）</w:t>
                  </w:r>
                </w:p>
              </w:tc>
              <w:tc>
                <w:tcPr>
                  <w:tcW w:w="1595" w:type="dxa"/>
                  <w:vAlign w:val="center"/>
                </w:tcPr>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总磷（mg/L）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restart"/>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蟒河南官庄断面</w:t>
                  </w: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2020年1月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12</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0.29</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2020年2月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15.92</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0.69</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2020年3月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0.54</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2020年4月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16</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1.13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2020年5月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16</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2020年6月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22</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0.15</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2020年7月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22</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0.16</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2020年8月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16</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0.22</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2020年9月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25</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0.53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2020年10月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28</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2020年11月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17</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0.12</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94" w:type="dxa"/>
                  <w:vMerge w:val="continue"/>
                  <w:vAlign w:val="center"/>
                </w:tcPr>
                <w:p>
                  <w:pPr>
                    <w:adjustRightInd w:val="0"/>
                    <w:snapToGrid w:val="0"/>
                    <w:jc w:val="center"/>
                    <w:rPr>
                      <w:rFonts w:hint="default" w:ascii="宋体" w:hAnsi="宋体" w:cs="宋体"/>
                      <w:b w:val="0"/>
                      <w:bCs/>
                      <w:sz w:val="21"/>
                      <w:szCs w:val="21"/>
                      <w:highlight w:val="none"/>
                      <w:vertAlign w:val="baseline"/>
                      <w:lang w:val="en-US" w:eastAsia="zh-CN"/>
                    </w:rPr>
                  </w:pPr>
                </w:p>
              </w:tc>
              <w:tc>
                <w:tcPr>
                  <w:tcW w:w="1942"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2020年12月</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18</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0.26</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36" w:type="dxa"/>
                  <w:gridSpan w:val="2"/>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评价标准（GB3838—2002）III类</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≤20</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≤1.0</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36" w:type="dxa"/>
                  <w:gridSpan w:val="2"/>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超标率%</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33.3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8.3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33.3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536" w:type="dxa"/>
                  <w:gridSpan w:val="2"/>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最大超标倍数</w:t>
                  </w:r>
                </w:p>
              </w:tc>
              <w:tc>
                <w:tcPr>
                  <w:tcW w:w="1248"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0.4</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0.13</w:t>
                  </w:r>
                </w:p>
              </w:tc>
              <w:tc>
                <w:tcPr>
                  <w:tcW w:w="1595"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2.6</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eastAsia" w:ascii="宋体" w:hAnsi="宋体" w:cs="宋体"/>
                <w:b w:val="0"/>
                <w:bCs/>
                <w:sz w:val="24"/>
                <w:szCs w:val="24"/>
                <w:highlight w:val="none"/>
                <w:lang w:val="en-US" w:eastAsia="zh-CN"/>
              </w:rPr>
            </w:pPr>
            <w:r>
              <w:rPr>
                <w:rFonts w:hint="eastAsia" w:ascii="宋体" w:hAnsi="宋体" w:cs="宋体"/>
                <w:b w:val="0"/>
                <w:bCs/>
                <w:sz w:val="24"/>
                <w:szCs w:val="24"/>
                <w:highlight w:val="none"/>
                <w:lang w:val="en-US" w:eastAsia="zh-CN"/>
              </w:rPr>
              <w:t>由上表监测数据显示，蟒河南官庄断面水质检测因子中，COD、氨氮、总磷均出现超标现象，不满足《地表水环境质量标准》（GB3838—2002）III类标准要求，超标原因归结于蟒河上游长期接纳济源市生活污水、工业废水等。</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default" w:ascii="宋体" w:hAnsi="宋体" w:cs="宋体"/>
                <w:b w:val="0"/>
                <w:bCs/>
                <w:sz w:val="24"/>
                <w:szCs w:val="24"/>
                <w:highlight w:val="none"/>
                <w:lang w:val="en-US" w:eastAsia="zh-CN"/>
              </w:rPr>
            </w:pPr>
            <w:r>
              <w:rPr>
                <w:rFonts w:hint="eastAsia" w:ascii="宋体" w:hAnsi="宋体" w:cs="宋体"/>
                <w:b w:val="0"/>
                <w:bCs/>
                <w:sz w:val="24"/>
                <w:szCs w:val="24"/>
                <w:highlight w:val="none"/>
                <w:lang w:val="en-US" w:eastAsia="zh-CN"/>
              </w:rPr>
              <w:t>目前，济源市推动实施《济源产城融合示范区2021年水污染防治攻坚战实施方案》措施，逐步改善济源市地表水环境质量。</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both"/>
              <w:textAlignment w:val="auto"/>
              <w:rPr>
                <w:rFonts w:hint="default" w:ascii="Times New Roman" w:hAnsi="Times New Roman" w:cs="Times New Roman"/>
                <w:b/>
                <w:bCs/>
                <w:kern w:val="0"/>
                <w:sz w:val="24"/>
                <w:szCs w:val="24"/>
                <w:highlight w:val="none"/>
                <w:lang w:val="en-US" w:eastAsia="zh-CN"/>
              </w:rPr>
            </w:pPr>
            <w:r>
              <w:rPr>
                <w:rFonts w:hint="default" w:ascii="Times New Roman" w:hAnsi="Times New Roman" w:cs="Times New Roman"/>
                <w:b/>
                <w:bCs/>
                <w:kern w:val="0"/>
                <w:sz w:val="24"/>
                <w:szCs w:val="24"/>
                <w:highlight w:val="none"/>
                <w:lang w:val="en-US" w:eastAsia="zh-CN"/>
              </w:rPr>
              <w:t>3、声环境质量现状</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宋体" w:hAnsi="宋体" w:cs="宋体"/>
                <w:b w:val="0"/>
                <w:bCs/>
                <w:sz w:val="24"/>
                <w:szCs w:val="24"/>
                <w:highlight w:val="none"/>
                <w:lang w:val="en-US" w:eastAsia="zh-CN"/>
              </w:rPr>
            </w:pPr>
            <w:r>
              <w:rPr>
                <w:rFonts w:hint="eastAsia" w:ascii="宋体" w:hAnsi="宋体" w:cs="宋体"/>
                <w:b w:val="0"/>
                <w:bCs/>
                <w:sz w:val="24"/>
                <w:szCs w:val="24"/>
                <w:highlight w:val="none"/>
                <w:lang w:val="en-US" w:eastAsia="zh-CN"/>
              </w:rPr>
              <w:t>为了了解项目所在区域声环境质量现状，河南省科龙环境工程有限公司于2022年3月4日对项目南厂界（其余厂界与其他企业共用）昼夜间噪声进行了监测，监测结果见表3-3。</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eastAsia" w:ascii="宋体" w:hAnsi="宋体" w:cs="宋体"/>
                <w:b/>
                <w:bCs w:val="0"/>
                <w:sz w:val="24"/>
                <w:szCs w:val="24"/>
                <w:highlight w:val="none"/>
                <w:lang w:val="en-US" w:eastAsia="zh-CN"/>
              </w:rPr>
            </w:pPr>
            <w:r>
              <w:rPr>
                <w:rFonts w:hint="eastAsia" w:ascii="宋体" w:hAnsi="宋体" w:cs="宋体"/>
                <w:b/>
                <w:bCs w:val="0"/>
                <w:sz w:val="24"/>
                <w:szCs w:val="24"/>
                <w:highlight w:val="none"/>
                <w:lang w:val="en-US" w:eastAsia="zh-CN"/>
              </w:rPr>
              <w:t>表3-3  声环境现状监测及评价结果</w:t>
            </w:r>
          </w:p>
          <w:tbl>
            <w:tblPr>
              <w:tblStyle w:val="14"/>
              <w:tblW w:w="7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3"/>
              <w:gridCol w:w="1993"/>
              <w:gridCol w:w="1994"/>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993" w:type="dxa"/>
                  <w:vMerge w:val="restart"/>
                  <w:tcBorders>
                    <w:tl2br w:val="single" w:color="auto" w:sz="4" w:space="0"/>
                  </w:tcBorders>
                  <w:vAlign w:val="center"/>
                </w:tcPr>
                <w:p>
                  <w:pPr>
                    <w:adjustRightInd w:val="0"/>
                    <w:snapToGrid w:val="0"/>
                    <w:jc w:val="right"/>
                    <w:rPr>
                      <w:rFonts w:hint="eastAsia"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时间</w:t>
                  </w:r>
                </w:p>
                <w:p>
                  <w:pPr>
                    <w:adjustRightInd w:val="0"/>
                    <w:snapToGrid w:val="0"/>
                    <w:jc w:val="right"/>
                    <w:rPr>
                      <w:rFonts w:hint="eastAsia" w:ascii="宋体" w:hAnsi="宋体" w:cs="宋体"/>
                      <w:b/>
                      <w:bCs w:val="0"/>
                      <w:sz w:val="21"/>
                      <w:szCs w:val="21"/>
                      <w:highlight w:val="none"/>
                      <w:vertAlign w:val="baseline"/>
                      <w:lang w:val="en-US" w:eastAsia="zh-CN"/>
                    </w:rPr>
                  </w:pPr>
                </w:p>
                <w:p>
                  <w:pPr>
                    <w:adjustRightInd w:val="0"/>
                    <w:snapToGrid w:val="0"/>
                    <w:jc w:val="left"/>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监测地点</w:t>
                  </w:r>
                </w:p>
              </w:tc>
              <w:tc>
                <w:tcPr>
                  <w:tcW w:w="3987" w:type="dxa"/>
                  <w:gridSpan w:val="2"/>
                  <w:vAlign w:val="center"/>
                </w:tcPr>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2022.03.04</w:t>
                  </w:r>
                </w:p>
              </w:tc>
              <w:tc>
                <w:tcPr>
                  <w:tcW w:w="1994" w:type="dxa"/>
                  <w:vMerge w:val="restart"/>
                  <w:vAlign w:val="center"/>
                </w:tcPr>
                <w:p>
                  <w:pPr>
                    <w:adjustRightInd w:val="0"/>
                    <w:snapToGrid w:val="0"/>
                    <w:jc w:val="center"/>
                    <w:rPr>
                      <w:rFonts w:hint="eastAsia"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GB3096-2008</w:t>
                  </w:r>
                </w:p>
                <w:p>
                  <w:pPr>
                    <w:adjustRightInd w:val="0"/>
                    <w:snapToGrid w:val="0"/>
                    <w:jc w:val="center"/>
                    <w:rPr>
                      <w:rFonts w:hint="default" w:ascii="宋体" w:hAnsi="宋体" w:cs="宋体"/>
                      <w:b/>
                      <w:bCs w:val="0"/>
                      <w:sz w:val="21"/>
                      <w:szCs w:val="21"/>
                      <w:highlight w:val="none"/>
                      <w:vertAlign w:val="baseline"/>
                      <w:lang w:val="en-US" w:eastAsia="zh-CN"/>
                    </w:rPr>
                  </w:pPr>
                  <w:r>
                    <w:rPr>
                      <w:rFonts w:hint="eastAsia" w:ascii="宋体" w:hAnsi="宋体" w:cs="宋体"/>
                      <w:b/>
                      <w:bCs w:val="0"/>
                      <w:sz w:val="21"/>
                      <w:szCs w:val="21"/>
                      <w:highlight w:val="none"/>
                      <w:vertAlign w:val="baseline"/>
                      <w:lang w:val="en-US" w:eastAsia="zh-CN"/>
                    </w:rPr>
                    <w:t>4a类标准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1993" w:type="dxa"/>
                  <w:vMerge w:val="continue"/>
                  <w:tcBorders>
                    <w:tl2br w:val="single" w:color="auto" w:sz="4" w:space="0"/>
                  </w:tcBorders>
                  <w:vAlign w:val="center"/>
                </w:tcPr>
                <w:p>
                  <w:pPr>
                    <w:adjustRightInd w:val="0"/>
                    <w:snapToGrid w:val="0"/>
                    <w:jc w:val="center"/>
                    <w:rPr>
                      <w:highlight w:val="none"/>
                    </w:rPr>
                  </w:pPr>
                </w:p>
              </w:tc>
              <w:tc>
                <w:tcPr>
                  <w:tcW w:w="1993" w:type="dxa"/>
                  <w:vAlign w:val="center"/>
                </w:tcPr>
                <w:p>
                  <w:pPr>
                    <w:adjustRightInd w:val="0"/>
                    <w:snapToGrid w:val="0"/>
                    <w:jc w:val="center"/>
                    <w:rPr>
                      <w:rFonts w:hint="eastAsia" w:eastAsia="宋体"/>
                      <w:b/>
                      <w:bCs/>
                      <w:sz w:val="21"/>
                      <w:szCs w:val="21"/>
                      <w:highlight w:val="none"/>
                      <w:lang w:val="en-US" w:eastAsia="zh-CN"/>
                    </w:rPr>
                  </w:pPr>
                  <w:r>
                    <w:rPr>
                      <w:rFonts w:hint="eastAsia"/>
                      <w:b/>
                      <w:bCs/>
                      <w:sz w:val="21"/>
                      <w:szCs w:val="21"/>
                      <w:highlight w:val="none"/>
                      <w:lang w:val="en-US" w:eastAsia="zh-CN"/>
                    </w:rPr>
                    <w:t>昼间</w:t>
                  </w:r>
                </w:p>
              </w:tc>
              <w:tc>
                <w:tcPr>
                  <w:tcW w:w="1994" w:type="dxa"/>
                  <w:vAlign w:val="center"/>
                </w:tcPr>
                <w:p>
                  <w:pPr>
                    <w:adjustRightInd w:val="0"/>
                    <w:snapToGrid w:val="0"/>
                    <w:jc w:val="center"/>
                    <w:rPr>
                      <w:rFonts w:hint="default" w:ascii="宋体" w:hAnsi="宋体" w:cs="宋体"/>
                      <w:b/>
                      <w:bCs/>
                      <w:sz w:val="21"/>
                      <w:szCs w:val="21"/>
                      <w:highlight w:val="none"/>
                      <w:vertAlign w:val="baseline"/>
                      <w:lang w:val="en-US" w:eastAsia="zh-CN"/>
                    </w:rPr>
                  </w:pPr>
                  <w:r>
                    <w:rPr>
                      <w:rFonts w:hint="eastAsia" w:ascii="宋体" w:hAnsi="宋体" w:cs="宋体"/>
                      <w:b/>
                      <w:bCs/>
                      <w:sz w:val="21"/>
                      <w:szCs w:val="21"/>
                      <w:highlight w:val="none"/>
                      <w:vertAlign w:val="baseline"/>
                      <w:lang w:val="en-US" w:eastAsia="zh-CN"/>
                    </w:rPr>
                    <w:t>夜间</w:t>
                  </w:r>
                </w:p>
              </w:tc>
              <w:tc>
                <w:tcPr>
                  <w:tcW w:w="1994" w:type="dxa"/>
                  <w:vMerge w:val="continue"/>
                  <w:vAlign w:val="center"/>
                </w:tcPr>
                <w:p>
                  <w:pPr>
                    <w:adjustRightInd w:val="0"/>
                    <w:snapToGrid w:val="0"/>
                    <w:jc w:val="center"/>
                    <w:rPr>
                      <w:rFonts w:hint="default" w:ascii="宋体" w:hAnsi="宋体" w:cs="宋体"/>
                      <w:b/>
                      <w:bCs w:val="0"/>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93"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南厂界</w:t>
                  </w:r>
                </w:p>
              </w:tc>
              <w:tc>
                <w:tcPr>
                  <w:tcW w:w="1993"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54.4</w:t>
                  </w:r>
                </w:p>
              </w:tc>
              <w:tc>
                <w:tcPr>
                  <w:tcW w:w="1994" w:type="dxa"/>
                  <w:vAlign w:val="center"/>
                </w:tcPr>
                <w:p>
                  <w:pPr>
                    <w:adjustRightInd w:val="0"/>
                    <w:snapToGrid w:val="0"/>
                    <w:jc w:val="center"/>
                    <w:rPr>
                      <w:rFonts w:hint="default" w:ascii="宋体" w:hAnsi="宋体" w:cs="宋体"/>
                      <w:b w:val="0"/>
                      <w:bCs/>
                      <w:sz w:val="21"/>
                      <w:szCs w:val="21"/>
                      <w:highlight w:val="none"/>
                      <w:vertAlign w:val="baseline"/>
                      <w:lang w:val="en-US" w:eastAsia="zh-CN"/>
                    </w:rPr>
                  </w:pPr>
                  <w:r>
                    <w:rPr>
                      <w:rFonts w:hint="eastAsia" w:ascii="宋体" w:hAnsi="宋体" w:cs="宋体"/>
                      <w:b w:val="0"/>
                      <w:bCs/>
                      <w:sz w:val="21"/>
                      <w:szCs w:val="21"/>
                      <w:highlight w:val="none"/>
                      <w:vertAlign w:val="baseline"/>
                      <w:lang w:val="en-US" w:eastAsia="zh-CN"/>
                    </w:rPr>
                    <w:t>42.6</w:t>
                  </w:r>
                </w:p>
              </w:tc>
              <w:tc>
                <w:tcPr>
                  <w:tcW w:w="1994" w:type="dxa"/>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default" w:ascii="Times New Roman" w:hAnsi="Times New Roman" w:cs="Times New Roman"/>
                      <w:kern w:val="0"/>
                      <w:szCs w:val="21"/>
                      <w:highlight w:val="none"/>
                      <w:vertAlign w:val="baseline"/>
                      <w:lang w:val="en-US" w:eastAsia="zh-CN"/>
                    </w:rPr>
                    <w:t>昼间</w:t>
                  </w:r>
                  <w:r>
                    <w:rPr>
                      <w:rFonts w:hint="eastAsia" w:cs="Times New Roman"/>
                      <w:kern w:val="0"/>
                      <w:szCs w:val="21"/>
                      <w:highlight w:val="none"/>
                      <w:vertAlign w:val="baseline"/>
                      <w:lang w:val="en-US" w:eastAsia="zh-CN"/>
                    </w:rPr>
                    <w:t>70</w:t>
                  </w:r>
                  <w:r>
                    <w:rPr>
                      <w:rFonts w:hint="default" w:ascii="Times New Roman" w:hAnsi="Times New Roman" w:cs="Times New Roman"/>
                      <w:kern w:val="0"/>
                      <w:szCs w:val="21"/>
                      <w:highlight w:val="none"/>
                      <w:vertAlign w:val="baseline"/>
                      <w:lang w:val="en-US" w:eastAsia="zh-CN"/>
                    </w:rPr>
                    <w:t>dB（A）；</w:t>
                  </w:r>
                </w:p>
                <w:p>
                  <w:pPr>
                    <w:adjustRightInd w:val="0"/>
                    <w:snapToGrid w:val="0"/>
                    <w:jc w:val="center"/>
                    <w:rPr>
                      <w:rFonts w:hint="default" w:ascii="宋体" w:hAnsi="宋体" w:cs="宋体"/>
                      <w:b w:val="0"/>
                      <w:bCs/>
                      <w:sz w:val="21"/>
                      <w:szCs w:val="21"/>
                      <w:highlight w:val="none"/>
                      <w:vertAlign w:val="baseline"/>
                      <w:lang w:val="en-US" w:eastAsia="zh-CN"/>
                    </w:rPr>
                  </w:pPr>
                  <w:r>
                    <w:rPr>
                      <w:rFonts w:hint="default" w:ascii="Times New Roman" w:hAnsi="Times New Roman" w:cs="Times New Roman"/>
                      <w:kern w:val="0"/>
                      <w:szCs w:val="21"/>
                      <w:highlight w:val="none"/>
                      <w:vertAlign w:val="baseline"/>
                      <w:lang w:val="en-US" w:eastAsia="zh-CN"/>
                    </w:rPr>
                    <w:t>夜间</w:t>
                  </w:r>
                  <w:r>
                    <w:rPr>
                      <w:rFonts w:hint="eastAsia" w:cs="Times New Roman"/>
                      <w:kern w:val="0"/>
                      <w:szCs w:val="21"/>
                      <w:highlight w:val="none"/>
                      <w:vertAlign w:val="baseline"/>
                      <w:lang w:val="en-US" w:eastAsia="zh-CN"/>
                    </w:rPr>
                    <w:t>5</w:t>
                  </w:r>
                  <w:r>
                    <w:rPr>
                      <w:rFonts w:hint="default" w:ascii="Times New Roman" w:hAnsi="Times New Roman" w:cs="Times New Roman"/>
                      <w:kern w:val="0"/>
                      <w:szCs w:val="21"/>
                      <w:highlight w:val="none"/>
                      <w:vertAlign w:val="baseline"/>
                      <w:lang w:val="en-US" w:eastAsia="zh-CN"/>
                    </w:rPr>
                    <w:t>5dB（A）</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宋体" w:hAnsi="宋体" w:cs="宋体"/>
                <w:b w:val="0"/>
                <w:bCs/>
                <w:sz w:val="24"/>
                <w:szCs w:val="24"/>
                <w:highlight w:val="none"/>
                <w:lang w:val="en-US" w:eastAsia="zh-CN"/>
              </w:rPr>
            </w:pPr>
            <w:r>
              <w:rPr>
                <w:rFonts w:hint="eastAsia" w:ascii="宋体" w:hAnsi="宋体" w:cs="宋体"/>
                <w:b w:val="0"/>
                <w:bCs/>
                <w:sz w:val="24"/>
                <w:szCs w:val="24"/>
                <w:highlight w:val="none"/>
                <w:lang w:val="en-US" w:eastAsia="zh-CN"/>
              </w:rPr>
              <w:t>由监测结果得出，本项目南厂界环境现状噪声值满足《声环境质量标准》（GB3096-2008）4a类标准要求，声环境质量现状良好。</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宋体" w:hAnsi="宋体" w:cs="宋体"/>
                <w:b/>
                <w:bCs w:val="0"/>
                <w:sz w:val="24"/>
                <w:szCs w:val="24"/>
                <w:highlight w:val="none"/>
                <w:lang w:val="en-US" w:eastAsia="zh-CN"/>
              </w:rPr>
            </w:pPr>
            <w:r>
              <w:rPr>
                <w:rFonts w:hint="eastAsia" w:ascii="宋体" w:hAnsi="宋体" w:cs="宋体"/>
                <w:b/>
                <w:bCs w:val="0"/>
                <w:sz w:val="24"/>
                <w:szCs w:val="24"/>
                <w:highlight w:val="none"/>
                <w:lang w:val="en-US" w:eastAsia="zh-CN"/>
              </w:rPr>
              <w:t>4、生态环境现状</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default" w:ascii="Times New Roman" w:hAnsi="Times New Roman" w:cs="Times New Roman"/>
                <w:b/>
                <w:bCs/>
                <w:kern w:val="0"/>
                <w:sz w:val="24"/>
                <w:szCs w:val="24"/>
                <w:highlight w:val="none"/>
                <w:lang w:val="en-US" w:eastAsia="zh-CN"/>
              </w:rPr>
            </w:pPr>
            <w:r>
              <w:rPr>
                <w:rFonts w:hint="eastAsia" w:ascii="宋体" w:hAnsi="宋体" w:cs="宋体"/>
                <w:b w:val="0"/>
                <w:bCs w:val="0"/>
                <w:kern w:val="0"/>
                <w:sz w:val="24"/>
                <w:szCs w:val="24"/>
                <w:highlight w:val="none"/>
                <w:lang w:val="en-US" w:eastAsia="zh-CN"/>
              </w:rPr>
              <w:t>项目所在地周围环境主要为居民区、道路等，不涉及需要保护区域。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400" w:hRule="atLeast"/>
          <w:jc w:val="center"/>
        </w:trPr>
        <w:tc>
          <w:tcPr>
            <w:tcW w:w="509" w:type="dxa"/>
            <w:noWrap w:val="0"/>
            <w:vAlign w:val="center"/>
          </w:tcPr>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环境</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保护</w:t>
            </w:r>
          </w:p>
          <w:p>
            <w:pPr>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kern w:val="0"/>
                <w:sz w:val="24"/>
                <w:szCs w:val="24"/>
                <w:highlight w:val="none"/>
              </w:rPr>
              <w:t>目标</w:t>
            </w:r>
          </w:p>
        </w:tc>
        <w:tc>
          <w:tcPr>
            <w:tcW w:w="8481" w:type="dxa"/>
            <w:noWrap w:val="0"/>
            <w:vAlign w:val="top"/>
          </w:tcPr>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1、空气环境保护目标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eastAsia" w:cs="Times New Roman"/>
                <w:b w:val="0"/>
                <w:bCs/>
                <w:sz w:val="24"/>
                <w:szCs w:val="24"/>
                <w:highlight w:val="none"/>
                <w:lang w:val="en-US" w:eastAsia="zh-CN"/>
              </w:rPr>
              <w:t>本项目厂界外500米范围内环境空气保护目标见表3-4。</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表3-</w:t>
            </w:r>
            <w:r>
              <w:rPr>
                <w:rFonts w:hint="eastAsia" w:cs="Times New Roman"/>
                <w:b/>
                <w:bCs w:val="0"/>
                <w:sz w:val="24"/>
                <w:szCs w:val="24"/>
                <w:highlight w:val="none"/>
                <w:lang w:val="en-US" w:eastAsia="zh-CN"/>
              </w:rPr>
              <w:t>4</w:t>
            </w:r>
            <w:r>
              <w:rPr>
                <w:rFonts w:hint="default" w:ascii="Times New Roman" w:hAnsi="Times New Roman" w:cs="Times New Roman"/>
                <w:b/>
                <w:bCs w:val="0"/>
                <w:sz w:val="24"/>
                <w:szCs w:val="24"/>
                <w:highlight w:val="none"/>
                <w:lang w:val="en-US" w:eastAsia="zh-CN"/>
              </w:rPr>
              <w:t xml:space="preserve">  项目周围环境空气保护目标</w:t>
            </w:r>
          </w:p>
          <w:tbl>
            <w:tblPr>
              <w:tblStyle w:val="14"/>
              <w:tblW w:w="7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3"/>
              <w:gridCol w:w="1993"/>
              <w:gridCol w:w="1994"/>
              <w:gridCol w:w="1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93"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保护对象</w:t>
                  </w:r>
                </w:p>
              </w:tc>
              <w:tc>
                <w:tcPr>
                  <w:tcW w:w="1993"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环境功能区</w:t>
                  </w:r>
                </w:p>
              </w:tc>
              <w:tc>
                <w:tcPr>
                  <w:tcW w:w="1994"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相对项目方位</w:t>
                  </w:r>
                </w:p>
              </w:tc>
              <w:tc>
                <w:tcPr>
                  <w:tcW w:w="1994" w:type="dxa"/>
                  <w:vAlign w:val="center"/>
                </w:tcPr>
                <w:p>
                  <w:pPr>
                    <w:adjustRightInd w:val="0"/>
                    <w:snapToGrid w:val="0"/>
                    <w:jc w:val="center"/>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距离/m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93"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eastAsia" w:cs="Times New Roman"/>
                      <w:b w:val="0"/>
                      <w:bCs/>
                      <w:sz w:val="21"/>
                      <w:szCs w:val="21"/>
                      <w:highlight w:val="none"/>
                      <w:vertAlign w:val="baseline"/>
                      <w:lang w:val="en-US" w:eastAsia="zh-CN"/>
                    </w:rPr>
                    <w:t>南白涧村</w:t>
                  </w:r>
                </w:p>
              </w:tc>
              <w:tc>
                <w:tcPr>
                  <w:tcW w:w="1993"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eastAsia" w:cs="Times New Roman"/>
                      <w:b w:val="0"/>
                      <w:bCs/>
                      <w:sz w:val="21"/>
                      <w:szCs w:val="21"/>
                      <w:highlight w:val="none"/>
                      <w:vertAlign w:val="baseline"/>
                      <w:lang w:val="en-US" w:eastAsia="zh-CN"/>
                    </w:rPr>
                    <w:t>《环境空气质量标准》（GB3095-2012）二级</w:t>
                  </w:r>
                </w:p>
              </w:tc>
              <w:tc>
                <w:tcPr>
                  <w:tcW w:w="1994"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eastAsia" w:cs="Times New Roman"/>
                      <w:b w:val="0"/>
                      <w:bCs/>
                      <w:sz w:val="21"/>
                      <w:szCs w:val="21"/>
                      <w:highlight w:val="none"/>
                      <w:vertAlign w:val="baseline"/>
                      <w:lang w:val="en-US" w:eastAsia="zh-CN"/>
                    </w:rPr>
                    <w:t>东南</w:t>
                  </w:r>
                </w:p>
              </w:tc>
              <w:tc>
                <w:tcPr>
                  <w:tcW w:w="1994" w:type="dxa"/>
                  <w:vAlign w:val="center"/>
                </w:tcPr>
                <w:p>
                  <w:pPr>
                    <w:adjustRightInd w:val="0"/>
                    <w:snapToGrid w:val="0"/>
                    <w:jc w:val="center"/>
                    <w:rPr>
                      <w:rFonts w:hint="default" w:ascii="Times New Roman" w:hAnsi="Times New Roman" w:cs="Times New Roman"/>
                      <w:b w:val="0"/>
                      <w:bCs/>
                      <w:sz w:val="21"/>
                      <w:szCs w:val="21"/>
                      <w:highlight w:val="none"/>
                      <w:vertAlign w:val="baseline"/>
                      <w:lang w:val="en-US" w:eastAsia="zh-CN"/>
                    </w:rPr>
                  </w:pPr>
                  <w:r>
                    <w:rPr>
                      <w:rFonts w:hint="eastAsia" w:cs="Times New Roman"/>
                      <w:b w:val="0"/>
                      <w:bCs/>
                      <w:sz w:val="21"/>
                      <w:szCs w:val="21"/>
                      <w:highlight w:val="none"/>
                      <w:vertAlign w:val="baseline"/>
                      <w:lang w:val="en-US" w:eastAsia="zh-CN"/>
                    </w:rPr>
                    <w:t>120</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2、水环境保护目标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本项目厂界外500米范围内</w:t>
            </w:r>
            <w:r>
              <w:rPr>
                <w:rFonts w:hint="eastAsia" w:cs="Times New Roman"/>
                <w:b w:val="0"/>
                <w:bCs/>
                <w:sz w:val="24"/>
                <w:szCs w:val="24"/>
                <w:highlight w:val="none"/>
                <w:lang w:val="en-US" w:eastAsia="zh-CN"/>
              </w:rPr>
              <w:t>没有</w:t>
            </w:r>
            <w:r>
              <w:rPr>
                <w:rFonts w:hint="default" w:ascii="Times New Roman" w:hAnsi="Times New Roman" w:cs="Times New Roman"/>
                <w:b w:val="0"/>
                <w:bCs/>
                <w:sz w:val="24"/>
                <w:szCs w:val="24"/>
                <w:highlight w:val="none"/>
                <w:lang w:val="en-US" w:eastAsia="zh-CN"/>
              </w:rPr>
              <w:t>地下水集中式饮用水水源</w:t>
            </w:r>
            <w:r>
              <w:rPr>
                <w:rFonts w:hint="eastAsia" w:cs="Times New Roman"/>
                <w:b w:val="0"/>
                <w:bCs/>
                <w:sz w:val="24"/>
                <w:szCs w:val="24"/>
                <w:highlight w:val="none"/>
                <w:lang w:val="en-US" w:eastAsia="zh-CN"/>
              </w:rPr>
              <w:t>保护目标。</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3、声环境保护目标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eastAsia" w:cs="Times New Roman"/>
                <w:b w:val="0"/>
                <w:bCs/>
                <w:sz w:val="24"/>
                <w:szCs w:val="24"/>
                <w:highlight w:val="none"/>
                <w:lang w:val="en-US" w:eastAsia="zh-CN"/>
              </w:rPr>
              <w:t>本项目厂界外50米范围内没有声环境保护目标。</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4、生态环境保护目标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本项目周围没有生态环境保护目标。</w:t>
            </w:r>
          </w:p>
          <w:p>
            <w:pPr>
              <w:adjustRightInd w:val="0"/>
              <w:snapToGrid w:val="0"/>
              <w:jc w:val="both"/>
              <w:rPr>
                <w:rFonts w:hint="default" w:ascii="Times New Roman" w:hAnsi="Times New Roman" w:cs="Times New Roman"/>
                <w:kern w:val="0"/>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94" w:hRule="atLeast"/>
          <w:jc w:val="center"/>
        </w:trPr>
        <w:tc>
          <w:tcPr>
            <w:tcW w:w="509" w:type="dxa"/>
            <w:noWrap w:val="0"/>
            <w:tcMar>
              <w:left w:w="28" w:type="dxa"/>
              <w:right w:w="28" w:type="dxa"/>
            </w:tcMar>
            <w:vAlign w:val="center"/>
          </w:tcPr>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污染</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物排</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放控</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制标</w:t>
            </w:r>
          </w:p>
          <w:p>
            <w:pPr>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kern w:val="0"/>
                <w:sz w:val="24"/>
                <w:szCs w:val="24"/>
                <w:highlight w:val="none"/>
              </w:rPr>
              <w:t>准</w:t>
            </w:r>
          </w:p>
        </w:tc>
        <w:tc>
          <w:tcPr>
            <w:tcW w:w="8481" w:type="dxa"/>
            <w:noWrap w:val="0"/>
            <w:vAlign w:val="top"/>
          </w:tcPr>
          <w:tbl>
            <w:tblPr>
              <w:tblStyle w:val="14"/>
              <w:tblW w:w="79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2787"/>
              <w:gridCol w:w="1125"/>
              <w:gridCol w:w="2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Align w:val="center"/>
                </w:tcPr>
                <w:p>
                  <w:pPr>
                    <w:adjustRightInd w:val="0"/>
                    <w:snapToGrid w:val="0"/>
                    <w:jc w:val="center"/>
                    <w:rPr>
                      <w:rFonts w:hint="default" w:ascii="Times New Roman" w:hAnsi="Times New Roman" w:eastAsia="宋体" w:cs="Times New Roman"/>
                      <w:b/>
                      <w:bCs/>
                      <w:kern w:val="0"/>
                      <w:szCs w:val="21"/>
                      <w:highlight w:val="none"/>
                      <w:vertAlign w:val="baseline"/>
                      <w:lang w:val="en-US" w:eastAsia="zh-CN"/>
                    </w:rPr>
                  </w:pPr>
                  <w:r>
                    <w:rPr>
                      <w:rFonts w:hint="default" w:ascii="Times New Roman" w:hAnsi="Times New Roman" w:cs="Times New Roman"/>
                      <w:b/>
                      <w:bCs/>
                      <w:kern w:val="0"/>
                      <w:szCs w:val="21"/>
                      <w:highlight w:val="none"/>
                      <w:vertAlign w:val="baseline"/>
                      <w:lang w:val="en-US" w:eastAsia="zh-CN"/>
                    </w:rPr>
                    <w:t>环境要素</w:t>
                  </w:r>
                </w:p>
              </w:tc>
              <w:tc>
                <w:tcPr>
                  <w:tcW w:w="2787" w:type="dxa"/>
                  <w:vAlign w:val="center"/>
                </w:tcPr>
                <w:p>
                  <w:pPr>
                    <w:adjustRightInd w:val="0"/>
                    <w:snapToGrid w:val="0"/>
                    <w:jc w:val="center"/>
                    <w:rPr>
                      <w:rFonts w:hint="default" w:ascii="Times New Roman" w:hAnsi="Times New Roman" w:eastAsia="宋体" w:cs="Times New Roman"/>
                      <w:b/>
                      <w:bCs/>
                      <w:kern w:val="0"/>
                      <w:szCs w:val="21"/>
                      <w:highlight w:val="none"/>
                      <w:vertAlign w:val="baseline"/>
                      <w:lang w:val="en-US" w:eastAsia="zh-CN"/>
                    </w:rPr>
                  </w:pPr>
                  <w:r>
                    <w:rPr>
                      <w:rFonts w:hint="default" w:ascii="Times New Roman" w:hAnsi="Times New Roman" w:cs="Times New Roman"/>
                      <w:b/>
                      <w:bCs/>
                      <w:kern w:val="0"/>
                      <w:szCs w:val="21"/>
                      <w:highlight w:val="none"/>
                      <w:vertAlign w:val="baseline"/>
                      <w:lang w:val="en-US" w:eastAsia="zh-CN"/>
                    </w:rPr>
                    <w:t>执行标准</w:t>
                  </w:r>
                </w:p>
              </w:tc>
              <w:tc>
                <w:tcPr>
                  <w:tcW w:w="1125" w:type="dxa"/>
                  <w:vAlign w:val="center"/>
                </w:tcPr>
                <w:p>
                  <w:pPr>
                    <w:adjustRightInd w:val="0"/>
                    <w:snapToGrid w:val="0"/>
                    <w:jc w:val="center"/>
                    <w:rPr>
                      <w:rFonts w:hint="default" w:ascii="Times New Roman" w:hAnsi="Times New Roman" w:eastAsia="宋体" w:cs="Times New Roman"/>
                      <w:b/>
                      <w:bCs/>
                      <w:kern w:val="0"/>
                      <w:szCs w:val="21"/>
                      <w:highlight w:val="none"/>
                      <w:vertAlign w:val="baseline"/>
                      <w:lang w:val="en-US" w:eastAsia="zh-CN"/>
                    </w:rPr>
                  </w:pPr>
                  <w:r>
                    <w:rPr>
                      <w:rFonts w:hint="default" w:ascii="Times New Roman" w:hAnsi="Times New Roman" w:cs="Times New Roman"/>
                      <w:b/>
                      <w:bCs/>
                      <w:kern w:val="0"/>
                      <w:szCs w:val="21"/>
                      <w:highlight w:val="none"/>
                      <w:vertAlign w:val="baseline"/>
                      <w:lang w:val="en-US" w:eastAsia="zh-CN"/>
                    </w:rPr>
                    <w:t>执行类别</w:t>
                  </w:r>
                </w:p>
              </w:tc>
              <w:tc>
                <w:tcPr>
                  <w:tcW w:w="2941" w:type="dxa"/>
                  <w:vAlign w:val="center"/>
                </w:tcPr>
                <w:p>
                  <w:pPr>
                    <w:adjustRightInd w:val="0"/>
                    <w:snapToGrid w:val="0"/>
                    <w:jc w:val="center"/>
                    <w:rPr>
                      <w:rFonts w:hint="default" w:ascii="Times New Roman" w:hAnsi="Times New Roman" w:eastAsia="宋体" w:cs="Times New Roman"/>
                      <w:b/>
                      <w:bCs/>
                      <w:kern w:val="0"/>
                      <w:szCs w:val="21"/>
                      <w:highlight w:val="none"/>
                      <w:vertAlign w:val="baseline"/>
                      <w:lang w:val="en-US" w:eastAsia="zh-CN"/>
                    </w:rPr>
                  </w:pPr>
                  <w:r>
                    <w:rPr>
                      <w:rFonts w:hint="default" w:ascii="Times New Roman" w:hAnsi="Times New Roman" w:cs="Times New Roman"/>
                      <w:b/>
                      <w:bCs/>
                      <w:kern w:val="0"/>
                      <w:szCs w:val="21"/>
                      <w:highlight w:val="none"/>
                      <w:vertAlign w:val="baseline"/>
                      <w:lang w:val="en-US" w:eastAsia="zh-CN"/>
                    </w:rPr>
                    <w:t>主要标准要求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Merge w:val="restart"/>
                  <w:vAlign w:val="center"/>
                </w:tcPr>
                <w:p>
                  <w:pPr>
                    <w:adjustRightInd w:val="0"/>
                    <w:snapToGrid w:val="0"/>
                    <w:jc w:val="center"/>
                    <w:rPr>
                      <w:rFonts w:hint="default" w:ascii="Times New Roman" w:hAnsi="Times New Roman" w:eastAsia="宋体" w:cs="Times New Roman"/>
                      <w:kern w:val="0"/>
                      <w:szCs w:val="21"/>
                      <w:highlight w:val="none"/>
                      <w:vertAlign w:val="baseline"/>
                      <w:lang w:val="en-US" w:eastAsia="zh-CN"/>
                    </w:rPr>
                  </w:pPr>
                  <w:r>
                    <w:rPr>
                      <w:rFonts w:hint="default" w:ascii="Times New Roman" w:hAnsi="Times New Roman" w:cs="Times New Roman"/>
                      <w:kern w:val="0"/>
                      <w:szCs w:val="21"/>
                      <w:highlight w:val="none"/>
                      <w:vertAlign w:val="baseline"/>
                      <w:lang w:val="en-US" w:eastAsia="zh-CN"/>
                    </w:rPr>
                    <w:t>噪声</w:t>
                  </w:r>
                </w:p>
              </w:tc>
              <w:tc>
                <w:tcPr>
                  <w:tcW w:w="2787" w:type="dxa"/>
                  <w:vMerge w:val="restart"/>
                  <w:vAlign w:val="center"/>
                </w:tcPr>
                <w:p>
                  <w:pPr>
                    <w:adjustRightInd w:val="0"/>
                    <w:snapToGrid w:val="0"/>
                    <w:jc w:val="center"/>
                    <w:rPr>
                      <w:rFonts w:hint="default" w:ascii="Times New Roman" w:hAnsi="Times New Roman" w:eastAsia="宋体" w:cs="Times New Roman"/>
                      <w:kern w:val="0"/>
                      <w:szCs w:val="21"/>
                      <w:highlight w:val="none"/>
                      <w:vertAlign w:val="baseline"/>
                      <w:lang w:eastAsia="zh-CN"/>
                    </w:rPr>
                  </w:pPr>
                  <w:r>
                    <w:rPr>
                      <w:rFonts w:hint="default" w:ascii="Times New Roman" w:hAnsi="Times New Roman" w:cs="Times New Roman"/>
                      <w:kern w:val="0"/>
                      <w:szCs w:val="21"/>
                      <w:highlight w:val="none"/>
                      <w:vertAlign w:val="baseline"/>
                      <w:lang w:eastAsia="zh-CN"/>
                    </w:rPr>
                    <w:t>《</w:t>
                  </w:r>
                  <w:r>
                    <w:rPr>
                      <w:rFonts w:hint="default" w:ascii="Times New Roman" w:hAnsi="Times New Roman" w:cs="Times New Roman"/>
                      <w:kern w:val="0"/>
                      <w:szCs w:val="21"/>
                      <w:highlight w:val="none"/>
                      <w:vertAlign w:val="baseline"/>
                      <w:lang w:val="en-US" w:eastAsia="zh-CN"/>
                    </w:rPr>
                    <w:t>工业企业厂界环境噪声排放标准</w:t>
                  </w:r>
                  <w:r>
                    <w:rPr>
                      <w:rFonts w:hint="default" w:ascii="Times New Roman" w:hAnsi="Times New Roman" w:cs="Times New Roman"/>
                      <w:kern w:val="0"/>
                      <w:szCs w:val="21"/>
                      <w:highlight w:val="none"/>
                      <w:vertAlign w:val="baseline"/>
                      <w:lang w:eastAsia="zh-CN"/>
                    </w:rPr>
                    <w:t>》（</w:t>
                  </w:r>
                  <w:r>
                    <w:rPr>
                      <w:rFonts w:hint="default" w:ascii="Times New Roman" w:hAnsi="Times New Roman" w:cs="Times New Roman"/>
                      <w:kern w:val="0"/>
                      <w:szCs w:val="21"/>
                      <w:highlight w:val="none"/>
                      <w:vertAlign w:val="baseline"/>
                      <w:lang w:val="en-US" w:eastAsia="zh-CN"/>
                    </w:rPr>
                    <w:t>GB12348-2008</w:t>
                  </w:r>
                  <w:r>
                    <w:rPr>
                      <w:rFonts w:hint="default" w:ascii="Times New Roman" w:hAnsi="Times New Roman" w:cs="Times New Roman"/>
                      <w:kern w:val="0"/>
                      <w:szCs w:val="21"/>
                      <w:highlight w:val="none"/>
                      <w:vertAlign w:val="baseline"/>
                      <w:lang w:eastAsia="zh-CN"/>
                    </w:rPr>
                    <w:t>）</w:t>
                  </w:r>
                </w:p>
              </w:tc>
              <w:tc>
                <w:tcPr>
                  <w:tcW w:w="1125" w:type="dxa"/>
                  <w:vAlign w:val="center"/>
                </w:tcPr>
                <w:p>
                  <w:pPr>
                    <w:adjustRightInd w:val="0"/>
                    <w:snapToGrid w:val="0"/>
                    <w:jc w:val="center"/>
                    <w:rPr>
                      <w:rFonts w:hint="default" w:ascii="Times New Roman" w:hAnsi="Times New Roman" w:eastAsia="宋体"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2</w:t>
                  </w:r>
                  <w:r>
                    <w:rPr>
                      <w:rFonts w:hint="default" w:ascii="Times New Roman" w:hAnsi="Times New Roman" w:cs="Times New Roman"/>
                      <w:kern w:val="0"/>
                      <w:szCs w:val="21"/>
                      <w:highlight w:val="none"/>
                      <w:vertAlign w:val="baseline"/>
                      <w:lang w:val="en-US" w:eastAsia="zh-CN"/>
                    </w:rPr>
                    <w:t>类</w:t>
                  </w:r>
                </w:p>
              </w:tc>
              <w:tc>
                <w:tcPr>
                  <w:tcW w:w="2941" w:type="dxa"/>
                  <w:vAlign w:val="center"/>
                </w:tcPr>
                <w:p>
                  <w:pPr>
                    <w:adjustRightInd w:val="0"/>
                    <w:snapToGrid w:val="0"/>
                    <w:jc w:val="center"/>
                    <w:rPr>
                      <w:rFonts w:hint="eastAsia"/>
                      <w:highlight w:val="none"/>
                      <w:lang w:eastAsia="zh-CN"/>
                    </w:rPr>
                  </w:pPr>
                  <w:r>
                    <w:rPr>
                      <w:rFonts w:hint="default"/>
                      <w:highlight w:val="none"/>
                      <w:lang w:val="en-US" w:eastAsia="zh-CN"/>
                    </w:rPr>
                    <w:t>昼间</w:t>
                  </w:r>
                  <w:r>
                    <w:rPr>
                      <w:rFonts w:hint="eastAsia"/>
                      <w:highlight w:val="none"/>
                      <w:lang w:val="en-US" w:eastAsia="zh-CN"/>
                    </w:rPr>
                    <w:t>60</w:t>
                  </w:r>
                  <w:r>
                    <w:rPr>
                      <w:rFonts w:hint="default"/>
                      <w:highlight w:val="none"/>
                      <w:lang w:val="en-US" w:eastAsia="zh-CN"/>
                    </w:rPr>
                    <w:t>dB（A）</w:t>
                  </w:r>
                  <w:r>
                    <w:rPr>
                      <w:rFonts w:hint="eastAsia"/>
                      <w:highlight w:val="none"/>
                      <w:lang w:eastAsia="zh-CN"/>
                    </w:rPr>
                    <w:t>；</w:t>
                  </w:r>
                </w:p>
                <w:p>
                  <w:pPr>
                    <w:adjustRightInd w:val="0"/>
                    <w:snapToGrid w:val="0"/>
                    <w:jc w:val="center"/>
                    <w:rPr>
                      <w:rFonts w:hint="default" w:ascii="宋体" w:hAnsi="宋体" w:eastAsia="宋体" w:cs="宋体"/>
                      <w:sz w:val="21"/>
                      <w:szCs w:val="21"/>
                      <w:highlight w:val="none"/>
                      <w:lang w:val="en-US" w:eastAsia="zh-CN"/>
                    </w:rPr>
                  </w:pPr>
                  <w:r>
                    <w:rPr>
                      <w:rFonts w:hint="eastAsia"/>
                      <w:highlight w:val="none"/>
                      <w:lang w:val="en-US" w:eastAsia="zh-CN"/>
                    </w:rPr>
                    <w:t>夜</w:t>
                  </w:r>
                  <w:r>
                    <w:rPr>
                      <w:rFonts w:hint="default"/>
                      <w:highlight w:val="none"/>
                      <w:lang w:val="en-US" w:eastAsia="zh-CN"/>
                    </w:rPr>
                    <w:t>间</w:t>
                  </w:r>
                  <w:r>
                    <w:rPr>
                      <w:rFonts w:hint="eastAsia"/>
                      <w:highlight w:val="none"/>
                      <w:lang w:val="en-US" w:eastAsia="zh-CN"/>
                    </w:rPr>
                    <w:t>50</w:t>
                  </w:r>
                  <w:r>
                    <w:rPr>
                      <w:rFonts w:hint="default"/>
                      <w:highlight w:val="none"/>
                      <w:lang w:val="en-US" w:eastAsia="zh-CN"/>
                    </w:rPr>
                    <w:t>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Merge w:val="continue"/>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p>
              </w:tc>
              <w:tc>
                <w:tcPr>
                  <w:tcW w:w="2787" w:type="dxa"/>
                  <w:vMerge w:val="continue"/>
                  <w:vAlign w:val="center"/>
                </w:tcPr>
                <w:p>
                  <w:pPr>
                    <w:adjustRightInd w:val="0"/>
                    <w:snapToGrid w:val="0"/>
                    <w:jc w:val="center"/>
                    <w:rPr>
                      <w:rFonts w:hint="default" w:ascii="Times New Roman" w:hAnsi="Times New Roman" w:cs="Times New Roman"/>
                      <w:kern w:val="0"/>
                      <w:szCs w:val="21"/>
                      <w:highlight w:val="none"/>
                      <w:vertAlign w:val="baseline"/>
                      <w:lang w:eastAsia="zh-CN"/>
                    </w:rPr>
                  </w:pPr>
                </w:p>
              </w:tc>
              <w:tc>
                <w:tcPr>
                  <w:tcW w:w="1125" w:type="dxa"/>
                  <w:vAlign w:val="center"/>
                </w:tcPr>
                <w:p>
                  <w:pPr>
                    <w:adjustRightInd w:val="0"/>
                    <w:snapToGrid w:val="0"/>
                    <w:jc w:val="center"/>
                    <w:rPr>
                      <w:rFonts w:hint="default"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4类</w:t>
                  </w:r>
                </w:p>
              </w:tc>
              <w:tc>
                <w:tcPr>
                  <w:tcW w:w="2941" w:type="dxa"/>
                  <w:vAlign w:val="center"/>
                </w:tcPr>
                <w:p>
                  <w:pPr>
                    <w:adjustRightInd w:val="0"/>
                    <w:snapToGrid w:val="0"/>
                    <w:jc w:val="center"/>
                    <w:rPr>
                      <w:rFonts w:hint="eastAsia"/>
                      <w:highlight w:val="none"/>
                      <w:lang w:val="en-US" w:eastAsia="zh-CN"/>
                    </w:rPr>
                  </w:pPr>
                  <w:r>
                    <w:rPr>
                      <w:rFonts w:hint="default"/>
                      <w:highlight w:val="none"/>
                      <w:lang w:val="en-US" w:eastAsia="zh-CN"/>
                    </w:rPr>
                    <w:t>昼间</w:t>
                  </w:r>
                  <w:r>
                    <w:rPr>
                      <w:rFonts w:hint="eastAsia"/>
                      <w:highlight w:val="none"/>
                      <w:lang w:val="en-US" w:eastAsia="zh-CN"/>
                    </w:rPr>
                    <w:t>70</w:t>
                  </w:r>
                  <w:r>
                    <w:rPr>
                      <w:rFonts w:hint="default"/>
                      <w:highlight w:val="none"/>
                      <w:lang w:val="en-US" w:eastAsia="zh-CN"/>
                    </w:rPr>
                    <w:t>dB（A）</w:t>
                  </w:r>
                  <w:r>
                    <w:rPr>
                      <w:rFonts w:hint="eastAsia"/>
                      <w:highlight w:val="none"/>
                      <w:lang w:val="en-US" w:eastAsia="zh-CN"/>
                    </w:rPr>
                    <w:t>；</w:t>
                  </w:r>
                </w:p>
                <w:p>
                  <w:pPr>
                    <w:adjustRightInd w:val="0"/>
                    <w:snapToGrid w:val="0"/>
                    <w:jc w:val="center"/>
                    <w:rPr>
                      <w:rFonts w:hint="default"/>
                      <w:highlight w:val="none"/>
                      <w:lang w:val="en-US" w:eastAsia="zh-CN"/>
                    </w:rPr>
                  </w:pPr>
                  <w:r>
                    <w:rPr>
                      <w:rFonts w:hint="eastAsia"/>
                      <w:highlight w:val="none"/>
                      <w:lang w:val="en-US" w:eastAsia="zh-CN"/>
                    </w:rPr>
                    <w:t>夜</w:t>
                  </w:r>
                  <w:r>
                    <w:rPr>
                      <w:rFonts w:hint="default"/>
                      <w:highlight w:val="none"/>
                      <w:lang w:val="en-US" w:eastAsia="zh-CN"/>
                    </w:rPr>
                    <w:t>间</w:t>
                  </w:r>
                  <w:r>
                    <w:rPr>
                      <w:rFonts w:hint="eastAsia"/>
                      <w:highlight w:val="none"/>
                      <w:lang w:val="en-US" w:eastAsia="zh-CN"/>
                    </w:rPr>
                    <w:t>55</w:t>
                  </w:r>
                  <w:r>
                    <w:rPr>
                      <w:rFonts w:hint="default"/>
                      <w:highlight w:val="none"/>
                      <w:lang w:val="en-US" w:eastAsia="zh-CN"/>
                    </w:rPr>
                    <w:t>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Align w:val="center"/>
                </w:tcPr>
                <w:p>
                  <w:pPr>
                    <w:adjustRightInd w:val="0"/>
                    <w:snapToGrid w:val="0"/>
                    <w:jc w:val="center"/>
                    <w:rPr>
                      <w:rFonts w:hint="default" w:ascii="Times New Roman" w:hAnsi="Times New Roman" w:eastAsia="宋体" w:cs="Times New Roman"/>
                      <w:kern w:val="0"/>
                      <w:szCs w:val="21"/>
                      <w:highlight w:val="none"/>
                      <w:vertAlign w:val="baseline"/>
                      <w:lang w:val="en-US" w:eastAsia="zh-CN"/>
                    </w:rPr>
                  </w:pPr>
                  <w:r>
                    <w:rPr>
                      <w:rFonts w:hint="default" w:ascii="Times New Roman" w:hAnsi="Times New Roman" w:cs="Times New Roman"/>
                      <w:kern w:val="0"/>
                      <w:szCs w:val="21"/>
                      <w:highlight w:val="none"/>
                      <w:vertAlign w:val="baseline"/>
                      <w:lang w:val="en-US" w:eastAsia="zh-CN"/>
                    </w:rPr>
                    <w:t>固废</w:t>
                  </w:r>
                </w:p>
              </w:tc>
              <w:tc>
                <w:tcPr>
                  <w:tcW w:w="6853" w:type="dxa"/>
                  <w:gridSpan w:val="3"/>
                  <w:vAlign w:val="center"/>
                </w:tcPr>
                <w:p>
                  <w:pPr>
                    <w:adjustRightInd w:val="0"/>
                    <w:snapToGrid w:val="0"/>
                    <w:jc w:val="center"/>
                    <w:rPr>
                      <w:rFonts w:hint="default" w:ascii="Times New Roman" w:hAnsi="Times New Roman" w:eastAsia="宋体" w:cs="Times New Roman"/>
                      <w:kern w:val="0"/>
                      <w:szCs w:val="21"/>
                      <w:highlight w:val="none"/>
                      <w:vertAlign w:val="baseline"/>
                      <w:lang w:val="en-US" w:eastAsia="zh-CN"/>
                    </w:rPr>
                  </w:pPr>
                  <w:r>
                    <w:rPr>
                      <w:rFonts w:hint="default" w:ascii="Times New Roman" w:hAnsi="Times New Roman" w:cs="Times New Roman"/>
                      <w:kern w:val="0"/>
                      <w:szCs w:val="21"/>
                      <w:highlight w:val="none"/>
                      <w:vertAlign w:val="baseline"/>
                      <w:lang w:val="en-US" w:eastAsia="zh-CN"/>
                    </w:rPr>
                    <w:t>危险废物执行《危险废物贮存污染控制标准》（GB18597-2001）及其修改单中的规定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Merge w:val="restart"/>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废水</w:t>
                  </w:r>
                </w:p>
              </w:tc>
              <w:tc>
                <w:tcPr>
                  <w:tcW w:w="2787" w:type="dxa"/>
                  <w:vMerge w:val="restart"/>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济源市城市污水处理厂进水水质要求</w:t>
                  </w:r>
                </w:p>
              </w:tc>
              <w:tc>
                <w:tcPr>
                  <w:tcW w:w="1125" w:type="dxa"/>
                  <w:vMerge w:val="restart"/>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w:t>
                  </w:r>
                </w:p>
              </w:tc>
              <w:tc>
                <w:tcPr>
                  <w:tcW w:w="2941" w:type="dxa"/>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COD：380mg/L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Merge w:val="continue"/>
                  <w:vAlign w:val="center"/>
                </w:tcPr>
                <w:p>
                  <w:pPr>
                    <w:adjustRightInd w:val="0"/>
                    <w:snapToGrid w:val="0"/>
                    <w:jc w:val="center"/>
                    <w:rPr>
                      <w:rFonts w:hint="eastAsia" w:cs="Times New Roman"/>
                      <w:kern w:val="0"/>
                      <w:szCs w:val="21"/>
                      <w:highlight w:val="none"/>
                      <w:vertAlign w:val="baseline"/>
                      <w:lang w:val="en-US" w:eastAsia="zh-CN"/>
                    </w:rPr>
                  </w:pPr>
                </w:p>
              </w:tc>
              <w:tc>
                <w:tcPr>
                  <w:tcW w:w="2787" w:type="dxa"/>
                  <w:vMerge w:val="continue"/>
                  <w:vAlign w:val="center"/>
                </w:tcPr>
                <w:p>
                  <w:pPr>
                    <w:adjustRightInd w:val="0"/>
                    <w:snapToGrid w:val="0"/>
                    <w:jc w:val="center"/>
                    <w:rPr>
                      <w:rFonts w:hint="eastAsia" w:cs="Times New Roman"/>
                      <w:kern w:val="0"/>
                      <w:szCs w:val="21"/>
                      <w:highlight w:val="none"/>
                      <w:vertAlign w:val="baseline"/>
                      <w:lang w:val="en-US" w:eastAsia="zh-CN"/>
                    </w:rPr>
                  </w:pPr>
                </w:p>
              </w:tc>
              <w:tc>
                <w:tcPr>
                  <w:tcW w:w="1125" w:type="dxa"/>
                  <w:vMerge w:val="continue"/>
                  <w:vAlign w:val="center"/>
                </w:tcPr>
                <w:p>
                  <w:pPr>
                    <w:adjustRightInd w:val="0"/>
                    <w:snapToGrid w:val="0"/>
                    <w:jc w:val="center"/>
                    <w:rPr>
                      <w:rFonts w:hint="eastAsia" w:cs="Times New Roman"/>
                      <w:kern w:val="0"/>
                      <w:szCs w:val="21"/>
                      <w:highlight w:val="none"/>
                      <w:vertAlign w:val="baseline"/>
                      <w:lang w:val="en-US" w:eastAsia="zh-CN"/>
                    </w:rPr>
                  </w:pPr>
                </w:p>
              </w:tc>
              <w:tc>
                <w:tcPr>
                  <w:tcW w:w="2941" w:type="dxa"/>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SS：160mg/L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1" w:type="dxa"/>
                  <w:vMerge w:val="continue"/>
                  <w:vAlign w:val="center"/>
                </w:tcPr>
                <w:p>
                  <w:pPr>
                    <w:adjustRightInd w:val="0"/>
                    <w:snapToGrid w:val="0"/>
                    <w:jc w:val="center"/>
                    <w:rPr>
                      <w:rFonts w:hint="eastAsia" w:cs="Times New Roman"/>
                      <w:kern w:val="0"/>
                      <w:szCs w:val="21"/>
                      <w:highlight w:val="none"/>
                      <w:vertAlign w:val="baseline"/>
                      <w:lang w:val="en-US" w:eastAsia="zh-CN"/>
                    </w:rPr>
                  </w:pPr>
                </w:p>
              </w:tc>
              <w:tc>
                <w:tcPr>
                  <w:tcW w:w="2787" w:type="dxa"/>
                  <w:vMerge w:val="continue"/>
                  <w:vAlign w:val="center"/>
                </w:tcPr>
                <w:p>
                  <w:pPr>
                    <w:adjustRightInd w:val="0"/>
                    <w:snapToGrid w:val="0"/>
                    <w:jc w:val="center"/>
                    <w:rPr>
                      <w:rFonts w:hint="eastAsia" w:cs="Times New Roman"/>
                      <w:kern w:val="0"/>
                      <w:szCs w:val="21"/>
                      <w:highlight w:val="none"/>
                      <w:vertAlign w:val="baseline"/>
                      <w:lang w:val="en-US" w:eastAsia="zh-CN"/>
                    </w:rPr>
                  </w:pPr>
                </w:p>
              </w:tc>
              <w:tc>
                <w:tcPr>
                  <w:tcW w:w="1125" w:type="dxa"/>
                  <w:vMerge w:val="continue"/>
                  <w:vAlign w:val="center"/>
                </w:tcPr>
                <w:p>
                  <w:pPr>
                    <w:adjustRightInd w:val="0"/>
                    <w:snapToGrid w:val="0"/>
                    <w:jc w:val="center"/>
                    <w:rPr>
                      <w:rFonts w:hint="eastAsia" w:cs="Times New Roman"/>
                      <w:kern w:val="0"/>
                      <w:szCs w:val="21"/>
                      <w:highlight w:val="none"/>
                      <w:vertAlign w:val="baseline"/>
                      <w:lang w:val="en-US" w:eastAsia="zh-CN"/>
                    </w:rPr>
                  </w:pPr>
                </w:p>
              </w:tc>
              <w:tc>
                <w:tcPr>
                  <w:tcW w:w="2941" w:type="dxa"/>
                  <w:vAlign w:val="center"/>
                </w:tcPr>
                <w:p>
                  <w:pPr>
                    <w:adjustRightInd w:val="0"/>
                    <w:snapToGrid w:val="0"/>
                    <w:jc w:val="center"/>
                    <w:rPr>
                      <w:rFonts w:hint="default" w:ascii="Times New Roman" w:hAnsi="Times New Roman" w:cs="Times New Roman"/>
                      <w:kern w:val="0"/>
                      <w:szCs w:val="21"/>
                      <w:highlight w:val="none"/>
                      <w:vertAlign w:val="baseline"/>
                      <w:lang w:val="en-US" w:eastAsia="zh-CN"/>
                    </w:rPr>
                  </w:pPr>
                  <w:r>
                    <w:rPr>
                      <w:rFonts w:hint="eastAsia" w:cs="Times New Roman"/>
                      <w:kern w:val="0"/>
                      <w:szCs w:val="21"/>
                      <w:highlight w:val="none"/>
                      <w:vertAlign w:val="baseline"/>
                      <w:lang w:val="en-US" w:eastAsia="zh-CN"/>
                    </w:rPr>
                    <w:t>氨氮：35mg/L</w:t>
                  </w:r>
                </w:p>
              </w:tc>
            </w:tr>
          </w:tbl>
          <w:p>
            <w:pPr>
              <w:adjustRightInd w:val="0"/>
              <w:snapToGrid w:val="0"/>
              <w:jc w:val="both"/>
              <w:rPr>
                <w:rFonts w:hint="default" w:ascii="Times New Roman" w:hAnsi="Times New Roman" w:cs="Times New Roman"/>
                <w:kern w:val="0"/>
                <w:szCs w:val="21"/>
                <w:highlight w:val="none"/>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330" w:hRule="atLeast"/>
          <w:jc w:val="center"/>
        </w:trPr>
        <w:tc>
          <w:tcPr>
            <w:tcW w:w="509" w:type="dxa"/>
            <w:noWrap w:val="0"/>
            <w:vAlign w:val="center"/>
          </w:tcPr>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总量</w:t>
            </w:r>
          </w:p>
          <w:p>
            <w:pPr>
              <w:adjustRightInd w:val="0"/>
              <w:snapToGrid w:val="0"/>
              <w:jc w:val="center"/>
              <w:rPr>
                <w:rFonts w:hint="default" w:ascii="Times New Roman" w:hAnsi="Times New Roman" w:cs="Times New Roman"/>
                <w:kern w:val="0"/>
                <w:sz w:val="24"/>
                <w:szCs w:val="24"/>
                <w:highlight w:val="none"/>
              </w:rPr>
            </w:pPr>
            <w:r>
              <w:rPr>
                <w:rFonts w:hint="default" w:ascii="Times New Roman" w:hAnsi="Times New Roman" w:cs="Times New Roman"/>
                <w:kern w:val="0"/>
                <w:sz w:val="24"/>
                <w:szCs w:val="24"/>
                <w:highlight w:val="none"/>
              </w:rPr>
              <w:t>控制</w:t>
            </w:r>
          </w:p>
          <w:p>
            <w:pPr>
              <w:adjustRightInd w:val="0"/>
              <w:snapToGrid w:val="0"/>
              <w:jc w:val="center"/>
              <w:rPr>
                <w:rFonts w:hint="default" w:ascii="Times New Roman" w:hAnsi="Times New Roman" w:cs="Times New Roman"/>
                <w:kern w:val="0"/>
                <w:szCs w:val="21"/>
                <w:highlight w:val="none"/>
              </w:rPr>
            </w:pPr>
            <w:r>
              <w:rPr>
                <w:rFonts w:hint="default" w:ascii="Times New Roman" w:hAnsi="Times New Roman" w:cs="Times New Roman"/>
                <w:kern w:val="0"/>
                <w:sz w:val="24"/>
                <w:szCs w:val="24"/>
                <w:highlight w:val="none"/>
              </w:rPr>
              <w:t>指标</w:t>
            </w:r>
          </w:p>
        </w:tc>
        <w:tc>
          <w:tcPr>
            <w:tcW w:w="8481" w:type="dxa"/>
            <w:noWrap w:val="0"/>
            <w:vAlign w:val="top"/>
          </w:tcPr>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jc w:val="both"/>
              <w:textAlignment w:val="auto"/>
              <w:rPr>
                <w:rFonts w:hint="eastAsia" w:cs="Times New Roman"/>
                <w:kern w:val="0"/>
                <w:sz w:val="24"/>
                <w:szCs w:val="24"/>
                <w:highlight w:val="none"/>
                <w:vertAlign w:val="baseline"/>
                <w:lang w:val="en-US" w:eastAsia="zh-CN"/>
              </w:rPr>
            </w:pPr>
            <w:r>
              <w:rPr>
                <w:rFonts w:hint="eastAsia" w:cs="Times New Roman"/>
                <w:kern w:val="0"/>
                <w:sz w:val="24"/>
                <w:szCs w:val="24"/>
                <w:highlight w:val="none"/>
                <w:lang w:val="en-US" w:eastAsia="zh-CN"/>
              </w:rPr>
              <w:t>本项目不产生大气污染物，不涉及大气</w:t>
            </w:r>
            <w:r>
              <w:rPr>
                <w:rFonts w:hint="eastAsia" w:cs="Times New Roman"/>
                <w:kern w:val="0"/>
                <w:sz w:val="24"/>
                <w:szCs w:val="24"/>
                <w:highlight w:val="none"/>
                <w:vertAlign w:val="baseline"/>
                <w:lang w:val="en-US" w:eastAsia="zh-CN"/>
              </w:rPr>
              <w:t>总量控制指标。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eastAsia" w:cs="Times New Roman"/>
                <w:kern w:val="0"/>
                <w:sz w:val="24"/>
                <w:szCs w:val="24"/>
                <w:highlight w:val="none"/>
                <w:vertAlign w:val="baseline"/>
                <w:lang w:val="en-US" w:eastAsia="zh-CN"/>
              </w:rPr>
            </w:pPr>
            <w:r>
              <w:rPr>
                <w:rFonts w:hint="eastAsia" w:cs="Times New Roman"/>
                <w:kern w:val="0"/>
                <w:sz w:val="24"/>
                <w:szCs w:val="24"/>
                <w:highlight w:val="none"/>
                <w:lang w:val="en-US" w:eastAsia="zh-CN"/>
              </w:rPr>
              <w:t>企业废水主要为生活污水，外排废水量为624m</w:t>
            </w:r>
            <w:r>
              <w:rPr>
                <w:rFonts w:hint="eastAsia" w:cs="Times New Roman"/>
                <w:kern w:val="0"/>
                <w:sz w:val="24"/>
                <w:szCs w:val="24"/>
                <w:highlight w:val="none"/>
                <w:vertAlign w:val="superscript"/>
                <w:lang w:val="en-US" w:eastAsia="zh-CN"/>
              </w:rPr>
              <w:t>3</w:t>
            </w:r>
            <w:r>
              <w:rPr>
                <w:rFonts w:hint="eastAsia" w:cs="Times New Roman"/>
                <w:kern w:val="0"/>
                <w:sz w:val="24"/>
                <w:szCs w:val="24"/>
                <w:highlight w:val="none"/>
                <w:vertAlign w:val="baseline"/>
                <w:lang w:val="en-US" w:eastAsia="zh-CN"/>
              </w:rPr>
              <w:t>/a，经污水管网进入济源市城市污水处理厂处理，核定总量根据济源市城市污水处理厂出水需满足《城镇污水处理厂污染物排放标准》（GB18918-2002）一级标准的A级标准要求，出水水质中按照COD排放浓度为25mg/L，NH</w:t>
            </w:r>
            <w:r>
              <w:rPr>
                <w:rFonts w:hint="eastAsia" w:cs="Times New Roman"/>
                <w:kern w:val="0"/>
                <w:sz w:val="24"/>
                <w:szCs w:val="24"/>
                <w:highlight w:val="none"/>
                <w:vertAlign w:val="subscript"/>
                <w:lang w:val="en-US" w:eastAsia="zh-CN"/>
              </w:rPr>
              <w:t>3</w:t>
            </w:r>
            <w:r>
              <w:rPr>
                <w:rFonts w:hint="eastAsia" w:cs="Times New Roman"/>
                <w:kern w:val="0"/>
                <w:sz w:val="24"/>
                <w:szCs w:val="24"/>
                <w:highlight w:val="none"/>
                <w:vertAlign w:val="baseline"/>
                <w:lang w:val="en-US" w:eastAsia="zh-CN"/>
              </w:rPr>
              <w:t>-N排放浓度为2mg/L计。</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both"/>
              <w:textAlignment w:val="auto"/>
              <w:rPr>
                <w:rFonts w:hint="default" w:ascii="Times New Roman" w:hAnsi="Times New Roman" w:eastAsia="宋体" w:cs="Times New Roman"/>
                <w:kern w:val="0"/>
                <w:szCs w:val="21"/>
                <w:highlight w:val="none"/>
                <w:lang w:val="en-US" w:eastAsia="zh-CN"/>
              </w:rPr>
            </w:pPr>
            <w:r>
              <w:rPr>
                <w:rFonts w:hint="eastAsia" w:cs="Times New Roman"/>
                <w:kern w:val="0"/>
                <w:sz w:val="24"/>
                <w:szCs w:val="24"/>
                <w:highlight w:val="none"/>
                <w:lang w:val="en-US" w:eastAsia="zh-CN"/>
              </w:rPr>
              <w:t>经计算，本项目需要申请污染物排放总量指标为COD：0.0156t/a，氨氮：0.0012t/a。</w:t>
            </w:r>
          </w:p>
        </w:tc>
      </w:tr>
    </w:tbl>
    <w:p>
      <w:pPr>
        <w:pStyle w:val="11"/>
        <w:jc w:val="center"/>
        <w:outlineLvl w:val="0"/>
        <w:rPr>
          <w:rFonts w:hint="default" w:ascii="Times New Roman" w:hAnsi="Times New Roman" w:eastAsia="黑体" w:cs="Times New Roman"/>
          <w:snapToGrid w:val="0"/>
          <w:sz w:val="30"/>
          <w:szCs w:val="30"/>
          <w:highlight w:val="none"/>
        </w:rPr>
      </w:pPr>
      <w:r>
        <w:rPr>
          <w:rFonts w:hint="default" w:ascii="Times New Roman" w:hAnsi="Times New Roman" w:eastAsia="黑体" w:cs="Times New Roman"/>
          <w:snapToGrid w:val="0"/>
          <w:sz w:val="36"/>
          <w:szCs w:val="36"/>
          <w:highlight w:val="none"/>
        </w:rPr>
        <w:br w:type="page"/>
      </w:r>
      <w:r>
        <w:rPr>
          <w:rFonts w:hint="default" w:ascii="Times New Roman" w:hAnsi="Times New Roman" w:eastAsia="黑体" w:cs="Times New Roman"/>
          <w:snapToGrid w:val="0"/>
          <w:sz w:val="30"/>
          <w:szCs w:val="30"/>
          <w:highlight w:val="none"/>
        </w:rPr>
        <w:t>四、主要环境影响和保护措施</w:t>
      </w:r>
    </w:p>
    <w:tbl>
      <w:tblPr>
        <w:tblStyle w:val="13"/>
        <w:tblW w:w="890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98"/>
        <w:gridCol w:w="841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54" w:hRule="atLeast"/>
          <w:jc w:val="center"/>
        </w:trPr>
        <w:tc>
          <w:tcPr>
            <w:tcW w:w="498" w:type="dxa"/>
            <w:noWrap w:val="0"/>
            <w:tcMar>
              <w:left w:w="28" w:type="dxa"/>
              <w:right w:w="28" w:type="dxa"/>
            </w:tcMar>
            <w:vAlign w:val="center"/>
          </w:tcPr>
          <w:p>
            <w:pPr>
              <w:pStyle w:val="11"/>
              <w:adjustRightInd w:val="0"/>
              <w:snapToGrid w:val="0"/>
              <w:spacing w:before="0" w:beforeAutospacing="0" w:after="0" w:afterAutospacing="0"/>
              <w:jc w:val="center"/>
              <w:rPr>
                <w:rFonts w:hint="default" w:ascii="Times New Roman" w:hAnsi="Times New Roman" w:cs="Times New Roman"/>
                <w:kern w:val="2"/>
                <w:sz w:val="24"/>
                <w:szCs w:val="24"/>
                <w:highlight w:val="none"/>
              </w:rPr>
            </w:pPr>
            <w:r>
              <w:rPr>
                <w:rFonts w:hint="default" w:ascii="Times New Roman" w:hAnsi="Times New Roman" w:cs="Times New Roman"/>
                <w:kern w:val="2"/>
                <w:sz w:val="24"/>
                <w:szCs w:val="24"/>
                <w:highlight w:val="none"/>
              </w:rPr>
              <w:t>施工</w:t>
            </w:r>
          </w:p>
          <w:p>
            <w:pPr>
              <w:pStyle w:val="11"/>
              <w:adjustRightInd w:val="0"/>
              <w:snapToGrid w:val="0"/>
              <w:spacing w:before="0" w:beforeAutospacing="0" w:after="0" w:afterAutospacing="0"/>
              <w:jc w:val="center"/>
              <w:rPr>
                <w:rFonts w:hint="default" w:ascii="Times New Roman" w:hAnsi="Times New Roman" w:cs="Times New Roman"/>
                <w:kern w:val="2"/>
                <w:sz w:val="24"/>
                <w:szCs w:val="24"/>
                <w:highlight w:val="none"/>
              </w:rPr>
            </w:pPr>
            <w:r>
              <w:rPr>
                <w:rFonts w:hint="default" w:ascii="Times New Roman" w:hAnsi="Times New Roman" w:cs="Times New Roman"/>
                <w:kern w:val="2"/>
                <w:sz w:val="24"/>
                <w:szCs w:val="24"/>
                <w:highlight w:val="none"/>
              </w:rPr>
              <w:t>期环</w:t>
            </w:r>
          </w:p>
          <w:p>
            <w:pPr>
              <w:pStyle w:val="11"/>
              <w:adjustRightInd w:val="0"/>
              <w:snapToGrid w:val="0"/>
              <w:spacing w:before="0" w:beforeAutospacing="0" w:after="0" w:afterAutospacing="0"/>
              <w:jc w:val="center"/>
              <w:rPr>
                <w:rFonts w:hint="default" w:ascii="Times New Roman" w:hAnsi="Times New Roman" w:cs="Times New Roman"/>
                <w:kern w:val="2"/>
                <w:sz w:val="24"/>
                <w:szCs w:val="24"/>
                <w:highlight w:val="none"/>
              </w:rPr>
            </w:pPr>
            <w:r>
              <w:rPr>
                <w:rFonts w:hint="default" w:ascii="Times New Roman" w:hAnsi="Times New Roman" w:cs="Times New Roman"/>
                <w:kern w:val="2"/>
                <w:sz w:val="24"/>
                <w:szCs w:val="24"/>
                <w:highlight w:val="none"/>
              </w:rPr>
              <w:t>境保</w:t>
            </w:r>
          </w:p>
          <w:p>
            <w:pPr>
              <w:pStyle w:val="11"/>
              <w:adjustRightInd w:val="0"/>
              <w:snapToGrid w:val="0"/>
              <w:spacing w:before="0" w:beforeAutospacing="0" w:after="0" w:afterAutospacing="0"/>
              <w:jc w:val="center"/>
              <w:rPr>
                <w:rFonts w:hint="default" w:ascii="Times New Roman" w:hAnsi="Times New Roman" w:cs="Times New Roman"/>
                <w:kern w:val="2"/>
                <w:sz w:val="24"/>
                <w:szCs w:val="24"/>
                <w:highlight w:val="none"/>
              </w:rPr>
            </w:pPr>
            <w:r>
              <w:rPr>
                <w:rFonts w:hint="default" w:ascii="Times New Roman" w:hAnsi="Times New Roman" w:cs="Times New Roman"/>
                <w:kern w:val="2"/>
                <w:sz w:val="24"/>
                <w:szCs w:val="24"/>
                <w:highlight w:val="none"/>
              </w:rPr>
              <w:t>护措</w:t>
            </w:r>
          </w:p>
          <w:p>
            <w:pPr>
              <w:pStyle w:val="11"/>
              <w:adjustRightInd w:val="0"/>
              <w:snapToGrid w:val="0"/>
              <w:spacing w:before="0" w:beforeAutospacing="0" w:after="0" w:afterAutospacing="0"/>
              <w:jc w:val="center"/>
              <w:rPr>
                <w:rFonts w:hint="default" w:ascii="Times New Roman" w:hAnsi="Times New Roman" w:cs="Times New Roman"/>
                <w:bCs/>
                <w:kern w:val="2"/>
                <w:sz w:val="21"/>
                <w:szCs w:val="21"/>
                <w:highlight w:val="none"/>
              </w:rPr>
            </w:pPr>
            <w:r>
              <w:rPr>
                <w:rFonts w:hint="default" w:ascii="Times New Roman" w:hAnsi="Times New Roman" w:cs="Times New Roman"/>
                <w:kern w:val="2"/>
                <w:sz w:val="24"/>
                <w:szCs w:val="24"/>
                <w:highlight w:val="none"/>
              </w:rPr>
              <w:t>施</w:t>
            </w:r>
          </w:p>
        </w:tc>
        <w:tc>
          <w:tcPr>
            <w:tcW w:w="8410" w:type="dxa"/>
            <w:noWrap w:val="0"/>
            <w:vAlign w:val="center"/>
          </w:tcPr>
          <w:p>
            <w:pPr>
              <w:keepNext w:val="0"/>
              <w:keepLines w:val="0"/>
              <w:pageBreakBefore w:val="0"/>
              <w:widowControl w:val="0"/>
              <w:kinsoku/>
              <w:wordWrap/>
              <w:overflowPunct/>
              <w:topLinePunct w:val="0"/>
              <w:autoSpaceDE/>
              <w:autoSpaceDN/>
              <w:bidi w:val="0"/>
              <w:adjustRightInd w:val="0"/>
              <w:snapToGrid w:val="0"/>
              <w:spacing w:line="520" w:lineRule="exact"/>
              <w:ind w:firstLine="440" w:firstLineChars="200"/>
              <w:textAlignment w:val="auto"/>
              <w:rPr>
                <w:rFonts w:hint="default" w:ascii="Times New Roman" w:hAnsi="Times New Roman" w:eastAsia="宋体" w:cs="Times New Roman"/>
                <w:bCs/>
                <w:spacing w:val="-10"/>
                <w:szCs w:val="21"/>
                <w:highlight w:val="none"/>
                <w:lang w:val="en-US" w:eastAsia="zh-CN"/>
              </w:rPr>
            </w:pPr>
            <w:r>
              <w:rPr>
                <w:rFonts w:hint="default" w:ascii="Times New Roman" w:hAnsi="Times New Roman" w:cs="Times New Roman"/>
                <w:bCs/>
                <w:spacing w:val="-10"/>
                <w:sz w:val="24"/>
                <w:szCs w:val="24"/>
                <w:highlight w:val="none"/>
                <w:lang w:val="en-US" w:eastAsia="zh-CN"/>
              </w:rPr>
              <w:t>本项目主要在现有厂房进行设备增添，施工期间对周围环境影响较小。</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10" w:hRule="atLeast"/>
          <w:jc w:val="center"/>
        </w:trPr>
        <w:tc>
          <w:tcPr>
            <w:tcW w:w="498" w:type="dxa"/>
            <w:noWrap w:val="0"/>
            <w:tcMar>
              <w:left w:w="28" w:type="dxa"/>
              <w:right w:w="28" w:type="dxa"/>
            </w:tcMar>
            <w:vAlign w:val="center"/>
          </w:tcPr>
          <w:p>
            <w:pPr>
              <w:adjustRightInd w:val="0"/>
              <w:snapToGrid w:val="0"/>
              <w:jc w:val="center"/>
              <w:rPr>
                <w:rFonts w:hint="default" w:ascii="Times New Roman" w:hAnsi="Times New Roman" w:cs="Times New Roman"/>
                <w:bCs/>
                <w:sz w:val="24"/>
                <w:szCs w:val="24"/>
                <w:highlight w:val="none"/>
              </w:rPr>
            </w:pPr>
            <w:r>
              <w:rPr>
                <w:rFonts w:hint="default" w:ascii="Times New Roman" w:hAnsi="Times New Roman" w:cs="Times New Roman"/>
                <w:bCs/>
                <w:sz w:val="24"/>
                <w:szCs w:val="24"/>
                <w:highlight w:val="none"/>
              </w:rPr>
              <w:t>运营</w:t>
            </w:r>
          </w:p>
          <w:p>
            <w:pPr>
              <w:adjustRightInd w:val="0"/>
              <w:snapToGrid w:val="0"/>
              <w:jc w:val="center"/>
              <w:rPr>
                <w:rFonts w:hint="default" w:ascii="Times New Roman" w:hAnsi="Times New Roman" w:cs="Times New Roman"/>
                <w:bCs/>
                <w:sz w:val="24"/>
                <w:szCs w:val="24"/>
                <w:highlight w:val="none"/>
              </w:rPr>
            </w:pPr>
            <w:r>
              <w:rPr>
                <w:rFonts w:hint="default" w:ascii="Times New Roman" w:hAnsi="Times New Roman" w:cs="Times New Roman"/>
                <w:bCs/>
                <w:sz w:val="24"/>
                <w:szCs w:val="24"/>
                <w:highlight w:val="none"/>
              </w:rPr>
              <w:t>期环</w:t>
            </w:r>
          </w:p>
          <w:p>
            <w:pPr>
              <w:adjustRightInd w:val="0"/>
              <w:snapToGrid w:val="0"/>
              <w:jc w:val="center"/>
              <w:rPr>
                <w:rFonts w:hint="default" w:ascii="Times New Roman" w:hAnsi="Times New Roman" w:cs="Times New Roman"/>
                <w:bCs/>
                <w:sz w:val="24"/>
                <w:szCs w:val="24"/>
                <w:highlight w:val="none"/>
              </w:rPr>
            </w:pPr>
            <w:r>
              <w:rPr>
                <w:rFonts w:hint="default" w:ascii="Times New Roman" w:hAnsi="Times New Roman" w:cs="Times New Roman"/>
                <w:bCs/>
                <w:sz w:val="24"/>
                <w:szCs w:val="24"/>
                <w:highlight w:val="none"/>
              </w:rPr>
              <w:t>境影</w:t>
            </w:r>
          </w:p>
          <w:p>
            <w:pPr>
              <w:adjustRightInd w:val="0"/>
              <w:snapToGrid w:val="0"/>
              <w:jc w:val="center"/>
              <w:rPr>
                <w:rFonts w:hint="default" w:ascii="Times New Roman" w:hAnsi="Times New Roman" w:cs="Times New Roman"/>
                <w:bCs/>
                <w:sz w:val="24"/>
                <w:szCs w:val="24"/>
                <w:highlight w:val="none"/>
              </w:rPr>
            </w:pPr>
            <w:r>
              <w:rPr>
                <w:rFonts w:hint="default" w:ascii="Times New Roman" w:hAnsi="Times New Roman" w:cs="Times New Roman"/>
                <w:bCs/>
                <w:sz w:val="24"/>
                <w:szCs w:val="24"/>
                <w:highlight w:val="none"/>
              </w:rPr>
              <w:t>响和</w:t>
            </w:r>
          </w:p>
          <w:p>
            <w:pPr>
              <w:adjustRightInd w:val="0"/>
              <w:snapToGrid w:val="0"/>
              <w:jc w:val="center"/>
              <w:rPr>
                <w:rFonts w:hint="default" w:ascii="Times New Roman" w:hAnsi="Times New Roman" w:cs="Times New Roman"/>
                <w:bCs/>
                <w:sz w:val="24"/>
                <w:szCs w:val="24"/>
                <w:highlight w:val="none"/>
              </w:rPr>
            </w:pPr>
            <w:r>
              <w:rPr>
                <w:rFonts w:hint="default" w:ascii="Times New Roman" w:hAnsi="Times New Roman" w:cs="Times New Roman"/>
                <w:bCs/>
                <w:sz w:val="24"/>
                <w:szCs w:val="24"/>
                <w:highlight w:val="none"/>
              </w:rPr>
              <w:t>保护</w:t>
            </w:r>
          </w:p>
          <w:p>
            <w:pPr>
              <w:adjustRightInd w:val="0"/>
              <w:snapToGrid w:val="0"/>
              <w:jc w:val="center"/>
              <w:rPr>
                <w:rFonts w:hint="default" w:ascii="Times New Roman" w:hAnsi="Times New Roman" w:cs="Times New Roman"/>
                <w:bCs/>
                <w:szCs w:val="21"/>
                <w:highlight w:val="none"/>
              </w:rPr>
            </w:pPr>
            <w:r>
              <w:rPr>
                <w:rFonts w:hint="default" w:ascii="Times New Roman" w:hAnsi="Times New Roman" w:cs="Times New Roman"/>
                <w:bCs/>
                <w:sz w:val="24"/>
                <w:szCs w:val="24"/>
                <w:highlight w:val="none"/>
              </w:rPr>
              <w:t>措施</w:t>
            </w:r>
          </w:p>
        </w:tc>
        <w:tc>
          <w:tcPr>
            <w:tcW w:w="8410" w:type="dxa"/>
            <w:noWrap w:val="0"/>
            <w:vAlign w:val="top"/>
          </w:tcPr>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1、废水</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1.1废水产排情况</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（1）生产废水</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本项目用到的乳化液需要兑水稀释，比例为乳化液：自来水=1:20，项目乳化液用</w:t>
            </w:r>
            <w:r>
              <w:rPr>
                <w:rFonts w:hint="default" w:ascii="Times New Roman" w:hAnsi="Times New Roman" w:cs="Times New Roman"/>
                <w:b w:val="0"/>
                <w:bCs/>
                <w:sz w:val="24"/>
                <w:szCs w:val="24"/>
                <w:highlight w:val="none"/>
                <w:lang w:val="en-US" w:eastAsia="zh-CN"/>
              </w:rPr>
              <w:t>量为1.5t/a，则自来水补充量约为30t/a</w:t>
            </w:r>
            <w:r>
              <w:rPr>
                <w:rFonts w:hint="default" w:ascii="Times New Roman" w:hAnsi="Times New Roman" w:cs="Times New Roman"/>
                <w:b w:val="0"/>
                <w:bCs/>
                <w:sz w:val="24"/>
                <w:szCs w:val="24"/>
                <w:highlight w:val="none"/>
                <w:lang w:val="en-US" w:eastAsia="zh-CN"/>
              </w:rPr>
              <w:t>，该部分水在加工过程基本全部挥发，无生产废水外排。</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（2）生活污水</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次扩建工程完成后职工人数为65人，考虑企业现有工程未对废水量进行核算，故此次评价对全厂生活污水进行分析。职工实行两班制，年生产300天，所有人均不在厂区食宿，生活用水主要为洗手、冲厕用水。根据《河南省工业与城镇生活用水定额》（DB41T385-2020），员工洗手、冲厕用水量按照40L/（人·天）计，则项目营运期间员工洗手、冲厕用水量为780m</w:t>
            </w:r>
            <w:r>
              <w:rPr>
                <w:rFonts w:hint="default" w:ascii="Times New Roman" w:hAnsi="Times New Roman" w:cs="Times New Roman"/>
                <w:b w:val="0"/>
                <w:bCs/>
                <w:sz w:val="24"/>
                <w:szCs w:val="24"/>
                <w:highlight w:val="none"/>
                <w:vertAlign w:val="superscript"/>
                <w:lang w:val="en-US" w:eastAsia="zh-CN"/>
              </w:rPr>
              <w:t>3</w:t>
            </w:r>
            <w:r>
              <w:rPr>
                <w:rFonts w:hint="default" w:ascii="Times New Roman" w:hAnsi="Times New Roman" w:cs="Times New Roman"/>
                <w:b w:val="0"/>
                <w:bCs/>
                <w:sz w:val="24"/>
                <w:szCs w:val="24"/>
                <w:highlight w:val="none"/>
                <w:vertAlign w:val="baseline"/>
                <w:lang w:val="en-US" w:eastAsia="zh-CN"/>
              </w:rPr>
              <w:t>/a</w:t>
            </w:r>
            <w:r>
              <w:rPr>
                <w:rFonts w:hint="default" w:ascii="Times New Roman" w:hAnsi="Times New Roman" w:cs="Times New Roman"/>
                <w:b w:val="0"/>
                <w:bCs/>
                <w:sz w:val="24"/>
                <w:szCs w:val="24"/>
                <w:highlight w:val="none"/>
                <w:lang w:val="en-US" w:eastAsia="zh-CN"/>
              </w:rPr>
              <w:t>。污水产生系数按80%计，则产生的废水量为624m</w:t>
            </w:r>
            <w:r>
              <w:rPr>
                <w:rFonts w:hint="default" w:ascii="Times New Roman" w:hAnsi="Times New Roman" w:cs="Times New Roman"/>
                <w:b w:val="0"/>
                <w:bCs/>
                <w:sz w:val="24"/>
                <w:szCs w:val="24"/>
                <w:highlight w:val="none"/>
                <w:vertAlign w:val="superscript"/>
                <w:lang w:val="en-US" w:eastAsia="zh-CN"/>
              </w:rPr>
              <w:t>3</w:t>
            </w:r>
            <w:r>
              <w:rPr>
                <w:rFonts w:hint="default" w:ascii="Times New Roman" w:hAnsi="Times New Roman" w:cs="Times New Roman"/>
                <w:b w:val="0"/>
                <w:bCs/>
                <w:sz w:val="24"/>
                <w:szCs w:val="24"/>
                <w:highlight w:val="none"/>
                <w:vertAlign w:val="baseline"/>
                <w:lang w:val="en-US" w:eastAsia="zh-CN"/>
              </w:rPr>
              <w:t>/a。其中，COD、氨氮、SS的产生浓度分别为300mg/L、30mg/L、200mg/L，产生量分别为0.1872t/a、0.0187t/a、0.1248t/a。经化粪池处理后，COD、氨氮、SS的浓度分别降低为250mg/L、28mg/L、100mg/L，排放量分别为0.156t/a、0.0175t/a、0.0624t/a。</w:t>
            </w:r>
            <w:r>
              <w:rPr>
                <w:rFonts w:hint="default" w:ascii="Times New Roman" w:hAnsi="Times New Roman" w:cs="Times New Roman"/>
                <w:b w:val="0"/>
                <w:bCs/>
                <w:sz w:val="24"/>
                <w:szCs w:val="24"/>
                <w:highlight w:val="none"/>
                <w:lang w:val="en-US" w:eastAsia="zh-CN"/>
              </w:rPr>
              <w:t>项目所在地位于济源市城市污水处理厂收水范围内，生活污水经化粪池预处理后排入污水管网，由济源市城市污水处理厂集中处置。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本项目废水水平衡见下图：</w:t>
            </w:r>
          </w:p>
          <w:p>
            <w:pPr>
              <w:pStyle w:val="2"/>
              <w:keepNext w:val="0"/>
              <w:keepLines w:val="0"/>
              <w:pageBreakBefore w:val="0"/>
              <w:widowControl w:val="0"/>
              <w:kinsoku/>
              <w:wordWrap w:val="0"/>
              <w:overflowPunct/>
              <w:topLinePunct w:val="0"/>
              <w:bidi w:val="0"/>
              <w:adjustRightInd w:val="0"/>
              <w:spacing w:line="520" w:lineRule="exact"/>
              <w:jc w:val="righ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 xml:space="preserve">单位：t/a  </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图4  项目水平衡图</w:t>
            </w:r>
          </w:p>
          <w:p>
            <w:pPr>
              <w:keepNext w:val="0"/>
              <w:keepLines w:val="0"/>
              <w:pageBreakBefore w:val="0"/>
              <w:widowControl w:val="0"/>
              <w:kinsoku/>
              <w:wordWrap/>
              <w:overflowPunct/>
              <w:topLinePunct w:val="0"/>
              <w:autoSpaceDE/>
              <w:autoSpaceDN/>
              <w:bidi w:val="0"/>
              <w:adjustRightInd w:val="0"/>
              <w:snapToGrid w:val="0"/>
              <w:spacing w:line="520" w:lineRule="exact"/>
              <w:ind w:firstLine="42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highlight w:val="none"/>
              </w:rPr>
              <w:drawing>
                <wp:anchor distT="0" distB="0" distL="114300" distR="114300" simplePos="0" relativeHeight="251660288" behindDoc="0" locked="0" layoutInCell="1" allowOverlap="1">
                  <wp:simplePos x="0" y="0"/>
                  <wp:positionH relativeFrom="column">
                    <wp:posOffset>266700</wp:posOffset>
                  </wp:positionH>
                  <wp:positionV relativeFrom="page">
                    <wp:posOffset>1178560</wp:posOffset>
                  </wp:positionV>
                  <wp:extent cx="4916170" cy="1691640"/>
                  <wp:effectExtent l="0" t="0" r="17780" b="3810"/>
                  <wp:wrapSquare wrapText="bothSides"/>
                  <wp:docPr id="1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6"/>
                          <pic:cNvPicPr>
                            <a:picLocks noChangeAspect="1"/>
                          </pic:cNvPicPr>
                        </pic:nvPicPr>
                        <pic:blipFill>
                          <a:blip r:embed="rId12"/>
                          <a:stretch>
                            <a:fillRect/>
                          </a:stretch>
                        </pic:blipFill>
                        <pic:spPr>
                          <a:xfrm>
                            <a:off x="0" y="0"/>
                            <a:ext cx="4916170" cy="1691640"/>
                          </a:xfrm>
                          <a:prstGeom prst="rect">
                            <a:avLst/>
                          </a:prstGeom>
                          <a:noFill/>
                          <a:ln>
                            <a:noFill/>
                          </a:ln>
                        </pic:spPr>
                      </pic:pic>
                    </a:graphicData>
                  </a:graphic>
                </wp:anchor>
              </w:drawing>
            </w:r>
            <w:r>
              <w:rPr>
                <w:rFonts w:hint="default" w:ascii="Times New Roman" w:hAnsi="Times New Roman" w:cs="Times New Roman"/>
                <w:b w:val="0"/>
                <w:bCs/>
                <w:sz w:val="24"/>
                <w:szCs w:val="24"/>
                <w:highlight w:val="none"/>
                <w:lang w:val="en-US" w:eastAsia="zh-CN"/>
              </w:rPr>
              <w:t>本项目废水产生污染物情况见表4-1。</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表4-1  项目水污染物总排放情况</w:t>
            </w:r>
          </w:p>
          <w:tbl>
            <w:tblPr>
              <w:tblStyle w:val="14"/>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893"/>
              <w:gridCol w:w="1110"/>
              <w:gridCol w:w="855"/>
              <w:gridCol w:w="674"/>
              <w:gridCol w:w="883"/>
              <w:gridCol w:w="883"/>
              <w:gridCol w:w="883"/>
              <w:gridCol w:w="8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82"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污水种类及产生量</w:t>
                  </w:r>
                </w:p>
              </w:tc>
              <w:tc>
                <w:tcPr>
                  <w:tcW w:w="893"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污染物名称</w:t>
                  </w:r>
                </w:p>
              </w:tc>
              <w:tc>
                <w:tcPr>
                  <w:tcW w:w="1965"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产生量</w:t>
                  </w:r>
                </w:p>
              </w:tc>
              <w:tc>
                <w:tcPr>
                  <w:tcW w:w="674"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治理措施</w:t>
                  </w:r>
                </w:p>
              </w:tc>
              <w:tc>
                <w:tcPr>
                  <w:tcW w:w="1766" w:type="dxa"/>
                  <w:gridSpan w:val="2"/>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污染物排放量</w:t>
                  </w:r>
                </w:p>
              </w:tc>
              <w:tc>
                <w:tcPr>
                  <w:tcW w:w="883"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标准</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限值（mg/L）</w:t>
                  </w:r>
                </w:p>
              </w:tc>
              <w:tc>
                <w:tcPr>
                  <w:tcW w:w="883" w:type="dxa"/>
                  <w:vMerge w:val="restart"/>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排放</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去向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82"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sz w:val="24"/>
                      <w:szCs w:val="24"/>
                      <w:highlight w:val="none"/>
                      <w:vertAlign w:val="baseline"/>
                      <w:lang w:val="en-US" w:eastAsia="zh-CN"/>
                    </w:rPr>
                  </w:pPr>
                </w:p>
              </w:tc>
              <w:tc>
                <w:tcPr>
                  <w:tcW w:w="893"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sz w:val="24"/>
                      <w:szCs w:val="24"/>
                      <w:highlight w:val="none"/>
                      <w:vertAlign w:val="baseline"/>
                      <w:lang w:val="en-US" w:eastAsia="zh-CN"/>
                    </w:rPr>
                  </w:pPr>
                </w:p>
              </w:tc>
              <w:tc>
                <w:tcPr>
                  <w:tcW w:w="111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浓度（mg/L）</w:t>
                  </w:r>
                </w:p>
              </w:tc>
              <w:tc>
                <w:tcPr>
                  <w:tcW w:w="85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产生量（t/a）</w:t>
                  </w:r>
                </w:p>
              </w:tc>
              <w:tc>
                <w:tcPr>
                  <w:tcW w:w="674"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sz w:val="24"/>
                      <w:szCs w:val="24"/>
                      <w:highlight w:val="none"/>
                      <w:vertAlign w:val="baseline"/>
                      <w:lang w:val="en-US" w:eastAsia="zh-CN"/>
                    </w:rPr>
                  </w:pPr>
                </w:p>
              </w:tc>
              <w:tc>
                <w:tcPr>
                  <w:tcW w:w="883"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浓度（mg/L）</w:t>
                  </w:r>
                </w:p>
              </w:tc>
              <w:tc>
                <w:tcPr>
                  <w:tcW w:w="883"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排放量量（t/a）</w:t>
                  </w:r>
                </w:p>
              </w:tc>
              <w:tc>
                <w:tcPr>
                  <w:tcW w:w="883"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sz w:val="24"/>
                      <w:szCs w:val="24"/>
                      <w:highlight w:val="none"/>
                      <w:vertAlign w:val="baseline"/>
                      <w:lang w:val="en-US" w:eastAsia="zh-CN"/>
                    </w:rPr>
                  </w:pPr>
                </w:p>
              </w:tc>
              <w:tc>
                <w:tcPr>
                  <w:tcW w:w="883"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sz w:val="24"/>
                      <w:szCs w:val="24"/>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2"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生活污水624t/a</w:t>
                  </w:r>
                </w:p>
              </w:tc>
              <w:tc>
                <w:tcPr>
                  <w:tcW w:w="89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COD</w:t>
                  </w:r>
                </w:p>
              </w:tc>
              <w:tc>
                <w:tcPr>
                  <w:tcW w:w="111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300</w:t>
                  </w:r>
                </w:p>
              </w:tc>
              <w:tc>
                <w:tcPr>
                  <w:tcW w:w="85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0.1872</w:t>
                  </w:r>
                </w:p>
              </w:tc>
              <w:tc>
                <w:tcPr>
                  <w:tcW w:w="674"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化粪池</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250</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0.156</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380</w:t>
                  </w:r>
                </w:p>
              </w:tc>
              <w:tc>
                <w:tcPr>
                  <w:tcW w:w="883"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济源市城市污水处理厂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2"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89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氨氮</w:t>
                  </w:r>
                </w:p>
              </w:tc>
              <w:tc>
                <w:tcPr>
                  <w:tcW w:w="111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30</w:t>
                  </w:r>
                </w:p>
              </w:tc>
              <w:tc>
                <w:tcPr>
                  <w:tcW w:w="85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0.0187</w:t>
                  </w:r>
                </w:p>
              </w:tc>
              <w:tc>
                <w:tcPr>
                  <w:tcW w:w="674"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28</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0.0175</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35</w:t>
                  </w:r>
                </w:p>
              </w:tc>
              <w:tc>
                <w:tcPr>
                  <w:tcW w:w="883"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82"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89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SS</w:t>
                  </w:r>
                </w:p>
              </w:tc>
              <w:tc>
                <w:tcPr>
                  <w:tcW w:w="111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200</w:t>
                  </w:r>
                </w:p>
              </w:tc>
              <w:tc>
                <w:tcPr>
                  <w:tcW w:w="85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0.1248</w:t>
                  </w:r>
                </w:p>
              </w:tc>
              <w:tc>
                <w:tcPr>
                  <w:tcW w:w="674"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100</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0.0624</w:t>
                  </w:r>
                </w:p>
              </w:tc>
              <w:tc>
                <w:tcPr>
                  <w:tcW w:w="88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160</w:t>
                  </w:r>
                </w:p>
              </w:tc>
              <w:tc>
                <w:tcPr>
                  <w:tcW w:w="883"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项目产生生活污水经化粪池处理后，COD、氨氮、SS的浓度分别为250mg/L、28mg/L、100mg/L，均达到《污水综合排放标准》（GB8978-1996）表4三级标准要求（COD：500mg/L、SS：400mg/L），且满足济源市城市污水处理厂进水水质要求（COD：380mg/L、氨氮：35mg/L、SS：160mg/L），故生活污水经化粪池处理后排入济源市城市污水处理厂可行。</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1.2废水监测计划</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w:r>
              <w:rPr>
                <w:rFonts w:hint="default" w:ascii="Times New Roman" w:hAnsi="Times New Roman" w:cs="Times New Roman"/>
                <w:b w:val="0"/>
                <w:bCs/>
                <w:i w:val="0"/>
                <w:kern w:val="2"/>
                <w:sz w:val="24"/>
                <w:szCs w:val="24"/>
                <w:highlight w:val="none"/>
                <w:vertAlign w:val="baseline"/>
                <w:lang w:val="en-US" w:eastAsia="zh-CN" w:bidi="ar-SA"/>
              </w:rPr>
              <w:t>根据《排污单位自行检测技术指南 总则》（HJ819-2017），评价要求项目废水每年监测一次，设置生活污水排放口，编号为DW001，属于一般排放口，监测计划详见表4-2。</w:t>
            </w:r>
          </w:p>
          <w:p>
            <w:pPr>
              <w:keepNext w:val="0"/>
              <w:keepLines w:val="0"/>
              <w:pageBreakBefore w:val="0"/>
              <w:widowControl w:val="0"/>
              <w:kinsoku/>
              <w:overflowPunct/>
              <w:topLinePunct w:val="0"/>
              <w:bidi w:val="0"/>
              <w:adjustRightInd w:val="0"/>
              <w:snapToGrid w:val="0"/>
              <w:spacing w:line="520" w:lineRule="exact"/>
              <w:ind w:firstLine="482" w:firstLineChars="200"/>
              <w:jc w:val="center"/>
              <w:textAlignment w:val="auto"/>
              <w:rPr>
                <w:rFonts w:hint="default" w:ascii="Times New Roman" w:hAnsi="Times New Roman" w:cs="Times New Roman"/>
                <w:b/>
                <w:bCs w:val="0"/>
                <w:i w:val="0"/>
                <w:kern w:val="2"/>
                <w:sz w:val="24"/>
                <w:szCs w:val="24"/>
                <w:highlight w:val="none"/>
                <w:vertAlign w:val="baseline"/>
                <w:lang w:val="en-US" w:eastAsia="zh-CN" w:bidi="ar-SA"/>
              </w:rPr>
            </w:pPr>
            <w:r>
              <w:rPr>
                <w:rFonts w:hint="default" w:ascii="Times New Roman" w:hAnsi="Times New Roman" w:cs="Times New Roman"/>
                <w:b/>
                <w:bCs w:val="0"/>
                <w:i w:val="0"/>
                <w:kern w:val="2"/>
                <w:sz w:val="24"/>
                <w:szCs w:val="24"/>
                <w:highlight w:val="none"/>
                <w:vertAlign w:val="baseline"/>
                <w:lang w:val="en-US" w:eastAsia="zh-CN" w:bidi="ar-SA"/>
              </w:rPr>
              <w:t>表4-2  项目废水监测计划</w:t>
            </w:r>
          </w:p>
          <w:tbl>
            <w:tblPr>
              <w:tblStyle w:val="14"/>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9"/>
              <w:gridCol w:w="1589"/>
              <w:gridCol w:w="1589"/>
              <w:gridCol w:w="1589"/>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8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监测点位</w:t>
                  </w:r>
                </w:p>
              </w:tc>
              <w:tc>
                <w:tcPr>
                  <w:tcW w:w="158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监测因子</w:t>
                  </w:r>
                </w:p>
              </w:tc>
              <w:tc>
                <w:tcPr>
                  <w:tcW w:w="158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监测频次</w:t>
                  </w:r>
                </w:p>
              </w:tc>
              <w:tc>
                <w:tcPr>
                  <w:tcW w:w="158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标准限值（mg/m</w:t>
                  </w:r>
                  <w:r>
                    <w:rPr>
                      <w:rFonts w:hint="default" w:ascii="Times New Roman" w:hAnsi="Times New Roman" w:cs="Times New Roman"/>
                      <w:b/>
                      <w:bCs w:val="0"/>
                      <w:i w:val="0"/>
                      <w:kern w:val="2"/>
                      <w:sz w:val="21"/>
                      <w:szCs w:val="21"/>
                      <w:highlight w:val="none"/>
                      <w:vertAlign w:val="superscript"/>
                      <w:lang w:val="en-US" w:eastAsia="zh-CN" w:bidi="ar-SA"/>
                    </w:rPr>
                    <w:t>3</w:t>
                  </w:r>
                  <w:r>
                    <w:rPr>
                      <w:rFonts w:hint="default" w:ascii="Times New Roman" w:hAnsi="Times New Roman" w:cs="Times New Roman"/>
                      <w:b/>
                      <w:bCs w:val="0"/>
                      <w:i w:val="0"/>
                      <w:kern w:val="2"/>
                      <w:sz w:val="21"/>
                      <w:szCs w:val="21"/>
                      <w:highlight w:val="none"/>
                      <w:vertAlign w:val="baseline"/>
                      <w:lang w:val="en-US" w:eastAsia="zh-CN" w:bidi="ar-SA"/>
                    </w:rPr>
                    <w:t>）</w:t>
                  </w:r>
                </w:p>
              </w:tc>
              <w:tc>
                <w:tcPr>
                  <w:tcW w:w="159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89"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DW001</w:t>
                  </w:r>
                </w:p>
              </w:tc>
              <w:tc>
                <w:tcPr>
                  <w:tcW w:w="158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COD</w:t>
                  </w:r>
                </w:p>
              </w:tc>
              <w:tc>
                <w:tcPr>
                  <w:tcW w:w="1589"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每年监测一次</w:t>
                  </w:r>
                </w:p>
              </w:tc>
              <w:tc>
                <w:tcPr>
                  <w:tcW w:w="158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380</w:t>
                  </w:r>
                </w:p>
              </w:tc>
              <w:tc>
                <w:tcPr>
                  <w:tcW w:w="1590"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济源市城市污水处理厂进水指标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89"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58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氨氮</w:t>
                  </w:r>
                </w:p>
              </w:tc>
              <w:tc>
                <w:tcPr>
                  <w:tcW w:w="1589"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58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35</w:t>
                  </w:r>
                </w:p>
              </w:tc>
              <w:tc>
                <w:tcPr>
                  <w:tcW w:w="159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2、声环境影响分析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2.1噪声源强</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噪声源主要为车床、铣床、镗床、钻床等加工设备，噪声源强在80~100dB（A）左右。设备安置在生产车间进行作业，经过基础减振和室内布置等措施后，可降噪20dB（A）。项目各声源设备降噪前后噪声值见表4-3。</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表4-3  主要设备噪声源强及降噪情况一览表  单位：dB（A）</w:t>
            </w:r>
          </w:p>
          <w:tbl>
            <w:tblPr>
              <w:tblStyle w:val="14"/>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7"/>
              <w:gridCol w:w="675"/>
              <w:gridCol w:w="1063"/>
              <w:gridCol w:w="282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设备名称</w:t>
                  </w:r>
                </w:p>
              </w:tc>
              <w:tc>
                <w:tcPr>
                  <w:tcW w:w="67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数量</w:t>
                  </w:r>
                </w:p>
              </w:tc>
              <w:tc>
                <w:tcPr>
                  <w:tcW w:w="1063"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噪声源强</w:t>
                  </w:r>
                </w:p>
              </w:tc>
              <w:tc>
                <w:tcPr>
                  <w:tcW w:w="2821"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控制措施</w:t>
                  </w:r>
                </w:p>
              </w:tc>
              <w:tc>
                <w:tcPr>
                  <w:tcW w:w="159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治理后噪声值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车床</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4</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75~90</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55~70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铣床</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80~95</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磨床</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80~95</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铣镗床</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80~95</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钻床</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80~95</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60~75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加工中心</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13</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85~95</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65~75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空压机</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90~100</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70~80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9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行车</w:t>
                  </w:r>
                </w:p>
              </w:tc>
              <w:tc>
                <w:tcPr>
                  <w:tcW w:w="67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w:t>
                  </w:r>
                </w:p>
              </w:tc>
              <w:tc>
                <w:tcPr>
                  <w:tcW w:w="1063"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85~95</w:t>
                  </w:r>
                </w:p>
              </w:tc>
              <w:tc>
                <w:tcPr>
                  <w:tcW w:w="2821"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基础减震、厂房隔声</w:t>
                  </w:r>
                </w:p>
              </w:tc>
              <w:tc>
                <w:tcPr>
                  <w:tcW w:w="15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65~75</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2.2评价标准</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本项目厂界噪声执行《工业企业厂界环境噪声排放标准》（GB12348-2008）2类（昼间60dB（A）、夜间50dB（A））以及4类标准要求（昼间70dB（A）、夜间55dB（A））。</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2.3预测结果</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评价根据项目噪声设备分布情况及对噪声影响进行预测，预测厂界达标情况以及对最近敏感点的噪声贡献值，项目声环境影响预测模式如下：</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根据点声源衰减模式进行预测：</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噪声衰减公式：</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lang w:val="en-US" w:eastAsia="zh-CN"/>
              </w:rPr>
              <w:t>L</w:t>
            </w:r>
            <w:r>
              <w:rPr>
                <w:rFonts w:hint="default" w:ascii="Times New Roman" w:hAnsi="Times New Roman" w:cs="Times New Roman"/>
                <w:b w:val="0"/>
                <w:bCs/>
                <w:sz w:val="24"/>
                <w:szCs w:val="24"/>
                <w:highlight w:val="none"/>
                <w:vertAlign w:val="subscript"/>
                <w:lang w:val="en-US" w:eastAsia="zh-CN"/>
              </w:rPr>
              <w:t>2</w:t>
            </w:r>
            <w:r>
              <w:rPr>
                <w:rFonts w:hint="default" w:ascii="Times New Roman" w:hAnsi="Times New Roman" w:cs="Times New Roman"/>
                <w:b w:val="0"/>
                <w:bCs/>
                <w:sz w:val="24"/>
                <w:szCs w:val="24"/>
                <w:highlight w:val="none"/>
                <w:vertAlign w:val="baseline"/>
                <w:lang w:val="en-US" w:eastAsia="zh-CN"/>
              </w:rPr>
              <w:t>=L</w:t>
            </w:r>
            <w:r>
              <w:rPr>
                <w:rFonts w:hint="default" w:ascii="Times New Roman" w:hAnsi="Times New Roman" w:cs="Times New Roman"/>
                <w:b w:val="0"/>
                <w:bCs/>
                <w:sz w:val="24"/>
                <w:szCs w:val="24"/>
                <w:highlight w:val="none"/>
                <w:vertAlign w:val="subscript"/>
                <w:lang w:val="en-US" w:eastAsia="zh-CN"/>
              </w:rPr>
              <w:t>1</w:t>
            </w:r>
            <w:r>
              <w:rPr>
                <w:rFonts w:hint="default" w:ascii="Times New Roman" w:hAnsi="Times New Roman" w:cs="Times New Roman"/>
                <w:b w:val="0"/>
                <w:bCs/>
                <w:sz w:val="24"/>
                <w:szCs w:val="24"/>
                <w:highlight w:val="none"/>
                <w:vertAlign w:val="baseline"/>
                <w:lang w:val="en-US" w:eastAsia="zh-CN"/>
              </w:rPr>
              <w:t>-20lg（r</w:t>
            </w:r>
            <w:r>
              <w:rPr>
                <w:rFonts w:hint="default" w:ascii="Times New Roman" w:hAnsi="Times New Roman" w:cs="Times New Roman"/>
                <w:b w:val="0"/>
                <w:bCs/>
                <w:sz w:val="24"/>
                <w:szCs w:val="24"/>
                <w:highlight w:val="none"/>
                <w:vertAlign w:val="subscript"/>
                <w:lang w:val="en-US" w:eastAsia="zh-CN"/>
              </w:rPr>
              <w:t>2</w:t>
            </w:r>
            <w:r>
              <w:rPr>
                <w:rFonts w:hint="default" w:ascii="Times New Roman" w:hAnsi="Times New Roman" w:cs="Times New Roman"/>
                <w:b w:val="0"/>
                <w:bCs/>
                <w:sz w:val="24"/>
                <w:szCs w:val="24"/>
                <w:highlight w:val="none"/>
                <w:vertAlign w:val="baseline"/>
                <w:lang w:val="en-US" w:eastAsia="zh-CN"/>
              </w:rPr>
              <w:t>/r</w:t>
            </w:r>
            <w:r>
              <w:rPr>
                <w:rFonts w:hint="default" w:ascii="Times New Roman" w:hAnsi="Times New Roman" w:cs="Times New Roman"/>
                <w:b w:val="0"/>
                <w:bCs/>
                <w:sz w:val="24"/>
                <w:szCs w:val="24"/>
                <w:highlight w:val="none"/>
                <w:vertAlign w:val="subscript"/>
                <w:lang w:val="en-US" w:eastAsia="zh-CN"/>
              </w:rPr>
              <w:t>1</w:t>
            </w:r>
            <w:r>
              <w:rPr>
                <w:rFonts w:hint="default" w:ascii="Times New Roman" w:hAnsi="Times New Roman" w:cs="Times New Roman"/>
                <w:b w:val="0"/>
                <w:bCs/>
                <w:sz w:val="24"/>
                <w:szCs w:val="24"/>
                <w:highlight w:val="none"/>
                <w:vertAlign w:val="baseline"/>
                <w:lang w:val="en-US" w:eastAsia="zh-CN"/>
              </w:rPr>
              <w:t>），r</w:t>
            </w:r>
            <w:r>
              <w:rPr>
                <w:rFonts w:hint="default" w:ascii="Times New Roman" w:hAnsi="Times New Roman" w:cs="Times New Roman"/>
                <w:b w:val="0"/>
                <w:bCs/>
                <w:sz w:val="24"/>
                <w:szCs w:val="24"/>
                <w:highlight w:val="none"/>
                <w:vertAlign w:val="subscript"/>
                <w:lang w:val="en-US" w:eastAsia="zh-CN"/>
              </w:rPr>
              <w:t>1</w:t>
            </w:r>
            <w:r>
              <w:rPr>
                <w:rFonts w:hint="default" w:ascii="Times New Roman" w:hAnsi="Times New Roman" w:cs="Times New Roman"/>
                <w:b w:val="0"/>
                <w:bCs/>
                <w:sz w:val="24"/>
                <w:szCs w:val="24"/>
                <w:highlight w:val="none"/>
                <w:vertAlign w:val="baseline"/>
                <w:lang w:val="en-US" w:eastAsia="zh-CN"/>
              </w:rPr>
              <w:t>＞r</w:t>
            </w:r>
            <w:r>
              <w:rPr>
                <w:rFonts w:hint="default" w:ascii="Times New Roman" w:hAnsi="Times New Roman" w:cs="Times New Roman"/>
                <w:b w:val="0"/>
                <w:bCs/>
                <w:sz w:val="24"/>
                <w:szCs w:val="24"/>
                <w:highlight w:val="none"/>
                <w:vertAlign w:val="subscript"/>
                <w:lang w:val="en-US" w:eastAsia="zh-CN"/>
              </w:rPr>
              <w:t>2</w:t>
            </w:r>
            <w:r>
              <w:rPr>
                <w:rFonts w:hint="default" w:ascii="Times New Roman" w:hAnsi="Times New Roman" w:cs="Times New Roman"/>
                <w:b w:val="0"/>
                <w:bCs/>
                <w:sz w:val="24"/>
                <w:szCs w:val="24"/>
                <w:highlight w:val="none"/>
                <w:vertAlign w:val="baseli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式中：L</w:t>
            </w:r>
            <w:r>
              <w:rPr>
                <w:rFonts w:hint="default" w:ascii="Times New Roman" w:hAnsi="Times New Roman" w:cs="Times New Roman"/>
                <w:b w:val="0"/>
                <w:bCs/>
                <w:sz w:val="24"/>
                <w:szCs w:val="24"/>
                <w:highlight w:val="none"/>
                <w:vertAlign w:val="subscript"/>
                <w:lang w:val="en-US" w:eastAsia="zh-CN"/>
              </w:rPr>
              <w:t>1</w:t>
            </w:r>
            <w:r>
              <w:rPr>
                <w:rFonts w:hint="default" w:ascii="Times New Roman" w:hAnsi="Times New Roman" w:cs="Times New Roman"/>
                <w:b w:val="0"/>
                <w:bCs/>
                <w:sz w:val="24"/>
                <w:szCs w:val="24"/>
                <w:highlight w:val="none"/>
                <w:vertAlign w:val="baseline"/>
                <w:lang w:val="en-US" w:eastAsia="zh-CN"/>
              </w:rPr>
              <w:t>、L</w:t>
            </w:r>
            <w:r>
              <w:rPr>
                <w:rFonts w:hint="default" w:ascii="Times New Roman" w:hAnsi="Times New Roman" w:cs="Times New Roman"/>
                <w:b w:val="0"/>
                <w:bCs/>
                <w:sz w:val="24"/>
                <w:szCs w:val="24"/>
                <w:highlight w:val="none"/>
                <w:vertAlign w:val="subscript"/>
                <w:lang w:val="en-US" w:eastAsia="zh-CN"/>
              </w:rPr>
              <w:t>2</w:t>
            </w:r>
            <w:r>
              <w:rPr>
                <w:rFonts w:hint="default" w:ascii="Times New Roman" w:hAnsi="Times New Roman" w:cs="Times New Roman"/>
                <w:b w:val="0"/>
                <w:bCs/>
                <w:sz w:val="24"/>
                <w:szCs w:val="24"/>
                <w:highlight w:val="none"/>
                <w:vertAlign w:val="baseline"/>
                <w:lang w:val="en-US" w:eastAsia="zh-CN"/>
              </w:rPr>
              <w:t>——距声源r</w:t>
            </w:r>
            <w:r>
              <w:rPr>
                <w:rFonts w:hint="default" w:ascii="Times New Roman" w:hAnsi="Times New Roman" w:cs="Times New Roman"/>
                <w:b w:val="0"/>
                <w:bCs/>
                <w:sz w:val="24"/>
                <w:szCs w:val="24"/>
                <w:highlight w:val="none"/>
                <w:vertAlign w:val="subscript"/>
                <w:lang w:val="en-US" w:eastAsia="zh-CN"/>
              </w:rPr>
              <w:t>1</w:t>
            </w:r>
            <w:r>
              <w:rPr>
                <w:rFonts w:hint="default" w:ascii="Times New Roman" w:hAnsi="Times New Roman" w:cs="Times New Roman"/>
                <w:b w:val="0"/>
                <w:bCs/>
                <w:sz w:val="24"/>
                <w:szCs w:val="24"/>
                <w:highlight w:val="none"/>
                <w:vertAlign w:val="baseline"/>
                <w:lang w:val="en-US" w:eastAsia="zh-CN"/>
              </w:rPr>
              <w:t>、r</w:t>
            </w:r>
            <w:r>
              <w:rPr>
                <w:rFonts w:hint="default" w:ascii="Times New Roman" w:hAnsi="Times New Roman" w:cs="Times New Roman"/>
                <w:b w:val="0"/>
                <w:bCs/>
                <w:sz w:val="24"/>
                <w:szCs w:val="24"/>
                <w:highlight w:val="none"/>
                <w:vertAlign w:val="subscript"/>
                <w:lang w:val="en-US" w:eastAsia="zh-CN"/>
              </w:rPr>
              <w:t>2</w:t>
            </w:r>
            <w:r>
              <w:rPr>
                <w:rFonts w:hint="default" w:ascii="Times New Roman" w:hAnsi="Times New Roman" w:cs="Times New Roman"/>
                <w:b w:val="0"/>
                <w:bCs/>
                <w:sz w:val="24"/>
                <w:szCs w:val="24"/>
                <w:highlight w:val="none"/>
                <w:vertAlign w:val="baseline"/>
                <w:lang w:val="en-US" w:eastAsia="zh-CN"/>
              </w:rPr>
              <w:t>处的噪声值，dB（A）；</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r</w:t>
            </w:r>
            <w:r>
              <w:rPr>
                <w:rFonts w:hint="default" w:ascii="Times New Roman" w:hAnsi="Times New Roman" w:cs="Times New Roman"/>
                <w:b w:val="0"/>
                <w:bCs/>
                <w:sz w:val="24"/>
                <w:szCs w:val="24"/>
                <w:highlight w:val="none"/>
                <w:vertAlign w:val="subscript"/>
                <w:lang w:val="en-US" w:eastAsia="zh-CN"/>
              </w:rPr>
              <w:t>1</w:t>
            </w:r>
            <w:r>
              <w:rPr>
                <w:rFonts w:hint="default" w:ascii="Times New Roman" w:hAnsi="Times New Roman" w:cs="Times New Roman"/>
                <w:b w:val="0"/>
                <w:bCs/>
                <w:sz w:val="24"/>
                <w:szCs w:val="24"/>
                <w:highlight w:val="none"/>
                <w:vertAlign w:val="baseline"/>
                <w:lang w:val="en-US" w:eastAsia="zh-CN"/>
              </w:rPr>
              <w:t>、r</w:t>
            </w:r>
            <w:r>
              <w:rPr>
                <w:rFonts w:hint="default" w:ascii="Times New Roman" w:hAnsi="Times New Roman" w:cs="Times New Roman"/>
                <w:b w:val="0"/>
                <w:bCs/>
                <w:sz w:val="24"/>
                <w:szCs w:val="24"/>
                <w:highlight w:val="none"/>
                <w:vertAlign w:val="subscript"/>
                <w:lang w:val="en-US" w:eastAsia="zh-CN"/>
              </w:rPr>
              <w:t>2</w:t>
            </w:r>
            <w:r>
              <w:rPr>
                <w:rFonts w:hint="default" w:ascii="Times New Roman" w:hAnsi="Times New Roman" w:cs="Times New Roman"/>
                <w:b w:val="0"/>
                <w:bCs/>
                <w:sz w:val="24"/>
                <w:szCs w:val="24"/>
                <w:highlight w:val="none"/>
                <w:vertAlign w:val="baseline"/>
                <w:lang w:val="en-US" w:eastAsia="zh-CN"/>
              </w:rPr>
              <w:t>——预测点距声源的距离，m。</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噪声级的叠加公式：</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m:oMathPara>
              <m:oMath>
                <m:sSub>
                  <m:sSubPr>
                    <m:ctrlPr>
                      <w:rPr>
                        <w:rFonts w:hint="default" w:ascii="Cambria Math" w:hAnsi="Cambria Math" w:cs="Times New Roman"/>
                        <w:b w:val="0"/>
                        <w:bCs/>
                        <w:kern w:val="2"/>
                        <w:sz w:val="24"/>
                        <w:szCs w:val="24"/>
                        <w:highlight w:val="none"/>
                        <w:vertAlign w:val="baseline"/>
                        <w:lang w:val="en-US" w:eastAsia="zh-CN" w:bidi="ar-SA"/>
                      </w:rPr>
                    </m:ctrlPr>
                  </m:sSubPr>
                  <m:e>
                    <m:r>
                      <m:rPr>
                        <m:sty m:val="p"/>
                      </m:rPr>
                      <w:rPr>
                        <w:rFonts w:hint="default" w:ascii="Cambria Math" w:hAnsi="Cambria Math" w:cs="Times New Roman"/>
                        <w:kern w:val="2"/>
                        <w:sz w:val="24"/>
                        <w:szCs w:val="24"/>
                        <w:highlight w:val="none"/>
                        <w:vertAlign w:val="baseline"/>
                        <w:lang w:val="en-US" w:eastAsia="zh-CN" w:bidi="ar-SA"/>
                      </w:rPr>
                      <m:t>L</m:t>
                    </m:r>
                    <m:ctrlPr>
                      <w:rPr>
                        <w:rFonts w:hint="default" w:ascii="Cambria Math" w:hAnsi="Cambria Math" w:cs="Times New Roman"/>
                        <w:b w:val="0"/>
                        <w:bCs/>
                        <w:kern w:val="2"/>
                        <w:sz w:val="24"/>
                        <w:szCs w:val="24"/>
                        <w:highlight w:val="none"/>
                        <w:vertAlign w:val="baseline"/>
                        <w:lang w:val="en-US" w:eastAsia="zh-CN" w:bidi="ar-SA"/>
                      </w:rPr>
                    </m:ctrlPr>
                  </m:e>
                  <m:sub>
                    <m:r>
                      <m:rPr>
                        <m:sty m:val="p"/>
                      </m:rPr>
                      <w:rPr>
                        <w:rFonts w:hint="default" w:ascii="Cambria Math" w:hAnsi="Cambria Math" w:cs="Times New Roman"/>
                        <w:kern w:val="2"/>
                        <w:sz w:val="24"/>
                        <w:szCs w:val="24"/>
                        <w:highlight w:val="none"/>
                        <w:vertAlign w:val="baseline"/>
                        <w:lang w:val="en-US" w:eastAsia="zh-CN" w:bidi="ar-SA"/>
                      </w:rPr>
                      <m:t>n</m:t>
                    </m:r>
                    <m:ctrlPr>
                      <w:rPr>
                        <w:rFonts w:hint="default" w:ascii="Cambria Math" w:hAnsi="Cambria Math" w:cs="Times New Roman"/>
                        <w:b w:val="0"/>
                        <w:bCs/>
                        <w:kern w:val="2"/>
                        <w:sz w:val="24"/>
                        <w:szCs w:val="24"/>
                        <w:highlight w:val="none"/>
                        <w:vertAlign w:val="baseline"/>
                        <w:lang w:val="en-US" w:eastAsia="zh-CN" w:bidi="ar-SA"/>
                      </w:rPr>
                    </m:ctrlPr>
                  </m:sub>
                </m:sSub>
                <m:r>
                  <m:rPr>
                    <m:sty m:val="p"/>
                  </m:rPr>
                  <w:rPr>
                    <w:rFonts w:hint="default" w:ascii="Cambria Math" w:hAnsi="Cambria Math" w:cs="Times New Roman"/>
                    <w:kern w:val="2"/>
                    <w:sz w:val="24"/>
                    <w:szCs w:val="24"/>
                    <w:highlight w:val="none"/>
                    <w:vertAlign w:val="baseline"/>
                    <w:lang w:val="en-US" w:eastAsia="zh-CN" w:bidi="ar-SA"/>
                  </w:rPr>
                  <m:t>=10lg</m:t>
                </m:r>
                <m:nary>
                  <m:naryPr>
                    <m:chr m:val="∑"/>
                    <m:limLoc m:val="undOvr"/>
                    <m:ctrlPr>
                      <w:rPr>
                        <w:rFonts w:hint="default" w:ascii="Cambria Math" w:hAnsi="Cambria Math" w:cs="Times New Roman"/>
                        <w:b w:val="0"/>
                        <w:bCs/>
                        <w:kern w:val="2"/>
                        <w:sz w:val="24"/>
                        <w:szCs w:val="24"/>
                        <w:highlight w:val="none"/>
                        <w:vertAlign w:val="baseline"/>
                        <w:lang w:val="en-US" w:eastAsia="zh-CN" w:bidi="ar-SA"/>
                      </w:rPr>
                    </m:ctrlPr>
                  </m:naryPr>
                  <m:sub>
                    <m:r>
                      <m:rPr>
                        <m:sty m:val="p"/>
                      </m:rPr>
                      <w:rPr>
                        <w:rFonts w:hint="default" w:ascii="Cambria Math" w:hAnsi="Cambria Math" w:cs="Times New Roman"/>
                        <w:kern w:val="2"/>
                        <w:sz w:val="24"/>
                        <w:szCs w:val="24"/>
                        <w:highlight w:val="none"/>
                        <w:vertAlign w:val="baseline"/>
                        <w:lang w:val="en-US" w:eastAsia="zh-CN" w:bidi="ar-SA"/>
                      </w:rPr>
                      <m:t>i=1</m:t>
                    </m:r>
                    <m:ctrlPr>
                      <w:rPr>
                        <w:rFonts w:hint="default" w:ascii="Cambria Math" w:hAnsi="Cambria Math" w:cs="Times New Roman"/>
                        <w:b w:val="0"/>
                        <w:bCs/>
                        <w:kern w:val="2"/>
                        <w:sz w:val="24"/>
                        <w:szCs w:val="24"/>
                        <w:highlight w:val="none"/>
                        <w:vertAlign w:val="baseline"/>
                        <w:lang w:val="en-US" w:eastAsia="zh-CN" w:bidi="ar-SA"/>
                      </w:rPr>
                    </m:ctrlPr>
                  </m:sub>
                  <m:sup>
                    <m:r>
                      <m:rPr>
                        <m:sty m:val="p"/>
                      </m:rPr>
                      <w:rPr>
                        <w:rFonts w:hint="default" w:ascii="Cambria Math" w:hAnsi="Cambria Math" w:cs="Times New Roman"/>
                        <w:kern w:val="2"/>
                        <w:sz w:val="24"/>
                        <w:szCs w:val="24"/>
                        <w:highlight w:val="none"/>
                        <w:vertAlign w:val="baseline"/>
                        <w:lang w:val="en-US" w:eastAsia="zh-CN" w:bidi="ar-SA"/>
                      </w:rPr>
                      <m:t>n</m:t>
                    </m:r>
                    <m:ctrlPr>
                      <w:rPr>
                        <w:rFonts w:hint="default" w:ascii="Cambria Math" w:hAnsi="Cambria Math" w:cs="Times New Roman"/>
                        <w:b w:val="0"/>
                        <w:bCs/>
                        <w:kern w:val="2"/>
                        <w:sz w:val="24"/>
                        <w:szCs w:val="24"/>
                        <w:highlight w:val="none"/>
                        <w:vertAlign w:val="baseline"/>
                        <w:lang w:val="en-US" w:eastAsia="zh-CN" w:bidi="ar-SA"/>
                      </w:rPr>
                    </m:ctrlPr>
                  </m:sup>
                  <m:e>
                    <m:sSup>
                      <m:sSupPr>
                        <m:ctrlPr>
                          <w:rPr>
                            <w:rFonts w:hint="default" w:ascii="Cambria Math" w:hAnsi="Cambria Math" w:cs="Times New Roman"/>
                            <w:b w:val="0"/>
                            <w:bCs/>
                            <w:kern w:val="2"/>
                            <w:sz w:val="24"/>
                            <w:szCs w:val="24"/>
                            <w:highlight w:val="none"/>
                            <w:vertAlign w:val="baseline"/>
                            <w:lang w:val="en-US" w:eastAsia="zh-CN" w:bidi="ar-SA"/>
                          </w:rPr>
                        </m:ctrlPr>
                      </m:sSupPr>
                      <m:e>
                        <m:r>
                          <m:rPr>
                            <m:sty m:val="p"/>
                          </m:rPr>
                          <w:rPr>
                            <w:rFonts w:hint="default" w:ascii="Cambria Math" w:hAnsi="Cambria Math" w:cs="Times New Roman"/>
                            <w:kern w:val="2"/>
                            <w:sz w:val="24"/>
                            <w:szCs w:val="24"/>
                            <w:highlight w:val="none"/>
                            <w:vertAlign w:val="baseline"/>
                            <w:lang w:val="en-US" w:eastAsia="zh-CN" w:bidi="ar-SA"/>
                          </w:rPr>
                          <m:t>10</m:t>
                        </m:r>
                        <m:ctrlPr>
                          <w:rPr>
                            <w:rFonts w:hint="default" w:ascii="Cambria Math" w:hAnsi="Cambria Math" w:cs="Times New Roman"/>
                            <w:b w:val="0"/>
                            <w:bCs/>
                            <w:kern w:val="2"/>
                            <w:sz w:val="24"/>
                            <w:szCs w:val="24"/>
                            <w:highlight w:val="none"/>
                            <w:vertAlign w:val="baseline"/>
                            <w:lang w:val="en-US" w:eastAsia="zh-CN" w:bidi="ar-SA"/>
                          </w:rPr>
                        </m:ctrlPr>
                      </m:e>
                      <m:sup>
                        <m:r>
                          <m:rPr>
                            <m:sty m:val="p"/>
                          </m:rPr>
                          <w:rPr>
                            <w:rFonts w:hint="default" w:ascii="Cambria Math" w:hAnsi="Cambria Math" w:cs="Times New Roman"/>
                            <w:kern w:val="2"/>
                            <w:sz w:val="24"/>
                            <w:szCs w:val="24"/>
                            <w:highlight w:val="none"/>
                            <w:vertAlign w:val="baseline"/>
                            <w:lang w:val="en-US" w:eastAsia="zh-CN" w:bidi="ar-SA"/>
                          </w:rPr>
                          <m:t>0.1</m:t>
                        </m:r>
                        <m:sSub>
                          <m:sSubPr>
                            <m:ctrlPr>
                              <w:rPr>
                                <w:rFonts w:hint="default" w:ascii="Cambria Math" w:hAnsi="Cambria Math" w:cs="Times New Roman"/>
                                <w:b w:val="0"/>
                                <w:bCs/>
                                <w:kern w:val="2"/>
                                <w:sz w:val="24"/>
                                <w:szCs w:val="24"/>
                                <w:highlight w:val="none"/>
                                <w:vertAlign w:val="baseline"/>
                                <w:lang w:val="en-US" w:eastAsia="zh-CN" w:bidi="ar-SA"/>
                              </w:rPr>
                            </m:ctrlPr>
                          </m:sSubPr>
                          <m:e>
                            <m:r>
                              <m:rPr>
                                <m:sty m:val="p"/>
                              </m:rPr>
                              <w:rPr>
                                <w:rFonts w:hint="default" w:ascii="Cambria Math" w:hAnsi="Cambria Math" w:cs="Times New Roman"/>
                                <w:kern w:val="2"/>
                                <w:sz w:val="24"/>
                                <w:szCs w:val="24"/>
                                <w:highlight w:val="none"/>
                                <w:vertAlign w:val="baseline"/>
                                <w:lang w:val="en-US" w:eastAsia="zh-CN" w:bidi="ar-SA"/>
                              </w:rPr>
                              <m:t>L</m:t>
                            </m:r>
                            <m:ctrlPr>
                              <w:rPr>
                                <w:rFonts w:hint="default" w:ascii="Cambria Math" w:hAnsi="Cambria Math" w:cs="Times New Roman"/>
                                <w:b w:val="0"/>
                                <w:bCs/>
                                <w:kern w:val="2"/>
                                <w:sz w:val="24"/>
                                <w:szCs w:val="24"/>
                                <w:highlight w:val="none"/>
                                <w:vertAlign w:val="baseline"/>
                                <w:lang w:val="en-US" w:eastAsia="zh-CN" w:bidi="ar-SA"/>
                              </w:rPr>
                            </m:ctrlPr>
                          </m:e>
                          <m:sub>
                            <m:r>
                              <m:rPr>
                                <m:sty m:val="p"/>
                              </m:rPr>
                              <w:rPr>
                                <w:rFonts w:hint="default" w:ascii="Cambria Math" w:hAnsi="Cambria Math" w:cs="Times New Roman"/>
                                <w:kern w:val="2"/>
                                <w:sz w:val="24"/>
                                <w:szCs w:val="24"/>
                                <w:highlight w:val="none"/>
                                <w:vertAlign w:val="baseline"/>
                                <w:lang w:val="en-US" w:eastAsia="zh-CN" w:bidi="ar-SA"/>
                              </w:rPr>
                              <m:t>i</m:t>
                            </m:r>
                            <m:ctrlPr>
                              <w:rPr>
                                <w:rFonts w:hint="default" w:ascii="Cambria Math" w:hAnsi="Cambria Math" w:cs="Times New Roman"/>
                                <w:b w:val="0"/>
                                <w:bCs/>
                                <w:kern w:val="2"/>
                                <w:sz w:val="24"/>
                                <w:szCs w:val="24"/>
                                <w:highlight w:val="none"/>
                                <w:vertAlign w:val="baseline"/>
                                <w:lang w:val="en-US" w:eastAsia="zh-CN" w:bidi="ar-SA"/>
                              </w:rPr>
                            </m:ctrlPr>
                          </m:sub>
                        </m:sSub>
                        <m:ctrlPr>
                          <w:rPr>
                            <w:rFonts w:hint="default" w:ascii="Cambria Math" w:hAnsi="Cambria Math" w:cs="Times New Roman"/>
                            <w:b w:val="0"/>
                            <w:bCs/>
                            <w:kern w:val="2"/>
                            <w:sz w:val="24"/>
                            <w:szCs w:val="24"/>
                            <w:highlight w:val="none"/>
                            <w:vertAlign w:val="baseline"/>
                            <w:lang w:val="en-US" w:eastAsia="zh-CN" w:bidi="ar-SA"/>
                          </w:rPr>
                        </m:ctrlPr>
                      </m:sup>
                    </m:sSup>
                    <m:ctrlPr>
                      <w:rPr>
                        <w:rFonts w:hint="default" w:ascii="Cambria Math" w:hAnsi="Cambria Math" w:cs="Times New Roman"/>
                        <w:b w:val="0"/>
                        <w:bCs/>
                        <w:kern w:val="2"/>
                        <w:sz w:val="24"/>
                        <w:szCs w:val="24"/>
                        <w:highlight w:val="none"/>
                        <w:vertAlign w:val="baseline"/>
                        <w:lang w:val="en-US" w:eastAsia="zh-CN" w:bidi="ar-SA"/>
                      </w:rPr>
                    </m:ctrlPr>
                  </m:e>
                </m:nary>
              </m:oMath>
            </m:oMathPara>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w:r>
              <w:rPr>
                <w:rFonts w:hint="default" w:ascii="Times New Roman" w:hAnsi="Times New Roman" w:cs="Times New Roman"/>
                <w:b w:val="0"/>
                <w:bCs/>
                <w:i w:val="0"/>
                <w:kern w:val="2"/>
                <w:sz w:val="24"/>
                <w:szCs w:val="24"/>
                <w:highlight w:val="none"/>
                <w:vertAlign w:val="baseline"/>
                <w:lang w:val="en-US" w:eastAsia="zh-CN" w:bidi="ar-SA"/>
              </w:rPr>
              <w:t>式中：L</w:t>
            </w:r>
            <w:r>
              <w:rPr>
                <w:rFonts w:hint="default" w:ascii="Times New Roman" w:hAnsi="Times New Roman" w:cs="Times New Roman"/>
                <w:b w:val="0"/>
                <w:bCs/>
                <w:i w:val="0"/>
                <w:kern w:val="2"/>
                <w:sz w:val="24"/>
                <w:szCs w:val="24"/>
                <w:highlight w:val="none"/>
                <w:vertAlign w:val="subscript"/>
                <w:lang w:val="en-US" w:eastAsia="zh-CN" w:bidi="ar-SA"/>
              </w:rPr>
              <w:t>n</w:t>
            </w:r>
            <w:r>
              <w:rPr>
                <w:rFonts w:hint="default" w:ascii="Times New Roman" w:hAnsi="Times New Roman" w:cs="Times New Roman"/>
                <w:b w:val="0"/>
                <w:bCs/>
                <w:i w:val="0"/>
                <w:kern w:val="2"/>
                <w:sz w:val="24"/>
                <w:szCs w:val="24"/>
                <w:highlight w:val="none"/>
                <w:vertAlign w:val="baseline"/>
                <w:lang w:val="en-US" w:eastAsia="zh-CN" w:bidi="ar-SA"/>
              </w:rPr>
              <w:t>——n个声压级的合成声压级，dB（A）；</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w:r>
              <w:rPr>
                <w:rFonts w:hint="default" w:ascii="Times New Roman" w:hAnsi="Times New Roman" w:cs="Times New Roman"/>
                <w:b w:val="0"/>
                <w:bCs/>
                <w:i w:val="0"/>
                <w:kern w:val="2"/>
                <w:sz w:val="24"/>
                <w:szCs w:val="24"/>
                <w:highlight w:val="none"/>
                <w:vertAlign w:val="baseline"/>
                <w:lang w:val="en-US" w:eastAsia="zh-CN" w:bidi="ar-SA"/>
              </w:rPr>
              <w:t>L</w:t>
            </w:r>
            <w:r>
              <w:rPr>
                <w:rFonts w:hint="default" w:ascii="Times New Roman" w:hAnsi="Times New Roman" w:cs="Times New Roman"/>
                <w:b w:val="0"/>
                <w:bCs/>
                <w:i w:val="0"/>
                <w:kern w:val="2"/>
                <w:sz w:val="24"/>
                <w:szCs w:val="24"/>
                <w:highlight w:val="none"/>
                <w:vertAlign w:val="subscript"/>
                <w:lang w:val="en-US" w:eastAsia="zh-CN" w:bidi="ar-SA"/>
              </w:rPr>
              <w:t>i</w:t>
            </w:r>
            <w:r>
              <w:rPr>
                <w:rFonts w:hint="default" w:ascii="Times New Roman" w:hAnsi="Times New Roman" w:cs="Times New Roman"/>
                <w:b w:val="0"/>
                <w:bCs/>
                <w:i w:val="0"/>
                <w:kern w:val="2"/>
                <w:sz w:val="24"/>
                <w:szCs w:val="24"/>
                <w:highlight w:val="none"/>
                <w:vertAlign w:val="baseline"/>
                <w:lang w:val="en-US" w:eastAsia="zh-CN" w:bidi="ar-SA"/>
              </w:rPr>
              <w:t>——各声源的A声级，dB（A）。</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w:r>
              <w:rPr>
                <w:rFonts w:hint="default" w:ascii="Times New Roman" w:hAnsi="Times New Roman" w:cs="Times New Roman"/>
                <w:b w:val="0"/>
                <w:bCs/>
                <w:i w:val="0"/>
                <w:kern w:val="2"/>
                <w:sz w:val="24"/>
                <w:szCs w:val="24"/>
                <w:highlight w:val="none"/>
                <w:vertAlign w:val="baseline"/>
                <w:lang w:val="en-US" w:eastAsia="zh-CN" w:bidi="ar-SA"/>
              </w:rPr>
              <w:t>根据《环境影响评价技术导则（声环境）》（HJ2.4-2009）中的相关要求，本项目评价范围为厂区外50m范围及敏感点。经过调查后，厂界周边50m内没有居民区、学校等噪声敏感点，距离南白涧村较远，因此，评价选取厂房四周厂界作为本次声环境影响评价的预测点，预测结果见表4-4。</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i w:val="0"/>
                <w:kern w:val="2"/>
                <w:sz w:val="24"/>
                <w:szCs w:val="24"/>
                <w:highlight w:val="none"/>
                <w:vertAlign w:val="baseline"/>
                <w:lang w:val="en-US" w:eastAsia="zh-CN" w:bidi="ar-SA"/>
              </w:rPr>
            </w:pPr>
            <w:r>
              <w:rPr>
                <w:rFonts w:hint="default" w:ascii="Times New Roman" w:hAnsi="Times New Roman" w:cs="Times New Roman"/>
                <w:b/>
                <w:bCs w:val="0"/>
                <w:i w:val="0"/>
                <w:kern w:val="2"/>
                <w:sz w:val="24"/>
                <w:szCs w:val="24"/>
                <w:highlight w:val="none"/>
                <w:vertAlign w:val="baseline"/>
                <w:lang w:val="en-US" w:eastAsia="zh-CN" w:bidi="ar-SA"/>
              </w:rPr>
              <w:t>表4-4  项目营运期厂界噪声预测结果表     单位：dB（A）</w:t>
            </w:r>
          </w:p>
          <w:tbl>
            <w:tblPr>
              <w:tblStyle w:val="14"/>
              <w:tblW w:w="81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8"/>
              <w:gridCol w:w="1280"/>
              <w:gridCol w:w="1150"/>
              <w:gridCol w:w="1065"/>
              <w:gridCol w:w="1095"/>
              <w:gridCol w:w="1185"/>
              <w:gridCol w:w="12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28" w:type="dxa"/>
                  <w:gridSpan w:val="2"/>
                  <w:tcBorders>
                    <w:tl2br w:val="single" w:color="auto" w:sz="4" w:space="0"/>
                  </w:tcBorders>
                  <w:vAlign w:val="top"/>
                </w:tcPr>
                <w:p>
                  <w:pPr>
                    <w:keepNext w:val="0"/>
                    <w:keepLines w:val="0"/>
                    <w:pageBreakBefore w:val="0"/>
                    <w:widowControl w:val="0"/>
                    <w:kinsoku/>
                    <w:wordWrap w:val="0"/>
                    <w:overflowPunct/>
                    <w:topLinePunct w:val="0"/>
                    <w:autoSpaceDE/>
                    <w:autoSpaceDN/>
                    <w:bidi w:val="0"/>
                    <w:adjustRightInd w:val="0"/>
                    <w:snapToGrid w:val="0"/>
                    <w:spacing w:line="240" w:lineRule="auto"/>
                    <w:jc w:val="right"/>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 xml:space="preserve">项目  </w:t>
                  </w:r>
                </w:p>
                <w:p>
                  <w:pPr>
                    <w:keepNext w:val="0"/>
                    <w:keepLines w:val="0"/>
                    <w:pageBreakBefore w:val="0"/>
                    <w:widowControl w:val="0"/>
                    <w:kinsoku/>
                    <w:wordWrap/>
                    <w:overflowPunct/>
                    <w:topLinePunct w:val="0"/>
                    <w:autoSpaceDE/>
                    <w:autoSpaceDN/>
                    <w:bidi w:val="0"/>
                    <w:adjustRightInd w:val="0"/>
                    <w:snapToGrid w:val="0"/>
                    <w:spacing w:line="240" w:lineRule="auto"/>
                    <w:jc w:val="right"/>
                    <w:textAlignment w:val="auto"/>
                    <w:rPr>
                      <w:rFonts w:hint="default" w:ascii="Times New Roman" w:hAnsi="Times New Roman" w:cs="Times New Roman"/>
                      <w:b/>
                      <w:bCs w:val="0"/>
                      <w:i w:val="0"/>
                      <w:kern w:val="2"/>
                      <w:sz w:val="22"/>
                      <w:szCs w:val="22"/>
                      <w:highlight w:val="none"/>
                      <w:vertAlign w:val="baseline"/>
                      <w:lang w:val="en-US" w:eastAsia="zh-CN" w:bidi="ar-SA"/>
                    </w:rPr>
                  </w:pPr>
                </w:p>
                <w:p>
                  <w:pPr>
                    <w:keepNext w:val="0"/>
                    <w:keepLines w:val="0"/>
                    <w:pageBreakBefore w:val="0"/>
                    <w:widowControl w:val="0"/>
                    <w:kinsoku/>
                    <w:wordWrap w:val="0"/>
                    <w:overflowPunct/>
                    <w:topLinePunct w:val="0"/>
                    <w:autoSpaceDE/>
                    <w:autoSpaceDN/>
                    <w:bidi w:val="0"/>
                    <w:adjustRightInd w:val="0"/>
                    <w:snapToGrid w:val="0"/>
                    <w:spacing w:line="240" w:lineRule="auto"/>
                    <w:jc w:val="right"/>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 xml:space="preserve">预测点            </w:t>
                  </w:r>
                </w:p>
              </w:tc>
              <w:tc>
                <w:tcPr>
                  <w:tcW w:w="1150" w:type="dxa"/>
                  <w:vAlign w:val="center"/>
                </w:tcPr>
                <w:p>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贡献值</w:t>
                  </w:r>
                </w:p>
              </w:tc>
              <w:tc>
                <w:tcPr>
                  <w:tcW w:w="1065" w:type="dxa"/>
                  <w:vAlign w:val="center"/>
                </w:tcPr>
                <w:p>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背景值</w:t>
                  </w:r>
                </w:p>
              </w:tc>
              <w:tc>
                <w:tcPr>
                  <w:tcW w:w="1095" w:type="dxa"/>
                  <w:vAlign w:val="center"/>
                </w:tcPr>
                <w:p>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叠加值</w:t>
                  </w:r>
                </w:p>
              </w:tc>
              <w:tc>
                <w:tcPr>
                  <w:tcW w:w="1185" w:type="dxa"/>
                  <w:vAlign w:val="center"/>
                </w:tcPr>
                <w:p>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执行标准</w:t>
                  </w:r>
                </w:p>
              </w:tc>
              <w:tc>
                <w:tcPr>
                  <w:tcW w:w="1200" w:type="dxa"/>
                  <w:vAlign w:val="center"/>
                </w:tcPr>
                <w:p>
                  <w:pPr>
                    <w:keepNext w:val="0"/>
                    <w:keepLines w:val="0"/>
                    <w:pageBreakBefore w:val="0"/>
                    <w:widowControl w:val="0"/>
                    <w:kinsoku/>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i w:val="0"/>
                      <w:kern w:val="2"/>
                      <w:sz w:val="22"/>
                      <w:szCs w:val="22"/>
                      <w:highlight w:val="none"/>
                      <w:vertAlign w:val="baseline"/>
                      <w:lang w:val="en-US" w:eastAsia="zh-CN" w:bidi="ar-SA"/>
                    </w:rPr>
                  </w:pPr>
                  <w:r>
                    <w:rPr>
                      <w:rFonts w:hint="default" w:ascii="Times New Roman" w:hAnsi="Times New Roman" w:cs="Times New Roman"/>
                      <w:b/>
                      <w:bCs w:val="0"/>
                      <w:i w:val="0"/>
                      <w:kern w:val="2"/>
                      <w:sz w:val="22"/>
                      <w:szCs w:val="22"/>
                      <w:highlight w:val="none"/>
                      <w:vertAlign w:val="baseline"/>
                      <w:lang w:val="en-US" w:eastAsia="zh-CN" w:bidi="ar-SA"/>
                    </w:rPr>
                    <w:t>达标分析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东厂界</w:t>
                  </w: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昼间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44.51</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60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highlight w:val="none"/>
                    </w:rPr>
                  </w:pP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夜间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44.51</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50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西厂界</w:t>
                  </w: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昼间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46.44</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60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highlight w:val="none"/>
                    </w:rPr>
                  </w:pP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夜间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46.44</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50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南厂界</w:t>
                  </w: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昼间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27.43</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54.4</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54.41</w:t>
                  </w: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70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highlight w:val="none"/>
                    </w:rPr>
                  </w:pP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夜间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27.43</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42.6</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42.73</w:t>
                  </w: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55</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北厂界</w:t>
                  </w: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昼间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47.46</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60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8"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highlight w:val="none"/>
                    </w:rPr>
                  </w:pPr>
                </w:p>
              </w:tc>
              <w:tc>
                <w:tcPr>
                  <w:tcW w:w="128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夜间</w:t>
                  </w:r>
                </w:p>
              </w:tc>
              <w:tc>
                <w:tcPr>
                  <w:tcW w:w="115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47.46</w:t>
                  </w:r>
                </w:p>
              </w:tc>
              <w:tc>
                <w:tcPr>
                  <w:tcW w:w="106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w:t>
                  </w:r>
                </w:p>
              </w:tc>
              <w:tc>
                <w:tcPr>
                  <w:tcW w:w="10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p>
              </w:tc>
              <w:tc>
                <w:tcPr>
                  <w:tcW w:w="118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50</w:t>
                  </w:r>
                </w:p>
              </w:tc>
              <w:tc>
                <w:tcPr>
                  <w:tcW w:w="120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2"/>
                      <w:szCs w:val="22"/>
                      <w:highlight w:val="none"/>
                      <w:vertAlign w:val="baseline"/>
                      <w:lang w:val="en-US" w:eastAsia="zh-CN" w:bidi="ar-SA"/>
                    </w:rPr>
                  </w:pPr>
                  <w:r>
                    <w:rPr>
                      <w:rFonts w:hint="default" w:ascii="Times New Roman" w:hAnsi="Times New Roman" w:cs="Times New Roman"/>
                      <w:b w:val="0"/>
                      <w:bCs/>
                      <w:i w:val="0"/>
                      <w:kern w:val="2"/>
                      <w:sz w:val="22"/>
                      <w:szCs w:val="22"/>
                      <w:highlight w:val="none"/>
                      <w:vertAlign w:val="baseline"/>
                      <w:lang w:val="en-US" w:eastAsia="zh-CN" w:bidi="ar-SA"/>
                    </w:rPr>
                    <w:t>达标</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w:r>
              <w:rPr>
                <w:rFonts w:hint="default" w:ascii="Times New Roman" w:hAnsi="Times New Roman" w:cs="Times New Roman"/>
                <w:b w:val="0"/>
                <w:bCs/>
                <w:i w:val="0"/>
                <w:kern w:val="2"/>
                <w:sz w:val="24"/>
                <w:szCs w:val="24"/>
                <w:highlight w:val="none"/>
                <w:vertAlign w:val="baseline"/>
                <w:lang w:val="en-US" w:eastAsia="zh-CN" w:bidi="ar-SA"/>
              </w:rPr>
              <w:t>由上表可知，本项目营运期间东、西、北厂界（与其他企业共用厂界）噪声贡献值均符合《工业企业厂界环境噪声排放标准》（GB12348-2008）2类标准限值，南厂界噪声叠加值均符合《工业企业厂界环境噪声排放标准》（GB12348-2008）4类标准限值。根据现场调查，项目附近噪声源主要为社会生活噪声及交通噪声，本项目对区域内噪声贡献值较小，不会改变区域内声环境现状，所以对项目周边声环境影响较小。</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i w:val="0"/>
                <w:kern w:val="2"/>
                <w:sz w:val="24"/>
                <w:szCs w:val="24"/>
                <w:highlight w:val="none"/>
                <w:vertAlign w:val="baseline"/>
                <w:lang w:val="en-US" w:eastAsia="zh-CN" w:bidi="ar-SA"/>
              </w:rPr>
            </w:pPr>
            <w:r>
              <w:rPr>
                <w:rFonts w:hint="default" w:ascii="Times New Roman" w:hAnsi="Times New Roman" w:cs="Times New Roman"/>
                <w:b/>
                <w:bCs w:val="0"/>
                <w:i w:val="0"/>
                <w:kern w:val="2"/>
                <w:sz w:val="24"/>
                <w:szCs w:val="24"/>
                <w:highlight w:val="none"/>
                <w:vertAlign w:val="baseline"/>
                <w:lang w:val="en-US" w:eastAsia="zh-CN" w:bidi="ar-SA"/>
              </w:rPr>
              <w:t>2.4噪声监测计划</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i w:val="0"/>
                <w:kern w:val="2"/>
                <w:sz w:val="24"/>
                <w:szCs w:val="24"/>
                <w:highlight w:val="none"/>
                <w:vertAlign w:val="baseline"/>
                <w:lang w:val="en-US" w:eastAsia="zh-CN" w:bidi="ar-SA"/>
              </w:rPr>
            </w:pPr>
            <w:r>
              <w:rPr>
                <w:rFonts w:hint="default" w:ascii="Times New Roman" w:hAnsi="Times New Roman" w:cs="Times New Roman"/>
                <w:b w:val="0"/>
                <w:bCs/>
                <w:i w:val="0"/>
                <w:kern w:val="2"/>
                <w:sz w:val="24"/>
                <w:szCs w:val="24"/>
                <w:highlight w:val="none"/>
                <w:vertAlign w:val="baseline"/>
                <w:lang w:val="en-US" w:eastAsia="zh-CN" w:bidi="ar-SA"/>
              </w:rPr>
              <w:t>根据《排污单位自行检测技术指南 总则》（HJ819-2017），评价要求厂界环境噪声每季度监测一次，每次监测包括昼、夜间噪声，监测计划详见表4-5。</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i w:val="0"/>
                <w:kern w:val="2"/>
                <w:sz w:val="24"/>
                <w:szCs w:val="24"/>
                <w:highlight w:val="none"/>
                <w:vertAlign w:val="baseline"/>
                <w:lang w:val="en-US" w:eastAsia="zh-CN" w:bidi="ar-SA"/>
              </w:rPr>
            </w:pPr>
            <w:r>
              <w:rPr>
                <w:rFonts w:hint="default" w:ascii="Times New Roman" w:hAnsi="Times New Roman" w:cs="Times New Roman"/>
                <w:b/>
                <w:bCs w:val="0"/>
                <w:i w:val="0"/>
                <w:kern w:val="2"/>
                <w:sz w:val="24"/>
                <w:szCs w:val="24"/>
                <w:highlight w:val="none"/>
                <w:vertAlign w:val="baseline"/>
                <w:lang w:val="en-US" w:eastAsia="zh-CN" w:bidi="ar-SA"/>
              </w:rPr>
              <w:t>表4-5  噪声监测计划</w:t>
            </w:r>
          </w:p>
          <w:tbl>
            <w:tblPr>
              <w:tblStyle w:val="14"/>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1986"/>
              <w:gridCol w:w="1987"/>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监测点位</w:t>
                  </w:r>
                </w:p>
              </w:tc>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监测项目</w:t>
                  </w:r>
                </w:p>
              </w:tc>
              <w:tc>
                <w:tcPr>
                  <w:tcW w:w="19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监测频次</w:t>
                  </w:r>
                </w:p>
              </w:tc>
              <w:tc>
                <w:tcPr>
                  <w:tcW w:w="19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bCs w:val="0"/>
                      <w:i w:val="0"/>
                      <w:kern w:val="2"/>
                      <w:sz w:val="21"/>
                      <w:szCs w:val="21"/>
                      <w:highlight w:val="none"/>
                      <w:vertAlign w:val="baseline"/>
                      <w:lang w:val="en-US" w:eastAsia="zh-CN" w:bidi="ar-SA"/>
                    </w:rPr>
                  </w:pPr>
                  <w:r>
                    <w:rPr>
                      <w:rFonts w:hint="default" w:ascii="Times New Roman" w:hAnsi="Times New Roman" w:cs="Times New Roman"/>
                      <w:b/>
                      <w:bCs w:val="0"/>
                      <w:i w:val="0"/>
                      <w:kern w:val="2"/>
                      <w:sz w:val="21"/>
                      <w:szCs w:val="21"/>
                      <w:highlight w:val="none"/>
                      <w:vertAlign w:val="baseline"/>
                      <w:lang w:val="en-US" w:eastAsia="zh-CN" w:bidi="ar-SA"/>
                    </w:rPr>
                    <w:t>执行标准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东厂界</w:t>
                  </w:r>
                </w:p>
              </w:tc>
              <w:tc>
                <w:tcPr>
                  <w:tcW w:w="1986"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等效A声级</w:t>
                  </w:r>
                </w:p>
              </w:tc>
              <w:tc>
                <w:tcPr>
                  <w:tcW w:w="1987"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1次/季度</w:t>
                  </w:r>
                </w:p>
              </w:tc>
              <w:tc>
                <w:tcPr>
                  <w:tcW w:w="1987"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GB12348-2008</w:t>
                  </w:r>
                </w:p>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2类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西厂界</w:t>
                  </w:r>
                </w:p>
              </w:tc>
              <w:tc>
                <w:tcPr>
                  <w:tcW w:w="1986"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987"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987"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北厂界</w:t>
                  </w:r>
                </w:p>
              </w:tc>
              <w:tc>
                <w:tcPr>
                  <w:tcW w:w="1986"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987"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987"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南厂界</w:t>
                  </w:r>
                </w:p>
              </w:tc>
              <w:tc>
                <w:tcPr>
                  <w:tcW w:w="1986"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987"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p>
              </w:tc>
              <w:tc>
                <w:tcPr>
                  <w:tcW w:w="19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GB12348-2008</w:t>
                  </w:r>
                </w:p>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i w:val="0"/>
                      <w:kern w:val="2"/>
                      <w:sz w:val="21"/>
                      <w:szCs w:val="21"/>
                      <w:highlight w:val="none"/>
                      <w:vertAlign w:val="baseline"/>
                      <w:lang w:val="en-US" w:eastAsia="zh-CN" w:bidi="ar-SA"/>
                    </w:rPr>
                  </w:pPr>
                  <w:r>
                    <w:rPr>
                      <w:rFonts w:hint="default" w:ascii="Times New Roman" w:hAnsi="Times New Roman" w:cs="Times New Roman"/>
                      <w:b w:val="0"/>
                      <w:bCs/>
                      <w:i w:val="0"/>
                      <w:kern w:val="2"/>
                      <w:sz w:val="21"/>
                      <w:szCs w:val="21"/>
                      <w:highlight w:val="none"/>
                      <w:vertAlign w:val="baseline"/>
                      <w:lang w:val="en-US" w:eastAsia="zh-CN" w:bidi="ar-SA"/>
                    </w:rPr>
                    <w:t>4类</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3、固体废物环境影响分析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本项目产生的固体废物主要为机加工过程中产生的废铁屑、边角料、废乳化液、废液压油、废导轨油、生活垃圾。</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3.1生活垃圾</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本项目新增职工55人，按照每人每天0.5kg计算，则新增生活垃圾产生量为27.5kg/d，8.25t/a，厂区内设置垃圾箱进行收集，定期交由环保部门清理。</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3.2废铁屑、边角料</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加工过程中产生的废铁屑和边角料为130t/a左右，在厂中暂存，采用专门堆放场，堆放场应采取地面硬化、防渗、防雨淋等措施，防止对外界环境产生影响，后由厂家统一收集后外销。</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3.3废乳化液、废液压油、废导轨油</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eastAsia="宋体" w:cs="Times New Roman"/>
                <w:b w:val="0"/>
                <w:bCs/>
                <w:sz w:val="24"/>
                <w:szCs w:val="24"/>
                <w:highlight w:val="none"/>
                <w:lang w:val="en-US" w:eastAsia="zh-CN"/>
              </w:rPr>
            </w:pPr>
            <w:r>
              <w:rPr>
                <w:rFonts w:hint="default" w:ascii="Times New Roman" w:hAnsi="Times New Roman" w:cs="Times New Roman"/>
                <w:sz w:val="24"/>
                <w:szCs w:val="32"/>
                <w:highlight w:val="none"/>
                <w:lang w:val="en-US" w:eastAsia="zh-CN"/>
              </w:rPr>
              <w:t>（1）废乳化液</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lang w:val="en-US" w:eastAsia="zh-CN"/>
              </w:rPr>
              <w:t>项目生产过程中需要用到乳化液，该乳化液循环使用，不外排。</w:t>
            </w:r>
            <w:r>
              <w:rPr>
                <w:rFonts w:hint="default" w:ascii="Times New Roman" w:hAnsi="Times New Roman" w:cs="Times New Roman"/>
                <w:b w:val="0"/>
                <w:bCs/>
                <w:sz w:val="24"/>
                <w:szCs w:val="24"/>
                <w:highlight w:val="none"/>
                <w:lang w:val="en-US" w:eastAsia="zh-CN"/>
              </w:rPr>
              <w:t>考虑到乳化液在使用一段时间后会发生变质，根据企业实际生产情况，评价要求每半年对乳化液进行一次更换，每次更换量为0.25t。</w:t>
            </w:r>
            <w:r>
              <w:rPr>
                <w:rFonts w:hint="default" w:ascii="Times New Roman" w:hAnsi="Times New Roman" w:cs="Times New Roman"/>
                <w:b w:val="0"/>
                <w:bCs/>
                <w:sz w:val="24"/>
                <w:szCs w:val="24"/>
                <w:highlight w:val="none"/>
                <w:lang w:val="en-US" w:eastAsia="zh-CN"/>
              </w:rPr>
              <w:t>产生的废乳化液属于《国家危险废物名录》（2021年）废物类别HW09，废物代码900-006-09，暂存于10m</w:t>
            </w:r>
            <w:r>
              <w:rPr>
                <w:rFonts w:hint="default" w:ascii="Times New Roman" w:hAnsi="Times New Roman" w:cs="Times New Roman"/>
                <w:b w:val="0"/>
                <w:bCs/>
                <w:sz w:val="24"/>
                <w:szCs w:val="24"/>
                <w:highlight w:val="none"/>
                <w:vertAlign w:val="superscript"/>
                <w:lang w:val="en-US" w:eastAsia="zh-CN"/>
              </w:rPr>
              <w:t>2</w:t>
            </w:r>
            <w:r>
              <w:rPr>
                <w:rFonts w:hint="default" w:ascii="Times New Roman" w:hAnsi="Times New Roman" w:cs="Times New Roman"/>
                <w:b w:val="0"/>
                <w:bCs/>
                <w:sz w:val="24"/>
                <w:szCs w:val="24"/>
                <w:highlight w:val="none"/>
                <w:vertAlign w:val="baseline"/>
                <w:lang w:val="en-US" w:eastAsia="zh-CN"/>
              </w:rPr>
              <w:t>危废暂存间，定期交由濮阳县鑫地生物能源有限公司处置。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eastAsia="宋体" w:cs="Times New Roman"/>
                <w:b w:val="0"/>
                <w:bCs/>
                <w:sz w:val="24"/>
                <w:szCs w:val="24"/>
                <w:highlight w:val="none"/>
                <w:vertAlign w:val="baseline"/>
                <w:lang w:val="en-US" w:eastAsia="zh-CN"/>
              </w:rPr>
            </w:pPr>
            <w:r>
              <w:rPr>
                <w:rFonts w:hint="default" w:ascii="Times New Roman" w:hAnsi="Times New Roman" w:cs="Times New Roman"/>
                <w:sz w:val="24"/>
                <w:szCs w:val="24"/>
                <w:highlight w:val="none"/>
                <w:lang w:val="en-US" w:eastAsia="zh-CN"/>
              </w:rPr>
              <w:t>（2）废液压油</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项目生产过程中液压设备维护需</w:t>
            </w:r>
            <w:r>
              <w:rPr>
                <w:rFonts w:hint="default" w:ascii="Times New Roman" w:hAnsi="Times New Roman" w:cs="Times New Roman"/>
                <w:b w:val="0"/>
                <w:bCs/>
                <w:sz w:val="24"/>
                <w:szCs w:val="24"/>
                <w:highlight w:val="none"/>
                <w:vertAlign w:val="baseline"/>
                <w:lang w:val="en-US" w:eastAsia="zh-CN"/>
              </w:rPr>
              <w:t>要用到液压油，液压油每年更换一次，更换量为0.7t/a，</w:t>
            </w:r>
            <w:r>
              <w:rPr>
                <w:rFonts w:hint="default" w:ascii="Times New Roman" w:hAnsi="Times New Roman" w:cs="Times New Roman"/>
                <w:b w:val="0"/>
                <w:bCs/>
                <w:sz w:val="24"/>
                <w:szCs w:val="24"/>
                <w:highlight w:val="none"/>
                <w:vertAlign w:val="baseline"/>
                <w:lang w:val="en-US" w:eastAsia="zh-CN"/>
              </w:rPr>
              <w:t>产生的废液压油属于《国家危险废物名录》（2021年）废物类别HW08，废物代码900-218-08，暂存于10m</w:t>
            </w:r>
            <w:r>
              <w:rPr>
                <w:rFonts w:hint="default" w:ascii="Times New Roman" w:hAnsi="Times New Roman" w:cs="Times New Roman"/>
                <w:b w:val="0"/>
                <w:bCs/>
                <w:sz w:val="24"/>
                <w:szCs w:val="24"/>
                <w:highlight w:val="none"/>
                <w:vertAlign w:val="superscript"/>
                <w:lang w:val="en-US" w:eastAsia="zh-CN"/>
              </w:rPr>
              <w:t>2</w:t>
            </w:r>
            <w:r>
              <w:rPr>
                <w:rFonts w:hint="default" w:ascii="Times New Roman" w:hAnsi="Times New Roman" w:cs="Times New Roman"/>
                <w:b w:val="0"/>
                <w:bCs/>
                <w:sz w:val="24"/>
                <w:szCs w:val="24"/>
                <w:highlight w:val="none"/>
                <w:vertAlign w:val="baseline"/>
                <w:lang w:val="en-US" w:eastAsia="zh-CN"/>
              </w:rPr>
              <w:t>危废暂存间，定期交由濮阳县鑫地生物能源有限公司处置。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eastAsia="宋体" w:cs="Times New Roman"/>
                <w:b w:val="0"/>
                <w:bCs/>
                <w:sz w:val="24"/>
                <w:szCs w:val="24"/>
                <w:highlight w:val="none"/>
                <w:vertAlign w:val="baseline"/>
                <w:lang w:val="en-US" w:eastAsia="zh-CN"/>
              </w:rPr>
            </w:pPr>
            <w:r>
              <w:rPr>
                <w:rFonts w:hint="default" w:ascii="Times New Roman" w:hAnsi="Times New Roman" w:cs="Times New Roman"/>
                <w:sz w:val="24"/>
                <w:szCs w:val="32"/>
                <w:highlight w:val="none"/>
                <w:lang w:val="en-US" w:eastAsia="zh-CN"/>
              </w:rPr>
              <w:t>（3）废导轨油</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项目生产过程中需要用到导轨油，主要用于设备润滑。企业最大使用量为0.8t/a，结合同类企业运行情况，其损耗量约为0.5t/a，废导轨油产生量为0.3t/a。产生的废导轨油属于《国家危险废物名录》（2021年）废物类别HW08，废物代码900-217-08，暂存于10m</w:t>
            </w:r>
            <w:r>
              <w:rPr>
                <w:rFonts w:hint="default" w:ascii="Times New Roman" w:hAnsi="Times New Roman" w:cs="Times New Roman"/>
                <w:b w:val="0"/>
                <w:bCs/>
                <w:sz w:val="24"/>
                <w:szCs w:val="24"/>
                <w:highlight w:val="none"/>
                <w:vertAlign w:val="superscript"/>
                <w:lang w:val="en-US" w:eastAsia="zh-CN"/>
              </w:rPr>
              <w:t>2</w:t>
            </w:r>
            <w:r>
              <w:rPr>
                <w:rFonts w:hint="default" w:ascii="Times New Roman" w:hAnsi="Times New Roman" w:cs="Times New Roman"/>
                <w:b w:val="0"/>
                <w:bCs/>
                <w:sz w:val="24"/>
                <w:szCs w:val="24"/>
                <w:highlight w:val="none"/>
                <w:vertAlign w:val="baseline"/>
                <w:lang w:val="en-US" w:eastAsia="zh-CN"/>
              </w:rPr>
              <w:t>危废暂存间，定期交由濮阳县鑫地生物能源有限公司处置。</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本次工程涉及的危险废物产生及处置情况详见下表4-6。</w:t>
            </w:r>
          </w:p>
          <w:p>
            <w:pPr>
              <w:pStyle w:val="2"/>
              <w:keepNext w:val="0"/>
              <w:keepLines w:val="0"/>
              <w:pageBreakBefore w:val="0"/>
              <w:widowControl w:val="0"/>
              <w:kinsoku/>
              <w:wordWrap/>
              <w:overflowPunct/>
              <w:topLinePunct w:val="0"/>
              <w:bidi w:val="0"/>
              <w:adjustRightInd w:val="0"/>
              <w:spacing w:line="520" w:lineRule="exact"/>
              <w:textAlignment w:val="auto"/>
              <w:rPr>
                <w:rFonts w:hint="default" w:ascii="Times New Roman" w:hAnsi="Times New Roman" w:eastAsia="宋体" w:cs="Times New Roman"/>
                <w:b/>
                <w:bCs w:val="0"/>
                <w:highlight w:val="none"/>
                <w:lang w:val="en-US" w:eastAsia="zh-CN"/>
              </w:rPr>
            </w:pPr>
            <w:r>
              <w:rPr>
                <w:rFonts w:hint="default" w:ascii="Times New Roman" w:hAnsi="Times New Roman" w:eastAsia="宋体" w:cs="Times New Roman"/>
                <w:b/>
                <w:bCs w:val="0"/>
                <w:highlight w:val="none"/>
                <w:lang w:val="en-US" w:eastAsia="zh-CN"/>
              </w:rPr>
              <w:t>表4-6  危险废物汇总表</w:t>
            </w:r>
          </w:p>
          <w:tbl>
            <w:tblPr>
              <w:tblStyle w:val="14"/>
              <w:tblW w:w="81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8"/>
              <w:gridCol w:w="660"/>
              <w:gridCol w:w="630"/>
              <w:gridCol w:w="810"/>
              <w:gridCol w:w="855"/>
              <w:gridCol w:w="683"/>
              <w:gridCol w:w="683"/>
              <w:gridCol w:w="989"/>
              <w:gridCol w:w="645"/>
              <w:gridCol w:w="17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8"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序号</w:t>
                  </w:r>
                </w:p>
              </w:tc>
              <w:tc>
                <w:tcPr>
                  <w:tcW w:w="66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危险废物名称</w:t>
                  </w:r>
                </w:p>
              </w:tc>
              <w:tc>
                <w:tcPr>
                  <w:tcW w:w="63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危险废物类别</w:t>
                  </w:r>
                </w:p>
              </w:tc>
              <w:tc>
                <w:tcPr>
                  <w:tcW w:w="81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危险废物代码</w:t>
                  </w:r>
                </w:p>
              </w:tc>
              <w:tc>
                <w:tcPr>
                  <w:tcW w:w="855"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产生量（t/a）</w:t>
                  </w:r>
                </w:p>
              </w:tc>
              <w:tc>
                <w:tcPr>
                  <w:tcW w:w="683"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产生工序</w:t>
                  </w:r>
                </w:p>
              </w:tc>
              <w:tc>
                <w:tcPr>
                  <w:tcW w:w="683"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形态</w:t>
                  </w:r>
                </w:p>
              </w:tc>
              <w:tc>
                <w:tcPr>
                  <w:tcW w:w="989"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有害</w:t>
                  </w:r>
                </w:p>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成分</w:t>
                  </w:r>
                </w:p>
              </w:tc>
              <w:tc>
                <w:tcPr>
                  <w:tcW w:w="645"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危险特性</w:t>
                  </w:r>
                </w:p>
              </w:tc>
              <w:tc>
                <w:tcPr>
                  <w:tcW w:w="174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0"/>
                      <w:szCs w:val="20"/>
                      <w:highlight w:val="none"/>
                      <w:vertAlign w:val="baseline"/>
                      <w:lang w:val="en-US" w:eastAsia="zh-CN"/>
                    </w:rPr>
                  </w:pPr>
                  <w:r>
                    <w:rPr>
                      <w:rFonts w:hint="default" w:ascii="Times New Roman" w:hAnsi="Times New Roman" w:eastAsia="宋体" w:cs="Times New Roman"/>
                      <w:b/>
                      <w:bCs/>
                      <w:sz w:val="20"/>
                      <w:szCs w:val="20"/>
                      <w:highlight w:val="none"/>
                      <w:vertAlign w:val="baseline"/>
                      <w:lang w:val="en-US" w:eastAsia="zh-CN"/>
                    </w:rPr>
                    <w:t>污染防治措施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8"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1</w:t>
                  </w:r>
                </w:p>
              </w:tc>
              <w:tc>
                <w:tcPr>
                  <w:tcW w:w="66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废乳化液</w:t>
                  </w:r>
                </w:p>
              </w:tc>
              <w:tc>
                <w:tcPr>
                  <w:tcW w:w="63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HW09</w:t>
                  </w:r>
                </w:p>
              </w:tc>
              <w:tc>
                <w:tcPr>
                  <w:tcW w:w="81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900-006-09</w:t>
                  </w:r>
                </w:p>
              </w:tc>
              <w:tc>
                <w:tcPr>
                  <w:tcW w:w="85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0.5</w:t>
                  </w:r>
                </w:p>
              </w:tc>
              <w:tc>
                <w:tcPr>
                  <w:tcW w:w="683"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设备冷却</w:t>
                  </w:r>
                </w:p>
              </w:tc>
              <w:tc>
                <w:tcPr>
                  <w:tcW w:w="683"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液态</w:t>
                  </w:r>
                </w:p>
              </w:tc>
              <w:tc>
                <w:tcPr>
                  <w:tcW w:w="989"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color w:val="000000"/>
                      <w:sz w:val="21"/>
                      <w:szCs w:val="21"/>
                      <w:highlight w:val="none"/>
                      <w:vertAlign w:val="baseline"/>
                      <w:lang w:val="en-US" w:eastAsia="zh-CN" w:bidi="ar-SA"/>
                    </w:rPr>
                  </w:pPr>
                  <w:r>
                    <w:rPr>
                      <w:rFonts w:hint="default" w:ascii="Times New Roman" w:hAnsi="Times New Roman" w:eastAsia="宋体" w:cs="Times New Roman"/>
                      <w:sz w:val="21"/>
                      <w:szCs w:val="21"/>
                      <w:highlight w:val="none"/>
                      <w:vertAlign w:val="baseline"/>
                      <w:lang w:val="en-US" w:eastAsia="zh-CN"/>
                    </w:rPr>
                    <w:t>烃、水化合物</w:t>
                  </w:r>
                </w:p>
              </w:tc>
              <w:tc>
                <w:tcPr>
                  <w:tcW w:w="64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w:t>
                  </w:r>
                </w:p>
              </w:tc>
              <w:tc>
                <w:tcPr>
                  <w:tcW w:w="1740" w:type="dxa"/>
                  <w:vMerge w:val="restart"/>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暂存于危废间，委托濮阳县鑫地生物能源有限公司处置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8"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2</w:t>
                  </w:r>
                </w:p>
              </w:tc>
              <w:tc>
                <w:tcPr>
                  <w:tcW w:w="66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废液压油</w:t>
                  </w:r>
                </w:p>
              </w:tc>
              <w:tc>
                <w:tcPr>
                  <w:tcW w:w="63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HW08</w:t>
                  </w:r>
                </w:p>
              </w:tc>
              <w:tc>
                <w:tcPr>
                  <w:tcW w:w="81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900-218-08</w:t>
                  </w:r>
                </w:p>
              </w:tc>
              <w:tc>
                <w:tcPr>
                  <w:tcW w:w="85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0.7</w:t>
                  </w:r>
                </w:p>
              </w:tc>
              <w:tc>
                <w:tcPr>
                  <w:tcW w:w="683"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设备润滑</w:t>
                  </w:r>
                </w:p>
              </w:tc>
              <w:tc>
                <w:tcPr>
                  <w:tcW w:w="683"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液态</w:t>
                  </w:r>
                </w:p>
              </w:tc>
              <w:tc>
                <w:tcPr>
                  <w:tcW w:w="989"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color w:val="000000"/>
                      <w:sz w:val="21"/>
                      <w:szCs w:val="21"/>
                      <w:highlight w:val="none"/>
                      <w:vertAlign w:val="baseline"/>
                      <w:lang w:val="en-US" w:eastAsia="zh-CN" w:bidi="ar-SA"/>
                    </w:rPr>
                  </w:pPr>
                  <w:r>
                    <w:rPr>
                      <w:rFonts w:hint="default" w:ascii="Times New Roman" w:hAnsi="Times New Roman" w:eastAsia="宋体" w:cs="Times New Roman"/>
                      <w:sz w:val="21"/>
                      <w:szCs w:val="21"/>
                      <w:highlight w:val="none"/>
                      <w:vertAlign w:val="baseline"/>
                      <w:lang w:val="en-US" w:eastAsia="zh-CN"/>
                    </w:rPr>
                    <w:t>矿物油</w:t>
                  </w:r>
                </w:p>
              </w:tc>
              <w:tc>
                <w:tcPr>
                  <w:tcW w:w="64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T，I</w:t>
                  </w:r>
                </w:p>
              </w:tc>
              <w:tc>
                <w:tcPr>
                  <w:tcW w:w="1740" w:type="dxa"/>
                  <w:vMerge w:val="continue"/>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58"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3</w:t>
                  </w:r>
                </w:p>
              </w:tc>
              <w:tc>
                <w:tcPr>
                  <w:tcW w:w="66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废导轨油</w:t>
                  </w:r>
                </w:p>
              </w:tc>
              <w:tc>
                <w:tcPr>
                  <w:tcW w:w="63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HW08</w:t>
                  </w:r>
                </w:p>
              </w:tc>
              <w:tc>
                <w:tcPr>
                  <w:tcW w:w="81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900-217-08</w:t>
                  </w:r>
                </w:p>
              </w:tc>
              <w:tc>
                <w:tcPr>
                  <w:tcW w:w="85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0.3</w:t>
                  </w:r>
                </w:p>
              </w:tc>
              <w:tc>
                <w:tcPr>
                  <w:tcW w:w="683"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设备润滑</w:t>
                  </w:r>
                </w:p>
              </w:tc>
              <w:tc>
                <w:tcPr>
                  <w:tcW w:w="683"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液态</w:t>
                  </w:r>
                </w:p>
              </w:tc>
              <w:tc>
                <w:tcPr>
                  <w:tcW w:w="989"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color w:val="000000"/>
                      <w:sz w:val="21"/>
                      <w:szCs w:val="21"/>
                      <w:highlight w:val="none"/>
                      <w:vertAlign w:val="baseline"/>
                      <w:lang w:val="en-US" w:eastAsia="zh-CN" w:bidi="ar-SA"/>
                    </w:rPr>
                  </w:pPr>
                  <w:r>
                    <w:rPr>
                      <w:rFonts w:hint="default" w:ascii="Times New Roman" w:hAnsi="Times New Roman" w:eastAsia="宋体" w:cs="Times New Roman"/>
                      <w:sz w:val="21"/>
                      <w:szCs w:val="21"/>
                      <w:highlight w:val="none"/>
                      <w:vertAlign w:val="baseline"/>
                      <w:lang w:val="en-US" w:eastAsia="zh-CN"/>
                    </w:rPr>
                    <w:t>矿物油</w:t>
                  </w:r>
                </w:p>
              </w:tc>
              <w:tc>
                <w:tcPr>
                  <w:tcW w:w="64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r>
                    <w:rPr>
                      <w:rFonts w:hint="default" w:ascii="Times New Roman" w:hAnsi="Times New Roman" w:eastAsia="宋体" w:cs="Times New Roman"/>
                      <w:sz w:val="21"/>
                      <w:szCs w:val="21"/>
                      <w:highlight w:val="none"/>
                      <w:vertAlign w:val="baseline"/>
                      <w:lang w:val="en-US" w:eastAsia="zh-CN"/>
                    </w:rPr>
                    <w:t>T，I</w:t>
                  </w:r>
                </w:p>
              </w:tc>
              <w:tc>
                <w:tcPr>
                  <w:tcW w:w="1740" w:type="dxa"/>
                  <w:vMerge w:val="continue"/>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sz w:val="21"/>
                      <w:szCs w:val="21"/>
                      <w:highlight w:val="none"/>
                      <w:vertAlign w:val="baseline"/>
                      <w:lang w:val="en-US" w:eastAsia="zh-CN"/>
                    </w:rPr>
                  </w:pP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该工程产生的危险废物依托现有危险废物暂存间进行暂存。</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vertAlign w:val="baseline"/>
                <w:lang w:val="en-US" w:eastAsia="zh-CN"/>
              </w:rPr>
            </w:pPr>
            <w:r>
              <w:rPr>
                <w:rFonts w:hint="default" w:ascii="Times New Roman" w:hAnsi="Times New Roman" w:cs="Times New Roman"/>
                <w:b/>
                <w:bCs w:val="0"/>
                <w:sz w:val="24"/>
                <w:szCs w:val="24"/>
                <w:highlight w:val="none"/>
                <w:vertAlign w:val="baseline"/>
                <w:lang w:val="en-US" w:eastAsia="zh-CN"/>
              </w:rPr>
              <w:t>3.4涉及危险废物依托现有危废间可行性分析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①现有危废间建设情况</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目前厂区设置有10m</w:t>
            </w:r>
            <w:r>
              <w:rPr>
                <w:rFonts w:hint="default" w:ascii="Times New Roman" w:hAnsi="Times New Roman" w:cs="Times New Roman"/>
                <w:b w:val="0"/>
                <w:bCs/>
                <w:sz w:val="24"/>
                <w:szCs w:val="24"/>
                <w:highlight w:val="none"/>
                <w:vertAlign w:val="superscript"/>
                <w:lang w:val="en-US" w:eastAsia="zh-CN"/>
              </w:rPr>
              <w:t>2</w:t>
            </w:r>
            <w:r>
              <w:rPr>
                <w:rFonts w:hint="default" w:ascii="Times New Roman" w:hAnsi="Times New Roman" w:cs="Times New Roman"/>
                <w:b w:val="0"/>
                <w:bCs/>
                <w:sz w:val="24"/>
                <w:szCs w:val="24"/>
                <w:highlight w:val="none"/>
                <w:vertAlign w:val="baseline"/>
                <w:lang w:val="en-US" w:eastAsia="zh-CN"/>
              </w:rPr>
              <w:t>的危险废物暂存间，现有危险废物采取桶装收集分区贮存，危废间采取双落锁管理，采取防风、防雨、防晒、防渗漏措施，地面及裙角采取防腐防渗处理，渗透系数≤10</w:t>
            </w:r>
            <w:r>
              <w:rPr>
                <w:rFonts w:hint="default" w:ascii="Times New Roman" w:hAnsi="Times New Roman" w:cs="Times New Roman"/>
                <w:b w:val="0"/>
                <w:bCs/>
                <w:sz w:val="24"/>
                <w:szCs w:val="24"/>
                <w:highlight w:val="none"/>
                <w:vertAlign w:val="superscript"/>
                <w:lang w:val="en-US" w:eastAsia="zh-CN"/>
              </w:rPr>
              <w:t>-10</w:t>
            </w:r>
            <w:r>
              <w:rPr>
                <w:rFonts w:hint="default" w:ascii="Times New Roman" w:hAnsi="Times New Roman" w:cs="Times New Roman"/>
                <w:b w:val="0"/>
                <w:bCs/>
                <w:sz w:val="24"/>
                <w:szCs w:val="24"/>
                <w:highlight w:val="none"/>
                <w:vertAlign w:val="baseline"/>
                <w:lang w:val="en-US" w:eastAsia="zh-CN"/>
              </w:rPr>
              <w:t>cm/s，落实危险废物管理制度和台账管理设置警示标识，现有危废间符合《危险废物贮存污染控制标准》（GB18597-2001）及2013年修改单的公告中要求。</w:t>
            </w:r>
          </w:p>
          <w:p>
            <w:pPr>
              <w:pStyle w:val="2"/>
              <w:keepNext w:val="0"/>
              <w:keepLines w:val="0"/>
              <w:pageBreakBefore w:val="0"/>
              <w:widowControl w:val="0"/>
              <w:kinsoku/>
              <w:overflowPunct/>
              <w:topLinePunct w:val="0"/>
              <w:bidi w:val="0"/>
              <w:adjustRightInd w:val="0"/>
              <w:spacing w:line="520" w:lineRule="exact"/>
              <w:ind w:firstLine="480" w:firstLineChars="200"/>
              <w:jc w:val="lef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highlight w:val="none"/>
                <w:lang w:val="en-US" w:eastAsia="zh-CN"/>
              </w:rPr>
              <w:t>②依托可行性分析</w:t>
            </w:r>
          </w:p>
          <w:p>
            <w:pPr>
              <w:pStyle w:val="2"/>
              <w:keepNext w:val="0"/>
              <w:keepLines w:val="0"/>
              <w:pageBreakBefore w:val="0"/>
              <w:widowControl w:val="0"/>
              <w:kinsoku/>
              <w:overflowPunct/>
              <w:topLinePunct w:val="0"/>
              <w:bidi w:val="0"/>
              <w:adjustRightIn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eastAsia="宋体" w:cs="Times New Roman"/>
                <w:highlight w:val="none"/>
                <w:lang w:val="en-US" w:eastAsia="zh-CN"/>
              </w:rPr>
              <w:t>根据本次工程完成后厂区涉及的危险废物类别、形态和储存要求，三种危险废物放置在一间危废间可行，危险废物贮存</w:t>
            </w:r>
            <w:r>
              <w:rPr>
                <w:rFonts w:hint="default" w:ascii="Times New Roman" w:hAnsi="Times New Roman" w:eastAsia="宋体" w:cs="Times New Roman"/>
                <w:b w:val="0"/>
                <w:bCs/>
                <w:sz w:val="24"/>
                <w:szCs w:val="24"/>
                <w:highlight w:val="none"/>
                <w:vertAlign w:val="baseline"/>
                <w:lang w:val="en-US" w:eastAsia="zh-CN"/>
              </w:rPr>
              <w:t>基本情况见表4-7</w:t>
            </w:r>
            <w:r>
              <w:rPr>
                <w:rFonts w:hint="default" w:ascii="Times New Roman" w:hAnsi="Times New Roman" w:cs="Times New Roman"/>
                <w:b w:val="0"/>
                <w:bCs/>
                <w:sz w:val="24"/>
                <w:szCs w:val="24"/>
                <w:highlight w:val="none"/>
                <w:vertAlign w:val="baseline"/>
                <w:lang w:val="en-US" w:eastAsia="zh-CN"/>
              </w:rPr>
              <w:t>。</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vertAlign w:val="baseline"/>
                <w:lang w:val="en-US" w:eastAsia="zh-CN"/>
              </w:rPr>
            </w:pPr>
            <w:r>
              <w:rPr>
                <w:rFonts w:hint="default" w:ascii="Times New Roman" w:hAnsi="Times New Roman" w:cs="Times New Roman"/>
                <w:b/>
                <w:bCs w:val="0"/>
                <w:sz w:val="24"/>
                <w:szCs w:val="24"/>
                <w:highlight w:val="none"/>
                <w:vertAlign w:val="baseline"/>
                <w:lang w:val="en-US" w:eastAsia="zh-CN"/>
              </w:rPr>
              <w:t>表4-7  项目危险废物贮存场所基本情况表</w:t>
            </w:r>
          </w:p>
          <w:tbl>
            <w:tblPr>
              <w:tblStyle w:val="14"/>
              <w:tblW w:w="81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8"/>
              <w:gridCol w:w="1170"/>
              <w:gridCol w:w="1155"/>
              <w:gridCol w:w="1245"/>
              <w:gridCol w:w="810"/>
              <w:gridCol w:w="690"/>
              <w:gridCol w:w="750"/>
              <w:gridCol w:w="78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428"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序号</w:t>
                  </w:r>
                </w:p>
              </w:tc>
              <w:tc>
                <w:tcPr>
                  <w:tcW w:w="117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危险废物名称</w:t>
                  </w:r>
                </w:p>
              </w:tc>
              <w:tc>
                <w:tcPr>
                  <w:tcW w:w="115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危险废物类别</w:t>
                  </w:r>
                </w:p>
              </w:tc>
              <w:tc>
                <w:tcPr>
                  <w:tcW w:w="124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危险废物代码</w:t>
                  </w:r>
                </w:p>
              </w:tc>
              <w:tc>
                <w:tcPr>
                  <w:tcW w:w="81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kern w:val="2"/>
                      <w:sz w:val="21"/>
                      <w:szCs w:val="21"/>
                      <w:highlight w:val="none"/>
                      <w:vertAlign w:val="baseline"/>
                      <w:lang w:val="en-US" w:eastAsia="zh-CN" w:bidi="ar-SA"/>
                    </w:rPr>
                  </w:pPr>
                  <w:r>
                    <w:rPr>
                      <w:rFonts w:hint="default" w:ascii="Times New Roman" w:hAnsi="Times New Roman" w:cs="Times New Roman"/>
                      <w:b/>
                      <w:bCs w:val="0"/>
                      <w:sz w:val="21"/>
                      <w:szCs w:val="21"/>
                      <w:highlight w:val="none"/>
                      <w:vertAlign w:val="baseline"/>
                      <w:lang w:val="en-US" w:eastAsia="zh-CN"/>
                    </w:rPr>
                    <w:t>贮存周期</w:t>
                  </w:r>
                </w:p>
              </w:tc>
              <w:tc>
                <w:tcPr>
                  <w:tcW w:w="69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b/>
                      <w:bCs w:val="0"/>
                      <w:kern w:val="2"/>
                      <w:sz w:val="21"/>
                      <w:szCs w:val="21"/>
                      <w:highlight w:val="none"/>
                      <w:vertAlign w:val="baseline"/>
                      <w:lang w:val="en-US" w:eastAsia="zh-CN" w:bidi="ar-SA"/>
                    </w:rPr>
                  </w:pPr>
                  <w:r>
                    <w:rPr>
                      <w:rFonts w:hint="default" w:ascii="Times New Roman" w:hAnsi="Times New Roman" w:cs="Times New Roman"/>
                      <w:b/>
                      <w:bCs w:val="0"/>
                      <w:sz w:val="21"/>
                      <w:szCs w:val="21"/>
                      <w:highlight w:val="none"/>
                      <w:vertAlign w:val="baseline"/>
                      <w:lang w:val="en-US" w:eastAsia="zh-CN"/>
                    </w:rPr>
                    <w:t>贮存方式</w:t>
                  </w:r>
                </w:p>
              </w:tc>
              <w:tc>
                <w:tcPr>
                  <w:tcW w:w="75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贮存能力</w:t>
                  </w:r>
                </w:p>
              </w:tc>
              <w:tc>
                <w:tcPr>
                  <w:tcW w:w="78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占地面积</w:t>
                  </w:r>
                </w:p>
              </w:tc>
              <w:tc>
                <w:tcPr>
                  <w:tcW w:w="108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1</w:t>
                  </w:r>
                </w:p>
              </w:tc>
              <w:tc>
                <w:tcPr>
                  <w:tcW w:w="117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废乳化液</w:t>
                  </w:r>
                </w:p>
              </w:tc>
              <w:tc>
                <w:tcPr>
                  <w:tcW w:w="115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HW09</w:t>
                  </w:r>
                </w:p>
              </w:tc>
              <w:tc>
                <w:tcPr>
                  <w:tcW w:w="124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900-006-09</w:t>
                  </w:r>
                </w:p>
              </w:tc>
              <w:tc>
                <w:tcPr>
                  <w:tcW w:w="81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半年</w:t>
                  </w:r>
                </w:p>
              </w:tc>
              <w:tc>
                <w:tcPr>
                  <w:tcW w:w="6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桶装</w:t>
                  </w:r>
                </w:p>
              </w:tc>
              <w:tc>
                <w:tcPr>
                  <w:tcW w:w="750"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eastAsia="宋体" w:cs="Times New Roman"/>
                      <w:b w:val="0"/>
                      <w:bCs/>
                      <w:sz w:val="21"/>
                      <w:szCs w:val="21"/>
                      <w:highlight w:val="none"/>
                      <w:vertAlign w:val="baseline"/>
                      <w:lang w:val="en-US" w:eastAsia="zh-CN"/>
                    </w:rPr>
                  </w:pPr>
                  <w:r>
                    <w:rPr>
                      <w:rFonts w:hint="default" w:ascii="Times New Roman" w:hAnsi="Times New Roman" w:cs="Times New Roman"/>
                      <w:highlight w:val="none"/>
                      <w:lang w:val="en-US" w:eastAsia="zh-CN"/>
                    </w:rPr>
                    <w:t>2t</w:t>
                  </w:r>
                </w:p>
              </w:tc>
              <w:tc>
                <w:tcPr>
                  <w:tcW w:w="780"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superscript"/>
                      <w:lang w:val="en-US" w:eastAsia="zh-CN"/>
                    </w:rPr>
                  </w:pPr>
                  <w:r>
                    <w:rPr>
                      <w:rFonts w:hint="default" w:ascii="Times New Roman" w:hAnsi="Times New Roman" w:cs="Times New Roman"/>
                      <w:b w:val="0"/>
                      <w:bCs/>
                      <w:sz w:val="21"/>
                      <w:szCs w:val="21"/>
                      <w:highlight w:val="none"/>
                      <w:vertAlign w:val="baseline"/>
                      <w:lang w:val="en-US" w:eastAsia="zh-CN"/>
                    </w:rPr>
                    <w:t>10m</w:t>
                  </w:r>
                  <w:r>
                    <w:rPr>
                      <w:rFonts w:hint="default" w:ascii="Times New Roman" w:hAnsi="Times New Roman" w:cs="Times New Roman"/>
                      <w:b w:val="0"/>
                      <w:bCs/>
                      <w:sz w:val="21"/>
                      <w:szCs w:val="21"/>
                      <w:highlight w:val="none"/>
                      <w:vertAlign w:val="superscript"/>
                      <w:lang w:val="en-US" w:eastAsia="zh-CN"/>
                    </w:rPr>
                    <w:t>2</w:t>
                  </w:r>
                </w:p>
              </w:tc>
              <w:tc>
                <w:tcPr>
                  <w:tcW w:w="1080"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highlight w:val="none"/>
                      <w:lang w:val="en-US" w:eastAsia="zh-CN"/>
                    </w:rPr>
                    <w:t>生产车间西南角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w:t>
                  </w:r>
                </w:p>
              </w:tc>
              <w:tc>
                <w:tcPr>
                  <w:tcW w:w="117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废液压油</w:t>
                  </w:r>
                </w:p>
              </w:tc>
              <w:tc>
                <w:tcPr>
                  <w:tcW w:w="115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HW08</w:t>
                  </w:r>
                </w:p>
              </w:tc>
              <w:tc>
                <w:tcPr>
                  <w:tcW w:w="124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900-218-08</w:t>
                  </w:r>
                </w:p>
              </w:tc>
              <w:tc>
                <w:tcPr>
                  <w:tcW w:w="81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半年</w:t>
                  </w:r>
                </w:p>
              </w:tc>
              <w:tc>
                <w:tcPr>
                  <w:tcW w:w="6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桶装</w:t>
                  </w:r>
                </w:p>
              </w:tc>
              <w:tc>
                <w:tcPr>
                  <w:tcW w:w="75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78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108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2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3</w:t>
                  </w:r>
                </w:p>
              </w:tc>
              <w:tc>
                <w:tcPr>
                  <w:tcW w:w="117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废导轨油</w:t>
                  </w:r>
                </w:p>
              </w:tc>
              <w:tc>
                <w:tcPr>
                  <w:tcW w:w="115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HW08</w:t>
                  </w:r>
                </w:p>
              </w:tc>
              <w:tc>
                <w:tcPr>
                  <w:tcW w:w="124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900-217-08</w:t>
                  </w:r>
                </w:p>
              </w:tc>
              <w:tc>
                <w:tcPr>
                  <w:tcW w:w="81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半年</w:t>
                  </w:r>
                </w:p>
              </w:tc>
              <w:tc>
                <w:tcPr>
                  <w:tcW w:w="690"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桶装</w:t>
                  </w:r>
                </w:p>
              </w:tc>
              <w:tc>
                <w:tcPr>
                  <w:tcW w:w="75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78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1080"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r>
          </w:tbl>
          <w:p>
            <w:pPr>
              <w:keepNext w:val="0"/>
              <w:keepLines w:val="0"/>
              <w:pageBreakBefore w:val="0"/>
              <w:widowControl w:val="0"/>
              <w:kinsoku/>
              <w:wordWrap/>
              <w:overflowPunct/>
              <w:topLinePunct w:val="0"/>
              <w:bidi w:val="0"/>
              <w:adjustRightInd w:val="0"/>
              <w:snapToGrid w:val="0"/>
              <w:spacing w:line="520" w:lineRule="exact"/>
              <w:ind w:firstLine="480" w:firstLineChars="200"/>
              <w:jc w:val="left"/>
              <w:textAlignment w:val="auto"/>
              <w:rPr>
                <w:rFonts w:hint="default" w:ascii="Times New Roman" w:hAnsi="Times New Roman" w:eastAsia="宋体" w:cs="Times New Roman"/>
                <w:highlight w:val="none"/>
                <w:lang w:val="en-US" w:eastAsia="zh-CN"/>
              </w:rPr>
            </w:pPr>
            <w:r>
              <w:rPr>
                <w:rFonts w:hint="default" w:ascii="Times New Roman" w:hAnsi="Times New Roman" w:eastAsia="宋体" w:cs="Times New Roman"/>
                <w:sz w:val="24"/>
                <w:szCs w:val="32"/>
                <w:highlight w:val="none"/>
                <w:lang w:val="en-US" w:eastAsia="zh-CN"/>
              </w:rPr>
              <w:t>该扩建项目实施后，固废变化情况见表</w:t>
            </w:r>
            <w:r>
              <w:rPr>
                <w:rFonts w:hint="default" w:ascii="Times New Roman" w:hAnsi="Times New Roman" w:cs="Times New Roman"/>
                <w:sz w:val="24"/>
                <w:szCs w:val="32"/>
                <w:highlight w:val="none"/>
                <w:lang w:val="en-US" w:eastAsia="zh-CN"/>
              </w:rPr>
              <w:t>4-8</w:t>
            </w:r>
            <w:r>
              <w:rPr>
                <w:rFonts w:hint="default" w:ascii="Times New Roman" w:hAnsi="Times New Roman" w:eastAsia="宋体" w:cs="Times New Roman"/>
                <w:sz w:val="24"/>
                <w:szCs w:val="32"/>
                <w:highlight w:val="none"/>
                <w:lang w:val="en-US" w:eastAsia="zh-CN"/>
              </w:rPr>
              <w:t>。</w:t>
            </w:r>
          </w:p>
          <w:p>
            <w:pPr>
              <w:pStyle w:val="2"/>
              <w:keepNext w:val="0"/>
              <w:keepLines w:val="0"/>
              <w:pageBreakBefore w:val="0"/>
              <w:widowControl w:val="0"/>
              <w:kinsoku/>
              <w:wordWrap/>
              <w:overflowPunct/>
              <w:topLinePunct w:val="0"/>
              <w:bidi w:val="0"/>
              <w:adjustRightInd w:val="0"/>
              <w:spacing w:line="520" w:lineRule="exact"/>
              <w:ind w:firstLine="482" w:firstLineChars="200"/>
              <w:jc w:val="center"/>
              <w:textAlignment w:val="auto"/>
              <w:rPr>
                <w:rFonts w:hint="default" w:ascii="Times New Roman" w:hAnsi="Times New Roman" w:eastAsia="宋体" w:cs="Times New Roman"/>
                <w:b/>
                <w:bCs/>
                <w:highlight w:val="none"/>
                <w:lang w:val="en-US" w:eastAsia="zh-CN"/>
              </w:rPr>
            </w:pPr>
            <w:r>
              <w:rPr>
                <w:rFonts w:hint="default" w:ascii="Times New Roman" w:hAnsi="Times New Roman" w:eastAsia="宋体" w:cs="Times New Roman"/>
                <w:b/>
                <w:bCs/>
                <w:highlight w:val="none"/>
                <w:lang w:val="en-US" w:eastAsia="zh-CN"/>
              </w:rPr>
              <w:t>表4-8  扩建前后固废变化情况一览表</w:t>
            </w:r>
          </w:p>
          <w:tbl>
            <w:tblPr>
              <w:tblStyle w:val="14"/>
              <w:tblW w:w="81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1320"/>
              <w:gridCol w:w="1095"/>
              <w:gridCol w:w="1365"/>
              <w:gridCol w:w="1290"/>
              <w:gridCol w:w="1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465" w:type="dxa"/>
                  <w:gridSpan w:val="2"/>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污染物名称</w:t>
                  </w:r>
                </w:p>
              </w:tc>
              <w:tc>
                <w:tcPr>
                  <w:tcW w:w="1095"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扩建前</w:t>
                  </w:r>
                </w:p>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color w:val="000000"/>
                      <w:sz w:val="21"/>
                      <w:szCs w:val="21"/>
                      <w:highlight w:val="none"/>
                      <w:vertAlign w:val="baseline"/>
                      <w:lang w:val="en-US" w:eastAsia="zh-CN" w:bidi="ar-SA"/>
                    </w:rPr>
                  </w:pPr>
                  <w:r>
                    <w:rPr>
                      <w:rFonts w:hint="default" w:ascii="Times New Roman" w:hAnsi="Times New Roman" w:eastAsia="宋体" w:cs="Times New Roman"/>
                      <w:b/>
                      <w:bCs/>
                      <w:sz w:val="21"/>
                      <w:szCs w:val="21"/>
                      <w:highlight w:val="none"/>
                      <w:vertAlign w:val="baseline"/>
                      <w:lang w:val="en-US" w:eastAsia="zh-CN"/>
                    </w:rPr>
                    <w:t>产生量</w:t>
                  </w:r>
                </w:p>
              </w:tc>
              <w:tc>
                <w:tcPr>
                  <w:tcW w:w="1365"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color w:val="000000"/>
                      <w:sz w:val="21"/>
                      <w:szCs w:val="21"/>
                      <w:highlight w:val="none"/>
                      <w:vertAlign w:val="baseline"/>
                      <w:lang w:val="en-US" w:eastAsia="zh-CN" w:bidi="ar-SA"/>
                    </w:rPr>
                  </w:pPr>
                  <w:r>
                    <w:rPr>
                      <w:rFonts w:hint="default" w:ascii="Times New Roman" w:hAnsi="Times New Roman" w:eastAsia="宋体" w:cs="Times New Roman"/>
                      <w:b/>
                      <w:bCs/>
                      <w:sz w:val="21"/>
                      <w:szCs w:val="21"/>
                      <w:highlight w:val="none"/>
                      <w:vertAlign w:val="baseline"/>
                      <w:lang w:val="en-US" w:eastAsia="zh-CN"/>
                    </w:rPr>
                    <w:t>扩建后全厂产生量</w:t>
                  </w:r>
                </w:p>
              </w:tc>
              <w:tc>
                <w:tcPr>
                  <w:tcW w:w="1290"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color w:val="000000"/>
                      <w:sz w:val="21"/>
                      <w:szCs w:val="21"/>
                      <w:highlight w:val="none"/>
                      <w:vertAlign w:val="baseline"/>
                      <w:lang w:val="en-US" w:eastAsia="zh-CN" w:bidi="ar-SA"/>
                    </w:rPr>
                  </w:pPr>
                  <w:r>
                    <w:rPr>
                      <w:rFonts w:hint="default" w:ascii="Times New Roman" w:hAnsi="Times New Roman" w:eastAsia="宋体" w:cs="Times New Roman"/>
                      <w:b/>
                      <w:bCs/>
                      <w:sz w:val="21"/>
                      <w:szCs w:val="21"/>
                      <w:highlight w:val="none"/>
                      <w:vertAlign w:val="baseline"/>
                      <w:lang w:val="en-US" w:eastAsia="zh-CN"/>
                    </w:rPr>
                    <w:t>变化情况</w:t>
                  </w:r>
                </w:p>
              </w:tc>
              <w:tc>
                <w:tcPr>
                  <w:tcW w:w="1979" w:type="dxa"/>
                  <w:vAlign w:val="center"/>
                </w:tcPr>
                <w:p>
                  <w:pPr>
                    <w:pStyle w:val="2"/>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Times New Roman" w:hAnsi="Times New Roman" w:eastAsia="宋体" w:cs="Times New Roman"/>
                      <w:b/>
                      <w:bCs/>
                      <w:sz w:val="21"/>
                      <w:szCs w:val="21"/>
                      <w:highlight w:val="none"/>
                      <w:vertAlign w:val="baseline"/>
                      <w:lang w:val="en-US" w:eastAsia="zh-CN"/>
                    </w:rPr>
                  </w:pPr>
                  <w:r>
                    <w:rPr>
                      <w:rFonts w:hint="default" w:ascii="Times New Roman" w:hAnsi="Times New Roman" w:eastAsia="宋体" w:cs="Times New Roman"/>
                      <w:b/>
                      <w:bCs/>
                      <w:sz w:val="21"/>
                      <w:szCs w:val="21"/>
                      <w:highlight w:val="none"/>
                      <w:vertAlign w:val="baseline"/>
                      <w:lang w:val="en-US" w:eastAsia="zh-CN"/>
                    </w:rPr>
                    <w:t>处理方式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一般固废</w:t>
                  </w:r>
                </w:p>
              </w:tc>
              <w:tc>
                <w:tcPr>
                  <w:tcW w:w="132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废边角料、废铁屑</w:t>
                  </w:r>
                </w:p>
              </w:tc>
              <w:tc>
                <w:tcPr>
                  <w:tcW w:w="109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8t/a</w:t>
                  </w:r>
                </w:p>
              </w:tc>
              <w:tc>
                <w:tcPr>
                  <w:tcW w:w="136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130t/a</w:t>
                  </w:r>
                </w:p>
              </w:tc>
              <w:tc>
                <w:tcPr>
                  <w:tcW w:w="129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+122t/a</w:t>
                  </w:r>
                </w:p>
              </w:tc>
              <w:tc>
                <w:tcPr>
                  <w:tcW w:w="1979"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统一外运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5" w:type="dxa"/>
                  <w:vMerge w:val="restart"/>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危险固废</w:t>
                  </w:r>
                </w:p>
              </w:tc>
              <w:tc>
                <w:tcPr>
                  <w:tcW w:w="132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废乳化液</w:t>
                  </w:r>
                </w:p>
              </w:tc>
              <w:tc>
                <w:tcPr>
                  <w:tcW w:w="109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0.08t/a</w:t>
                  </w:r>
                </w:p>
              </w:tc>
              <w:tc>
                <w:tcPr>
                  <w:tcW w:w="136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0.58t/a</w:t>
                  </w:r>
                </w:p>
              </w:tc>
              <w:tc>
                <w:tcPr>
                  <w:tcW w:w="129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+0.5t/a</w:t>
                  </w:r>
                </w:p>
              </w:tc>
              <w:tc>
                <w:tcPr>
                  <w:tcW w:w="1979" w:type="dxa"/>
                  <w:vMerge w:val="restart"/>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交由濮阳县鑫地生物能源有限公司处置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5" w:type="dxa"/>
                  <w:vMerge w:val="continue"/>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p>
              </w:tc>
              <w:tc>
                <w:tcPr>
                  <w:tcW w:w="132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废液压油</w:t>
                  </w:r>
                </w:p>
              </w:tc>
              <w:tc>
                <w:tcPr>
                  <w:tcW w:w="109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w:t>
                  </w:r>
                </w:p>
              </w:tc>
              <w:tc>
                <w:tcPr>
                  <w:tcW w:w="136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0.7t/a</w:t>
                  </w:r>
                </w:p>
              </w:tc>
              <w:tc>
                <w:tcPr>
                  <w:tcW w:w="129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+0.7t/a</w:t>
                  </w:r>
                </w:p>
              </w:tc>
              <w:tc>
                <w:tcPr>
                  <w:tcW w:w="1979" w:type="dxa"/>
                  <w:vMerge w:val="continue"/>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5" w:type="dxa"/>
                  <w:vMerge w:val="continue"/>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p>
              </w:tc>
              <w:tc>
                <w:tcPr>
                  <w:tcW w:w="132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废导轨油</w:t>
                  </w:r>
                </w:p>
              </w:tc>
              <w:tc>
                <w:tcPr>
                  <w:tcW w:w="109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w:t>
                  </w:r>
                </w:p>
              </w:tc>
              <w:tc>
                <w:tcPr>
                  <w:tcW w:w="136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0.3t/a</w:t>
                  </w:r>
                </w:p>
              </w:tc>
              <w:tc>
                <w:tcPr>
                  <w:tcW w:w="129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+0.3t/a</w:t>
                  </w:r>
                </w:p>
              </w:tc>
              <w:tc>
                <w:tcPr>
                  <w:tcW w:w="1979" w:type="dxa"/>
                  <w:vMerge w:val="continue"/>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4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生活垃圾</w:t>
                  </w:r>
                </w:p>
              </w:tc>
              <w:tc>
                <w:tcPr>
                  <w:tcW w:w="132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生活垃圾</w:t>
                  </w:r>
                </w:p>
              </w:tc>
              <w:tc>
                <w:tcPr>
                  <w:tcW w:w="109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1.25t/a</w:t>
                  </w:r>
                </w:p>
              </w:tc>
              <w:tc>
                <w:tcPr>
                  <w:tcW w:w="1365"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9.5t/a</w:t>
                  </w:r>
                </w:p>
              </w:tc>
              <w:tc>
                <w:tcPr>
                  <w:tcW w:w="1290"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+8.25t/a</w:t>
                  </w:r>
                </w:p>
              </w:tc>
              <w:tc>
                <w:tcPr>
                  <w:tcW w:w="1979" w:type="dxa"/>
                  <w:vAlign w:val="center"/>
                </w:tcPr>
                <w:p>
                  <w:pPr>
                    <w:pStyle w:val="2"/>
                    <w:keepNext w:val="0"/>
                    <w:keepLines w:val="0"/>
                    <w:pageBreakBefore w:val="0"/>
                    <w:widowControl w:val="0"/>
                    <w:kinsoku/>
                    <w:overflowPunct/>
                    <w:topLinePunct w:val="0"/>
                    <w:bidi w:val="0"/>
                    <w:adjustRightInd w:val="0"/>
                    <w:spacing w:line="520" w:lineRule="exact"/>
                    <w:jc w:val="center"/>
                    <w:textAlignment w:val="auto"/>
                    <w:rPr>
                      <w:rFonts w:hint="default" w:ascii="Times New Roman" w:hAnsi="Times New Roman" w:eastAsia="宋体" w:cs="Times New Roman"/>
                      <w:b w:val="0"/>
                      <w:bCs w:val="0"/>
                      <w:sz w:val="21"/>
                      <w:szCs w:val="21"/>
                      <w:highlight w:val="none"/>
                      <w:vertAlign w:val="baseline"/>
                      <w:lang w:val="en-US" w:eastAsia="zh-CN"/>
                    </w:rPr>
                  </w:pPr>
                  <w:r>
                    <w:rPr>
                      <w:rFonts w:hint="default" w:ascii="Times New Roman" w:hAnsi="Times New Roman" w:eastAsia="宋体" w:cs="Times New Roman"/>
                      <w:b w:val="0"/>
                      <w:bCs w:val="0"/>
                      <w:sz w:val="21"/>
                      <w:szCs w:val="21"/>
                      <w:highlight w:val="none"/>
                      <w:vertAlign w:val="baseline"/>
                      <w:lang w:val="en-US" w:eastAsia="zh-CN"/>
                    </w:rPr>
                    <w:t>交由环卫部门处置</w:t>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vertAlign w:val="baseline"/>
                <w:lang w:val="en-US" w:eastAsia="zh-CN"/>
              </w:rPr>
            </w:pPr>
            <w:r>
              <w:rPr>
                <w:rFonts w:hint="default" w:ascii="Times New Roman" w:hAnsi="Times New Roman" w:cs="Times New Roman"/>
                <w:b/>
                <w:bCs w:val="0"/>
                <w:sz w:val="24"/>
                <w:szCs w:val="24"/>
                <w:highlight w:val="none"/>
                <w:vertAlign w:val="baseline"/>
                <w:lang w:val="en-US" w:eastAsia="zh-CN"/>
              </w:rPr>
              <w:t>3.5固体废物环境管理要求</w:t>
            </w:r>
          </w:p>
          <w:p>
            <w:pPr>
              <w:pStyle w:val="2"/>
              <w:keepNext w:val="0"/>
              <w:keepLines w:val="0"/>
              <w:pageBreakBefore w:val="0"/>
              <w:widowControl w:val="0"/>
              <w:kinsoku/>
              <w:overflowPunct/>
              <w:topLinePunct w:val="0"/>
              <w:bidi w:val="0"/>
              <w:adjustRightInd w:val="0"/>
              <w:spacing w:line="520" w:lineRule="exact"/>
              <w:ind w:firstLine="480" w:firstLineChars="200"/>
              <w:jc w:val="left"/>
              <w:textAlignment w:val="auto"/>
              <w:rPr>
                <w:rFonts w:hint="default" w:ascii="Times New Roman" w:hAnsi="Times New Roman" w:eastAsia="宋体" w:cs="Times New Roman"/>
                <w:b w:val="0"/>
                <w:bCs w:val="0"/>
                <w:highlight w:val="none"/>
                <w:lang w:val="en-US" w:eastAsia="zh-CN"/>
              </w:rPr>
            </w:pPr>
            <w:r>
              <w:rPr>
                <w:rFonts w:hint="default" w:ascii="Times New Roman" w:hAnsi="Times New Roman" w:eastAsia="宋体" w:cs="Times New Roman"/>
                <w:b w:val="0"/>
                <w:bCs w:val="0"/>
                <w:highlight w:val="none"/>
                <w:lang w:val="en-US" w:eastAsia="zh-CN"/>
              </w:rPr>
              <w:t>根据《中华人民共和国固体废物污染防治法》（2020年修订）有关规定，评价要求企业规范工业固废污染防治及管理，具体要求如下：</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①建立工业固废管理台账，如实记录工业固体废物种类、数量、流向、利用等相关信息，实现工业固体废物可追溯、可查询，并严禁向生活垃圾设施中投放工业固体废物。</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②产生的工业固体废物委托他人进行运输、利用、处置工业固体废物的，应当对受托方的主体资格和技术能力进行核实，依法签订书面合同，在合同中约定污染防治要求。</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③企业应向示范区生态环境局提供工业固体废物的种类、数量、流向、贮存、利用、处置等有关资料，以及减少工业固体废物产生、促进综合利用的具体措施。</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综上，经采取措施后，本项目产生的固体废物均得到合理处置，对周围环境影响较小。故评价认为项目固废污染防治措施可行。</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4、土壤影响分析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本项目生产车间地面全部经过水泥硬化处理，营运期间基本不会对土壤产生影响。生产设备正常运行时，按照设计参数，基本没有污染物泄漏，一般情况下污水不会渗漏和进入地下，不会对土壤造成污染。</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5、地下水环境影响分析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本项目生产车间地面全部经过水泥硬化处理，营运期间项目不产生</w:t>
            </w:r>
            <w:r>
              <w:rPr>
                <w:rFonts w:hint="default" w:ascii="Times New Roman" w:hAnsi="Times New Roman" w:cs="Times New Roman"/>
                <w:sz w:val="24"/>
                <w:szCs w:val="24"/>
                <w:highlight w:val="none"/>
                <w:lang w:val="en-US" w:eastAsia="zh-CN"/>
              </w:rPr>
              <w:t>生产</w:t>
            </w:r>
            <w:r>
              <w:rPr>
                <w:rFonts w:hint="default" w:ascii="Times New Roman" w:hAnsi="Times New Roman" w:cs="Times New Roman"/>
                <w:b w:val="0"/>
                <w:bCs/>
                <w:sz w:val="24"/>
                <w:szCs w:val="24"/>
                <w:highlight w:val="none"/>
                <w:lang w:val="en-US" w:eastAsia="zh-CN"/>
              </w:rPr>
              <w:t>废水，厂区生活污水经化粪池预处理后，进入污水管网最终排入城市污水处理厂进一步处理。生产设备正常运行时，按照设计参数，基本没有污染物泄漏。</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6、生态环境影响分析</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本项目所在地附近没有珍稀动植物种群和其它生态敏感点，项目营运期间产生的固废、噪声采取有效处理措施后，对周围生态环境产生影响较小。</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7、营运期环境管理要求</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加强环境管理是贯彻执行环境保护法规，实现建设项目的社会、经济和环境效益的协调统一，以及企业可持续发展的重要保证。因此为了加强环境管理，有效地控制环境污染排放，建设单位应该根据项目实际情况建立相应的环境管理体系。</w:t>
            </w:r>
          </w:p>
          <w:p>
            <w:pPr>
              <w:pStyle w:val="2"/>
              <w:keepNext w:val="0"/>
              <w:keepLines w:val="0"/>
              <w:pageBreakBefore w:val="0"/>
              <w:widowControl w:val="0"/>
              <w:kinsoku/>
              <w:overflowPunct/>
              <w:topLinePunct w:val="0"/>
              <w:bidi w:val="0"/>
              <w:adjustRightInd w:val="0"/>
              <w:spacing w:line="520" w:lineRule="exact"/>
              <w:ind w:firstLine="482" w:firstLineChars="200"/>
              <w:jc w:val="left"/>
              <w:textAlignment w:val="auto"/>
              <w:rPr>
                <w:rFonts w:hint="default" w:ascii="Times New Roman" w:hAnsi="Times New Roman" w:eastAsia="宋体" w:cs="Times New Roman"/>
                <w:b/>
                <w:bCs/>
                <w:sz w:val="24"/>
                <w:szCs w:val="24"/>
                <w:highlight w:val="none"/>
                <w:lang w:val="en-US" w:eastAsia="zh-CN"/>
              </w:rPr>
            </w:pPr>
            <w:r>
              <w:rPr>
                <w:rFonts w:hint="default" w:ascii="Times New Roman" w:hAnsi="Times New Roman" w:eastAsia="宋体" w:cs="Times New Roman"/>
                <w:b/>
                <w:bCs/>
                <w:sz w:val="24"/>
                <w:szCs w:val="24"/>
                <w:highlight w:val="none"/>
                <w:lang w:val="en-US" w:eastAsia="zh-CN"/>
              </w:rPr>
              <w:t>7.1</w:t>
            </w:r>
            <w:r>
              <w:rPr>
                <w:rFonts w:hint="eastAsia" w:ascii="Times New Roman" w:hAnsi="Times New Roman" w:eastAsia="宋体" w:cs="Times New Roman"/>
                <w:b/>
                <w:bCs/>
                <w:sz w:val="24"/>
                <w:szCs w:val="24"/>
                <w:highlight w:val="none"/>
                <w:lang w:val="en-US" w:eastAsia="zh-CN"/>
              </w:rPr>
              <w:t xml:space="preserve"> </w:t>
            </w:r>
            <w:r>
              <w:rPr>
                <w:rFonts w:hint="default" w:ascii="Times New Roman" w:hAnsi="Times New Roman" w:eastAsia="宋体" w:cs="Times New Roman"/>
                <w:b/>
                <w:bCs/>
                <w:sz w:val="24"/>
                <w:szCs w:val="24"/>
                <w:highlight w:val="none"/>
                <w:lang w:val="en-US" w:eastAsia="zh-CN"/>
              </w:rPr>
              <w:t>“三同时”制度</w:t>
            </w:r>
          </w:p>
          <w:p>
            <w:pPr>
              <w:pStyle w:val="2"/>
              <w:keepNext w:val="0"/>
              <w:keepLines w:val="0"/>
              <w:pageBreakBefore w:val="0"/>
              <w:widowControl w:val="0"/>
              <w:kinsoku/>
              <w:overflowPunct/>
              <w:topLinePunct w:val="0"/>
              <w:bidi w:val="0"/>
              <w:adjustRightInd w:val="0"/>
              <w:spacing w:line="520" w:lineRule="exact"/>
              <w:ind w:firstLine="480" w:firstLineChars="200"/>
              <w:jc w:val="left"/>
              <w:textAlignment w:val="auto"/>
              <w:rPr>
                <w:rFonts w:hint="default" w:ascii="Times New Roman" w:hAnsi="Times New Roman" w:eastAsia="宋体" w:cs="Times New Roman"/>
                <w:b w:val="0"/>
                <w:bCs w:val="0"/>
                <w:sz w:val="24"/>
                <w:szCs w:val="24"/>
                <w:highlight w:val="none"/>
                <w:lang w:val="en-US" w:eastAsia="zh-CN"/>
              </w:rPr>
            </w:pPr>
            <w:r>
              <w:rPr>
                <w:rFonts w:hint="default" w:ascii="Times New Roman" w:hAnsi="Times New Roman" w:eastAsia="宋体" w:cs="Times New Roman"/>
                <w:b w:val="0"/>
                <w:bCs w:val="0"/>
                <w:sz w:val="24"/>
                <w:szCs w:val="24"/>
                <w:highlight w:val="none"/>
                <w:lang w:val="en-US" w:eastAsia="zh-CN"/>
              </w:rPr>
              <w:t>根据《建设项目环境保护管理条例》，建设项目需要配套建设的环境保护设施，必须与主体工程同时设计、同时施工、同时投产使用。本项目配套建设的环境保护设施经验收合格，方可投入生产或者使用。建设单位是建设项目竣工环境保护验收的责任主体，项目竣工后，应当按照《建设项目竣工环境保护验收技术指南 污染影响类》规定的程序和标准，组织对配套建设的环境保护设施进行验收，编制验收报告，公开相关信息，接受社会监督，确保建设项目需要配套建设的环境保护设施与主体工程同时投产或者使用，并对验收内容、结论和所公开信息的真实性、准确性和完整性负责，不得在验收过程中弄虚作假。</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7.</w:t>
            </w:r>
            <w:r>
              <w:rPr>
                <w:rFonts w:hint="eastAsia" w:ascii="Times New Roman" w:hAnsi="Times New Roman" w:cs="Times New Roman"/>
                <w:b/>
                <w:bCs w:val="0"/>
                <w:sz w:val="24"/>
                <w:szCs w:val="24"/>
                <w:highlight w:val="none"/>
                <w:lang w:val="en-US" w:eastAsia="zh-CN"/>
              </w:rPr>
              <w:t xml:space="preserve">2 </w:t>
            </w:r>
            <w:r>
              <w:rPr>
                <w:rFonts w:hint="default" w:ascii="Times New Roman" w:hAnsi="Times New Roman" w:cs="Times New Roman"/>
                <w:b/>
                <w:bCs w:val="0"/>
                <w:sz w:val="24"/>
                <w:szCs w:val="24"/>
                <w:highlight w:val="none"/>
                <w:lang w:val="en-US" w:eastAsia="zh-CN"/>
              </w:rPr>
              <w:t>环境管理机构的基本职责</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①贯彻执行《中华人民共和国环境保护法》及其相关法律、法规，按照国家的环保政策、环境标准及环境监测要求，制定环境管理规章制度，并监督执行。</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②执行国家有关建设项目环境保护的规定，做好环保设施管理和维护工作。建立并管理好环保设施的档案工作，保证环保设施按照设计要求运行，加强企业经营管理，杜绝擅自拆除和闲置不用的现象发生。做到环保设施及设备的利用率和完好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③组织并抓好本项目污染治理和综合利用工作，定期对环保设施进行检查，防止出现故障，保证设备正常运行。</w:t>
            </w:r>
          </w:p>
          <w:p>
            <w:pPr>
              <w:pStyle w:val="2"/>
              <w:keepNext w:val="0"/>
              <w:keepLines w:val="0"/>
              <w:pageBreakBefore w:val="0"/>
              <w:widowControl w:val="0"/>
              <w:kinsoku/>
              <w:overflowPunct/>
              <w:topLinePunct w:val="0"/>
              <w:bidi w:val="0"/>
              <w:adjustRightInd w:val="0"/>
              <w:spacing w:line="520" w:lineRule="exact"/>
              <w:ind w:firstLine="482" w:firstLineChars="200"/>
              <w:jc w:val="left"/>
              <w:textAlignment w:val="auto"/>
              <w:rPr>
                <w:rFonts w:hint="default" w:ascii="Times New Roman" w:hAnsi="Times New Roman" w:eastAsia="宋体" w:cs="Times New Roman"/>
                <w:b/>
                <w:bCs/>
                <w:sz w:val="24"/>
                <w:szCs w:val="24"/>
                <w:highlight w:val="none"/>
                <w:lang w:val="en-US" w:eastAsia="zh-CN"/>
              </w:rPr>
            </w:pPr>
            <w:r>
              <w:rPr>
                <w:rFonts w:hint="eastAsia" w:ascii="Times New Roman" w:eastAsia="宋体" w:cs="Times New Roman"/>
                <w:b/>
                <w:bCs/>
                <w:sz w:val="24"/>
                <w:szCs w:val="24"/>
                <w:highlight w:val="none"/>
                <w:lang w:val="en-US" w:eastAsia="zh-CN"/>
              </w:rPr>
              <w:t xml:space="preserve">7.3 </w:t>
            </w:r>
            <w:r>
              <w:rPr>
                <w:rFonts w:hint="default" w:ascii="Times New Roman" w:hAnsi="Times New Roman" w:eastAsia="宋体" w:cs="Times New Roman"/>
                <w:b/>
                <w:bCs/>
                <w:sz w:val="24"/>
                <w:szCs w:val="24"/>
                <w:highlight w:val="none"/>
                <w:lang w:val="en-US" w:eastAsia="zh-CN"/>
              </w:rPr>
              <w:t>排污许可证制度</w:t>
            </w:r>
          </w:p>
          <w:p>
            <w:pPr>
              <w:pStyle w:val="2"/>
              <w:keepNext w:val="0"/>
              <w:keepLines w:val="0"/>
              <w:pageBreakBefore w:val="0"/>
              <w:widowControl w:val="0"/>
              <w:kinsoku/>
              <w:overflowPunct/>
              <w:topLinePunct w:val="0"/>
              <w:bidi w:val="0"/>
              <w:adjustRightInd w:val="0"/>
              <w:spacing w:line="520" w:lineRule="exact"/>
              <w:ind w:firstLine="480" w:firstLineChars="200"/>
              <w:jc w:val="left"/>
              <w:textAlignment w:val="auto"/>
              <w:rPr>
                <w:rFonts w:hint="default" w:ascii="Times New Roman" w:hAnsi="Times New Roman" w:eastAsia="宋体" w:cs="Times New Roman"/>
                <w:b w:val="0"/>
                <w:bCs w:val="0"/>
                <w:sz w:val="24"/>
                <w:szCs w:val="24"/>
                <w:highlight w:val="none"/>
                <w:lang w:val="en-US" w:eastAsia="zh-CN"/>
              </w:rPr>
            </w:pPr>
            <w:r>
              <w:rPr>
                <w:rFonts w:hint="default" w:ascii="Times New Roman" w:hAnsi="Times New Roman" w:eastAsia="宋体" w:cs="Times New Roman"/>
                <w:b w:val="0"/>
                <w:bCs w:val="0"/>
                <w:sz w:val="24"/>
                <w:szCs w:val="24"/>
                <w:highlight w:val="none"/>
                <w:lang w:val="en-US" w:eastAsia="zh-CN"/>
              </w:rPr>
              <w:t>建设单位应当在项目投入生产或使用并产生实际排污行为之前申请领取排污许可证。依法按照排污许可证申请与核发技术规范提交排污许可申请，申报排放污染物种类、排放浓度等，测算并申报污染物排放量。建设单位应当严格执行排污许可证的规定，禁止无证排污或不按证排污。</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7.</w:t>
            </w:r>
            <w:r>
              <w:rPr>
                <w:rFonts w:hint="eastAsia" w:ascii="Times New Roman" w:hAnsi="Times New Roman" w:cs="Times New Roman"/>
                <w:b/>
                <w:bCs w:val="0"/>
                <w:sz w:val="24"/>
                <w:szCs w:val="24"/>
                <w:highlight w:val="none"/>
                <w:lang w:val="en-US" w:eastAsia="zh-CN"/>
              </w:rPr>
              <w:t xml:space="preserve">4 </w:t>
            </w:r>
            <w:r>
              <w:rPr>
                <w:rFonts w:hint="default" w:ascii="Times New Roman" w:hAnsi="Times New Roman" w:cs="Times New Roman"/>
                <w:b/>
                <w:bCs w:val="0"/>
                <w:sz w:val="24"/>
                <w:szCs w:val="24"/>
                <w:highlight w:val="none"/>
                <w:lang w:val="en-US" w:eastAsia="zh-CN"/>
              </w:rPr>
              <w:t>排污口规范化管理</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根据《排污口规范化整治技术要求（试行）》（国家环保局环监〔1996〕470号）要求，结合企业实际情况，建议建设单位对排污口进行以下规范化管理。</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①固体废物贮存以及堆放场要求</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有毒有害的固体废物等危险废物，应该设置专用堆放场地，并且必须有防止扬散、流失、渗漏等防治措施。</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②固定噪声排放源要求</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噪声源情况，可以采取减振、消声、隔声处理等降噪措施，使其达到功能区标准要求。在固定噪声源厂界噪声敏感、且对外界影响最大处设置该噪声源的监测点。</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7.</w:t>
            </w:r>
            <w:r>
              <w:rPr>
                <w:rFonts w:hint="eastAsia" w:ascii="Times New Roman" w:hAnsi="Times New Roman" w:cs="Times New Roman"/>
                <w:b/>
                <w:bCs w:val="0"/>
                <w:sz w:val="24"/>
                <w:szCs w:val="24"/>
                <w:highlight w:val="none"/>
                <w:lang w:val="en-US" w:eastAsia="zh-CN"/>
              </w:rPr>
              <w:t>5</w:t>
            </w:r>
            <w:r>
              <w:rPr>
                <w:rFonts w:hint="default" w:ascii="Times New Roman" w:hAnsi="Times New Roman" w:cs="Times New Roman"/>
                <w:b/>
                <w:bCs w:val="0"/>
                <w:sz w:val="24"/>
                <w:szCs w:val="24"/>
                <w:highlight w:val="none"/>
                <w:lang w:val="en-US" w:eastAsia="zh-CN"/>
              </w:rPr>
              <w:t>排污口标志管理</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根据《环境保护图形标志——排放口（源）》（GB15562.1-1995）和《环境保护图形标志——固体废物贮存（处置）场》（GB15562.2-1995）的标准要求，本项目应该在废水排放口、医疗废物暂存间等地点分别设置环境保护图形标志牌，便于污染源监督管理及常规检测工作的进行。本项目各个排污口图形标志样图见表4-9。</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表4-9   本项目各排污口图形标志图样</w:t>
            </w:r>
          </w:p>
          <w:tbl>
            <w:tblPr>
              <w:tblStyle w:val="14"/>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8"/>
              <w:gridCol w:w="2649"/>
              <w:gridCol w:w="26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2648"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序号</w:t>
                  </w:r>
                </w:p>
              </w:tc>
              <w:tc>
                <w:tcPr>
                  <w:tcW w:w="264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位置</w:t>
                  </w:r>
                </w:p>
              </w:tc>
              <w:tc>
                <w:tcPr>
                  <w:tcW w:w="2649"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图形标志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1</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废水排放口</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highlight w:val="none"/>
                    </w:rPr>
                    <w:drawing>
                      <wp:anchor distT="0" distB="0" distL="114300" distR="114300" simplePos="0" relativeHeight="251661312" behindDoc="0" locked="0" layoutInCell="1" allowOverlap="1">
                        <wp:simplePos x="0" y="0"/>
                        <wp:positionH relativeFrom="column">
                          <wp:posOffset>9525</wp:posOffset>
                        </wp:positionH>
                        <wp:positionV relativeFrom="paragraph">
                          <wp:posOffset>268605</wp:posOffset>
                        </wp:positionV>
                        <wp:extent cx="1544955" cy="1035685"/>
                        <wp:effectExtent l="0" t="0" r="17145" b="12065"/>
                        <wp:wrapSquare wrapText="bothSides"/>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3"/>
                                <a:stretch>
                                  <a:fillRect/>
                                </a:stretch>
                              </pic:blipFill>
                              <pic:spPr>
                                <a:xfrm>
                                  <a:off x="0" y="0"/>
                                  <a:ext cx="1544955" cy="1035685"/>
                                </a:xfrm>
                                <a:prstGeom prst="rect">
                                  <a:avLst/>
                                </a:prstGeom>
                                <a:noFill/>
                                <a:ln>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2</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噪声排放源</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highlight w:val="none"/>
                    </w:rPr>
                    <w:drawing>
                      <wp:anchor distT="0" distB="0" distL="114300" distR="114300" simplePos="0" relativeHeight="251662336" behindDoc="0" locked="0" layoutInCell="1" allowOverlap="1">
                        <wp:simplePos x="0" y="0"/>
                        <wp:positionH relativeFrom="column">
                          <wp:posOffset>0</wp:posOffset>
                        </wp:positionH>
                        <wp:positionV relativeFrom="paragraph">
                          <wp:posOffset>88900</wp:posOffset>
                        </wp:positionV>
                        <wp:extent cx="1543685" cy="1397000"/>
                        <wp:effectExtent l="0" t="0" r="18415" b="12700"/>
                        <wp:wrapSquare wrapText="bothSides"/>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4"/>
                                <a:stretch>
                                  <a:fillRect/>
                                </a:stretch>
                              </pic:blipFill>
                              <pic:spPr>
                                <a:xfrm>
                                  <a:off x="0" y="0"/>
                                  <a:ext cx="1543685" cy="1397000"/>
                                </a:xfrm>
                                <a:prstGeom prst="rect">
                                  <a:avLst/>
                                </a:prstGeom>
                                <a:noFill/>
                                <a:ln>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3</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一般固体废物</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highlight w:val="none"/>
                    </w:rPr>
                    <w:drawing>
                      <wp:anchor distT="0" distB="0" distL="114300" distR="114300" simplePos="0" relativeHeight="251663360" behindDoc="0" locked="0" layoutInCell="1" allowOverlap="1">
                        <wp:simplePos x="0" y="0"/>
                        <wp:positionH relativeFrom="column">
                          <wp:posOffset>-19050</wp:posOffset>
                        </wp:positionH>
                        <wp:positionV relativeFrom="paragraph">
                          <wp:posOffset>193675</wp:posOffset>
                        </wp:positionV>
                        <wp:extent cx="1544320" cy="1550670"/>
                        <wp:effectExtent l="0" t="0" r="17780" b="11430"/>
                        <wp:wrapSquare wrapText="bothSides"/>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15"/>
                                <a:stretch>
                                  <a:fillRect/>
                                </a:stretch>
                              </pic:blipFill>
                              <pic:spPr>
                                <a:xfrm>
                                  <a:off x="0" y="0"/>
                                  <a:ext cx="1544320" cy="1550670"/>
                                </a:xfrm>
                                <a:prstGeom prst="rect">
                                  <a:avLst/>
                                </a:prstGeom>
                                <a:noFill/>
                                <a:ln>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64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4</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危险废物暂存场</w:t>
                  </w:r>
                </w:p>
              </w:tc>
              <w:tc>
                <w:tcPr>
                  <w:tcW w:w="2649"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highlight w:val="none"/>
                    </w:rPr>
                    <w:drawing>
                      <wp:anchor distT="0" distB="0" distL="114300" distR="114300" simplePos="0" relativeHeight="251664384" behindDoc="0" locked="0" layoutInCell="1" allowOverlap="1">
                        <wp:simplePos x="0" y="0"/>
                        <wp:positionH relativeFrom="column">
                          <wp:posOffset>635</wp:posOffset>
                        </wp:positionH>
                        <wp:positionV relativeFrom="paragraph">
                          <wp:posOffset>212725</wp:posOffset>
                        </wp:positionV>
                        <wp:extent cx="1541780" cy="1024890"/>
                        <wp:effectExtent l="0" t="0" r="1270" b="3810"/>
                        <wp:wrapSquare wrapText="bothSides"/>
                        <wp:docPr id="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pic:cNvPicPr>
                                  <a:picLocks noChangeAspect="1"/>
                                </pic:cNvPicPr>
                              </pic:nvPicPr>
                              <pic:blipFill>
                                <a:blip r:embed="rId16"/>
                                <a:stretch>
                                  <a:fillRect/>
                                </a:stretch>
                              </pic:blipFill>
                              <pic:spPr>
                                <a:xfrm>
                                  <a:off x="0" y="0"/>
                                  <a:ext cx="1541780" cy="1024890"/>
                                </a:xfrm>
                                <a:prstGeom prst="rect">
                                  <a:avLst/>
                                </a:prstGeom>
                                <a:noFill/>
                                <a:ln>
                                  <a:noFill/>
                                </a:ln>
                              </pic:spPr>
                            </pic:pic>
                          </a:graphicData>
                        </a:graphic>
                      </wp:anchor>
                    </w:drawing>
                  </w:r>
                </w:p>
              </w:tc>
            </w:tr>
          </w:tbl>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标志牌设置位置应该在排污口附近并且醒目位置，高度为标志牌上缘距地面2米处。排污口附近1米范围内有建筑物的，应设置平面式标志牌，没有建筑物的设置立式标志牌。</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规范化排污口的有关设置，排污单位应负责日常维护，任何单位和个人不得擅自拆除，如需变更应上报环境监察部门同意后办理变更手续。</w:t>
            </w:r>
          </w:p>
          <w:p>
            <w:pPr>
              <w:pStyle w:val="2"/>
              <w:keepNext w:val="0"/>
              <w:keepLines w:val="0"/>
              <w:pageBreakBefore w:val="0"/>
              <w:widowControl w:val="0"/>
              <w:kinsoku/>
              <w:overflowPunct/>
              <w:topLinePunct w:val="0"/>
              <w:bidi w:val="0"/>
              <w:adjustRightInd w:val="0"/>
              <w:spacing w:line="520" w:lineRule="exact"/>
              <w:ind w:firstLine="482" w:firstLineChars="200"/>
              <w:jc w:val="left"/>
              <w:textAlignment w:val="auto"/>
              <w:rPr>
                <w:rFonts w:hint="default" w:ascii="Times New Roman" w:hAnsi="Times New Roman" w:eastAsia="宋体" w:cs="Times New Roman"/>
                <w:b/>
                <w:bCs/>
                <w:sz w:val="24"/>
                <w:szCs w:val="24"/>
                <w:highlight w:val="none"/>
                <w:lang w:val="en-US" w:eastAsia="zh-CN"/>
              </w:rPr>
            </w:pPr>
            <w:r>
              <w:rPr>
                <w:rFonts w:hint="eastAsia" w:ascii="Times New Roman" w:eastAsia="宋体" w:cs="Times New Roman"/>
                <w:b/>
                <w:bCs/>
                <w:sz w:val="24"/>
                <w:szCs w:val="24"/>
                <w:highlight w:val="none"/>
                <w:lang w:val="en-US" w:eastAsia="zh-CN"/>
              </w:rPr>
              <w:t>7.6</w:t>
            </w:r>
            <w:r>
              <w:rPr>
                <w:rFonts w:hint="default" w:ascii="Times New Roman" w:hAnsi="Times New Roman" w:eastAsia="宋体" w:cs="Times New Roman"/>
                <w:b/>
                <w:bCs/>
                <w:sz w:val="24"/>
                <w:szCs w:val="24"/>
                <w:highlight w:val="none"/>
                <w:lang w:val="en-US" w:eastAsia="zh-CN"/>
              </w:rPr>
              <w:t xml:space="preserve"> 建立环境保护管理制度</w:t>
            </w:r>
          </w:p>
          <w:p>
            <w:pPr>
              <w:pStyle w:val="2"/>
              <w:keepNext w:val="0"/>
              <w:keepLines w:val="0"/>
              <w:pageBreakBefore w:val="0"/>
              <w:widowControl w:val="0"/>
              <w:kinsoku/>
              <w:overflowPunct/>
              <w:topLinePunct w:val="0"/>
              <w:bidi w:val="0"/>
              <w:adjustRightInd w:val="0"/>
              <w:spacing w:line="520" w:lineRule="exact"/>
              <w:ind w:firstLine="480" w:firstLineChars="200"/>
              <w:jc w:val="left"/>
              <w:textAlignment w:val="auto"/>
              <w:rPr>
                <w:rFonts w:hint="default" w:ascii="Times New Roman" w:hAnsi="Times New Roman" w:eastAsia="宋体" w:cs="Times New Roman"/>
                <w:b w:val="0"/>
                <w:bCs w:val="0"/>
                <w:sz w:val="24"/>
                <w:szCs w:val="24"/>
                <w:highlight w:val="none"/>
                <w:lang w:val="en-US" w:eastAsia="zh-CN"/>
              </w:rPr>
            </w:pPr>
            <w:r>
              <w:rPr>
                <w:rFonts w:hint="default" w:ascii="Times New Roman" w:hAnsi="Times New Roman" w:eastAsia="宋体" w:cs="Times New Roman"/>
                <w:b w:val="0"/>
                <w:bCs w:val="0"/>
                <w:sz w:val="24"/>
                <w:szCs w:val="24"/>
                <w:highlight w:val="none"/>
                <w:lang w:val="en-US" w:eastAsia="zh-CN"/>
              </w:rPr>
              <w:t>项目投运后，企业应制定环境保护管理制度，明确环保管理责任人，明确环保岗位责任制，制定污染防治设施操作规程，建立污染治理设施运行台账，并妥善保存所有记录、台账及污染物排放监测资料、环境管理档案资料等。</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eastAsia" w:cs="Times New Roman"/>
                <w:b/>
                <w:bCs w:val="0"/>
                <w:sz w:val="24"/>
                <w:szCs w:val="24"/>
                <w:highlight w:val="none"/>
                <w:lang w:val="en-US" w:eastAsia="zh-CN"/>
              </w:rPr>
              <w:t>7.7</w:t>
            </w:r>
            <w:r>
              <w:rPr>
                <w:rFonts w:hint="default" w:ascii="Times New Roman" w:hAnsi="Times New Roman" w:cs="Times New Roman"/>
                <w:b/>
                <w:bCs w:val="0"/>
                <w:sz w:val="24"/>
                <w:szCs w:val="24"/>
                <w:highlight w:val="none"/>
                <w:lang w:val="en-US" w:eastAsia="zh-CN"/>
              </w:rPr>
              <w:t xml:space="preserve"> 《河南省重污染天气通用行业应急减排措施制定技术指南》相关要求</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eastAsia" w:ascii="Times New Roman" w:hAnsi="Times New Roman" w:eastAsia="宋体" w:cs="Times New Roman"/>
                <w:b w:val="0"/>
                <w:bCs/>
                <w:highlight w:val="none"/>
                <w:lang w:val="en-US" w:eastAsia="zh-CN"/>
              </w:rPr>
              <w:t>本</w:t>
            </w:r>
            <w:r>
              <w:rPr>
                <w:rFonts w:hint="default" w:ascii="Times New Roman" w:hAnsi="Times New Roman" w:eastAsia="宋体" w:cs="Times New Roman"/>
                <w:b w:val="0"/>
                <w:bCs/>
                <w:highlight w:val="none"/>
                <w:lang w:val="en-US" w:eastAsia="zh-CN"/>
              </w:rPr>
              <w:t>项目不涉及颗粒物和VOCs排放、未设锅炉/炉窑，根据《河南省重污染天气通用行业应急减排措施制定技术指南》其他基本要求，对企业环保管理要求如下：</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1、运输方式及运输监管</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（1）公路运输。物料公路运输使用达到国五及以上排放标准重型载货车辆（含燃气）或新能源车辆比例100%，其他车辆达到国四排放标准；</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（2）厂内运输车辆。达到国五及以上排放标准（含燃气）或使用新能源车辆比例100%，其他车辆达到国四排放标准；</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（3）危险品及危废运输。国五及以上或新能源汽车100%；</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（4）厂内非道路移动机械。国三及以上排放标准或使用新能源机械100%；</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（5）企业建立运输车辆电子台账。</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2、环境管理要求</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（1）环保档案资料齐全。</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①环评批复文件和竣工验收文件；</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②排污许可证。</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（2）台账记录信息完整。</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①生产设施运行管理信息（生产时间、运行负荷、产品产量等）；</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②主要原辅材料记录；</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③电消耗记录。</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（3）人员配置合理</w:t>
            </w:r>
          </w:p>
          <w:p>
            <w:pPr>
              <w:pStyle w:val="2"/>
              <w:keepNext w:val="0"/>
              <w:keepLines w:val="0"/>
              <w:pageBreakBefore w:val="0"/>
              <w:widowControl w:val="0"/>
              <w:kinsoku/>
              <w:wordWrap/>
              <w:overflowPunct/>
              <w:topLinePunct w:val="0"/>
              <w:autoSpaceDE w:val="0"/>
              <w:autoSpaceDN w:val="0"/>
              <w:bidi w:val="0"/>
              <w:adjustRightInd w:val="0"/>
              <w:snapToGrid/>
              <w:spacing w:line="520" w:lineRule="exact"/>
              <w:ind w:firstLine="480" w:firstLineChars="200"/>
              <w:jc w:val="left"/>
              <w:textAlignment w:val="auto"/>
              <w:rPr>
                <w:rFonts w:hint="default" w:ascii="Times New Roman" w:hAnsi="Times New Roman" w:eastAsia="宋体" w:cs="Times New Roman"/>
                <w:b w:val="0"/>
                <w:bCs/>
                <w:highlight w:val="none"/>
                <w:lang w:val="en-US" w:eastAsia="zh-CN"/>
              </w:rPr>
            </w:pPr>
            <w:r>
              <w:rPr>
                <w:rFonts w:hint="default" w:ascii="Times New Roman" w:hAnsi="Times New Roman" w:eastAsia="宋体" w:cs="Times New Roman"/>
                <w:b w:val="0"/>
                <w:bCs/>
                <w:highlight w:val="none"/>
                <w:lang w:val="en-US" w:eastAsia="zh-CN"/>
              </w:rPr>
              <w:t>配备专/兼职环保人员，并具备相应的环境管理能力（学历、培训、从业经验等）。</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8、总量控制指标</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lang w:val="en-US" w:eastAsia="zh-CN"/>
              </w:rPr>
              <w:t>本项目不涉及大气污染物总量控制指标，废水排放量为624m</w:t>
            </w:r>
            <w:r>
              <w:rPr>
                <w:rFonts w:hint="default" w:ascii="Times New Roman" w:hAnsi="Times New Roman" w:cs="Times New Roman"/>
                <w:b w:val="0"/>
                <w:bCs/>
                <w:sz w:val="24"/>
                <w:szCs w:val="24"/>
                <w:highlight w:val="none"/>
                <w:vertAlign w:val="superscript"/>
                <w:lang w:val="en-US" w:eastAsia="zh-CN"/>
              </w:rPr>
              <w:t>3</w:t>
            </w:r>
            <w:r>
              <w:rPr>
                <w:rFonts w:hint="default" w:ascii="Times New Roman" w:hAnsi="Times New Roman" w:cs="Times New Roman"/>
                <w:b w:val="0"/>
                <w:bCs/>
                <w:sz w:val="24"/>
                <w:szCs w:val="24"/>
                <w:highlight w:val="none"/>
                <w:vertAlign w:val="baseline"/>
                <w:lang w:val="en-US" w:eastAsia="zh-CN"/>
              </w:rPr>
              <w:t>/a。济源市城市污水处理厂排放标准执行一级A标准，即COD：25mg/L、氨氮：2mg/L。</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vertAlign w:val="baseline"/>
                <w:lang w:val="en-US" w:eastAsia="zh-CN"/>
              </w:rPr>
            </w:pPr>
            <w:r>
              <w:rPr>
                <w:rFonts w:hint="default" w:ascii="Times New Roman" w:hAnsi="Times New Roman" w:cs="Times New Roman"/>
                <w:b w:val="0"/>
                <w:bCs/>
                <w:sz w:val="24"/>
                <w:szCs w:val="24"/>
                <w:highlight w:val="none"/>
                <w:vertAlign w:val="baseline"/>
                <w:lang w:val="en-US" w:eastAsia="zh-CN"/>
              </w:rPr>
              <w:t>因此，计算得出COD：0.0156t/a、氨氮：0.0012t/a。</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r>
              <w:rPr>
                <w:rFonts w:hint="eastAsia" w:ascii="Times New Roman" w:hAnsi="Times New Roman" w:cs="Times New Roman"/>
                <w:b/>
                <w:bCs w:val="0"/>
                <w:sz w:val="24"/>
                <w:szCs w:val="24"/>
                <w:highlight w:val="none"/>
                <w:lang w:val="en-US" w:eastAsia="zh-CN"/>
              </w:rPr>
              <w:t>9</w:t>
            </w:r>
            <w:r>
              <w:rPr>
                <w:rFonts w:hint="default" w:ascii="Times New Roman" w:hAnsi="Times New Roman" w:cs="Times New Roman"/>
                <w:b/>
                <w:bCs w:val="0"/>
                <w:sz w:val="24"/>
                <w:szCs w:val="24"/>
                <w:highlight w:val="none"/>
                <w:lang w:val="en-US" w:eastAsia="zh-CN"/>
              </w:rPr>
              <w:t>、环保投资估算</w:t>
            </w:r>
          </w:p>
          <w:p>
            <w:pPr>
              <w:keepNext w:val="0"/>
              <w:keepLines w:val="0"/>
              <w:pageBreakBefore w:val="0"/>
              <w:widowControl w:val="0"/>
              <w:kinsoku/>
              <w:wordWrap/>
              <w:overflowPunct/>
              <w:topLinePunct w:val="0"/>
              <w:autoSpaceDE/>
              <w:autoSpaceDN/>
              <w:bidi w:val="0"/>
              <w:adjustRightInd w:val="0"/>
              <w:snapToGrid w:val="0"/>
              <w:spacing w:line="520" w:lineRule="exact"/>
              <w:ind w:firstLine="480" w:firstLineChars="200"/>
              <w:jc w:val="left"/>
              <w:textAlignment w:val="auto"/>
              <w:rPr>
                <w:rFonts w:hint="default" w:ascii="Times New Roman" w:hAnsi="Times New Roman" w:cs="Times New Roman"/>
                <w:b w:val="0"/>
                <w:bCs/>
                <w:sz w:val="24"/>
                <w:szCs w:val="24"/>
                <w:highlight w:val="none"/>
                <w:lang w:val="en-US" w:eastAsia="zh-CN"/>
              </w:rPr>
            </w:pPr>
            <w:r>
              <w:rPr>
                <w:rFonts w:hint="default" w:ascii="Times New Roman" w:hAnsi="Times New Roman" w:cs="Times New Roman"/>
                <w:b w:val="0"/>
                <w:bCs/>
                <w:sz w:val="24"/>
                <w:szCs w:val="24"/>
                <w:highlight w:val="none"/>
                <w:lang w:val="en-US" w:eastAsia="zh-CN"/>
              </w:rPr>
              <w:t>本项目总投资800万元，环保投资合计约2.3万元，占总投资比例0.29%，具体投资估算见表4-10。</w:t>
            </w:r>
          </w:p>
          <w:p>
            <w:pPr>
              <w:keepNext w:val="0"/>
              <w:keepLines w:val="0"/>
              <w:pageBreakBefore w:val="0"/>
              <w:widowControl w:val="0"/>
              <w:kinsoku/>
              <w:wordWrap/>
              <w:overflowPunct/>
              <w:topLinePunct w:val="0"/>
              <w:autoSpaceDE/>
              <w:autoSpaceDN/>
              <w:bidi w:val="0"/>
              <w:adjustRightInd w:val="0"/>
              <w:snapToGrid w:val="0"/>
              <w:spacing w:line="520" w:lineRule="exact"/>
              <w:ind w:firstLine="482" w:firstLineChars="200"/>
              <w:jc w:val="center"/>
              <w:textAlignment w:val="auto"/>
              <w:rPr>
                <w:rFonts w:hint="default" w:ascii="Times New Roman" w:hAnsi="Times New Roman" w:cs="Times New Roman"/>
                <w:b/>
                <w:bCs w:val="0"/>
                <w:sz w:val="24"/>
                <w:szCs w:val="24"/>
                <w:highlight w:val="none"/>
                <w:lang w:val="en-US" w:eastAsia="zh-CN"/>
              </w:rPr>
            </w:pPr>
            <w:r>
              <w:rPr>
                <w:rFonts w:hint="default" w:ascii="Times New Roman" w:hAnsi="Times New Roman" w:cs="Times New Roman"/>
                <w:b/>
                <w:bCs w:val="0"/>
                <w:sz w:val="24"/>
                <w:szCs w:val="24"/>
                <w:highlight w:val="none"/>
                <w:lang w:val="en-US" w:eastAsia="zh-CN"/>
              </w:rPr>
              <w:t>表4-10  污染防治设施环保投资估算一览表</w:t>
            </w:r>
          </w:p>
          <w:tbl>
            <w:tblPr>
              <w:tblStyle w:val="14"/>
              <w:tblW w:w="7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6"/>
              <w:gridCol w:w="1687"/>
              <w:gridCol w:w="2895"/>
              <w:gridCol w:w="13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986"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污染因素</w:t>
                  </w:r>
                </w:p>
              </w:tc>
              <w:tc>
                <w:tcPr>
                  <w:tcW w:w="1687"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污染因子</w:t>
                  </w:r>
                </w:p>
              </w:tc>
              <w:tc>
                <w:tcPr>
                  <w:tcW w:w="289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治理措施</w:t>
                  </w:r>
                </w:p>
              </w:tc>
              <w:tc>
                <w:tcPr>
                  <w:tcW w:w="1378"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val="0"/>
                      <w:sz w:val="21"/>
                      <w:szCs w:val="21"/>
                      <w:highlight w:val="none"/>
                      <w:vertAlign w:val="baseline"/>
                      <w:lang w:val="en-US" w:eastAsia="zh-CN"/>
                    </w:rPr>
                  </w:pPr>
                  <w:r>
                    <w:rPr>
                      <w:rFonts w:hint="default" w:ascii="Times New Roman" w:hAnsi="Times New Roman" w:cs="Times New Roman"/>
                      <w:b/>
                      <w:bCs w:val="0"/>
                      <w:sz w:val="21"/>
                      <w:szCs w:val="21"/>
                      <w:highlight w:val="none"/>
                      <w:vertAlign w:val="baseline"/>
                      <w:lang w:val="en-US" w:eastAsia="zh-CN"/>
                    </w:rPr>
                    <w:t>投资（万元）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废水</w:t>
                  </w:r>
                </w:p>
              </w:tc>
              <w:tc>
                <w:tcPr>
                  <w:tcW w:w="16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生活污水</w:t>
                  </w:r>
                </w:p>
              </w:tc>
              <w:tc>
                <w:tcPr>
                  <w:tcW w:w="28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化粪池（依托现有）</w:t>
                  </w:r>
                </w:p>
              </w:tc>
              <w:tc>
                <w:tcPr>
                  <w:tcW w:w="137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噪声</w:t>
                  </w:r>
                </w:p>
              </w:tc>
              <w:tc>
                <w:tcPr>
                  <w:tcW w:w="16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生产设备</w:t>
                  </w:r>
                </w:p>
              </w:tc>
              <w:tc>
                <w:tcPr>
                  <w:tcW w:w="28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基础减震、隔声</w:t>
                  </w:r>
                </w:p>
              </w:tc>
              <w:tc>
                <w:tcPr>
                  <w:tcW w:w="137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Merge w:val="restart"/>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固废</w:t>
                  </w:r>
                </w:p>
              </w:tc>
              <w:tc>
                <w:tcPr>
                  <w:tcW w:w="16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一般固废</w:t>
                  </w:r>
                </w:p>
              </w:tc>
              <w:tc>
                <w:tcPr>
                  <w:tcW w:w="28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边角料和废铁屑暂存于临时堆放场（依托现有），采取防渗、防雨淋措施，由厂家外销</w:t>
                  </w:r>
                </w:p>
              </w:tc>
              <w:tc>
                <w:tcPr>
                  <w:tcW w:w="137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16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危险固废</w:t>
                  </w:r>
                </w:p>
              </w:tc>
              <w:tc>
                <w:tcPr>
                  <w:tcW w:w="28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暂存于10m</w:t>
                  </w:r>
                  <w:r>
                    <w:rPr>
                      <w:rFonts w:hint="default" w:ascii="Times New Roman" w:hAnsi="Times New Roman" w:cs="Times New Roman"/>
                      <w:b w:val="0"/>
                      <w:bCs/>
                      <w:sz w:val="21"/>
                      <w:szCs w:val="21"/>
                      <w:highlight w:val="none"/>
                      <w:vertAlign w:val="superscript"/>
                      <w:lang w:val="en-US" w:eastAsia="zh-CN"/>
                    </w:rPr>
                    <w:t>2</w:t>
                  </w:r>
                  <w:r>
                    <w:rPr>
                      <w:rFonts w:hint="default" w:ascii="Times New Roman" w:hAnsi="Times New Roman" w:cs="Times New Roman"/>
                      <w:b w:val="0"/>
                      <w:bCs/>
                      <w:sz w:val="21"/>
                      <w:szCs w:val="21"/>
                      <w:highlight w:val="none"/>
                      <w:vertAlign w:val="baseline"/>
                      <w:lang w:val="en-US" w:eastAsia="zh-CN"/>
                    </w:rPr>
                    <w:t>危废间（依托现有），定期交由资质单位（濮阳县鑫地生物能源有限公司）处置</w:t>
                  </w:r>
                </w:p>
              </w:tc>
              <w:tc>
                <w:tcPr>
                  <w:tcW w:w="137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Merge w:val="continue"/>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p>
              </w:tc>
              <w:tc>
                <w:tcPr>
                  <w:tcW w:w="16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生活垃圾</w:t>
                  </w:r>
                </w:p>
              </w:tc>
              <w:tc>
                <w:tcPr>
                  <w:tcW w:w="28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垃圾桶收集，由环卫部门清理</w:t>
                  </w:r>
                </w:p>
              </w:tc>
              <w:tc>
                <w:tcPr>
                  <w:tcW w:w="137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86"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合计</w:t>
                  </w:r>
                </w:p>
              </w:tc>
              <w:tc>
                <w:tcPr>
                  <w:tcW w:w="1687"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c>
                <w:tcPr>
                  <w:tcW w:w="2895"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w:t>
                  </w:r>
                </w:p>
              </w:tc>
              <w:tc>
                <w:tcPr>
                  <w:tcW w:w="1378" w:type="dxa"/>
                  <w:vAlign w:val="center"/>
                </w:tcPr>
                <w:p>
                  <w:pPr>
                    <w:keepNext w:val="0"/>
                    <w:keepLines w:val="0"/>
                    <w:pageBreakBefore w:val="0"/>
                    <w:widowControl w:val="0"/>
                    <w:kinsoku/>
                    <w:overflowPunct/>
                    <w:topLinePunct w:val="0"/>
                    <w:bidi w:val="0"/>
                    <w:adjustRightInd w:val="0"/>
                    <w:snapToGrid w:val="0"/>
                    <w:spacing w:line="520" w:lineRule="exact"/>
                    <w:jc w:val="center"/>
                    <w:textAlignment w:val="auto"/>
                    <w:rPr>
                      <w:rFonts w:hint="default" w:ascii="Times New Roman" w:hAnsi="Times New Roman" w:cs="Times New Roman"/>
                      <w:b w:val="0"/>
                      <w:bCs/>
                      <w:sz w:val="21"/>
                      <w:szCs w:val="21"/>
                      <w:highlight w:val="none"/>
                      <w:vertAlign w:val="baseline"/>
                      <w:lang w:val="en-US" w:eastAsia="zh-CN"/>
                    </w:rPr>
                  </w:pPr>
                  <w:r>
                    <w:rPr>
                      <w:rFonts w:hint="default" w:ascii="Times New Roman" w:hAnsi="Times New Roman" w:cs="Times New Roman"/>
                      <w:b w:val="0"/>
                      <w:bCs/>
                      <w:sz w:val="21"/>
                      <w:szCs w:val="21"/>
                      <w:highlight w:val="none"/>
                      <w:vertAlign w:val="baseline"/>
                      <w:lang w:val="en-US" w:eastAsia="zh-CN"/>
                    </w:rPr>
                    <w:t>2.3</w:t>
                  </w:r>
                </w:p>
              </w:tc>
            </w:tr>
          </w:tbl>
          <w:p>
            <w:pPr>
              <w:keepNext w:val="0"/>
              <w:keepLines w:val="0"/>
              <w:pageBreakBefore w:val="0"/>
              <w:widowControl w:val="0"/>
              <w:kinsoku/>
              <w:overflowPunct/>
              <w:topLinePunct w:val="0"/>
              <w:bidi w:val="0"/>
              <w:adjustRightInd w:val="0"/>
              <w:snapToGrid w:val="0"/>
              <w:spacing w:line="520" w:lineRule="exact"/>
              <w:ind w:firstLine="482" w:firstLineChars="200"/>
              <w:jc w:val="left"/>
              <w:textAlignment w:val="auto"/>
              <w:rPr>
                <w:rFonts w:hint="default" w:ascii="Times New Roman" w:hAnsi="Times New Roman" w:cs="Times New Roman"/>
                <w:b/>
                <w:bCs w:val="0"/>
                <w:sz w:val="24"/>
                <w:szCs w:val="24"/>
                <w:highlight w:val="none"/>
                <w:lang w:val="en-US" w:eastAsia="zh-CN"/>
              </w:rPr>
            </w:pPr>
          </w:p>
          <w:p>
            <w:pPr>
              <w:keepNext w:val="0"/>
              <w:keepLines w:val="0"/>
              <w:pageBreakBefore w:val="0"/>
              <w:widowControl w:val="0"/>
              <w:kinsoku/>
              <w:overflowPunct/>
              <w:topLinePunct w:val="0"/>
              <w:bidi w:val="0"/>
              <w:adjustRightInd w:val="0"/>
              <w:snapToGrid w:val="0"/>
              <w:spacing w:line="520" w:lineRule="exact"/>
              <w:jc w:val="both"/>
              <w:textAlignment w:val="auto"/>
              <w:rPr>
                <w:rFonts w:hint="default" w:ascii="Times New Roman" w:hAnsi="Times New Roman" w:cs="Times New Roman"/>
                <w:bCs/>
                <w:spacing w:val="-10"/>
                <w:szCs w:val="21"/>
                <w:highlight w:val="none"/>
              </w:rPr>
            </w:pPr>
          </w:p>
        </w:tc>
      </w:tr>
    </w:tbl>
    <w:p>
      <w:pPr>
        <w:adjustRightInd w:val="0"/>
        <w:snapToGrid w:val="0"/>
        <w:spacing w:line="360" w:lineRule="auto"/>
        <w:rPr>
          <w:rFonts w:hint="default" w:ascii="Times New Roman" w:hAnsi="Times New Roman" w:cs="Times New Roman"/>
          <w:b/>
          <w:kern w:val="0"/>
          <w:sz w:val="28"/>
          <w:szCs w:val="28"/>
          <w:highlight w:val="none"/>
        </w:rPr>
        <w:sectPr>
          <w:pgSz w:w="11907" w:h="16840"/>
          <w:pgMar w:top="1701" w:right="1531" w:bottom="2127" w:left="1531" w:header="851" w:footer="851" w:gutter="0"/>
          <w:pgBorders>
            <w:top w:val="none" w:sz="0" w:space="0"/>
            <w:left w:val="none" w:sz="0" w:space="0"/>
            <w:bottom w:val="none" w:sz="0" w:space="0"/>
            <w:right w:val="none" w:sz="0" w:space="0"/>
          </w:pgBorders>
          <w:cols w:space="720" w:num="1"/>
          <w:docGrid w:linePitch="312" w:charSpace="0"/>
        </w:sectPr>
      </w:pPr>
    </w:p>
    <w:p>
      <w:pPr>
        <w:pStyle w:val="11"/>
        <w:jc w:val="center"/>
        <w:outlineLvl w:val="0"/>
        <w:rPr>
          <w:rFonts w:hint="default" w:ascii="Times New Roman" w:hAnsi="Times New Roman" w:eastAsia="黑体" w:cs="Times New Roman"/>
          <w:snapToGrid w:val="0"/>
          <w:sz w:val="30"/>
          <w:szCs w:val="30"/>
          <w:highlight w:val="none"/>
        </w:rPr>
      </w:pPr>
      <w:r>
        <w:rPr>
          <w:rFonts w:hint="default" w:ascii="Times New Roman" w:hAnsi="Times New Roman" w:eastAsia="黑体" w:cs="Times New Roman"/>
          <w:snapToGrid w:val="0"/>
          <w:sz w:val="30"/>
          <w:szCs w:val="30"/>
          <w:highlight w:val="none"/>
        </w:rPr>
        <w:t>五、</w:t>
      </w:r>
      <w:bookmarkStart w:id="2" w:name="_Hlk54167917"/>
      <w:r>
        <w:rPr>
          <w:rFonts w:hint="default" w:ascii="Times New Roman" w:hAnsi="Times New Roman" w:eastAsia="黑体" w:cs="Times New Roman"/>
          <w:snapToGrid w:val="0"/>
          <w:sz w:val="30"/>
          <w:szCs w:val="30"/>
          <w:highlight w:val="none"/>
        </w:rPr>
        <w:t>环境保护措施监督检查清单</w:t>
      </w:r>
      <w:bookmarkEnd w:id="2"/>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8"/>
        <w:gridCol w:w="1755"/>
        <w:gridCol w:w="1527"/>
        <w:gridCol w:w="228"/>
        <w:gridCol w:w="1542"/>
        <w:gridCol w:w="213"/>
        <w:gridCol w:w="17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1778" w:type="dxa"/>
            <w:tcBorders>
              <w:tl2br w:val="single" w:color="auto" w:sz="4" w:space="0"/>
            </w:tcBorders>
            <w:noWrap w:val="0"/>
            <w:vAlign w:val="top"/>
          </w:tcPr>
          <w:p>
            <w:pPr>
              <w:adjustRightInd w:val="0"/>
              <w:snapToGrid w:val="0"/>
              <w:ind w:firstLine="840"/>
              <w:rPr>
                <w:rFonts w:hint="default" w:ascii="Times New Roman" w:hAnsi="Times New Roman" w:cs="Times New Roman"/>
                <w:szCs w:val="21"/>
                <w:highlight w:val="none"/>
              </w:rPr>
            </w:pPr>
            <w:r>
              <w:rPr>
                <w:rFonts w:hint="default" w:ascii="Times New Roman" w:hAnsi="Times New Roman" w:cs="Times New Roman"/>
                <w:szCs w:val="21"/>
                <w:highlight w:val="none"/>
              </w:rPr>
              <w:t>内容</w:t>
            </w:r>
          </w:p>
          <w:p>
            <w:pPr>
              <w:adjustRightInd w:val="0"/>
              <w:snapToGrid w:val="0"/>
              <w:rPr>
                <w:rFonts w:hint="default" w:ascii="Times New Roman" w:hAnsi="Times New Roman" w:cs="Times New Roman"/>
                <w:szCs w:val="21"/>
                <w:highlight w:val="none"/>
              </w:rPr>
            </w:pPr>
            <w:r>
              <w:rPr>
                <w:rFonts w:hint="default" w:ascii="Times New Roman" w:hAnsi="Times New Roman" w:cs="Times New Roman"/>
                <w:szCs w:val="21"/>
                <w:highlight w:val="none"/>
              </w:rPr>
              <w:t>要素</w:t>
            </w:r>
          </w:p>
        </w:tc>
        <w:tc>
          <w:tcPr>
            <w:tcW w:w="1755"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排放口(编号、</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名称)/污染源</w:t>
            </w:r>
          </w:p>
        </w:tc>
        <w:tc>
          <w:tcPr>
            <w:tcW w:w="1527"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污染物项目</w:t>
            </w:r>
          </w:p>
        </w:tc>
        <w:tc>
          <w:tcPr>
            <w:tcW w:w="1770" w:type="dxa"/>
            <w:gridSpan w:val="2"/>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环境保护措施</w:t>
            </w:r>
          </w:p>
        </w:tc>
        <w:tc>
          <w:tcPr>
            <w:tcW w:w="1970" w:type="dxa"/>
            <w:gridSpan w:val="2"/>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大气环境</w:t>
            </w:r>
          </w:p>
        </w:tc>
        <w:tc>
          <w:tcPr>
            <w:tcW w:w="1755" w:type="dxa"/>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c>
          <w:tcPr>
            <w:tcW w:w="1527" w:type="dxa"/>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c>
          <w:tcPr>
            <w:tcW w:w="1770" w:type="dxa"/>
            <w:gridSpan w:val="2"/>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c>
          <w:tcPr>
            <w:tcW w:w="1970" w:type="dxa"/>
            <w:gridSpan w:val="2"/>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地表水环境</w:t>
            </w:r>
          </w:p>
        </w:tc>
        <w:tc>
          <w:tcPr>
            <w:tcW w:w="1755"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生活污水排放口</w:t>
            </w:r>
          </w:p>
        </w:tc>
        <w:tc>
          <w:tcPr>
            <w:tcW w:w="1527"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COD、氨氮</w:t>
            </w:r>
          </w:p>
        </w:tc>
        <w:tc>
          <w:tcPr>
            <w:tcW w:w="1770" w:type="dxa"/>
            <w:gridSpan w:val="2"/>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化粪池+入网管网</w:t>
            </w:r>
          </w:p>
        </w:tc>
        <w:tc>
          <w:tcPr>
            <w:tcW w:w="1970" w:type="dxa"/>
            <w:gridSpan w:val="2"/>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济源市城市污水处理厂进水水质要求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声环境</w:t>
            </w:r>
          </w:p>
        </w:tc>
        <w:tc>
          <w:tcPr>
            <w:tcW w:w="1755" w:type="dxa"/>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厂界噪声</w:t>
            </w:r>
          </w:p>
        </w:tc>
        <w:tc>
          <w:tcPr>
            <w:tcW w:w="1527" w:type="dxa"/>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Leq（A）</w:t>
            </w:r>
          </w:p>
        </w:tc>
        <w:tc>
          <w:tcPr>
            <w:tcW w:w="1770" w:type="dxa"/>
            <w:gridSpan w:val="2"/>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设备安置于车间内，通过基础减振以及设备润滑</w:t>
            </w:r>
          </w:p>
        </w:tc>
        <w:tc>
          <w:tcPr>
            <w:tcW w:w="1970" w:type="dxa"/>
            <w:gridSpan w:val="2"/>
            <w:noWrap w:val="0"/>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eastAsia="zh-CN"/>
              </w:rPr>
              <w:t>《</w:t>
            </w:r>
            <w:r>
              <w:rPr>
                <w:rFonts w:hint="eastAsia" w:cs="Times New Roman"/>
                <w:szCs w:val="21"/>
                <w:highlight w:val="none"/>
                <w:lang w:val="en-US" w:eastAsia="zh-CN"/>
              </w:rPr>
              <w:t>工业企业厂界环境噪声排放标准</w:t>
            </w:r>
            <w:r>
              <w:rPr>
                <w:rFonts w:hint="eastAsia" w:cs="Times New Roman"/>
                <w:szCs w:val="21"/>
                <w:highlight w:val="none"/>
                <w:lang w:eastAsia="zh-CN"/>
              </w:rPr>
              <w:t>》（</w:t>
            </w:r>
            <w:r>
              <w:rPr>
                <w:rFonts w:hint="eastAsia" w:cs="Times New Roman"/>
                <w:szCs w:val="21"/>
                <w:highlight w:val="none"/>
                <w:lang w:val="en-US" w:eastAsia="zh-CN"/>
              </w:rPr>
              <w:t>GB12348-2008</w:t>
            </w:r>
            <w:r>
              <w:rPr>
                <w:rFonts w:hint="eastAsia" w:cs="Times New Roman"/>
                <w:szCs w:val="21"/>
                <w:highlight w:val="none"/>
                <w:lang w:eastAsia="zh-CN"/>
              </w:rPr>
              <w:t>）</w:t>
            </w:r>
            <w:r>
              <w:rPr>
                <w:rFonts w:hint="eastAsia" w:cs="Times New Roman"/>
                <w:szCs w:val="21"/>
                <w:highlight w:val="none"/>
                <w:lang w:val="en-US" w:eastAsia="zh-CN"/>
              </w:rPr>
              <w:t>中2类（昼间60dB（A））标准及4类（昼间70dB（A）标准）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电磁辐射</w:t>
            </w:r>
          </w:p>
        </w:tc>
        <w:tc>
          <w:tcPr>
            <w:tcW w:w="1755" w:type="dxa"/>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c>
          <w:tcPr>
            <w:tcW w:w="1755" w:type="dxa"/>
            <w:gridSpan w:val="2"/>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c>
          <w:tcPr>
            <w:tcW w:w="1755" w:type="dxa"/>
            <w:gridSpan w:val="2"/>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c>
          <w:tcPr>
            <w:tcW w:w="1757" w:type="dxa"/>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6"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固体废物</w:t>
            </w:r>
          </w:p>
        </w:tc>
        <w:tc>
          <w:tcPr>
            <w:tcW w:w="7022" w:type="dxa"/>
            <w:gridSpan w:val="6"/>
            <w:noWrap w:val="0"/>
            <w:vAlign w:val="top"/>
          </w:tcPr>
          <w:p>
            <w:pPr>
              <w:adjustRightInd w:val="0"/>
              <w:snapToGrid w:val="0"/>
              <w:ind w:firstLine="420" w:firstLineChars="200"/>
              <w:jc w:val="both"/>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本项目产生的废铁屑和废边角料集中收集后暂存于一般固废堆场，外销给其他企业；废乳化液、废导轨油、废液压油收集于专用容器内后暂存于危废间，定期交由资质单位进行处置；员工产生的生活垃圾设置垃圾桶收集，定期交由环卫部门清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1"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土壤及地下水</w:t>
            </w:r>
          </w:p>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污染防治措施</w:t>
            </w:r>
          </w:p>
        </w:tc>
        <w:tc>
          <w:tcPr>
            <w:tcW w:w="7022" w:type="dxa"/>
            <w:gridSpan w:val="6"/>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81" w:hRule="atLeast"/>
          <w:jc w:val="center"/>
        </w:trPr>
        <w:tc>
          <w:tcPr>
            <w:tcW w:w="1778" w:type="dxa"/>
            <w:noWrap w:val="0"/>
            <w:vAlign w:val="center"/>
          </w:tcPr>
          <w:p>
            <w:pPr>
              <w:adjustRightInd w:val="0"/>
              <w:snapToGrid w:val="0"/>
              <w:jc w:val="center"/>
              <w:rPr>
                <w:rFonts w:hint="default" w:ascii="Times New Roman" w:hAnsi="Times New Roman" w:cs="Times New Roman"/>
                <w:szCs w:val="21"/>
                <w:highlight w:val="none"/>
              </w:rPr>
            </w:pPr>
            <w:r>
              <w:rPr>
                <w:rFonts w:hint="default" w:ascii="Times New Roman" w:hAnsi="Times New Roman" w:cs="Times New Roman"/>
                <w:szCs w:val="21"/>
                <w:highlight w:val="none"/>
              </w:rPr>
              <w:t>生态保护措施</w:t>
            </w:r>
          </w:p>
        </w:tc>
        <w:tc>
          <w:tcPr>
            <w:tcW w:w="7022" w:type="dxa"/>
            <w:gridSpan w:val="6"/>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31" w:hRule="atLeast"/>
          <w:jc w:val="center"/>
        </w:trPr>
        <w:tc>
          <w:tcPr>
            <w:tcW w:w="1778" w:type="dxa"/>
            <w:noWrap w:val="0"/>
            <w:vAlign w:val="center"/>
          </w:tcPr>
          <w:p>
            <w:pPr>
              <w:adjustRightInd w:val="0"/>
              <w:snapToGrid w:val="0"/>
              <w:jc w:val="center"/>
              <w:rPr>
                <w:rFonts w:hint="default" w:ascii="Times New Roman" w:hAnsi="Times New Roman" w:cs="Times New Roman"/>
                <w:spacing w:val="-8"/>
                <w:szCs w:val="21"/>
                <w:highlight w:val="none"/>
              </w:rPr>
            </w:pPr>
            <w:r>
              <w:rPr>
                <w:rFonts w:hint="default" w:ascii="Times New Roman" w:hAnsi="Times New Roman" w:cs="Times New Roman"/>
                <w:spacing w:val="-8"/>
                <w:szCs w:val="21"/>
                <w:highlight w:val="none"/>
              </w:rPr>
              <w:t>环境风险</w:t>
            </w:r>
          </w:p>
          <w:p>
            <w:pPr>
              <w:adjustRightInd w:val="0"/>
              <w:snapToGrid w:val="0"/>
              <w:jc w:val="center"/>
              <w:rPr>
                <w:rFonts w:hint="default" w:ascii="Times New Roman" w:hAnsi="Times New Roman" w:cs="Times New Roman"/>
                <w:spacing w:val="-8"/>
                <w:szCs w:val="21"/>
                <w:highlight w:val="none"/>
              </w:rPr>
            </w:pPr>
            <w:r>
              <w:rPr>
                <w:rFonts w:hint="default" w:ascii="Times New Roman" w:hAnsi="Times New Roman" w:cs="Times New Roman"/>
                <w:spacing w:val="-8"/>
                <w:szCs w:val="21"/>
                <w:highlight w:val="none"/>
              </w:rPr>
              <w:t>防范措施</w:t>
            </w:r>
          </w:p>
        </w:tc>
        <w:tc>
          <w:tcPr>
            <w:tcW w:w="7022" w:type="dxa"/>
            <w:gridSpan w:val="6"/>
            <w:noWrap w:val="0"/>
            <w:vAlign w:val="center"/>
          </w:tcPr>
          <w:p>
            <w:pPr>
              <w:adjustRightInd w:val="0"/>
              <w:snapToGrid w:val="0"/>
              <w:jc w:val="center"/>
              <w:rPr>
                <w:rFonts w:hint="eastAsia" w:ascii="Times New Roman" w:hAnsi="Times New Roman" w:eastAsia="宋体" w:cs="Times New Roman"/>
                <w:szCs w:val="21"/>
                <w:highlight w:val="none"/>
                <w:lang w:val="en-US" w:eastAsia="zh-CN"/>
              </w:rPr>
            </w:pPr>
            <w:r>
              <w:rPr>
                <w:rFonts w:hint="eastAsia" w:cs="Times New Roman"/>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73" w:hRule="atLeast"/>
          <w:jc w:val="center"/>
        </w:trPr>
        <w:tc>
          <w:tcPr>
            <w:tcW w:w="1778" w:type="dxa"/>
            <w:noWrap w:val="0"/>
            <w:vAlign w:val="center"/>
          </w:tcPr>
          <w:p>
            <w:pPr>
              <w:adjustRightInd w:val="0"/>
              <w:snapToGrid w:val="0"/>
              <w:jc w:val="center"/>
              <w:rPr>
                <w:rFonts w:hint="default" w:ascii="Times New Roman" w:hAnsi="Times New Roman" w:cs="Times New Roman"/>
                <w:spacing w:val="-8"/>
                <w:szCs w:val="21"/>
                <w:highlight w:val="none"/>
              </w:rPr>
            </w:pPr>
            <w:r>
              <w:rPr>
                <w:rFonts w:hint="default" w:ascii="Times New Roman" w:hAnsi="Times New Roman" w:cs="Times New Roman"/>
                <w:spacing w:val="-8"/>
                <w:szCs w:val="21"/>
                <w:highlight w:val="none"/>
              </w:rPr>
              <w:t>其他环境</w:t>
            </w:r>
          </w:p>
          <w:p>
            <w:pPr>
              <w:adjustRightInd w:val="0"/>
              <w:snapToGrid w:val="0"/>
              <w:jc w:val="center"/>
              <w:rPr>
                <w:rFonts w:hint="default" w:ascii="Times New Roman" w:hAnsi="Times New Roman" w:cs="Times New Roman"/>
                <w:spacing w:val="-8"/>
                <w:szCs w:val="21"/>
                <w:highlight w:val="none"/>
              </w:rPr>
            </w:pPr>
            <w:r>
              <w:rPr>
                <w:rFonts w:hint="default" w:ascii="Times New Roman" w:hAnsi="Times New Roman" w:cs="Times New Roman"/>
                <w:spacing w:val="-8"/>
                <w:szCs w:val="21"/>
                <w:highlight w:val="none"/>
              </w:rPr>
              <w:t>管理要求</w:t>
            </w:r>
          </w:p>
        </w:tc>
        <w:tc>
          <w:tcPr>
            <w:tcW w:w="7022" w:type="dxa"/>
            <w:gridSpan w:val="6"/>
            <w:noWrap w:val="0"/>
            <w:vAlign w:val="top"/>
          </w:tcPr>
          <w:p>
            <w:pPr>
              <w:adjustRightInd w:val="0"/>
              <w:snapToGrid w:val="0"/>
              <w:spacing w:line="240" w:lineRule="auto"/>
              <w:jc w:val="both"/>
              <w:rPr>
                <w:rFonts w:hint="default"/>
                <w:highlight w:val="none"/>
                <w:lang w:val="en-US" w:eastAsia="zh-CN"/>
              </w:rPr>
            </w:pPr>
            <w:r>
              <w:rPr>
                <w:rFonts w:hint="eastAsia"/>
                <w:highlight w:val="none"/>
                <w:lang w:val="en-US" w:eastAsia="zh-CN"/>
              </w:rPr>
              <w:t>1、按照环评要求对污染源开展自行监测，做好排污口的日常管理。</w:t>
            </w:r>
          </w:p>
          <w:p>
            <w:pPr>
              <w:adjustRightInd w:val="0"/>
              <w:snapToGrid w:val="0"/>
              <w:spacing w:line="240" w:lineRule="auto"/>
              <w:jc w:val="both"/>
              <w:rPr>
                <w:rFonts w:hint="eastAsia"/>
                <w:highlight w:val="none"/>
                <w:lang w:val="en-US" w:eastAsia="zh-CN"/>
              </w:rPr>
            </w:pPr>
            <w:r>
              <w:rPr>
                <w:rFonts w:hint="eastAsia"/>
                <w:highlight w:val="none"/>
                <w:lang w:val="en-US" w:eastAsia="zh-CN"/>
              </w:rPr>
              <w:t>2、制定严格的环境保护管理制度，强化生产管理，严格落实“三同时”制度，确保各污染防治措施正常运转。</w:t>
            </w:r>
          </w:p>
          <w:p>
            <w:pPr>
              <w:adjustRightInd w:val="0"/>
              <w:snapToGrid w:val="0"/>
              <w:spacing w:line="240" w:lineRule="auto"/>
              <w:jc w:val="both"/>
              <w:rPr>
                <w:rFonts w:hint="eastAsia"/>
                <w:highlight w:val="none"/>
                <w:lang w:val="en-US" w:eastAsia="zh-CN"/>
              </w:rPr>
            </w:pPr>
            <w:r>
              <w:rPr>
                <w:rFonts w:hint="eastAsia"/>
                <w:highlight w:val="none"/>
                <w:lang w:val="en-US" w:eastAsia="zh-CN"/>
              </w:rPr>
              <w:t>3、所有机械加工均在车间运作，确保厂界噪声达标排放。</w:t>
            </w:r>
          </w:p>
          <w:p>
            <w:pPr>
              <w:adjustRightInd w:val="0"/>
              <w:snapToGrid w:val="0"/>
              <w:spacing w:line="240" w:lineRule="auto"/>
              <w:jc w:val="both"/>
              <w:rPr>
                <w:rFonts w:hint="eastAsia"/>
                <w:highlight w:val="none"/>
                <w:lang w:val="en-US" w:eastAsia="zh-CN"/>
              </w:rPr>
            </w:pPr>
            <w:r>
              <w:rPr>
                <w:rFonts w:hint="eastAsia"/>
                <w:highlight w:val="none"/>
                <w:lang w:val="en-US" w:eastAsia="zh-CN"/>
              </w:rPr>
              <w:t>4、项目固废设置专门堆放场在厂中临时堆存，临时堆放场采取地面硬化、防渗、防雨淋等防护措施，以防固废对外环境的影响。</w:t>
            </w:r>
          </w:p>
          <w:p>
            <w:pPr>
              <w:adjustRightInd w:val="0"/>
              <w:snapToGrid w:val="0"/>
              <w:spacing w:line="240" w:lineRule="auto"/>
              <w:jc w:val="both"/>
              <w:rPr>
                <w:rFonts w:hint="eastAsia"/>
                <w:highlight w:val="none"/>
                <w:lang w:val="en-US" w:eastAsia="zh-CN"/>
              </w:rPr>
            </w:pPr>
            <w:r>
              <w:rPr>
                <w:rFonts w:hint="eastAsia"/>
                <w:highlight w:val="none"/>
                <w:lang w:val="en-US" w:eastAsia="zh-CN"/>
              </w:rPr>
              <w:t>5、生产过程中产生的废乳化液、废导轨油、废液压油属于危废，需收集于专用容器中，及时交由资质单位（濮阳县鑫地生物能源有限公司）处置，同时加强对其储存和使用管理，严禁出现跑、冒、滴、漏现象。</w:t>
            </w:r>
          </w:p>
          <w:p>
            <w:pPr>
              <w:adjustRightInd w:val="0"/>
              <w:snapToGrid w:val="0"/>
              <w:spacing w:line="240" w:lineRule="auto"/>
              <w:jc w:val="both"/>
              <w:rPr>
                <w:rFonts w:hint="eastAsia"/>
                <w:highlight w:val="none"/>
                <w:lang w:val="en-US" w:eastAsia="zh-CN"/>
              </w:rPr>
            </w:pPr>
            <w:r>
              <w:rPr>
                <w:rFonts w:hint="eastAsia"/>
                <w:highlight w:val="none"/>
                <w:lang w:val="en-US" w:eastAsia="zh-CN"/>
              </w:rPr>
              <w:t>6、定期开展环保培训，提高员工素质。</w:t>
            </w:r>
          </w:p>
          <w:p>
            <w:pPr>
              <w:pStyle w:val="2"/>
              <w:spacing w:line="240" w:lineRule="auto"/>
              <w:jc w:val="left"/>
              <w:rPr>
                <w:rFonts w:hint="default"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7、在运行过程中加强全厂的现场管理，实施网格化清扫，责任到人，持续提升厂区清洁生产水平。</w:t>
            </w:r>
          </w:p>
        </w:tc>
      </w:tr>
    </w:tbl>
    <w:p>
      <w:pPr>
        <w:pStyle w:val="11"/>
        <w:jc w:val="center"/>
        <w:outlineLvl w:val="0"/>
        <w:rPr>
          <w:rFonts w:hint="default" w:ascii="Times New Roman" w:hAnsi="Times New Roman" w:eastAsia="黑体" w:cs="Times New Roman"/>
          <w:snapToGrid w:val="0"/>
          <w:sz w:val="30"/>
          <w:szCs w:val="30"/>
          <w:highlight w:val="none"/>
        </w:rPr>
      </w:pPr>
      <w:r>
        <w:rPr>
          <w:rFonts w:hint="default" w:ascii="Times New Roman" w:hAnsi="Times New Roman" w:cs="Times New Roman"/>
          <w:snapToGrid w:val="0"/>
          <w:highlight w:val="none"/>
        </w:rPr>
        <w:br w:type="page"/>
      </w:r>
      <w:r>
        <w:rPr>
          <w:rFonts w:hint="default" w:ascii="Times New Roman" w:hAnsi="Times New Roman" w:eastAsia="黑体" w:cs="Times New Roman"/>
          <w:snapToGrid w:val="0"/>
          <w:sz w:val="30"/>
          <w:szCs w:val="30"/>
          <w:highlight w:val="none"/>
        </w:rPr>
        <w:t>六、结论</w:t>
      </w:r>
    </w:p>
    <w:tbl>
      <w:tblPr>
        <w:tblStyle w:val="13"/>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noWrap w:val="0"/>
            <w:vAlign w:val="center"/>
          </w:tcPr>
          <w:p>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default" w:ascii="Times New Roman" w:hAnsi="Times New Roman" w:cs="Times New Roman"/>
                <w:sz w:val="24"/>
                <w:highlight w:val="none"/>
              </w:rPr>
            </w:pPr>
            <w:r>
              <w:rPr>
                <w:rFonts w:hint="eastAsia" w:ascii="宋体" w:cs="宋体"/>
                <w:sz w:val="24"/>
                <w:highlight w:val="none"/>
                <w:lang w:val="en-US" w:eastAsia="zh-CN"/>
              </w:rPr>
              <w:t>济源市万鸿机械制造有限公司零部件加工扩建项目符合国家及地方相关环保政策，项目营运期的各种污染物在认真落实评价提出的污染防治措施后对环境影响可接受，各项污染物可实现达标排放，对周围环境影响较小。因此，在营运过程中严格落实本评价中提出的各项环境保护措施的前提下，从环境保护角度分析，本项目建设可行。</w:t>
            </w:r>
          </w:p>
        </w:tc>
      </w:tr>
    </w:tbl>
    <w:p>
      <w:pPr>
        <w:rPr>
          <w:rFonts w:hint="default" w:ascii="Times New Roman" w:hAnsi="Times New Roman" w:cs="Times New Roman"/>
          <w:highlight w:val="none"/>
        </w:rPr>
        <w:sectPr>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pStyle w:val="11"/>
        <w:adjustRightInd w:val="0"/>
        <w:snapToGrid w:val="0"/>
        <w:spacing w:before="0" w:beforeAutospacing="0" w:after="0" w:afterAutospacing="0" w:line="648" w:lineRule="auto"/>
        <w:outlineLvl w:val="0"/>
        <w:rPr>
          <w:rFonts w:hint="default" w:ascii="Times New Roman" w:hAnsi="Times New Roman" w:eastAsia="黑体" w:cs="Times New Roman"/>
          <w:snapToGrid w:val="0"/>
          <w:sz w:val="32"/>
          <w:szCs w:val="32"/>
          <w:highlight w:val="none"/>
        </w:rPr>
      </w:pPr>
      <w:r>
        <w:rPr>
          <w:rFonts w:hint="default" w:ascii="Times New Roman" w:hAnsi="Times New Roman" w:eastAsia="黑体" w:cs="Times New Roman"/>
          <w:snapToGrid w:val="0"/>
          <w:sz w:val="32"/>
          <w:szCs w:val="32"/>
          <w:highlight w:val="none"/>
        </w:rPr>
        <w:t>附表</w:t>
      </w:r>
    </w:p>
    <w:p>
      <w:pPr>
        <w:pStyle w:val="11"/>
        <w:adjustRightInd w:val="0"/>
        <w:snapToGrid w:val="0"/>
        <w:spacing w:before="0" w:beforeAutospacing="0" w:after="0" w:afterAutospacing="0" w:line="240" w:lineRule="auto"/>
        <w:jc w:val="center"/>
        <w:outlineLvl w:val="0"/>
        <w:rPr>
          <w:rFonts w:hint="default" w:ascii="Times New Roman" w:hAnsi="Times New Roman" w:eastAsia="方正小标宋_GBK" w:cs="Times New Roman"/>
          <w:snapToGrid w:val="0"/>
          <w:sz w:val="38"/>
          <w:szCs w:val="38"/>
          <w:highlight w:val="none"/>
        </w:rPr>
      </w:pPr>
      <w:r>
        <w:rPr>
          <w:rFonts w:hint="default" w:ascii="Times New Roman" w:hAnsi="Times New Roman" w:eastAsia="方正小标宋_GBK" w:cs="Times New Roman"/>
          <w:snapToGrid w:val="0"/>
          <w:sz w:val="38"/>
          <w:szCs w:val="38"/>
          <w:highlight w:val="none"/>
        </w:rPr>
        <w:t>建设项目污染物排放量汇总表</w:t>
      </w:r>
    </w:p>
    <w:p>
      <w:pPr>
        <w:pStyle w:val="11"/>
        <w:adjustRightInd w:val="0"/>
        <w:snapToGrid w:val="0"/>
        <w:spacing w:before="0" w:beforeAutospacing="0" w:after="0" w:afterAutospacing="0" w:line="240" w:lineRule="auto"/>
        <w:jc w:val="right"/>
        <w:outlineLvl w:val="0"/>
        <w:rPr>
          <w:rFonts w:hint="default" w:ascii="Times New Roman" w:hAnsi="Times New Roman" w:eastAsia="方正小标宋_GBK" w:cs="Times New Roman"/>
          <w:snapToGrid w:val="0"/>
          <w:sz w:val="24"/>
          <w:szCs w:val="24"/>
          <w:highlight w:val="none"/>
        </w:rPr>
      </w:pPr>
      <w:r>
        <w:rPr>
          <w:rFonts w:hint="eastAsia" w:ascii="黑体" w:hAnsi="黑体" w:eastAsia="黑体" w:cs="黑体"/>
          <w:snapToGrid w:val="0"/>
          <w:sz w:val="24"/>
          <w:szCs w:val="24"/>
          <w:highlight w:val="none"/>
          <w:lang w:val="en-US" w:eastAsia="zh-CN"/>
        </w:rPr>
        <w:t>单位：t/a</w:t>
      </w:r>
    </w:p>
    <w:tbl>
      <w:tblPr>
        <w:tblStyle w:val="1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88"/>
        <w:gridCol w:w="1417"/>
        <w:gridCol w:w="1701"/>
        <w:gridCol w:w="1276"/>
        <w:gridCol w:w="1701"/>
        <w:gridCol w:w="1559"/>
        <w:gridCol w:w="1541"/>
        <w:gridCol w:w="1905"/>
        <w:gridCol w:w="110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588" w:type="dxa"/>
            <w:tcBorders>
              <w:tl2br w:val="single" w:color="auto" w:sz="4" w:space="0"/>
            </w:tcBorders>
            <w:noWrap w:val="0"/>
            <w:tcMar>
              <w:left w:w="28" w:type="dxa"/>
              <w:right w:w="28" w:type="dxa"/>
            </w:tcMar>
            <w:vAlign w:val="center"/>
          </w:tcPr>
          <w:p>
            <w:pPr>
              <w:pStyle w:val="26"/>
              <w:spacing w:beforeLines="0" w:afterLines="0" w:line="240" w:lineRule="auto"/>
              <w:jc w:val="right"/>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项目</w:t>
            </w:r>
          </w:p>
          <w:p>
            <w:pPr>
              <w:pStyle w:val="26"/>
              <w:spacing w:beforeLines="0" w:afterLines="0" w:line="240" w:lineRule="auto"/>
              <w:jc w:val="left"/>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分类</w:t>
            </w:r>
          </w:p>
        </w:tc>
        <w:tc>
          <w:tcPr>
            <w:tcW w:w="1417"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污染物名称</w:t>
            </w:r>
          </w:p>
        </w:tc>
        <w:tc>
          <w:tcPr>
            <w:tcW w:w="1701"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现有工程</w:t>
            </w:r>
          </w:p>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排放量（固体废物产生量）</w:t>
            </w:r>
            <w:r>
              <w:rPr>
                <w:rFonts w:hint="default" w:ascii="Times New Roman" w:hAnsi="Times New Roman" w:eastAsia="黑体" w:cs="Times New Roman"/>
                <w:snapToGrid w:val="0"/>
                <w:color w:val="000000"/>
                <w:spacing w:val="-6"/>
                <w:kern w:val="21"/>
                <w:szCs w:val="21"/>
                <w:highlight w:val="none"/>
              </w:rPr>
              <w:fldChar w:fldCharType="begin"/>
            </w:r>
            <w:r>
              <w:rPr>
                <w:rFonts w:hint="default" w:ascii="Times New Roman" w:hAnsi="Times New Roman" w:eastAsia="黑体" w:cs="Times New Roman"/>
                <w:snapToGrid w:val="0"/>
                <w:color w:val="000000"/>
                <w:spacing w:val="-6"/>
                <w:kern w:val="21"/>
                <w:szCs w:val="21"/>
                <w:highlight w:val="none"/>
              </w:rPr>
              <w:instrText xml:space="preserve"> = 1 \* GB3 \* MERGEFORMAT </w:instrText>
            </w:r>
            <w:r>
              <w:rPr>
                <w:rFonts w:hint="default" w:ascii="Times New Roman" w:hAnsi="Times New Roman" w:eastAsia="黑体" w:cs="Times New Roman"/>
                <w:snapToGrid w:val="0"/>
                <w:color w:val="000000"/>
                <w:spacing w:val="-6"/>
                <w:kern w:val="21"/>
                <w:szCs w:val="21"/>
                <w:highlight w:val="none"/>
              </w:rPr>
              <w:fldChar w:fldCharType="separate"/>
            </w:r>
            <w:r>
              <w:rPr>
                <w:rFonts w:hint="default" w:ascii="Times New Roman" w:hAnsi="Times New Roman" w:eastAsia="黑体" w:cs="Times New Roman"/>
                <w:kern w:val="2"/>
                <w:szCs w:val="21"/>
                <w:highlight w:val="none"/>
              </w:rPr>
              <w:t>①</w:t>
            </w:r>
            <w:r>
              <w:rPr>
                <w:rFonts w:hint="default" w:ascii="Times New Roman" w:hAnsi="Times New Roman" w:eastAsia="黑体" w:cs="Times New Roman"/>
                <w:snapToGrid w:val="0"/>
                <w:color w:val="000000"/>
                <w:spacing w:val="-6"/>
                <w:kern w:val="21"/>
                <w:szCs w:val="21"/>
                <w:highlight w:val="none"/>
              </w:rPr>
              <w:fldChar w:fldCharType="end"/>
            </w:r>
          </w:p>
        </w:tc>
        <w:tc>
          <w:tcPr>
            <w:tcW w:w="1276"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现有工程</w:t>
            </w:r>
          </w:p>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许可排放量</w:t>
            </w:r>
          </w:p>
          <w:p>
            <w:pPr>
              <w:pStyle w:val="26"/>
              <w:spacing w:beforeLines="0" w:afterLines="0"/>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fldChar w:fldCharType="begin"/>
            </w:r>
            <w:r>
              <w:rPr>
                <w:rFonts w:hint="default" w:ascii="Times New Roman" w:hAnsi="Times New Roman" w:eastAsia="黑体" w:cs="Times New Roman"/>
                <w:snapToGrid w:val="0"/>
                <w:color w:val="000000"/>
                <w:spacing w:val="-6"/>
                <w:kern w:val="21"/>
                <w:szCs w:val="21"/>
                <w:highlight w:val="none"/>
              </w:rPr>
              <w:instrText xml:space="preserve"> = 2 \* GB3 \* MERGEFORMAT </w:instrText>
            </w:r>
            <w:r>
              <w:rPr>
                <w:rFonts w:hint="default" w:ascii="Times New Roman" w:hAnsi="Times New Roman" w:eastAsia="黑体" w:cs="Times New Roman"/>
                <w:snapToGrid w:val="0"/>
                <w:color w:val="000000"/>
                <w:spacing w:val="-6"/>
                <w:kern w:val="21"/>
                <w:szCs w:val="21"/>
                <w:highlight w:val="none"/>
              </w:rPr>
              <w:fldChar w:fldCharType="separate"/>
            </w:r>
            <w:r>
              <w:rPr>
                <w:rFonts w:hint="default" w:ascii="Times New Roman" w:hAnsi="Times New Roman" w:eastAsia="黑体" w:cs="Times New Roman"/>
                <w:snapToGrid w:val="0"/>
                <w:color w:val="000000"/>
                <w:spacing w:val="-6"/>
                <w:kern w:val="21"/>
                <w:szCs w:val="21"/>
                <w:highlight w:val="none"/>
              </w:rPr>
              <w:t>②</w:t>
            </w:r>
            <w:r>
              <w:rPr>
                <w:rFonts w:hint="default" w:ascii="Times New Roman" w:hAnsi="Times New Roman" w:eastAsia="黑体" w:cs="Times New Roman"/>
                <w:snapToGrid w:val="0"/>
                <w:color w:val="000000"/>
                <w:spacing w:val="-6"/>
                <w:kern w:val="21"/>
                <w:szCs w:val="21"/>
                <w:highlight w:val="none"/>
              </w:rPr>
              <w:fldChar w:fldCharType="end"/>
            </w:r>
          </w:p>
        </w:tc>
        <w:tc>
          <w:tcPr>
            <w:tcW w:w="1701"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在建工程</w:t>
            </w:r>
          </w:p>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排放量（固体废物产生量）</w:t>
            </w:r>
            <w:r>
              <w:rPr>
                <w:rFonts w:hint="default" w:ascii="Times New Roman" w:hAnsi="Times New Roman" w:eastAsia="黑体" w:cs="Times New Roman"/>
                <w:snapToGrid w:val="0"/>
                <w:color w:val="000000"/>
                <w:spacing w:val="-6"/>
                <w:kern w:val="21"/>
                <w:szCs w:val="21"/>
                <w:highlight w:val="none"/>
              </w:rPr>
              <w:fldChar w:fldCharType="begin"/>
            </w:r>
            <w:r>
              <w:rPr>
                <w:rFonts w:hint="default" w:ascii="Times New Roman" w:hAnsi="Times New Roman" w:eastAsia="黑体" w:cs="Times New Roman"/>
                <w:snapToGrid w:val="0"/>
                <w:color w:val="000000"/>
                <w:spacing w:val="-6"/>
                <w:kern w:val="21"/>
                <w:szCs w:val="21"/>
                <w:highlight w:val="none"/>
              </w:rPr>
              <w:instrText xml:space="preserve"> = 3 \* GB3 \* MERGEFORMAT </w:instrText>
            </w:r>
            <w:r>
              <w:rPr>
                <w:rFonts w:hint="default" w:ascii="Times New Roman" w:hAnsi="Times New Roman" w:eastAsia="黑体" w:cs="Times New Roman"/>
                <w:snapToGrid w:val="0"/>
                <w:color w:val="000000"/>
                <w:spacing w:val="-6"/>
                <w:kern w:val="21"/>
                <w:szCs w:val="21"/>
                <w:highlight w:val="none"/>
              </w:rPr>
              <w:fldChar w:fldCharType="separate"/>
            </w:r>
            <w:r>
              <w:rPr>
                <w:rFonts w:hint="default" w:ascii="Times New Roman" w:hAnsi="Times New Roman" w:eastAsia="黑体" w:cs="Times New Roman"/>
                <w:kern w:val="2"/>
                <w:szCs w:val="21"/>
                <w:highlight w:val="none"/>
              </w:rPr>
              <w:t>③</w:t>
            </w:r>
            <w:r>
              <w:rPr>
                <w:rFonts w:hint="default" w:ascii="Times New Roman" w:hAnsi="Times New Roman" w:eastAsia="黑体" w:cs="Times New Roman"/>
                <w:snapToGrid w:val="0"/>
                <w:color w:val="000000"/>
                <w:spacing w:val="-6"/>
                <w:kern w:val="21"/>
                <w:szCs w:val="21"/>
                <w:highlight w:val="none"/>
              </w:rPr>
              <w:fldChar w:fldCharType="end"/>
            </w:r>
          </w:p>
        </w:tc>
        <w:tc>
          <w:tcPr>
            <w:tcW w:w="1559"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本项目</w:t>
            </w:r>
          </w:p>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排放量（固体废物产生量）</w:t>
            </w:r>
            <w:r>
              <w:rPr>
                <w:rFonts w:hint="default" w:ascii="Times New Roman" w:hAnsi="Times New Roman" w:eastAsia="黑体" w:cs="Times New Roman"/>
                <w:snapToGrid w:val="0"/>
                <w:color w:val="000000"/>
                <w:spacing w:val="-6"/>
                <w:kern w:val="21"/>
                <w:szCs w:val="21"/>
                <w:highlight w:val="none"/>
              </w:rPr>
              <w:fldChar w:fldCharType="begin"/>
            </w:r>
            <w:r>
              <w:rPr>
                <w:rFonts w:hint="default" w:ascii="Times New Roman" w:hAnsi="Times New Roman" w:eastAsia="黑体" w:cs="Times New Roman"/>
                <w:snapToGrid w:val="0"/>
                <w:color w:val="000000"/>
                <w:spacing w:val="-6"/>
                <w:kern w:val="21"/>
                <w:szCs w:val="21"/>
                <w:highlight w:val="none"/>
              </w:rPr>
              <w:instrText xml:space="preserve"> = 4 \* GB3 \* MERGEFORMAT </w:instrText>
            </w:r>
            <w:r>
              <w:rPr>
                <w:rFonts w:hint="default" w:ascii="Times New Roman" w:hAnsi="Times New Roman" w:eastAsia="黑体" w:cs="Times New Roman"/>
                <w:snapToGrid w:val="0"/>
                <w:color w:val="000000"/>
                <w:spacing w:val="-6"/>
                <w:kern w:val="21"/>
                <w:szCs w:val="21"/>
                <w:highlight w:val="none"/>
              </w:rPr>
              <w:fldChar w:fldCharType="separate"/>
            </w:r>
            <w:r>
              <w:rPr>
                <w:rFonts w:hint="default" w:ascii="Times New Roman" w:hAnsi="Times New Roman" w:eastAsia="黑体" w:cs="Times New Roman"/>
                <w:kern w:val="2"/>
                <w:szCs w:val="21"/>
                <w:highlight w:val="none"/>
              </w:rPr>
              <w:t>④</w:t>
            </w:r>
            <w:r>
              <w:rPr>
                <w:rFonts w:hint="default" w:ascii="Times New Roman" w:hAnsi="Times New Roman" w:eastAsia="黑体" w:cs="Times New Roman"/>
                <w:snapToGrid w:val="0"/>
                <w:color w:val="000000"/>
                <w:spacing w:val="-6"/>
                <w:kern w:val="21"/>
                <w:szCs w:val="21"/>
                <w:highlight w:val="none"/>
              </w:rPr>
              <w:fldChar w:fldCharType="end"/>
            </w:r>
          </w:p>
        </w:tc>
        <w:tc>
          <w:tcPr>
            <w:tcW w:w="1541"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16"/>
                <w:kern w:val="21"/>
                <w:szCs w:val="21"/>
                <w:highlight w:val="none"/>
              </w:rPr>
            </w:pPr>
            <w:r>
              <w:rPr>
                <w:rFonts w:hint="default" w:ascii="Times New Roman" w:hAnsi="Times New Roman" w:eastAsia="黑体" w:cs="Times New Roman"/>
                <w:snapToGrid w:val="0"/>
                <w:color w:val="000000"/>
                <w:spacing w:val="-16"/>
                <w:kern w:val="21"/>
                <w:szCs w:val="21"/>
                <w:highlight w:val="none"/>
              </w:rPr>
              <w:t>以新带老削减量</w:t>
            </w:r>
          </w:p>
          <w:p>
            <w:pPr>
              <w:pStyle w:val="26"/>
              <w:spacing w:beforeLines="0" w:afterLines="0" w:line="240" w:lineRule="auto"/>
              <w:rPr>
                <w:rFonts w:hint="default" w:ascii="Times New Roman" w:hAnsi="Times New Roman" w:eastAsia="黑体" w:cs="Times New Roman"/>
                <w:snapToGrid w:val="0"/>
                <w:color w:val="000000"/>
                <w:spacing w:val="-16"/>
                <w:kern w:val="21"/>
                <w:szCs w:val="21"/>
                <w:highlight w:val="none"/>
              </w:rPr>
            </w:pPr>
            <w:r>
              <w:rPr>
                <w:rFonts w:hint="default" w:ascii="Times New Roman" w:hAnsi="Times New Roman" w:eastAsia="黑体" w:cs="Times New Roman"/>
                <w:snapToGrid w:val="0"/>
                <w:color w:val="000000"/>
                <w:spacing w:val="-16"/>
                <w:kern w:val="21"/>
                <w:szCs w:val="21"/>
                <w:highlight w:val="none"/>
              </w:rPr>
              <w:t>（新建项目不填）</w:t>
            </w:r>
            <w:r>
              <w:rPr>
                <w:rFonts w:hint="default" w:ascii="Times New Roman" w:hAnsi="Times New Roman" w:eastAsia="黑体" w:cs="Times New Roman"/>
                <w:snapToGrid w:val="0"/>
                <w:color w:val="000000"/>
                <w:spacing w:val="-16"/>
                <w:kern w:val="21"/>
                <w:szCs w:val="21"/>
                <w:highlight w:val="none"/>
              </w:rPr>
              <w:fldChar w:fldCharType="begin"/>
            </w:r>
            <w:r>
              <w:rPr>
                <w:rFonts w:hint="default" w:ascii="Times New Roman" w:hAnsi="Times New Roman" w:eastAsia="黑体" w:cs="Times New Roman"/>
                <w:snapToGrid w:val="0"/>
                <w:color w:val="000000"/>
                <w:spacing w:val="-16"/>
                <w:kern w:val="21"/>
                <w:szCs w:val="21"/>
                <w:highlight w:val="none"/>
              </w:rPr>
              <w:instrText xml:space="preserve"> = 5 \* GB3 \* MERGEFORMAT </w:instrText>
            </w:r>
            <w:r>
              <w:rPr>
                <w:rFonts w:hint="default" w:ascii="Times New Roman" w:hAnsi="Times New Roman" w:eastAsia="黑体" w:cs="Times New Roman"/>
                <w:snapToGrid w:val="0"/>
                <w:color w:val="000000"/>
                <w:spacing w:val="-16"/>
                <w:kern w:val="21"/>
                <w:szCs w:val="21"/>
                <w:highlight w:val="none"/>
              </w:rPr>
              <w:fldChar w:fldCharType="separate"/>
            </w:r>
            <w:r>
              <w:rPr>
                <w:rFonts w:hint="default" w:ascii="Times New Roman" w:hAnsi="Times New Roman" w:eastAsia="黑体" w:cs="Times New Roman"/>
                <w:kern w:val="2"/>
                <w:szCs w:val="21"/>
                <w:highlight w:val="none"/>
              </w:rPr>
              <w:t>⑤</w:t>
            </w:r>
            <w:r>
              <w:rPr>
                <w:rFonts w:hint="default" w:ascii="Times New Roman" w:hAnsi="Times New Roman" w:eastAsia="黑体" w:cs="Times New Roman"/>
                <w:snapToGrid w:val="0"/>
                <w:color w:val="000000"/>
                <w:spacing w:val="-16"/>
                <w:kern w:val="21"/>
                <w:szCs w:val="21"/>
                <w:highlight w:val="none"/>
              </w:rPr>
              <w:fldChar w:fldCharType="end"/>
            </w:r>
          </w:p>
        </w:tc>
        <w:tc>
          <w:tcPr>
            <w:tcW w:w="1905"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16"/>
                <w:kern w:val="21"/>
                <w:szCs w:val="21"/>
                <w:highlight w:val="none"/>
              </w:rPr>
            </w:pPr>
            <w:r>
              <w:rPr>
                <w:rFonts w:hint="default" w:ascii="Times New Roman" w:hAnsi="Times New Roman" w:eastAsia="黑体" w:cs="Times New Roman"/>
                <w:snapToGrid w:val="0"/>
                <w:color w:val="000000"/>
                <w:spacing w:val="-16"/>
                <w:kern w:val="21"/>
                <w:szCs w:val="21"/>
                <w:highlight w:val="none"/>
              </w:rPr>
              <w:t>本项目建成后</w:t>
            </w:r>
          </w:p>
          <w:p>
            <w:pPr>
              <w:pStyle w:val="26"/>
              <w:spacing w:beforeLines="0" w:afterLines="0" w:line="240" w:lineRule="auto"/>
              <w:rPr>
                <w:rFonts w:hint="default" w:ascii="Times New Roman" w:hAnsi="Times New Roman" w:eastAsia="黑体" w:cs="Times New Roman"/>
                <w:snapToGrid w:val="0"/>
                <w:color w:val="000000"/>
                <w:spacing w:val="-16"/>
                <w:kern w:val="21"/>
                <w:szCs w:val="21"/>
                <w:highlight w:val="none"/>
              </w:rPr>
            </w:pPr>
            <w:r>
              <w:rPr>
                <w:rFonts w:hint="default" w:ascii="Times New Roman" w:hAnsi="Times New Roman" w:eastAsia="黑体" w:cs="Times New Roman"/>
                <w:snapToGrid w:val="0"/>
                <w:color w:val="000000"/>
                <w:spacing w:val="-16"/>
                <w:kern w:val="21"/>
                <w:szCs w:val="21"/>
                <w:highlight w:val="none"/>
              </w:rPr>
              <w:t>全厂排放量（固体废物产生量）</w:t>
            </w:r>
            <w:r>
              <w:rPr>
                <w:rFonts w:hint="default" w:ascii="Times New Roman" w:hAnsi="Times New Roman" w:eastAsia="黑体" w:cs="Times New Roman"/>
                <w:snapToGrid w:val="0"/>
                <w:color w:val="000000"/>
                <w:spacing w:val="-16"/>
                <w:kern w:val="21"/>
                <w:szCs w:val="21"/>
                <w:highlight w:val="none"/>
              </w:rPr>
              <w:fldChar w:fldCharType="begin"/>
            </w:r>
            <w:r>
              <w:rPr>
                <w:rFonts w:hint="default" w:ascii="Times New Roman" w:hAnsi="Times New Roman" w:eastAsia="黑体" w:cs="Times New Roman"/>
                <w:snapToGrid w:val="0"/>
                <w:color w:val="000000"/>
                <w:spacing w:val="-16"/>
                <w:kern w:val="21"/>
                <w:szCs w:val="21"/>
                <w:highlight w:val="none"/>
              </w:rPr>
              <w:instrText xml:space="preserve"> = 6 \* GB3 \* MERGEFORMAT </w:instrText>
            </w:r>
            <w:r>
              <w:rPr>
                <w:rFonts w:hint="default" w:ascii="Times New Roman" w:hAnsi="Times New Roman" w:eastAsia="黑体" w:cs="Times New Roman"/>
                <w:snapToGrid w:val="0"/>
                <w:color w:val="000000"/>
                <w:spacing w:val="-16"/>
                <w:kern w:val="21"/>
                <w:szCs w:val="21"/>
                <w:highlight w:val="none"/>
              </w:rPr>
              <w:fldChar w:fldCharType="separate"/>
            </w:r>
            <w:r>
              <w:rPr>
                <w:rFonts w:hint="default" w:ascii="Times New Roman" w:hAnsi="Times New Roman" w:eastAsia="黑体" w:cs="Times New Roman"/>
                <w:kern w:val="2"/>
                <w:szCs w:val="21"/>
                <w:highlight w:val="none"/>
              </w:rPr>
              <w:t>⑥</w:t>
            </w:r>
            <w:r>
              <w:rPr>
                <w:rFonts w:hint="default" w:ascii="Times New Roman" w:hAnsi="Times New Roman" w:eastAsia="黑体" w:cs="Times New Roman"/>
                <w:snapToGrid w:val="0"/>
                <w:color w:val="000000"/>
                <w:spacing w:val="-16"/>
                <w:kern w:val="21"/>
                <w:szCs w:val="21"/>
                <w:highlight w:val="none"/>
              </w:rPr>
              <w:fldChar w:fldCharType="end"/>
            </w:r>
          </w:p>
        </w:tc>
        <w:tc>
          <w:tcPr>
            <w:tcW w:w="1100" w:type="dxa"/>
            <w:noWrap w:val="0"/>
            <w:tcMar>
              <w:left w:w="28" w:type="dxa"/>
              <w:right w:w="28" w:type="dxa"/>
            </w:tcMar>
            <w:vAlign w:val="center"/>
          </w:tcPr>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t>变化量</w:t>
            </w:r>
          </w:p>
          <w:p>
            <w:pPr>
              <w:pStyle w:val="26"/>
              <w:spacing w:beforeLines="0" w:afterLines="0" w:line="240" w:lineRule="auto"/>
              <w:rPr>
                <w:rFonts w:hint="default" w:ascii="Times New Roman" w:hAnsi="Times New Roman" w:eastAsia="黑体" w:cs="Times New Roman"/>
                <w:snapToGrid w:val="0"/>
                <w:color w:val="000000"/>
                <w:spacing w:val="-6"/>
                <w:kern w:val="21"/>
                <w:szCs w:val="21"/>
                <w:highlight w:val="none"/>
              </w:rPr>
            </w:pPr>
            <w:r>
              <w:rPr>
                <w:rFonts w:hint="default" w:ascii="Times New Roman" w:hAnsi="Times New Roman" w:eastAsia="黑体" w:cs="Times New Roman"/>
                <w:snapToGrid w:val="0"/>
                <w:color w:val="000000"/>
                <w:spacing w:val="-6"/>
                <w:kern w:val="21"/>
                <w:szCs w:val="21"/>
                <w:highlight w:val="none"/>
              </w:rPr>
              <w:fldChar w:fldCharType="begin"/>
            </w:r>
            <w:r>
              <w:rPr>
                <w:rFonts w:hint="default" w:ascii="Times New Roman" w:hAnsi="Times New Roman" w:eastAsia="黑体" w:cs="Times New Roman"/>
                <w:snapToGrid w:val="0"/>
                <w:color w:val="000000"/>
                <w:spacing w:val="-6"/>
                <w:kern w:val="21"/>
                <w:szCs w:val="21"/>
                <w:highlight w:val="none"/>
              </w:rPr>
              <w:instrText xml:space="preserve"> = 7 \* GB3 \* MERGEFORMAT </w:instrText>
            </w:r>
            <w:r>
              <w:rPr>
                <w:rFonts w:hint="default" w:ascii="Times New Roman" w:hAnsi="Times New Roman" w:eastAsia="黑体" w:cs="Times New Roman"/>
                <w:snapToGrid w:val="0"/>
                <w:color w:val="000000"/>
                <w:spacing w:val="-6"/>
                <w:kern w:val="21"/>
                <w:szCs w:val="21"/>
                <w:highlight w:val="none"/>
              </w:rPr>
              <w:fldChar w:fldCharType="separate"/>
            </w:r>
            <w:r>
              <w:rPr>
                <w:rFonts w:hint="default" w:ascii="Times New Roman" w:hAnsi="Times New Roman" w:eastAsia="黑体" w:cs="Times New Roman"/>
                <w:kern w:val="2"/>
                <w:szCs w:val="21"/>
                <w:highlight w:val="none"/>
              </w:rPr>
              <w:t>⑦</w:t>
            </w:r>
            <w:r>
              <w:rPr>
                <w:rFonts w:hint="default" w:ascii="Times New Roman" w:hAnsi="Times New Roman" w:eastAsia="黑体" w:cs="Times New Roman"/>
                <w:snapToGrid w:val="0"/>
                <w:color w:val="000000"/>
                <w:spacing w:val="-6"/>
                <w:kern w:val="21"/>
                <w:szCs w:val="21"/>
                <w:highlight w:val="none"/>
              </w:rPr>
              <w:fldChar w:fldCharType="end"/>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r>
              <w:rPr>
                <w:rFonts w:hint="default" w:ascii="Times New Roman" w:hAnsi="Times New Roman" w:cs="Times New Roman"/>
                <w:snapToGrid w:val="0"/>
                <w:color w:val="000000"/>
                <w:kern w:val="21"/>
                <w:szCs w:val="21"/>
                <w:highlight w:val="none"/>
              </w:rPr>
              <w:t>废气</w:t>
            </w:r>
          </w:p>
        </w:tc>
        <w:tc>
          <w:tcPr>
            <w:tcW w:w="1417"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276"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100"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p>
        </w:tc>
        <w:tc>
          <w:tcPr>
            <w:tcW w:w="1417"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276"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100"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r>
              <w:rPr>
                <w:rFonts w:hint="default" w:ascii="Times New Roman" w:hAnsi="Times New Roman" w:cs="Times New Roman"/>
                <w:snapToGrid w:val="0"/>
                <w:color w:val="000000"/>
                <w:kern w:val="21"/>
                <w:szCs w:val="21"/>
                <w:highlight w:val="none"/>
              </w:rPr>
              <w:t>废水</w:t>
            </w:r>
          </w:p>
        </w:tc>
        <w:tc>
          <w:tcPr>
            <w:tcW w:w="1417"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COD</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276"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0.0156</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0.0156</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+0.0156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p>
        </w:tc>
        <w:tc>
          <w:tcPr>
            <w:tcW w:w="1417"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氨氮</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276"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0.0012</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0.0012</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+0.0012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r>
              <w:rPr>
                <w:rFonts w:hint="default" w:ascii="Times New Roman" w:hAnsi="Times New Roman" w:cs="Times New Roman"/>
                <w:snapToGrid w:val="0"/>
                <w:color w:val="000000"/>
                <w:kern w:val="21"/>
                <w:szCs w:val="21"/>
                <w:highlight w:val="none"/>
              </w:rPr>
              <w:t>一般工业</w:t>
            </w:r>
          </w:p>
          <w:p>
            <w:pPr>
              <w:pStyle w:val="26"/>
              <w:spacing w:beforeLines="0" w:afterLines="0" w:line="240" w:lineRule="auto"/>
              <w:rPr>
                <w:rFonts w:hint="default" w:ascii="Times New Roman" w:hAnsi="Times New Roman" w:cs="Times New Roman"/>
                <w:snapToGrid w:val="0"/>
                <w:color w:val="000000"/>
                <w:kern w:val="21"/>
                <w:szCs w:val="21"/>
                <w:highlight w:val="none"/>
              </w:rPr>
            </w:pPr>
            <w:r>
              <w:rPr>
                <w:rFonts w:hint="default" w:ascii="Times New Roman" w:hAnsi="Times New Roman" w:cs="Times New Roman"/>
                <w:snapToGrid w:val="0"/>
                <w:color w:val="000000"/>
                <w:kern w:val="21"/>
                <w:szCs w:val="21"/>
                <w:highlight w:val="none"/>
              </w:rPr>
              <w:t>固体废物</w:t>
            </w:r>
          </w:p>
        </w:tc>
        <w:tc>
          <w:tcPr>
            <w:tcW w:w="1417"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生活垃圾</w:t>
            </w:r>
          </w:p>
        </w:tc>
        <w:tc>
          <w:tcPr>
            <w:tcW w:w="1701"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1.25</w:t>
            </w:r>
          </w:p>
        </w:tc>
        <w:tc>
          <w:tcPr>
            <w:tcW w:w="1276"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8.25</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9.5</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+8.25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p>
        </w:tc>
        <w:tc>
          <w:tcPr>
            <w:tcW w:w="1417" w:type="dxa"/>
            <w:noWrap w:val="0"/>
            <w:vAlign w:val="center"/>
          </w:tcPr>
          <w:p>
            <w:pPr>
              <w:pStyle w:val="26"/>
              <w:spacing w:beforeLines="0" w:afterLines="0" w:line="240" w:lineRule="auto"/>
              <w:rPr>
                <w:rFonts w:hint="eastAsia" w:ascii="Times New Roman"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废边角料、</w:t>
            </w:r>
          </w:p>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废铁屑</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8</w:t>
            </w:r>
          </w:p>
        </w:tc>
        <w:tc>
          <w:tcPr>
            <w:tcW w:w="1276"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122</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130</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+122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restart"/>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r>
              <w:rPr>
                <w:rFonts w:hint="default" w:ascii="Times New Roman" w:hAnsi="Times New Roman" w:cs="Times New Roman"/>
                <w:snapToGrid w:val="0"/>
                <w:color w:val="000000"/>
                <w:kern w:val="21"/>
                <w:szCs w:val="21"/>
                <w:highlight w:val="none"/>
              </w:rPr>
              <w:t>危险废物</w:t>
            </w:r>
          </w:p>
        </w:tc>
        <w:tc>
          <w:tcPr>
            <w:tcW w:w="1417"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废乳化液</w:t>
            </w:r>
          </w:p>
        </w:tc>
        <w:tc>
          <w:tcPr>
            <w:tcW w:w="1701"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0.08</w:t>
            </w:r>
          </w:p>
        </w:tc>
        <w:tc>
          <w:tcPr>
            <w:tcW w:w="1276"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0.5</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0.58</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p>
        </w:tc>
        <w:tc>
          <w:tcPr>
            <w:tcW w:w="1417"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废导轨油</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276"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0.3</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0.3</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1588" w:type="dxa"/>
            <w:vMerge w:val="continue"/>
            <w:noWrap w:val="0"/>
            <w:vAlign w:val="center"/>
          </w:tcPr>
          <w:p>
            <w:pPr>
              <w:pStyle w:val="26"/>
              <w:spacing w:beforeLines="0" w:afterLines="0" w:line="240" w:lineRule="auto"/>
              <w:rPr>
                <w:rFonts w:hint="default" w:ascii="Times New Roman" w:hAnsi="Times New Roman" w:cs="Times New Roman"/>
                <w:snapToGrid w:val="0"/>
                <w:color w:val="000000"/>
                <w:kern w:val="21"/>
                <w:szCs w:val="21"/>
                <w:highlight w:val="none"/>
              </w:rPr>
            </w:pPr>
          </w:p>
        </w:tc>
        <w:tc>
          <w:tcPr>
            <w:tcW w:w="1417"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废液压油</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276"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70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559"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0.7</w:t>
            </w:r>
          </w:p>
        </w:tc>
        <w:tc>
          <w:tcPr>
            <w:tcW w:w="1541" w:type="dxa"/>
            <w:noWrap w:val="0"/>
            <w:vAlign w:val="center"/>
          </w:tcPr>
          <w:p>
            <w:pPr>
              <w:pStyle w:val="26"/>
              <w:spacing w:beforeLines="0" w:afterLines="0" w:line="240" w:lineRule="auto"/>
              <w:rPr>
                <w:rFonts w:hint="eastAsia"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w:t>
            </w:r>
          </w:p>
        </w:tc>
        <w:tc>
          <w:tcPr>
            <w:tcW w:w="1905"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0.7</w:t>
            </w:r>
          </w:p>
        </w:tc>
        <w:tc>
          <w:tcPr>
            <w:tcW w:w="1100" w:type="dxa"/>
            <w:noWrap w:val="0"/>
            <w:vAlign w:val="center"/>
          </w:tcPr>
          <w:p>
            <w:pPr>
              <w:pStyle w:val="26"/>
              <w:spacing w:beforeLines="0" w:afterLines="0" w:line="240" w:lineRule="auto"/>
              <w:rPr>
                <w:rFonts w:hint="default" w:ascii="Times New Roman" w:hAnsi="Times New Roman" w:eastAsia="宋体" w:cs="Times New Roman"/>
                <w:snapToGrid w:val="0"/>
                <w:color w:val="000000"/>
                <w:kern w:val="21"/>
                <w:szCs w:val="21"/>
                <w:highlight w:val="none"/>
                <w:lang w:val="en-US" w:eastAsia="zh-CN"/>
              </w:rPr>
            </w:pPr>
            <w:r>
              <w:rPr>
                <w:rFonts w:hint="eastAsia" w:ascii="Times New Roman" w:cs="Times New Roman"/>
                <w:snapToGrid w:val="0"/>
                <w:color w:val="000000"/>
                <w:kern w:val="21"/>
                <w:szCs w:val="21"/>
                <w:highlight w:val="none"/>
                <w:lang w:val="en-US" w:eastAsia="zh-CN"/>
              </w:rPr>
              <w:t>+0.7</w:t>
            </w:r>
          </w:p>
        </w:tc>
      </w:tr>
    </w:tbl>
    <w:p>
      <w:pPr>
        <w:pStyle w:val="26"/>
        <w:spacing w:before="192" w:beforeLines="80" w:after="24"/>
        <w:jc w:val="left"/>
        <w:rPr>
          <w:rFonts w:hint="default" w:ascii="Times New Roman" w:hAnsi="Times New Roman" w:cs="Times New Roman"/>
          <w:snapToGrid w:val="0"/>
          <w:color w:val="000000"/>
          <w:spacing w:val="-6"/>
          <w:kern w:val="21"/>
          <w:szCs w:val="21"/>
          <w:highlight w:val="none"/>
        </w:rPr>
      </w:pPr>
      <w:r>
        <w:rPr>
          <w:rFonts w:hint="default" w:ascii="Times New Roman" w:hAnsi="Times New Roman" w:cs="Times New Roman"/>
          <w:snapToGrid w:val="0"/>
          <w:color w:val="000000"/>
          <w:kern w:val="21"/>
          <w:szCs w:val="21"/>
          <w:highlight w:val="none"/>
        </w:rPr>
        <w:t>注：</w:t>
      </w:r>
      <w:r>
        <w:rPr>
          <w:rFonts w:hint="default" w:ascii="Times New Roman" w:hAnsi="Times New Roman" w:cs="Times New Roman"/>
          <w:snapToGrid w:val="0"/>
          <w:color w:val="000000"/>
          <w:spacing w:val="-16"/>
          <w:kern w:val="21"/>
          <w:szCs w:val="21"/>
          <w:highlight w:val="none"/>
        </w:rPr>
        <w:fldChar w:fldCharType="begin"/>
      </w:r>
      <w:r>
        <w:rPr>
          <w:rFonts w:hint="default" w:ascii="Times New Roman" w:hAnsi="Times New Roman" w:cs="Times New Roman"/>
          <w:snapToGrid w:val="0"/>
          <w:color w:val="000000"/>
          <w:spacing w:val="-16"/>
          <w:kern w:val="21"/>
          <w:szCs w:val="21"/>
          <w:highlight w:val="none"/>
        </w:rPr>
        <w:instrText xml:space="preserve"> = 6 \* GB3 \* MERGEFORMAT </w:instrText>
      </w:r>
      <w:r>
        <w:rPr>
          <w:rFonts w:hint="default" w:ascii="Times New Roman" w:hAnsi="Times New Roman" w:cs="Times New Roman"/>
          <w:snapToGrid w:val="0"/>
          <w:color w:val="000000"/>
          <w:spacing w:val="-16"/>
          <w:kern w:val="21"/>
          <w:szCs w:val="21"/>
          <w:highlight w:val="none"/>
        </w:rPr>
        <w:fldChar w:fldCharType="separate"/>
      </w:r>
      <w:r>
        <w:rPr>
          <w:rFonts w:hint="default" w:ascii="Times New Roman" w:hAnsi="Times New Roman" w:cs="Times New Roman"/>
          <w:szCs w:val="21"/>
          <w:highlight w:val="none"/>
        </w:rPr>
        <w:t>⑥</w:t>
      </w:r>
      <w:r>
        <w:rPr>
          <w:rFonts w:hint="default" w:ascii="Times New Roman" w:hAnsi="Times New Roman" w:cs="Times New Roman"/>
          <w:snapToGrid w:val="0"/>
          <w:color w:val="000000"/>
          <w:spacing w:val="-16"/>
          <w:kern w:val="21"/>
          <w:szCs w:val="21"/>
          <w:highlight w:val="none"/>
        </w:rPr>
        <w:fldChar w:fldCharType="end"/>
      </w:r>
      <w:r>
        <w:rPr>
          <w:rFonts w:hint="default" w:ascii="Times New Roman" w:hAnsi="Times New Roman" w:cs="Times New Roman"/>
          <w:snapToGrid w:val="0"/>
          <w:color w:val="000000"/>
          <w:spacing w:val="-16"/>
          <w:kern w:val="21"/>
          <w:szCs w:val="21"/>
          <w:highlight w:val="none"/>
        </w:rPr>
        <w:t>=</w:t>
      </w:r>
      <w:r>
        <w:rPr>
          <w:rFonts w:hint="default" w:ascii="Times New Roman" w:hAnsi="Times New Roman" w:cs="Times New Roman"/>
          <w:snapToGrid w:val="0"/>
          <w:color w:val="000000"/>
          <w:spacing w:val="-6"/>
          <w:kern w:val="21"/>
          <w:szCs w:val="21"/>
          <w:highlight w:val="none"/>
        </w:rPr>
        <w:fldChar w:fldCharType="begin"/>
      </w:r>
      <w:r>
        <w:rPr>
          <w:rFonts w:hint="default" w:ascii="Times New Roman" w:hAnsi="Times New Roman" w:cs="Times New Roman"/>
          <w:snapToGrid w:val="0"/>
          <w:color w:val="000000"/>
          <w:spacing w:val="-6"/>
          <w:kern w:val="21"/>
          <w:szCs w:val="21"/>
          <w:highlight w:val="none"/>
        </w:rPr>
        <w:instrText xml:space="preserve"> = 1 \* GB3 \* MERGEFORMAT </w:instrText>
      </w:r>
      <w:r>
        <w:rPr>
          <w:rFonts w:hint="default" w:ascii="Times New Roman" w:hAnsi="Times New Roman" w:cs="Times New Roman"/>
          <w:snapToGrid w:val="0"/>
          <w:color w:val="000000"/>
          <w:spacing w:val="-6"/>
          <w:kern w:val="21"/>
          <w:szCs w:val="21"/>
          <w:highlight w:val="none"/>
        </w:rPr>
        <w:fldChar w:fldCharType="separate"/>
      </w:r>
      <w:r>
        <w:rPr>
          <w:rFonts w:hint="default" w:ascii="Times New Roman" w:hAnsi="Times New Roman" w:cs="Times New Roman"/>
          <w:szCs w:val="21"/>
          <w:highlight w:val="none"/>
        </w:rPr>
        <w:t>①</w:t>
      </w:r>
      <w:r>
        <w:rPr>
          <w:rFonts w:hint="default" w:ascii="Times New Roman" w:hAnsi="Times New Roman" w:cs="Times New Roman"/>
          <w:snapToGrid w:val="0"/>
          <w:color w:val="000000"/>
          <w:spacing w:val="-6"/>
          <w:kern w:val="21"/>
          <w:szCs w:val="21"/>
          <w:highlight w:val="none"/>
        </w:rPr>
        <w:fldChar w:fldCharType="end"/>
      </w:r>
      <w:r>
        <w:rPr>
          <w:rFonts w:hint="default" w:ascii="Times New Roman" w:hAnsi="Times New Roman" w:cs="Times New Roman"/>
          <w:snapToGrid w:val="0"/>
          <w:color w:val="000000"/>
          <w:spacing w:val="-6"/>
          <w:kern w:val="21"/>
          <w:szCs w:val="21"/>
          <w:highlight w:val="none"/>
        </w:rPr>
        <w:t>+</w:t>
      </w:r>
      <w:r>
        <w:rPr>
          <w:rFonts w:hint="default" w:ascii="Times New Roman" w:hAnsi="Times New Roman" w:cs="Times New Roman"/>
          <w:snapToGrid w:val="0"/>
          <w:color w:val="000000"/>
          <w:spacing w:val="-6"/>
          <w:kern w:val="21"/>
          <w:szCs w:val="21"/>
          <w:highlight w:val="none"/>
        </w:rPr>
        <w:fldChar w:fldCharType="begin"/>
      </w:r>
      <w:r>
        <w:rPr>
          <w:rFonts w:hint="default" w:ascii="Times New Roman" w:hAnsi="Times New Roman" w:cs="Times New Roman"/>
          <w:snapToGrid w:val="0"/>
          <w:color w:val="000000"/>
          <w:spacing w:val="-6"/>
          <w:kern w:val="21"/>
          <w:szCs w:val="21"/>
          <w:highlight w:val="none"/>
        </w:rPr>
        <w:instrText xml:space="preserve"> = 3 \* GB3 \* MERGEFORMAT </w:instrText>
      </w:r>
      <w:r>
        <w:rPr>
          <w:rFonts w:hint="default" w:ascii="Times New Roman" w:hAnsi="Times New Roman" w:cs="Times New Roman"/>
          <w:snapToGrid w:val="0"/>
          <w:color w:val="000000"/>
          <w:spacing w:val="-6"/>
          <w:kern w:val="21"/>
          <w:szCs w:val="21"/>
          <w:highlight w:val="none"/>
        </w:rPr>
        <w:fldChar w:fldCharType="separate"/>
      </w:r>
      <w:r>
        <w:rPr>
          <w:rFonts w:hint="default" w:ascii="Times New Roman" w:hAnsi="Times New Roman" w:cs="Times New Roman"/>
          <w:szCs w:val="21"/>
          <w:highlight w:val="none"/>
        </w:rPr>
        <w:t>③</w:t>
      </w:r>
      <w:r>
        <w:rPr>
          <w:rFonts w:hint="default" w:ascii="Times New Roman" w:hAnsi="Times New Roman" w:cs="Times New Roman"/>
          <w:snapToGrid w:val="0"/>
          <w:color w:val="000000"/>
          <w:spacing w:val="-6"/>
          <w:kern w:val="21"/>
          <w:szCs w:val="21"/>
          <w:highlight w:val="none"/>
        </w:rPr>
        <w:fldChar w:fldCharType="end"/>
      </w:r>
      <w:r>
        <w:rPr>
          <w:rFonts w:hint="default" w:ascii="Times New Roman" w:hAnsi="Times New Roman" w:cs="Times New Roman"/>
          <w:snapToGrid w:val="0"/>
          <w:color w:val="000000"/>
          <w:spacing w:val="-6"/>
          <w:kern w:val="21"/>
          <w:szCs w:val="21"/>
          <w:highlight w:val="none"/>
        </w:rPr>
        <w:t>+</w:t>
      </w:r>
      <w:r>
        <w:rPr>
          <w:rFonts w:hint="default" w:ascii="Times New Roman" w:hAnsi="Times New Roman" w:cs="Times New Roman"/>
          <w:snapToGrid w:val="0"/>
          <w:color w:val="000000"/>
          <w:spacing w:val="-6"/>
          <w:kern w:val="21"/>
          <w:szCs w:val="21"/>
          <w:highlight w:val="none"/>
        </w:rPr>
        <w:fldChar w:fldCharType="begin"/>
      </w:r>
      <w:r>
        <w:rPr>
          <w:rFonts w:hint="default" w:ascii="Times New Roman" w:hAnsi="Times New Roman" w:cs="Times New Roman"/>
          <w:snapToGrid w:val="0"/>
          <w:color w:val="000000"/>
          <w:spacing w:val="-6"/>
          <w:kern w:val="21"/>
          <w:szCs w:val="21"/>
          <w:highlight w:val="none"/>
        </w:rPr>
        <w:instrText xml:space="preserve"> = 4 \* GB3 \* MERGEFORMAT </w:instrText>
      </w:r>
      <w:r>
        <w:rPr>
          <w:rFonts w:hint="default" w:ascii="Times New Roman" w:hAnsi="Times New Roman" w:cs="Times New Roman"/>
          <w:snapToGrid w:val="0"/>
          <w:color w:val="000000"/>
          <w:spacing w:val="-6"/>
          <w:kern w:val="21"/>
          <w:szCs w:val="21"/>
          <w:highlight w:val="none"/>
        </w:rPr>
        <w:fldChar w:fldCharType="separate"/>
      </w:r>
      <w:r>
        <w:rPr>
          <w:rFonts w:hint="default" w:ascii="Times New Roman" w:hAnsi="Times New Roman" w:cs="Times New Roman"/>
          <w:szCs w:val="21"/>
          <w:highlight w:val="none"/>
        </w:rPr>
        <w:t>④</w:t>
      </w:r>
      <w:r>
        <w:rPr>
          <w:rFonts w:hint="default" w:ascii="Times New Roman" w:hAnsi="Times New Roman" w:cs="Times New Roman"/>
          <w:snapToGrid w:val="0"/>
          <w:color w:val="000000"/>
          <w:spacing w:val="-6"/>
          <w:kern w:val="21"/>
          <w:szCs w:val="21"/>
          <w:highlight w:val="none"/>
        </w:rPr>
        <w:fldChar w:fldCharType="end"/>
      </w:r>
      <w:r>
        <w:rPr>
          <w:rFonts w:hint="default" w:ascii="Times New Roman" w:hAnsi="Times New Roman" w:cs="Times New Roman"/>
          <w:snapToGrid w:val="0"/>
          <w:color w:val="000000"/>
          <w:spacing w:val="-6"/>
          <w:kern w:val="21"/>
          <w:szCs w:val="21"/>
          <w:highlight w:val="none"/>
        </w:rPr>
        <w:t>-</w:t>
      </w:r>
      <w:r>
        <w:rPr>
          <w:rFonts w:hint="default" w:ascii="Times New Roman" w:hAnsi="Times New Roman" w:cs="Times New Roman"/>
          <w:snapToGrid w:val="0"/>
          <w:color w:val="000000"/>
          <w:spacing w:val="-16"/>
          <w:kern w:val="21"/>
          <w:szCs w:val="21"/>
          <w:highlight w:val="none"/>
        </w:rPr>
        <w:fldChar w:fldCharType="begin"/>
      </w:r>
      <w:r>
        <w:rPr>
          <w:rFonts w:hint="default" w:ascii="Times New Roman" w:hAnsi="Times New Roman" w:cs="Times New Roman"/>
          <w:snapToGrid w:val="0"/>
          <w:color w:val="000000"/>
          <w:spacing w:val="-16"/>
          <w:kern w:val="21"/>
          <w:szCs w:val="21"/>
          <w:highlight w:val="none"/>
        </w:rPr>
        <w:instrText xml:space="preserve"> = 5 \* GB3 \* MERGEFORMAT </w:instrText>
      </w:r>
      <w:r>
        <w:rPr>
          <w:rFonts w:hint="default" w:ascii="Times New Roman" w:hAnsi="Times New Roman" w:cs="Times New Roman"/>
          <w:snapToGrid w:val="0"/>
          <w:color w:val="000000"/>
          <w:spacing w:val="-16"/>
          <w:kern w:val="21"/>
          <w:szCs w:val="21"/>
          <w:highlight w:val="none"/>
        </w:rPr>
        <w:fldChar w:fldCharType="separate"/>
      </w:r>
      <w:r>
        <w:rPr>
          <w:rFonts w:hint="default" w:ascii="Times New Roman" w:hAnsi="Times New Roman" w:cs="Times New Roman"/>
          <w:szCs w:val="21"/>
          <w:highlight w:val="none"/>
        </w:rPr>
        <w:t>⑤</w:t>
      </w:r>
      <w:r>
        <w:rPr>
          <w:rFonts w:hint="default" w:ascii="Times New Roman" w:hAnsi="Times New Roman" w:cs="Times New Roman"/>
          <w:snapToGrid w:val="0"/>
          <w:color w:val="000000"/>
          <w:spacing w:val="-16"/>
          <w:kern w:val="21"/>
          <w:szCs w:val="21"/>
          <w:highlight w:val="none"/>
        </w:rPr>
        <w:fldChar w:fldCharType="end"/>
      </w:r>
      <w:r>
        <w:rPr>
          <w:rFonts w:hint="default" w:ascii="Times New Roman" w:hAnsi="Times New Roman" w:cs="Times New Roman"/>
          <w:snapToGrid w:val="0"/>
          <w:color w:val="000000"/>
          <w:spacing w:val="-16"/>
          <w:kern w:val="21"/>
          <w:szCs w:val="21"/>
          <w:highlight w:val="none"/>
        </w:rPr>
        <w:t>；</w:t>
      </w:r>
      <w:r>
        <w:rPr>
          <w:rFonts w:hint="default" w:ascii="Times New Roman" w:hAnsi="Times New Roman" w:cs="Times New Roman"/>
          <w:snapToGrid w:val="0"/>
          <w:color w:val="000000"/>
          <w:spacing w:val="-6"/>
          <w:kern w:val="21"/>
          <w:szCs w:val="21"/>
          <w:highlight w:val="none"/>
        </w:rPr>
        <w:fldChar w:fldCharType="begin"/>
      </w:r>
      <w:r>
        <w:rPr>
          <w:rFonts w:hint="default" w:ascii="Times New Roman" w:hAnsi="Times New Roman" w:cs="Times New Roman"/>
          <w:snapToGrid w:val="0"/>
          <w:color w:val="000000"/>
          <w:spacing w:val="-6"/>
          <w:kern w:val="21"/>
          <w:szCs w:val="21"/>
          <w:highlight w:val="none"/>
        </w:rPr>
        <w:instrText xml:space="preserve"> = 7 \* GB3 \* MERGEFORMAT </w:instrText>
      </w:r>
      <w:r>
        <w:rPr>
          <w:rFonts w:hint="default" w:ascii="Times New Roman" w:hAnsi="Times New Roman" w:cs="Times New Roman"/>
          <w:snapToGrid w:val="0"/>
          <w:color w:val="000000"/>
          <w:spacing w:val="-6"/>
          <w:kern w:val="21"/>
          <w:szCs w:val="21"/>
          <w:highlight w:val="none"/>
        </w:rPr>
        <w:fldChar w:fldCharType="separate"/>
      </w:r>
      <w:r>
        <w:rPr>
          <w:rFonts w:hint="default" w:ascii="Times New Roman" w:hAnsi="Times New Roman" w:cs="Times New Roman"/>
          <w:szCs w:val="21"/>
          <w:highlight w:val="none"/>
        </w:rPr>
        <w:t>⑦</w:t>
      </w:r>
      <w:r>
        <w:rPr>
          <w:rFonts w:hint="default" w:ascii="Times New Roman" w:hAnsi="Times New Roman" w:cs="Times New Roman"/>
          <w:snapToGrid w:val="0"/>
          <w:color w:val="000000"/>
          <w:spacing w:val="-6"/>
          <w:kern w:val="21"/>
          <w:szCs w:val="21"/>
          <w:highlight w:val="none"/>
        </w:rPr>
        <w:fldChar w:fldCharType="end"/>
      </w:r>
      <w:r>
        <w:rPr>
          <w:rFonts w:hint="default" w:ascii="Times New Roman" w:hAnsi="Times New Roman" w:cs="Times New Roman"/>
          <w:snapToGrid w:val="0"/>
          <w:color w:val="000000"/>
          <w:spacing w:val="-6"/>
          <w:kern w:val="21"/>
          <w:szCs w:val="21"/>
          <w:highlight w:val="none"/>
        </w:rPr>
        <w:t>=</w:t>
      </w:r>
      <w:r>
        <w:rPr>
          <w:rFonts w:hint="default" w:ascii="Times New Roman" w:hAnsi="Times New Roman" w:cs="Times New Roman"/>
          <w:snapToGrid w:val="0"/>
          <w:color w:val="000000"/>
          <w:spacing w:val="-16"/>
          <w:kern w:val="21"/>
          <w:szCs w:val="21"/>
          <w:highlight w:val="none"/>
        </w:rPr>
        <w:fldChar w:fldCharType="begin"/>
      </w:r>
      <w:r>
        <w:rPr>
          <w:rFonts w:hint="default" w:ascii="Times New Roman" w:hAnsi="Times New Roman" w:cs="Times New Roman"/>
          <w:snapToGrid w:val="0"/>
          <w:color w:val="000000"/>
          <w:spacing w:val="-16"/>
          <w:kern w:val="21"/>
          <w:szCs w:val="21"/>
          <w:highlight w:val="none"/>
        </w:rPr>
        <w:instrText xml:space="preserve"> = 6 \* GB3 \* MERGEFORMAT </w:instrText>
      </w:r>
      <w:r>
        <w:rPr>
          <w:rFonts w:hint="default" w:ascii="Times New Roman" w:hAnsi="Times New Roman" w:cs="Times New Roman"/>
          <w:snapToGrid w:val="0"/>
          <w:color w:val="000000"/>
          <w:spacing w:val="-16"/>
          <w:kern w:val="21"/>
          <w:szCs w:val="21"/>
          <w:highlight w:val="none"/>
        </w:rPr>
        <w:fldChar w:fldCharType="separate"/>
      </w:r>
      <w:r>
        <w:rPr>
          <w:rFonts w:hint="default" w:ascii="Times New Roman" w:hAnsi="Times New Roman" w:cs="Times New Roman"/>
          <w:szCs w:val="21"/>
          <w:highlight w:val="none"/>
        </w:rPr>
        <w:t>⑥</w:t>
      </w:r>
      <w:r>
        <w:rPr>
          <w:rFonts w:hint="default" w:ascii="Times New Roman" w:hAnsi="Times New Roman" w:cs="Times New Roman"/>
          <w:snapToGrid w:val="0"/>
          <w:color w:val="000000"/>
          <w:spacing w:val="-16"/>
          <w:kern w:val="21"/>
          <w:szCs w:val="21"/>
          <w:highlight w:val="none"/>
        </w:rPr>
        <w:fldChar w:fldCharType="end"/>
      </w:r>
      <w:r>
        <w:rPr>
          <w:rFonts w:hint="default" w:ascii="Times New Roman" w:hAnsi="Times New Roman" w:cs="Times New Roman"/>
          <w:snapToGrid w:val="0"/>
          <w:color w:val="000000"/>
          <w:spacing w:val="-16"/>
          <w:kern w:val="21"/>
          <w:szCs w:val="21"/>
          <w:highlight w:val="none"/>
        </w:rPr>
        <w:t>-</w:t>
      </w:r>
      <w:r>
        <w:rPr>
          <w:rFonts w:hint="default" w:ascii="Times New Roman" w:hAnsi="Times New Roman" w:cs="Times New Roman"/>
          <w:snapToGrid w:val="0"/>
          <w:color w:val="000000"/>
          <w:spacing w:val="-6"/>
          <w:kern w:val="21"/>
          <w:szCs w:val="21"/>
          <w:highlight w:val="none"/>
        </w:rPr>
        <w:fldChar w:fldCharType="begin"/>
      </w:r>
      <w:r>
        <w:rPr>
          <w:rFonts w:hint="default" w:ascii="Times New Roman" w:hAnsi="Times New Roman" w:cs="Times New Roman"/>
          <w:snapToGrid w:val="0"/>
          <w:color w:val="000000"/>
          <w:spacing w:val="-6"/>
          <w:kern w:val="21"/>
          <w:szCs w:val="21"/>
          <w:highlight w:val="none"/>
        </w:rPr>
        <w:instrText xml:space="preserve"> = 1 \* GB3 \* MERGEFORMAT </w:instrText>
      </w:r>
      <w:r>
        <w:rPr>
          <w:rFonts w:hint="default" w:ascii="Times New Roman" w:hAnsi="Times New Roman" w:cs="Times New Roman"/>
          <w:snapToGrid w:val="0"/>
          <w:color w:val="000000"/>
          <w:spacing w:val="-6"/>
          <w:kern w:val="21"/>
          <w:szCs w:val="21"/>
          <w:highlight w:val="none"/>
        </w:rPr>
        <w:fldChar w:fldCharType="separate"/>
      </w:r>
      <w:r>
        <w:rPr>
          <w:rFonts w:hint="default" w:ascii="Times New Roman" w:hAnsi="Times New Roman" w:cs="Times New Roman"/>
          <w:szCs w:val="21"/>
          <w:highlight w:val="none"/>
        </w:rPr>
        <w:t>①</w:t>
      </w:r>
      <w:r>
        <w:rPr>
          <w:rFonts w:hint="default" w:ascii="Times New Roman" w:hAnsi="Times New Roman" w:cs="Times New Roman"/>
          <w:snapToGrid w:val="0"/>
          <w:color w:val="000000"/>
          <w:spacing w:val="-6"/>
          <w:kern w:val="21"/>
          <w:szCs w:val="21"/>
          <w:highlight w:val="none"/>
        </w:rPr>
        <w:fldChar w:fldCharType="end"/>
      </w:r>
    </w:p>
    <w:p>
      <w:pPr>
        <w:rPr>
          <w:rFonts w:hint="default" w:ascii="Times New Roman" w:hAnsi="Times New Roman" w:cs="Times New Roman"/>
          <w:highlight w:val="none"/>
        </w:rPr>
      </w:pPr>
    </w:p>
    <w:p>
      <w:pPr>
        <w:rPr>
          <w:rFonts w:hint="default" w:ascii="Times New Roman" w:hAnsi="Times New Roman" w:cs="Times New Roman"/>
          <w:highlight w:val="none"/>
        </w:rPr>
        <w:sectPr>
          <w:footerReference r:id="rId6" w:type="default"/>
          <w:pgSz w:w="16838" w:h="11906" w:orient="landscape"/>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pPr>
    </w:p>
    <w:p>
      <w:pPr>
        <w:rPr>
          <w:rFonts w:hint="default" w:ascii="Times New Roman" w:hAnsi="Times New Roman" w:eastAsia="黑体" w:cs="Times New Roman"/>
          <w:highlight w:val="none"/>
        </w:rPr>
      </w:pPr>
    </w:p>
    <w:sectPr>
      <w:footerReference r:id="rId7" w:type="default"/>
      <w:pgSz w:w="11906" w:h="16838"/>
      <w:pgMar w:top="1701" w:right="1531" w:bottom="1701" w:left="1531" w:header="851" w:footer="851"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Cambria Math">
    <w:panose1 w:val="02040503050406030204"/>
    <w:charset w:val="00"/>
    <w:family w:val="auto"/>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6"/>
        <w:rFonts w:ascii="宋体" w:hAnsi="宋体"/>
        <w:sz w:val="28"/>
        <w:szCs w:val="28"/>
      </w:rPr>
    </w:pPr>
    <w:r>
      <w:rPr>
        <w:rStyle w:val="16"/>
        <w:rFonts w:hint="eastAsia" w:ascii="宋体" w:hAnsi="宋体"/>
        <w:sz w:val="28"/>
        <w:szCs w:val="28"/>
      </w:rPr>
      <w:t>—</w:t>
    </w:r>
    <w:r>
      <w:rPr>
        <w:rStyle w:val="16"/>
        <w:rFonts w:hint="eastAsia" w:ascii="宋体" w:hAnsi="宋体"/>
        <w:sz w:val="20"/>
      </w:rPr>
      <w:t xml:space="preserve">  </w:t>
    </w:r>
    <w:r>
      <w:rPr>
        <w:rStyle w:val="16"/>
        <w:rFonts w:ascii="宋体" w:hAnsi="宋体"/>
        <w:sz w:val="26"/>
        <w:szCs w:val="26"/>
      </w:rPr>
      <w:fldChar w:fldCharType="begin"/>
    </w:r>
    <w:r>
      <w:rPr>
        <w:rStyle w:val="16"/>
        <w:rFonts w:ascii="宋体" w:hAnsi="宋体"/>
        <w:sz w:val="26"/>
        <w:szCs w:val="26"/>
      </w:rPr>
      <w:instrText xml:space="preserve">PAGE  </w:instrText>
    </w:r>
    <w:r>
      <w:rPr>
        <w:rStyle w:val="16"/>
        <w:rFonts w:ascii="宋体" w:hAnsi="宋体"/>
        <w:sz w:val="26"/>
        <w:szCs w:val="26"/>
      </w:rPr>
      <w:fldChar w:fldCharType="separate"/>
    </w:r>
    <w:r>
      <w:rPr>
        <w:rStyle w:val="16"/>
        <w:rFonts w:ascii="宋体" w:hAnsi="宋体"/>
        <w:sz w:val="26"/>
        <w:szCs w:val="26"/>
      </w:rPr>
      <w:t>3</w:t>
    </w:r>
    <w:r>
      <w:rPr>
        <w:rStyle w:val="16"/>
        <w:rFonts w:ascii="宋体" w:hAnsi="宋体"/>
        <w:sz w:val="26"/>
        <w:szCs w:val="26"/>
      </w:rPr>
      <w:fldChar w:fldCharType="end"/>
    </w:r>
    <w:r>
      <w:rPr>
        <w:rStyle w:val="16"/>
        <w:rFonts w:hint="eastAsia" w:ascii="宋体" w:hAnsi="宋体"/>
        <w:sz w:val="20"/>
      </w:rPr>
      <w:t xml:space="preserve">  </w:t>
    </w:r>
    <w:r>
      <w:rPr>
        <w:rStyle w:val="16"/>
        <w:rFonts w:hint="eastAsia" w:ascii="宋体" w:hAnsi="宋体"/>
        <w:sz w:val="28"/>
        <w:szCs w:val="28"/>
      </w:rPr>
      <w:t>—</w:t>
    </w:r>
  </w:p>
  <w:p>
    <w:pPr>
      <w:pStyle w:val="9"/>
      <w:ind w:right="360"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6"/>
      </w:rPr>
    </w:pPr>
    <w:r>
      <w:fldChar w:fldCharType="begin"/>
    </w:r>
    <w:r>
      <w:rPr>
        <w:rStyle w:val="16"/>
      </w:rPr>
      <w:instrText xml:space="preserve">PAGE  </w:instrText>
    </w:r>
    <w:r>
      <w:fldChar w:fldCharType="end"/>
    </w:r>
  </w:p>
  <w:p>
    <w:pPr>
      <w:pStyle w:val="9"/>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6"/>
        <w:rFonts w:ascii="宋体" w:hAnsi="宋体"/>
        <w:sz w:val="28"/>
        <w:szCs w:val="28"/>
      </w:rPr>
    </w:pPr>
    <w:r>
      <w:rPr>
        <w:rStyle w:val="16"/>
        <w:rFonts w:hint="eastAsia" w:ascii="宋体" w:hAnsi="宋体"/>
        <w:sz w:val="28"/>
        <w:szCs w:val="28"/>
      </w:rPr>
      <w:t>—</w:t>
    </w:r>
    <w:r>
      <w:rPr>
        <w:rStyle w:val="16"/>
        <w:rFonts w:hint="eastAsia" w:ascii="宋体" w:hAnsi="宋体"/>
        <w:sz w:val="20"/>
      </w:rPr>
      <w:t xml:space="preserve">  </w:t>
    </w:r>
    <w:r>
      <w:rPr>
        <w:rStyle w:val="16"/>
        <w:rFonts w:ascii="宋体" w:hAnsi="宋体"/>
        <w:sz w:val="26"/>
        <w:szCs w:val="26"/>
      </w:rPr>
      <w:fldChar w:fldCharType="begin"/>
    </w:r>
    <w:r>
      <w:rPr>
        <w:rStyle w:val="16"/>
        <w:rFonts w:ascii="宋体" w:hAnsi="宋体"/>
        <w:sz w:val="26"/>
        <w:szCs w:val="26"/>
      </w:rPr>
      <w:instrText xml:space="preserve">PAGE  </w:instrText>
    </w:r>
    <w:r>
      <w:rPr>
        <w:rStyle w:val="16"/>
        <w:rFonts w:ascii="宋体" w:hAnsi="宋体"/>
        <w:sz w:val="26"/>
        <w:szCs w:val="26"/>
      </w:rPr>
      <w:fldChar w:fldCharType="separate"/>
    </w:r>
    <w:r>
      <w:rPr>
        <w:rStyle w:val="16"/>
        <w:rFonts w:ascii="宋体" w:hAnsi="宋体"/>
        <w:sz w:val="26"/>
        <w:szCs w:val="26"/>
      </w:rPr>
      <w:t>9</w:t>
    </w:r>
    <w:r>
      <w:rPr>
        <w:rStyle w:val="16"/>
        <w:rFonts w:ascii="宋体" w:hAnsi="宋体"/>
        <w:sz w:val="26"/>
        <w:szCs w:val="26"/>
      </w:rPr>
      <w:fldChar w:fldCharType="end"/>
    </w:r>
    <w:r>
      <w:rPr>
        <w:rStyle w:val="16"/>
        <w:rFonts w:hint="eastAsia" w:ascii="宋体" w:hAnsi="宋体"/>
        <w:sz w:val="20"/>
      </w:rPr>
      <w:t xml:space="preserve">  </w:t>
    </w:r>
    <w:r>
      <w:rPr>
        <w:rStyle w:val="16"/>
        <w:rFonts w:hint="eastAsia" w:ascii="宋体" w:hAnsi="宋体"/>
        <w:sz w:val="28"/>
        <w:szCs w:val="28"/>
      </w:rPr>
      <w:t>—</w:t>
    </w:r>
  </w:p>
  <w:p>
    <w:pPr>
      <w:pStyle w:val="9"/>
      <w:ind w:right="360" w:firstLine="360"/>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6"/>
        <w:rFonts w:ascii="宋体" w:hAnsi="宋体"/>
        <w:sz w:val="28"/>
        <w:szCs w:val="28"/>
      </w:rPr>
    </w:pPr>
    <w:r>
      <w:rPr>
        <w:rStyle w:val="16"/>
        <w:rFonts w:hint="eastAsia" w:ascii="宋体" w:hAnsi="宋体"/>
        <w:sz w:val="28"/>
        <w:szCs w:val="28"/>
      </w:rPr>
      <w:t>—</w:t>
    </w:r>
    <w:r>
      <w:rPr>
        <w:rStyle w:val="16"/>
        <w:rFonts w:hint="eastAsia" w:ascii="宋体" w:hAnsi="宋体"/>
        <w:sz w:val="20"/>
      </w:rPr>
      <w:t xml:space="preserve">  </w:t>
    </w:r>
    <w:r>
      <w:rPr>
        <w:rStyle w:val="16"/>
        <w:rFonts w:ascii="宋体" w:hAnsi="宋体"/>
        <w:sz w:val="26"/>
        <w:szCs w:val="26"/>
      </w:rPr>
      <w:fldChar w:fldCharType="begin"/>
    </w:r>
    <w:r>
      <w:rPr>
        <w:rStyle w:val="16"/>
        <w:rFonts w:ascii="宋体" w:hAnsi="宋体"/>
        <w:sz w:val="26"/>
        <w:szCs w:val="26"/>
      </w:rPr>
      <w:instrText xml:space="preserve">PAGE  </w:instrText>
    </w:r>
    <w:r>
      <w:rPr>
        <w:rStyle w:val="16"/>
        <w:rFonts w:ascii="宋体" w:hAnsi="宋体"/>
        <w:sz w:val="26"/>
        <w:szCs w:val="26"/>
      </w:rPr>
      <w:fldChar w:fldCharType="separate"/>
    </w:r>
    <w:r>
      <w:rPr>
        <w:rStyle w:val="16"/>
        <w:rFonts w:ascii="宋体" w:hAnsi="宋体"/>
        <w:sz w:val="26"/>
        <w:szCs w:val="26"/>
      </w:rPr>
      <w:t>10</w:t>
    </w:r>
    <w:r>
      <w:rPr>
        <w:rStyle w:val="16"/>
        <w:rFonts w:ascii="宋体" w:hAnsi="宋体"/>
        <w:sz w:val="26"/>
        <w:szCs w:val="26"/>
      </w:rPr>
      <w:fldChar w:fldCharType="end"/>
    </w:r>
    <w:r>
      <w:rPr>
        <w:rStyle w:val="16"/>
        <w:rFonts w:hint="eastAsia" w:ascii="宋体" w:hAnsi="宋体"/>
        <w:sz w:val="20"/>
      </w:rPr>
      <w:t xml:space="preserve">  </w:t>
    </w:r>
    <w:r>
      <w:rPr>
        <w:rStyle w:val="16"/>
        <w:rFonts w:hint="eastAsia" w:ascii="宋体" w:hAnsi="宋体"/>
        <w:sz w:val="28"/>
        <w:szCs w:val="28"/>
      </w:rPr>
      <w:t>—</w:t>
    </w:r>
  </w:p>
  <w:p>
    <w:pPr>
      <w:pStyle w:val="9"/>
      <w:ind w:right="360" w:firstLine="360"/>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outside" w:y="1"/>
      <w:rPr>
        <w:rStyle w:val="16"/>
        <w:rFonts w:ascii="宋体" w:hAnsi="宋体"/>
        <w:sz w:val="28"/>
        <w:szCs w:val="28"/>
      </w:rPr>
    </w:pPr>
    <w:r>
      <w:rPr>
        <w:rStyle w:val="16"/>
        <w:rFonts w:hint="eastAsia" w:ascii="宋体" w:hAnsi="宋体"/>
        <w:sz w:val="28"/>
        <w:szCs w:val="28"/>
      </w:rPr>
      <w:t>—</w:t>
    </w:r>
    <w:r>
      <w:rPr>
        <w:rStyle w:val="16"/>
        <w:rFonts w:hint="eastAsia" w:ascii="宋体" w:hAnsi="宋体"/>
        <w:sz w:val="20"/>
      </w:rPr>
      <w:t xml:space="preserve">  </w:t>
    </w:r>
    <w:r>
      <w:rPr>
        <w:rStyle w:val="16"/>
        <w:rFonts w:ascii="宋体" w:hAnsi="宋体"/>
        <w:sz w:val="26"/>
        <w:szCs w:val="26"/>
      </w:rPr>
      <w:fldChar w:fldCharType="begin"/>
    </w:r>
    <w:r>
      <w:rPr>
        <w:rStyle w:val="16"/>
        <w:rFonts w:ascii="宋体" w:hAnsi="宋体"/>
        <w:sz w:val="26"/>
        <w:szCs w:val="26"/>
      </w:rPr>
      <w:instrText xml:space="preserve">PAGE  </w:instrText>
    </w:r>
    <w:r>
      <w:rPr>
        <w:rStyle w:val="16"/>
        <w:rFonts w:ascii="宋体" w:hAnsi="宋体"/>
        <w:sz w:val="26"/>
        <w:szCs w:val="26"/>
      </w:rPr>
      <w:fldChar w:fldCharType="separate"/>
    </w:r>
    <w:r>
      <w:rPr>
        <w:rStyle w:val="16"/>
        <w:rFonts w:ascii="宋体" w:hAnsi="宋体"/>
        <w:sz w:val="26"/>
        <w:szCs w:val="26"/>
      </w:rPr>
      <w:t>11</w:t>
    </w:r>
    <w:r>
      <w:rPr>
        <w:rStyle w:val="16"/>
        <w:rFonts w:ascii="宋体" w:hAnsi="宋体"/>
        <w:sz w:val="26"/>
        <w:szCs w:val="26"/>
      </w:rPr>
      <w:fldChar w:fldCharType="end"/>
    </w:r>
    <w:r>
      <w:rPr>
        <w:rStyle w:val="16"/>
        <w:rFonts w:hint="eastAsia" w:ascii="宋体" w:hAnsi="宋体"/>
        <w:sz w:val="20"/>
      </w:rPr>
      <w:t xml:space="preserve">  </w:t>
    </w:r>
    <w:r>
      <w:rPr>
        <w:rStyle w:val="16"/>
        <w:rFonts w:hint="eastAsia" w:ascii="宋体" w:hAnsi="宋体"/>
        <w:sz w:val="28"/>
        <w:szCs w:val="28"/>
      </w:rPr>
      <w:t>—</w:t>
    </w:r>
  </w:p>
  <w:p>
    <w:pPr>
      <w:pStyle w:val="9"/>
      <w:ind w:right="360" w:firstLine="360"/>
      <w:jc w:val="cen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dit="trackedChanges" w:enforcement="0"/>
  <w:defaultTabStop w:val="420"/>
  <w:hyphenationZone w:val="360"/>
  <w:doNotHyphenateCaps/>
  <w:drawingGridVerticalSpacing w:val="156"/>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4947"/>
    <w:rsid w:val="000060B3"/>
    <w:rsid w:val="0004364B"/>
    <w:rsid w:val="00061B1F"/>
    <w:rsid w:val="000733C4"/>
    <w:rsid w:val="00074783"/>
    <w:rsid w:val="0008070B"/>
    <w:rsid w:val="000810AC"/>
    <w:rsid w:val="00081A02"/>
    <w:rsid w:val="00082231"/>
    <w:rsid w:val="00092D38"/>
    <w:rsid w:val="0009377B"/>
    <w:rsid w:val="000A20C9"/>
    <w:rsid w:val="000B058F"/>
    <w:rsid w:val="000B4467"/>
    <w:rsid w:val="000B4DB9"/>
    <w:rsid w:val="000C09AC"/>
    <w:rsid w:val="000C767F"/>
    <w:rsid w:val="000D5A44"/>
    <w:rsid w:val="000E3ED2"/>
    <w:rsid w:val="00131F42"/>
    <w:rsid w:val="001357F1"/>
    <w:rsid w:val="00140FA8"/>
    <w:rsid w:val="00142FEB"/>
    <w:rsid w:val="00143A2D"/>
    <w:rsid w:val="00145A41"/>
    <w:rsid w:val="00151675"/>
    <w:rsid w:val="00157435"/>
    <w:rsid w:val="0017504D"/>
    <w:rsid w:val="0017671A"/>
    <w:rsid w:val="00177422"/>
    <w:rsid w:val="00184590"/>
    <w:rsid w:val="001870D1"/>
    <w:rsid w:val="0018781E"/>
    <w:rsid w:val="0019262D"/>
    <w:rsid w:val="001A1B35"/>
    <w:rsid w:val="001A48A2"/>
    <w:rsid w:val="001A6F61"/>
    <w:rsid w:val="001B72B8"/>
    <w:rsid w:val="001C69B3"/>
    <w:rsid w:val="001D5595"/>
    <w:rsid w:val="001D7874"/>
    <w:rsid w:val="001D7F22"/>
    <w:rsid w:val="001F0F17"/>
    <w:rsid w:val="001F3347"/>
    <w:rsid w:val="001F69E4"/>
    <w:rsid w:val="002125B4"/>
    <w:rsid w:val="002155B8"/>
    <w:rsid w:val="00224839"/>
    <w:rsid w:val="002249B2"/>
    <w:rsid w:val="00226574"/>
    <w:rsid w:val="002278EC"/>
    <w:rsid w:val="0023280E"/>
    <w:rsid w:val="002377D1"/>
    <w:rsid w:val="002506BC"/>
    <w:rsid w:val="00254345"/>
    <w:rsid w:val="00264557"/>
    <w:rsid w:val="002805AB"/>
    <w:rsid w:val="00284204"/>
    <w:rsid w:val="00291773"/>
    <w:rsid w:val="002A168C"/>
    <w:rsid w:val="002A3DC7"/>
    <w:rsid w:val="002B49E2"/>
    <w:rsid w:val="002B7B00"/>
    <w:rsid w:val="002B7C44"/>
    <w:rsid w:val="002C2B17"/>
    <w:rsid w:val="002D3DD0"/>
    <w:rsid w:val="002E1F3A"/>
    <w:rsid w:val="002E298A"/>
    <w:rsid w:val="00301978"/>
    <w:rsid w:val="0030332C"/>
    <w:rsid w:val="003051C2"/>
    <w:rsid w:val="00312296"/>
    <w:rsid w:val="00314F0E"/>
    <w:rsid w:val="00321D8E"/>
    <w:rsid w:val="00325928"/>
    <w:rsid w:val="00332863"/>
    <w:rsid w:val="0033684D"/>
    <w:rsid w:val="00337B42"/>
    <w:rsid w:val="00341B42"/>
    <w:rsid w:val="0034348F"/>
    <w:rsid w:val="00356653"/>
    <w:rsid w:val="0035743F"/>
    <w:rsid w:val="00357BE2"/>
    <w:rsid w:val="0036170C"/>
    <w:rsid w:val="00366E0F"/>
    <w:rsid w:val="00381A72"/>
    <w:rsid w:val="00384676"/>
    <w:rsid w:val="00390857"/>
    <w:rsid w:val="003A4BF3"/>
    <w:rsid w:val="003B420D"/>
    <w:rsid w:val="003C6C16"/>
    <w:rsid w:val="003D794D"/>
    <w:rsid w:val="003E3058"/>
    <w:rsid w:val="003E76A9"/>
    <w:rsid w:val="003F0809"/>
    <w:rsid w:val="003F6A8C"/>
    <w:rsid w:val="003F755C"/>
    <w:rsid w:val="00406F01"/>
    <w:rsid w:val="00416D50"/>
    <w:rsid w:val="00416FD5"/>
    <w:rsid w:val="00417772"/>
    <w:rsid w:val="00420E6A"/>
    <w:rsid w:val="00425A9E"/>
    <w:rsid w:val="00426D6B"/>
    <w:rsid w:val="00431E6C"/>
    <w:rsid w:val="00433CE7"/>
    <w:rsid w:val="00452738"/>
    <w:rsid w:val="00456091"/>
    <w:rsid w:val="00466321"/>
    <w:rsid w:val="00484B9B"/>
    <w:rsid w:val="004855F6"/>
    <w:rsid w:val="0048661E"/>
    <w:rsid w:val="00494670"/>
    <w:rsid w:val="004A3823"/>
    <w:rsid w:val="004E6946"/>
    <w:rsid w:val="004F1AD8"/>
    <w:rsid w:val="005039CB"/>
    <w:rsid w:val="0050558F"/>
    <w:rsid w:val="00506286"/>
    <w:rsid w:val="00510813"/>
    <w:rsid w:val="00511990"/>
    <w:rsid w:val="00511DE0"/>
    <w:rsid w:val="00514870"/>
    <w:rsid w:val="00514B9B"/>
    <w:rsid w:val="00517F02"/>
    <w:rsid w:val="00524303"/>
    <w:rsid w:val="005258A2"/>
    <w:rsid w:val="005401AE"/>
    <w:rsid w:val="00542E07"/>
    <w:rsid w:val="00545424"/>
    <w:rsid w:val="00554A7B"/>
    <w:rsid w:val="0055572C"/>
    <w:rsid w:val="0056106A"/>
    <w:rsid w:val="005720AE"/>
    <w:rsid w:val="00594D77"/>
    <w:rsid w:val="005969E4"/>
    <w:rsid w:val="005A06B7"/>
    <w:rsid w:val="005A1759"/>
    <w:rsid w:val="005A68A7"/>
    <w:rsid w:val="005D36AB"/>
    <w:rsid w:val="00617CC3"/>
    <w:rsid w:val="006377A6"/>
    <w:rsid w:val="00637A3D"/>
    <w:rsid w:val="006411EF"/>
    <w:rsid w:val="006748B8"/>
    <w:rsid w:val="006775C3"/>
    <w:rsid w:val="0069290A"/>
    <w:rsid w:val="0069775A"/>
    <w:rsid w:val="00697813"/>
    <w:rsid w:val="006A3EE8"/>
    <w:rsid w:val="006A72BF"/>
    <w:rsid w:val="006B03F2"/>
    <w:rsid w:val="006B37DC"/>
    <w:rsid w:val="006B4F68"/>
    <w:rsid w:val="006C0592"/>
    <w:rsid w:val="006C272E"/>
    <w:rsid w:val="006C5479"/>
    <w:rsid w:val="006D13B5"/>
    <w:rsid w:val="006E12FF"/>
    <w:rsid w:val="006E607E"/>
    <w:rsid w:val="00706C5D"/>
    <w:rsid w:val="00732922"/>
    <w:rsid w:val="0075162E"/>
    <w:rsid w:val="00754034"/>
    <w:rsid w:val="00756556"/>
    <w:rsid w:val="007618C4"/>
    <w:rsid w:val="00767980"/>
    <w:rsid w:val="00770B19"/>
    <w:rsid w:val="0077463F"/>
    <w:rsid w:val="007836EA"/>
    <w:rsid w:val="00784CDA"/>
    <w:rsid w:val="007906C4"/>
    <w:rsid w:val="007940EA"/>
    <w:rsid w:val="007967E8"/>
    <w:rsid w:val="007A2170"/>
    <w:rsid w:val="007A22BF"/>
    <w:rsid w:val="007A3323"/>
    <w:rsid w:val="007B72B8"/>
    <w:rsid w:val="007B7A58"/>
    <w:rsid w:val="007C21B5"/>
    <w:rsid w:val="007E4BD2"/>
    <w:rsid w:val="00801393"/>
    <w:rsid w:val="00802F88"/>
    <w:rsid w:val="0081293E"/>
    <w:rsid w:val="00815465"/>
    <w:rsid w:val="00817E9A"/>
    <w:rsid w:val="008306BD"/>
    <w:rsid w:val="00831A80"/>
    <w:rsid w:val="00833743"/>
    <w:rsid w:val="008340A4"/>
    <w:rsid w:val="0087135F"/>
    <w:rsid w:val="00872D94"/>
    <w:rsid w:val="00880364"/>
    <w:rsid w:val="00891592"/>
    <w:rsid w:val="00891E9E"/>
    <w:rsid w:val="008A2F68"/>
    <w:rsid w:val="008B4FA6"/>
    <w:rsid w:val="008B5282"/>
    <w:rsid w:val="008B7C17"/>
    <w:rsid w:val="008C2D01"/>
    <w:rsid w:val="008C40E6"/>
    <w:rsid w:val="008D0F7A"/>
    <w:rsid w:val="008D68E4"/>
    <w:rsid w:val="008E0506"/>
    <w:rsid w:val="008E0CFF"/>
    <w:rsid w:val="008E5D6B"/>
    <w:rsid w:val="008E76F0"/>
    <w:rsid w:val="008F15FE"/>
    <w:rsid w:val="008F2D29"/>
    <w:rsid w:val="008F5187"/>
    <w:rsid w:val="008F60D8"/>
    <w:rsid w:val="00902727"/>
    <w:rsid w:val="0090312B"/>
    <w:rsid w:val="0091736D"/>
    <w:rsid w:val="0093037A"/>
    <w:rsid w:val="0094154D"/>
    <w:rsid w:val="0095155F"/>
    <w:rsid w:val="00954429"/>
    <w:rsid w:val="009563CE"/>
    <w:rsid w:val="00962B6E"/>
    <w:rsid w:val="00976328"/>
    <w:rsid w:val="0097680D"/>
    <w:rsid w:val="00982438"/>
    <w:rsid w:val="0098404C"/>
    <w:rsid w:val="00985283"/>
    <w:rsid w:val="00995992"/>
    <w:rsid w:val="009A03E5"/>
    <w:rsid w:val="009A0F3B"/>
    <w:rsid w:val="009A1BB4"/>
    <w:rsid w:val="009A2628"/>
    <w:rsid w:val="009A3200"/>
    <w:rsid w:val="009B0897"/>
    <w:rsid w:val="009B7BD9"/>
    <w:rsid w:val="009C7DD5"/>
    <w:rsid w:val="009E227D"/>
    <w:rsid w:val="009E5019"/>
    <w:rsid w:val="00A04F1B"/>
    <w:rsid w:val="00A0501B"/>
    <w:rsid w:val="00A14947"/>
    <w:rsid w:val="00A32A83"/>
    <w:rsid w:val="00A368DB"/>
    <w:rsid w:val="00A423AA"/>
    <w:rsid w:val="00A53EC6"/>
    <w:rsid w:val="00A55C0F"/>
    <w:rsid w:val="00A8713F"/>
    <w:rsid w:val="00A90BA1"/>
    <w:rsid w:val="00A97A9A"/>
    <w:rsid w:val="00AA0671"/>
    <w:rsid w:val="00AA2531"/>
    <w:rsid w:val="00AB1E09"/>
    <w:rsid w:val="00AB5330"/>
    <w:rsid w:val="00AB7747"/>
    <w:rsid w:val="00AC14CE"/>
    <w:rsid w:val="00AC2A56"/>
    <w:rsid w:val="00AD055E"/>
    <w:rsid w:val="00AD47A7"/>
    <w:rsid w:val="00AF0CBF"/>
    <w:rsid w:val="00AF257F"/>
    <w:rsid w:val="00AF33CF"/>
    <w:rsid w:val="00AF4D50"/>
    <w:rsid w:val="00AF6179"/>
    <w:rsid w:val="00B1295A"/>
    <w:rsid w:val="00B20A45"/>
    <w:rsid w:val="00B22C5C"/>
    <w:rsid w:val="00B24F30"/>
    <w:rsid w:val="00B31ABF"/>
    <w:rsid w:val="00B33BE3"/>
    <w:rsid w:val="00B53B5D"/>
    <w:rsid w:val="00B6055E"/>
    <w:rsid w:val="00B6317D"/>
    <w:rsid w:val="00B7723F"/>
    <w:rsid w:val="00B80534"/>
    <w:rsid w:val="00B8433C"/>
    <w:rsid w:val="00B87491"/>
    <w:rsid w:val="00BA29E9"/>
    <w:rsid w:val="00BA7142"/>
    <w:rsid w:val="00BB237C"/>
    <w:rsid w:val="00BB41A3"/>
    <w:rsid w:val="00BC32DC"/>
    <w:rsid w:val="00BC35B6"/>
    <w:rsid w:val="00BD1B51"/>
    <w:rsid w:val="00BD4596"/>
    <w:rsid w:val="00BE1405"/>
    <w:rsid w:val="00BE312D"/>
    <w:rsid w:val="00BF1C20"/>
    <w:rsid w:val="00C10578"/>
    <w:rsid w:val="00C135BC"/>
    <w:rsid w:val="00C15C95"/>
    <w:rsid w:val="00C2596A"/>
    <w:rsid w:val="00C27537"/>
    <w:rsid w:val="00C328FE"/>
    <w:rsid w:val="00C33507"/>
    <w:rsid w:val="00C4409D"/>
    <w:rsid w:val="00C44E72"/>
    <w:rsid w:val="00C45A06"/>
    <w:rsid w:val="00C47E5B"/>
    <w:rsid w:val="00C61E4B"/>
    <w:rsid w:val="00C64BFF"/>
    <w:rsid w:val="00C704E9"/>
    <w:rsid w:val="00C763C9"/>
    <w:rsid w:val="00C80057"/>
    <w:rsid w:val="00C82232"/>
    <w:rsid w:val="00C82913"/>
    <w:rsid w:val="00C972B1"/>
    <w:rsid w:val="00CA2CCE"/>
    <w:rsid w:val="00CA43FD"/>
    <w:rsid w:val="00CA7EF8"/>
    <w:rsid w:val="00CC489B"/>
    <w:rsid w:val="00CD2BCD"/>
    <w:rsid w:val="00CD3A4C"/>
    <w:rsid w:val="00CE10E9"/>
    <w:rsid w:val="00CE2910"/>
    <w:rsid w:val="00CE5393"/>
    <w:rsid w:val="00CF36BE"/>
    <w:rsid w:val="00CF6000"/>
    <w:rsid w:val="00D003F3"/>
    <w:rsid w:val="00D0364F"/>
    <w:rsid w:val="00D06834"/>
    <w:rsid w:val="00D308ED"/>
    <w:rsid w:val="00D36D86"/>
    <w:rsid w:val="00D428AA"/>
    <w:rsid w:val="00D50A34"/>
    <w:rsid w:val="00D53EFA"/>
    <w:rsid w:val="00D94A7C"/>
    <w:rsid w:val="00D95896"/>
    <w:rsid w:val="00DB2983"/>
    <w:rsid w:val="00DC1257"/>
    <w:rsid w:val="00DC3DC0"/>
    <w:rsid w:val="00DC5B2B"/>
    <w:rsid w:val="00DD318D"/>
    <w:rsid w:val="00DD3A2F"/>
    <w:rsid w:val="00DF2E12"/>
    <w:rsid w:val="00DF514A"/>
    <w:rsid w:val="00DF6690"/>
    <w:rsid w:val="00DF6804"/>
    <w:rsid w:val="00E0358D"/>
    <w:rsid w:val="00E04323"/>
    <w:rsid w:val="00E070A2"/>
    <w:rsid w:val="00E2656A"/>
    <w:rsid w:val="00E412D0"/>
    <w:rsid w:val="00E56322"/>
    <w:rsid w:val="00E60982"/>
    <w:rsid w:val="00E62C62"/>
    <w:rsid w:val="00E654C1"/>
    <w:rsid w:val="00E65D97"/>
    <w:rsid w:val="00E72A5A"/>
    <w:rsid w:val="00E73354"/>
    <w:rsid w:val="00E9242D"/>
    <w:rsid w:val="00EB5255"/>
    <w:rsid w:val="00EB5C47"/>
    <w:rsid w:val="00ED0639"/>
    <w:rsid w:val="00EF4755"/>
    <w:rsid w:val="00EF7135"/>
    <w:rsid w:val="00F027DB"/>
    <w:rsid w:val="00F14A7A"/>
    <w:rsid w:val="00F22985"/>
    <w:rsid w:val="00F3383E"/>
    <w:rsid w:val="00F465A7"/>
    <w:rsid w:val="00F50B7C"/>
    <w:rsid w:val="00F550E6"/>
    <w:rsid w:val="00F74345"/>
    <w:rsid w:val="00F80A0A"/>
    <w:rsid w:val="00F82B19"/>
    <w:rsid w:val="00F9212D"/>
    <w:rsid w:val="00F965DA"/>
    <w:rsid w:val="00FA406A"/>
    <w:rsid w:val="00FB503A"/>
    <w:rsid w:val="00FB516C"/>
    <w:rsid w:val="00FD0236"/>
    <w:rsid w:val="00FD18F4"/>
    <w:rsid w:val="00FD54DB"/>
    <w:rsid w:val="00FD619F"/>
    <w:rsid w:val="01290F7E"/>
    <w:rsid w:val="015D1E09"/>
    <w:rsid w:val="021821C7"/>
    <w:rsid w:val="024C1A25"/>
    <w:rsid w:val="02697903"/>
    <w:rsid w:val="02857D25"/>
    <w:rsid w:val="02F96569"/>
    <w:rsid w:val="032A765A"/>
    <w:rsid w:val="03824AAC"/>
    <w:rsid w:val="03A22D60"/>
    <w:rsid w:val="03D02450"/>
    <w:rsid w:val="03EA7B21"/>
    <w:rsid w:val="04D753AB"/>
    <w:rsid w:val="051A56D4"/>
    <w:rsid w:val="056C5878"/>
    <w:rsid w:val="057C31F5"/>
    <w:rsid w:val="05A56F41"/>
    <w:rsid w:val="05F83EAE"/>
    <w:rsid w:val="063E7D85"/>
    <w:rsid w:val="06613926"/>
    <w:rsid w:val="06D0125C"/>
    <w:rsid w:val="07293586"/>
    <w:rsid w:val="07295285"/>
    <w:rsid w:val="07636392"/>
    <w:rsid w:val="07770C56"/>
    <w:rsid w:val="0849491F"/>
    <w:rsid w:val="08C61442"/>
    <w:rsid w:val="09175855"/>
    <w:rsid w:val="092217DD"/>
    <w:rsid w:val="093A7294"/>
    <w:rsid w:val="097117AB"/>
    <w:rsid w:val="097F5048"/>
    <w:rsid w:val="099F5C8C"/>
    <w:rsid w:val="09B30D8F"/>
    <w:rsid w:val="09DE67B4"/>
    <w:rsid w:val="0A263993"/>
    <w:rsid w:val="0A2D3AC2"/>
    <w:rsid w:val="0A453167"/>
    <w:rsid w:val="0A973180"/>
    <w:rsid w:val="0A990BC2"/>
    <w:rsid w:val="0AA755DF"/>
    <w:rsid w:val="0B011A92"/>
    <w:rsid w:val="0B120D44"/>
    <w:rsid w:val="0BD13A6A"/>
    <w:rsid w:val="0BD27BF6"/>
    <w:rsid w:val="0C3038B1"/>
    <w:rsid w:val="0C3B3C7D"/>
    <w:rsid w:val="0CAB2EAE"/>
    <w:rsid w:val="0D22080A"/>
    <w:rsid w:val="0D536BCE"/>
    <w:rsid w:val="0D621C7D"/>
    <w:rsid w:val="0D65315A"/>
    <w:rsid w:val="0E464928"/>
    <w:rsid w:val="0E526B59"/>
    <w:rsid w:val="0E73034D"/>
    <w:rsid w:val="0F13775A"/>
    <w:rsid w:val="0F1A23F1"/>
    <w:rsid w:val="0F50583A"/>
    <w:rsid w:val="0F5977BC"/>
    <w:rsid w:val="0F5F45FE"/>
    <w:rsid w:val="0F6B22FF"/>
    <w:rsid w:val="0F9A112B"/>
    <w:rsid w:val="10196798"/>
    <w:rsid w:val="106D2F64"/>
    <w:rsid w:val="10B63710"/>
    <w:rsid w:val="10F10820"/>
    <w:rsid w:val="111C2F7A"/>
    <w:rsid w:val="11665CA1"/>
    <w:rsid w:val="124A5E9F"/>
    <w:rsid w:val="13951726"/>
    <w:rsid w:val="140E5C29"/>
    <w:rsid w:val="14396509"/>
    <w:rsid w:val="14DD2C3C"/>
    <w:rsid w:val="150C2CEA"/>
    <w:rsid w:val="16087E1D"/>
    <w:rsid w:val="16556617"/>
    <w:rsid w:val="16945039"/>
    <w:rsid w:val="17701D14"/>
    <w:rsid w:val="17735226"/>
    <w:rsid w:val="17E96275"/>
    <w:rsid w:val="184C3D04"/>
    <w:rsid w:val="185503B5"/>
    <w:rsid w:val="189F624C"/>
    <w:rsid w:val="1A1C66C0"/>
    <w:rsid w:val="1A42393B"/>
    <w:rsid w:val="1A5B2159"/>
    <w:rsid w:val="1A5E201F"/>
    <w:rsid w:val="1A803D18"/>
    <w:rsid w:val="1AAD45DE"/>
    <w:rsid w:val="1AB23CE2"/>
    <w:rsid w:val="1AC67CAC"/>
    <w:rsid w:val="1ADB7C95"/>
    <w:rsid w:val="1B046F80"/>
    <w:rsid w:val="1B1A257A"/>
    <w:rsid w:val="1B3267B5"/>
    <w:rsid w:val="1B40161D"/>
    <w:rsid w:val="1B441859"/>
    <w:rsid w:val="1B557C40"/>
    <w:rsid w:val="1B6606B1"/>
    <w:rsid w:val="1C242BCF"/>
    <w:rsid w:val="1C5E7925"/>
    <w:rsid w:val="1C8B57A4"/>
    <w:rsid w:val="1CE1657A"/>
    <w:rsid w:val="1CFD070F"/>
    <w:rsid w:val="1D1C2E72"/>
    <w:rsid w:val="1D2F4322"/>
    <w:rsid w:val="1D3369BF"/>
    <w:rsid w:val="1D5F6196"/>
    <w:rsid w:val="1D6132A5"/>
    <w:rsid w:val="1D8E56D5"/>
    <w:rsid w:val="1E0D5462"/>
    <w:rsid w:val="1E7A43DA"/>
    <w:rsid w:val="1F6176EC"/>
    <w:rsid w:val="1FA52AAD"/>
    <w:rsid w:val="1FE7539E"/>
    <w:rsid w:val="1FE8061C"/>
    <w:rsid w:val="20054E90"/>
    <w:rsid w:val="2006496E"/>
    <w:rsid w:val="2020648A"/>
    <w:rsid w:val="20671BE0"/>
    <w:rsid w:val="20963CB8"/>
    <w:rsid w:val="20A81A1B"/>
    <w:rsid w:val="20B07FB6"/>
    <w:rsid w:val="20B646FB"/>
    <w:rsid w:val="210B3EDB"/>
    <w:rsid w:val="213908B0"/>
    <w:rsid w:val="213B74B1"/>
    <w:rsid w:val="215A2310"/>
    <w:rsid w:val="21C66C88"/>
    <w:rsid w:val="21DE318A"/>
    <w:rsid w:val="21EF5B80"/>
    <w:rsid w:val="223B0CE9"/>
    <w:rsid w:val="22576990"/>
    <w:rsid w:val="22F47480"/>
    <w:rsid w:val="2339627B"/>
    <w:rsid w:val="23897978"/>
    <w:rsid w:val="23AD721E"/>
    <w:rsid w:val="23DE1C48"/>
    <w:rsid w:val="240210CD"/>
    <w:rsid w:val="24BF09F7"/>
    <w:rsid w:val="24F1186B"/>
    <w:rsid w:val="252D53FE"/>
    <w:rsid w:val="25541385"/>
    <w:rsid w:val="25D53237"/>
    <w:rsid w:val="25EC2D81"/>
    <w:rsid w:val="2633730C"/>
    <w:rsid w:val="26DA33C6"/>
    <w:rsid w:val="26E8417A"/>
    <w:rsid w:val="2762040D"/>
    <w:rsid w:val="277057A2"/>
    <w:rsid w:val="277972F4"/>
    <w:rsid w:val="27A40BE5"/>
    <w:rsid w:val="28BF1C2C"/>
    <w:rsid w:val="29206EB8"/>
    <w:rsid w:val="29595666"/>
    <w:rsid w:val="29874881"/>
    <w:rsid w:val="29DB2871"/>
    <w:rsid w:val="29E325E0"/>
    <w:rsid w:val="2A452503"/>
    <w:rsid w:val="2A570191"/>
    <w:rsid w:val="2ACE3EC4"/>
    <w:rsid w:val="2B2B7DDF"/>
    <w:rsid w:val="2B5E0A7C"/>
    <w:rsid w:val="2B6D5F35"/>
    <w:rsid w:val="2B8319E7"/>
    <w:rsid w:val="2BA936A8"/>
    <w:rsid w:val="2C112DCF"/>
    <w:rsid w:val="2C315A5A"/>
    <w:rsid w:val="2C4B1C25"/>
    <w:rsid w:val="2CD61600"/>
    <w:rsid w:val="2CED57E1"/>
    <w:rsid w:val="2CF71C6A"/>
    <w:rsid w:val="2D1E04F5"/>
    <w:rsid w:val="2D9E56F5"/>
    <w:rsid w:val="2E6120C3"/>
    <w:rsid w:val="2E667F96"/>
    <w:rsid w:val="2E8226AB"/>
    <w:rsid w:val="2E921798"/>
    <w:rsid w:val="2EAD65D1"/>
    <w:rsid w:val="2F155471"/>
    <w:rsid w:val="2F7B2B28"/>
    <w:rsid w:val="2FD065E6"/>
    <w:rsid w:val="2FD96870"/>
    <w:rsid w:val="30580BC9"/>
    <w:rsid w:val="311E2ED7"/>
    <w:rsid w:val="315619EE"/>
    <w:rsid w:val="315C449C"/>
    <w:rsid w:val="31B82709"/>
    <w:rsid w:val="31D05482"/>
    <w:rsid w:val="32400B34"/>
    <w:rsid w:val="329E6876"/>
    <w:rsid w:val="32D327FF"/>
    <w:rsid w:val="333015F2"/>
    <w:rsid w:val="334B6320"/>
    <w:rsid w:val="339701FA"/>
    <w:rsid w:val="33D934D4"/>
    <w:rsid w:val="33FE2F6A"/>
    <w:rsid w:val="340E07E5"/>
    <w:rsid w:val="34235BF7"/>
    <w:rsid w:val="34711901"/>
    <w:rsid w:val="34B13221"/>
    <w:rsid w:val="34CC693E"/>
    <w:rsid w:val="34DB0224"/>
    <w:rsid w:val="35023DE8"/>
    <w:rsid w:val="358C5FA8"/>
    <w:rsid w:val="35C15DF1"/>
    <w:rsid w:val="36074A7F"/>
    <w:rsid w:val="36162CAE"/>
    <w:rsid w:val="3664578C"/>
    <w:rsid w:val="36923549"/>
    <w:rsid w:val="36A20D9E"/>
    <w:rsid w:val="36B75FBF"/>
    <w:rsid w:val="36BD0C45"/>
    <w:rsid w:val="371A02E2"/>
    <w:rsid w:val="37350037"/>
    <w:rsid w:val="37625F6B"/>
    <w:rsid w:val="37AE0A86"/>
    <w:rsid w:val="37E00298"/>
    <w:rsid w:val="38390074"/>
    <w:rsid w:val="38B302F9"/>
    <w:rsid w:val="38D17360"/>
    <w:rsid w:val="38E075A3"/>
    <w:rsid w:val="38F12CD3"/>
    <w:rsid w:val="38F94775"/>
    <w:rsid w:val="392971ED"/>
    <w:rsid w:val="39325651"/>
    <w:rsid w:val="3A217E73"/>
    <w:rsid w:val="3A872856"/>
    <w:rsid w:val="3AD67296"/>
    <w:rsid w:val="3B126295"/>
    <w:rsid w:val="3B236406"/>
    <w:rsid w:val="3B3763D1"/>
    <w:rsid w:val="3B9076EF"/>
    <w:rsid w:val="3C0248E9"/>
    <w:rsid w:val="3C2F6E1E"/>
    <w:rsid w:val="3C4F64BA"/>
    <w:rsid w:val="3C5354AD"/>
    <w:rsid w:val="3C9526DB"/>
    <w:rsid w:val="3C9F74EB"/>
    <w:rsid w:val="3CAB4D29"/>
    <w:rsid w:val="3CDA245A"/>
    <w:rsid w:val="3D1E06B7"/>
    <w:rsid w:val="3D333187"/>
    <w:rsid w:val="3D396D53"/>
    <w:rsid w:val="3D51524B"/>
    <w:rsid w:val="3E443E21"/>
    <w:rsid w:val="3E5D51F2"/>
    <w:rsid w:val="3E92665C"/>
    <w:rsid w:val="3ED82604"/>
    <w:rsid w:val="3EDA0523"/>
    <w:rsid w:val="3EF46E20"/>
    <w:rsid w:val="3F303AD2"/>
    <w:rsid w:val="3F3A2906"/>
    <w:rsid w:val="3FE306FB"/>
    <w:rsid w:val="3FE94F8F"/>
    <w:rsid w:val="405A0357"/>
    <w:rsid w:val="407A6407"/>
    <w:rsid w:val="40B53071"/>
    <w:rsid w:val="4196572C"/>
    <w:rsid w:val="41E0244A"/>
    <w:rsid w:val="4200449D"/>
    <w:rsid w:val="42072797"/>
    <w:rsid w:val="42086229"/>
    <w:rsid w:val="422162AB"/>
    <w:rsid w:val="423A3BCC"/>
    <w:rsid w:val="424E57D2"/>
    <w:rsid w:val="42B26C49"/>
    <w:rsid w:val="42EE4CDF"/>
    <w:rsid w:val="433A6FE6"/>
    <w:rsid w:val="43480868"/>
    <w:rsid w:val="434C14BE"/>
    <w:rsid w:val="4350713C"/>
    <w:rsid w:val="436653E0"/>
    <w:rsid w:val="43BC3D92"/>
    <w:rsid w:val="43C4431A"/>
    <w:rsid w:val="441D5D39"/>
    <w:rsid w:val="449D63A4"/>
    <w:rsid w:val="44B951CC"/>
    <w:rsid w:val="44CD14E0"/>
    <w:rsid w:val="44F20B0B"/>
    <w:rsid w:val="45140D01"/>
    <w:rsid w:val="452E5F4C"/>
    <w:rsid w:val="45612018"/>
    <w:rsid w:val="458946E9"/>
    <w:rsid w:val="45A47C0E"/>
    <w:rsid w:val="45EF5F43"/>
    <w:rsid w:val="46577FD6"/>
    <w:rsid w:val="46AA08F0"/>
    <w:rsid w:val="46B13E10"/>
    <w:rsid w:val="46D955A7"/>
    <w:rsid w:val="47133957"/>
    <w:rsid w:val="472E33A6"/>
    <w:rsid w:val="475051AA"/>
    <w:rsid w:val="476A2654"/>
    <w:rsid w:val="47A07E0C"/>
    <w:rsid w:val="47A956A0"/>
    <w:rsid w:val="47C077C9"/>
    <w:rsid w:val="47C479A8"/>
    <w:rsid w:val="47E811A7"/>
    <w:rsid w:val="48007365"/>
    <w:rsid w:val="4870272E"/>
    <w:rsid w:val="489F4159"/>
    <w:rsid w:val="48E5171B"/>
    <w:rsid w:val="49196A60"/>
    <w:rsid w:val="499347C7"/>
    <w:rsid w:val="49B200A3"/>
    <w:rsid w:val="49DC7715"/>
    <w:rsid w:val="49FF57D9"/>
    <w:rsid w:val="4A023139"/>
    <w:rsid w:val="4A437992"/>
    <w:rsid w:val="4A7B576F"/>
    <w:rsid w:val="4AF561A9"/>
    <w:rsid w:val="4B6D6EAD"/>
    <w:rsid w:val="4BC32090"/>
    <w:rsid w:val="4C41429B"/>
    <w:rsid w:val="4C4A00F0"/>
    <w:rsid w:val="4C4A0649"/>
    <w:rsid w:val="4C6D2D50"/>
    <w:rsid w:val="4C7E5ECA"/>
    <w:rsid w:val="4C876AA5"/>
    <w:rsid w:val="4CBF38B8"/>
    <w:rsid w:val="4CD93BD9"/>
    <w:rsid w:val="4CED7FC9"/>
    <w:rsid w:val="4D0A0BED"/>
    <w:rsid w:val="4D0E00FB"/>
    <w:rsid w:val="4D176606"/>
    <w:rsid w:val="4D2306B3"/>
    <w:rsid w:val="4D264C16"/>
    <w:rsid w:val="4D900C96"/>
    <w:rsid w:val="4DEC4FB0"/>
    <w:rsid w:val="4E075D8A"/>
    <w:rsid w:val="4EC00FAD"/>
    <w:rsid w:val="4EF36406"/>
    <w:rsid w:val="4F0C2A4E"/>
    <w:rsid w:val="4F5A5320"/>
    <w:rsid w:val="4F7E34E1"/>
    <w:rsid w:val="4F9843DC"/>
    <w:rsid w:val="4FC62A8C"/>
    <w:rsid w:val="4FDE3D86"/>
    <w:rsid w:val="4FE20F0D"/>
    <w:rsid w:val="4FE51552"/>
    <w:rsid w:val="504F52E3"/>
    <w:rsid w:val="50504C4B"/>
    <w:rsid w:val="509C6E7C"/>
    <w:rsid w:val="50FB2D75"/>
    <w:rsid w:val="5162104E"/>
    <w:rsid w:val="52A01EBA"/>
    <w:rsid w:val="52DD44F5"/>
    <w:rsid w:val="52F020C0"/>
    <w:rsid w:val="53293CD9"/>
    <w:rsid w:val="53397B84"/>
    <w:rsid w:val="538F0EDE"/>
    <w:rsid w:val="53A039CC"/>
    <w:rsid w:val="53A1505A"/>
    <w:rsid w:val="53AF67FA"/>
    <w:rsid w:val="53C95BC0"/>
    <w:rsid w:val="53F64F75"/>
    <w:rsid w:val="54063E08"/>
    <w:rsid w:val="543437E8"/>
    <w:rsid w:val="54F73313"/>
    <w:rsid w:val="54F80955"/>
    <w:rsid w:val="54FB110B"/>
    <w:rsid w:val="553D1BAE"/>
    <w:rsid w:val="554B4F94"/>
    <w:rsid w:val="55511E2E"/>
    <w:rsid w:val="555170A7"/>
    <w:rsid w:val="5559450E"/>
    <w:rsid w:val="5587536D"/>
    <w:rsid w:val="559B174B"/>
    <w:rsid w:val="55AB3288"/>
    <w:rsid w:val="55B84893"/>
    <w:rsid w:val="55CB540B"/>
    <w:rsid w:val="55CE0CF4"/>
    <w:rsid w:val="55F416D9"/>
    <w:rsid w:val="569336EC"/>
    <w:rsid w:val="56B22A9C"/>
    <w:rsid w:val="56E67DF7"/>
    <w:rsid w:val="56FD1AE3"/>
    <w:rsid w:val="57B72A76"/>
    <w:rsid w:val="57C3426C"/>
    <w:rsid w:val="57CE1F93"/>
    <w:rsid w:val="588743D1"/>
    <w:rsid w:val="5887701A"/>
    <w:rsid w:val="58C23BC5"/>
    <w:rsid w:val="59745DBA"/>
    <w:rsid w:val="59C0439F"/>
    <w:rsid w:val="59EB3D45"/>
    <w:rsid w:val="59EE791A"/>
    <w:rsid w:val="5ABE2233"/>
    <w:rsid w:val="5B19266E"/>
    <w:rsid w:val="5BD10D67"/>
    <w:rsid w:val="5BDF5D95"/>
    <w:rsid w:val="5BF147D4"/>
    <w:rsid w:val="5BFE7528"/>
    <w:rsid w:val="5C785C47"/>
    <w:rsid w:val="5C7D6286"/>
    <w:rsid w:val="5CDA4FBA"/>
    <w:rsid w:val="5D513639"/>
    <w:rsid w:val="5D5C5711"/>
    <w:rsid w:val="5E0314BA"/>
    <w:rsid w:val="5E183646"/>
    <w:rsid w:val="5E2467F1"/>
    <w:rsid w:val="5E2952F5"/>
    <w:rsid w:val="5E59557E"/>
    <w:rsid w:val="5F1A2B43"/>
    <w:rsid w:val="5F3751C9"/>
    <w:rsid w:val="5F916509"/>
    <w:rsid w:val="5FB837BB"/>
    <w:rsid w:val="60360B52"/>
    <w:rsid w:val="604E3C96"/>
    <w:rsid w:val="60831F13"/>
    <w:rsid w:val="60CC405A"/>
    <w:rsid w:val="61462D45"/>
    <w:rsid w:val="6151149C"/>
    <w:rsid w:val="615D6F95"/>
    <w:rsid w:val="61E215D8"/>
    <w:rsid w:val="61F7705A"/>
    <w:rsid w:val="621B3775"/>
    <w:rsid w:val="62364782"/>
    <w:rsid w:val="624A69EB"/>
    <w:rsid w:val="62F715DE"/>
    <w:rsid w:val="63400278"/>
    <w:rsid w:val="6394356A"/>
    <w:rsid w:val="63C61B2C"/>
    <w:rsid w:val="63D40BE9"/>
    <w:rsid w:val="63DB008C"/>
    <w:rsid w:val="64102431"/>
    <w:rsid w:val="642F68FD"/>
    <w:rsid w:val="64A5243A"/>
    <w:rsid w:val="64B909A7"/>
    <w:rsid w:val="64F531DE"/>
    <w:rsid w:val="65373578"/>
    <w:rsid w:val="65883E67"/>
    <w:rsid w:val="66190C6B"/>
    <w:rsid w:val="671F124A"/>
    <w:rsid w:val="676E6DA0"/>
    <w:rsid w:val="677A33C6"/>
    <w:rsid w:val="678D79A7"/>
    <w:rsid w:val="681F6961"/>
    <w:rsid w:val="68610A2F"/>
    <w:rsid w:val="68805514"/>
    <w:rsid w:val="68E57D0D"/>
    <w:rsid w:val="6913793B"/>
    <w:rsid w:val="69316E2F"/>
    <w:rsid w:val="694C6C2C"/>
    <w:rsid w:val="694E2071"/>
    <w:rsid w:val="69766163"/>
    <w:rsid w:val="697A3B33"/>
    <w:rsid w:val="69D44760"/>
    <w:rsid w:val="69DF712C"/>
    <w:rsid w:val="6A520EC7"/>
    <w:rsid w:val="6A543BE4"/>
    <w:rsid w:val="6AF87E20"/>
    <w:rsid w:val="6B322639"/>
    <w:rsid w:val="6B4A4499"/>
    <w:rsid w:val="6BB248D0"/>
    <w:rsid w:val="6BBE4CAD"/>
    <w:rsid w:val="6C636C38"/>
    <w:rsid w:val="6D5E670D"/>
    <w:rsid w:val="6D670A94"/>
    <w:rsid w:val="6DB34098"/>
    <w:rsid w:val="6DB545B6"/>
    <w:rsid w:val="6DBC3FF9"/>
    <w:rsid w:val="6DDE6E00"/>
    <w:rsid w:val="6DE02FB4"/>
    <w:rsid w:val="6E514CED"/>
    <w:rsid w:val="6E5C208E"/>
    <w:rsid w:val="6EB563D5"/>
    <w:rsid w:val="6ED92677"/>
    <w:rsid w:val="6EF232F5"/>
    <w:rsid w:val="6F177463"/>
    <w:rsid w:val="6F225983"/>
    <w:rsid w:val="6F593EB7"/>
    <w:rsid w:val="6FFC5590"/>
    <w:rsid w:val="70285A04"/>
    <w:rsid w:val="706D1DD0"/>
    <w:rsid w:val="70856B87"/>
    <w:rsid w:val="70BF5128"/>
    <w:rsid w:val="70D527EE"/>
    <w:rsid w:val="715B5300"/>
    <w:rsid w:val="7187399E"/>
    <w:rsid w:val="71BB2380"/>
    <w:rsid w:val="71D27F8A"/>
    <w:rsid w:val="72553024"/>
    <w:rsid w:val="73122968"/>
    <w:rsid w:val="731F5D5E"/>
    <w:rsid w:val="735D2B63"/>
    <w:rsid w:val="73627C01"/>
    <w:rsid w:val="73C51AD5"/>
    <w:rsid w:val="73DB0AB8"/>
    <w:rsid w:val="741C489D"/>
    <w:rsid w:val="741E793C"/>
    <w:rsid w:val="742E1973"/>
    <w:rsid w:val="745E3944"/>
    <w:rsid w:val="74DD73BE"/>
    <w:rsid w:val="753C16C2"/>
    <w:rsid w:val="75D94034"/>
    <w:rsid w:val="76326989"/>
    <w:rsid w:val="7635099D"/>
    <w:rsid w:val="763B122C"/>
    <w:rsid w:val="76AA651F"/>
    <w:rsid w:val="775D41AF"/>
    <w:rsid w:val="77762421"/>
    <w:rsid w:val="77943D88"/>
    <w:rsid w:val="77B56B1F"/>
    <w:rsid w:val="780F09F4"/>
    <w:rsid w:val="784B4F48"/>
    <w:rsid w:val="78A90480"/>
    <w:rsid w:val="7946174A"/>
    <w:rsid w:val="79E720DF"/>
    <w:rsid w:val="7A364017"/>
    <w:rsid w:val="7A7A647F"/>
    <w:rsid w:val="7A8265E1"/>
    <w:rsid w:val="7AD70258"/>
    <w:rsid w:val="7B0B646A"/>
    <w:rsid w:val="7B1D1A14"/>
    <w:rsid w:val="7B51631C"/>
    <w:rsid w:val="7B686D42"/>
    <w:rsid w:val="7B841746"/>
    <w:rsid w:val="7B983C6F"/>
    <w:rsid w:val="7C6C5AC7"/>
    <w:rsid w:val="7C9C7891"/>
    <w:rsid w:val="7CC0084B"/>
    <w:rsid w:val="7CC6544B"/>
    <w:rsid w:val="7D0239FF"/>
    <w:rsid w:val="7D5E40CD"/>
    <w:rsid w:val="7D8C229B"/>
    <w:rsid w:val="7DA95783"/>
    <w:rsid w:val="7DB12827"/>
    <w:rsid w:val="7DC749DA"/>
    <w:rsid w:val="7DCD56F2"/>
    <w:rsid w:val="7DEC38C1"/>
    <w:rsid w:val="7E3D5692"/>
    <w:rsid w:val="7E957AB5"/>
    <w:rsid w:val="7EB05B24"/>
    <w:rsid w:val="7F001CE7"/>
    <w:rsid w:val="7F07436B"/>
    <w:rsid w:val="7F8C67B0"/>
    <w:rsid w:val="7FE47E50"/>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ocked="1"/>
    <w:lsdException w:unhideWhenUsed="0" w:uiPriority="0" w:semiHidden="0" w:name="footnote text" w:locked="1"/>
    <w:lsdException w:qFormat="1" w:unhideWhenUsed="0" w:uiPriority="0" w:name="annotation text"/>
    <w:lsdException w:qFormat="1" w:unhideWhenUsed="0" w:uiPriority="0"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ocked="1"/>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unhideWhenUsed="0" w:uiPriority="0" w:semiHidden="0" w:name="Body Text First Indent" w:locked="1"/>
    <w:lsdException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unhideWhenUsed="0" w:uiPriority="0" w:semiHidden="0" w:name="Body Text Indent 2" w:locked="1"/>
    <w:lsdException w:unhideWhenUsed="0" w:uiPriority="0" w:semiHidden="0" w:name="Body Text Indent 3" w:locked="1"/>
    <w:lsdException w:unhideWhenUsed="0" w:uiPriority="0" w:semiHidden="0" w:name="Block Text" w:locked="1"/>
    <w:lsdException w:unhideWhenUsed="0" w:uiPriority="0" w:semiHidden="0" w:name="Hyperlink" w:locked="1"/>
    <w:lsdException w:unhideWhenUsed="0" w:uiPriority="0" w:semiHidden="0" w:name="FollowedHyperlink" w:locked="1"/>
    <w:lsdException w:qFormat="1" w:unhideWhenUsed="0" w:uiPriority="0" w:semiHidden="0" w:name="Strong" w:locked="1"/>
    <w:lsdException w:qFormat="1" w:unhideWhenUsed="0" w:uiPriority="0" w:semiHidden="0" w:name="Emphasis" w:locked="1"/>
    <w:lsdException w:unhideWhenUsed="0" w:uiPriority="0" w:semiHidden="0" w:name="Document Map" w:locked="1"/>
    <w:lsdException w:unhideWhenUsed="0" w:uiPriority="0" w:semiHidden="0" w:name="Plain Text" w:locked="1"/>
    <w:lsdException w:unhideWhenUsed="0" w:uiPriority="0" w:semiHidden="0" w:name="E-mail Signature" w:locked="1"/>
    <w:lsdException w:qFormat="1" w:unhideWhenUsed="0" w:uiPriority="0" w:semiHidden="0" w:name="Normal (Web)"/>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sdException w:qFormat="1" w:unhideWhenUsed="0" w:uiPriority="0"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locked/>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spacing w:line="460" w:lineRule="exact"/>
      <w:jc w:val="center"/>
    </w:pPr>
    <w:rPr>
      <w:rFonts w:ascii="黑体" w:hAnsi="Times New Roman" w:eastAsia="黑体" w:cs="黑体"/>
      <w:color w:val="000000"/>
      <w:sz w:val="24"/>
      <w:szCs w:val="24"/>
      <w:lang w:val="en-US" w:eastAsia="zh-CN" w:bidi="ar-SA"/>
    </w:rPr>
  </w:style>
  <w:style w:type="paragraph" w:styleId="4">
    <w:name w:val="annotation text"/>
    <w:basedOn w:val="1"/>
    <w:link w:val="24"/>
    <w:semiHidden/>
    <w:qFormat/>
    <w:uiPriority w:val="0"/>
    <w:pPr>
      <w:jc w:val="left"/>
    </w:pPr>
    <w:rPr>
      <w:kern w:val="0"/>
      <w:sz w:val="24"/>
      <w:szCs w:val="20"/>
    </w:rPr>
  </w:style>
  <w:style w:type="paragraph" w:styleId="5">
    <w:name w:val="Body Text"/>
    <w:basedOn w:val="1"/>
    <w:link w:val="23"/>
    <w:qFormat/>
    <w:uiPriority w:val="0"/>
    <w:pPr>
      <w:widowControl/>
      <w:snapToGrid w:val="0"/>
      <w:spacing w:before="60" w:after="160" w:line="259" w:lineRule="auto"/>
      <w:ind w:right="113"/>
    </w:pPr>
    <w:rPr>
      <w:kern w:val="0"/>
      <w:sz w:val="18"/>
      <w:szCs w:val="20"/>
    </w:rPr>
  </w:style>
  <w:style w:type="paragraph" w:styleId="6">
    <w:name w:val="Body Text Indent"/>
    <w:basedOn w:val="1"/>
    <w:link w:val="32"/>
    <w:qFormat/>
    <w:uiPriority w:val="0"/>
    <w:pPr>
      <w:spacing w:after="120"/>
      <w:ind w:left="420" w:leftChars="200"/>
    </w:pPr>
    <w:rPr>
      <w:kern w:val="0"/>
      <w:sz w:val="24"/>
      <w:szCs w:val="20"/>
    </w:rPr>
  </w:style>
  <w:style w:type="paragraph" w:styleId="7">
    <w:name w:val="Date"/>
    <w:basedOn w:val="1"/>
    <w:next w:val="1"/>
    <w:link w:val="19"/>
    <w:qFormat/>
    <w:uiPriority w:val="0"/>
    <w:pPr>
      <w:ind w:left="100" w:leftChars="2500"/>
    </w:pPr>
    <w:rPr>
      <w:kern w:val="0"/>
      <w:sz w:val="24"/>
      <w:szCs w:val="20"/>
    </w:rPr>
  </w:style>
  <w:style w:type="paragraph" w:styleId="8">
    <w:name w:val="Balloon Text"/>
    <w:basedOn w:val="1"/>
    <w:link w:val="28"/>
    <w:semiHidden/>
    <w:qFormat/>
    <w:uiPriority w:val="0"/>
    <w:rPr>
      <w:kern w:val="0"/>
      <w:sz w:val="18"/>
      <w:szCs w:val="20"/>
    </w:rPr>
  </w:style>
  <w:style w:type="paragraph" w:styleId="9">
    <w:name w:val="footer"/>
    <w:basedOn w:val="1"/>
    <w:link w:val="18"/>
    <w:qFormat/>
    <w:uiPriority w:val="99"/>
    <w:pPr>
      <w:tabs>
        <w:tab w:val="center" w:pos="4153"/>
        <w:tab w:val="right" w:pos="8306"/>
      </w:tabs>
      <w:snapToGrid w:val="0"/>
      <w:jc w:val="left"/>
    </w:pPr>
    <w:rPr>
      <w:kern w:val="0"/>
      <w:sz w:val="18"/>
      <w:szCs w:val="20"/>
    </w:rPr>
  </w:style>
  <w:style w:type="paragraph" w:styleId="10">
    <w:name w:val="header"/>
    <w:basedOn w:val="1"/>
    <w:link w:val="30"/>
    <w:qFormat/>
    <w:uiPriority w:val="0"/>
    <w:pPr>
      <w:pBdr>
        <w:bottom w:val="single" w:color="auto" w:sz="6" w:space="1"/>
      </w:pBdr>
      <w:tabs>
        <w:tab w:val="center" w:pos="4153"/>
        <w:tab w:val="right" w:pos="8306"/>
      </w:tabs>
      <w:snapToGrid w:val="0"/>
      <w:jc w:val="center"/>
    </w:pPr>
    <w:rPr>
      <w:kern w:val="0"/>
      <w:sz w:val="18"/>
      <w:szCs w:val="20"/>
    </w:rPr>
  </w:style>
  <w:style w:type="paragraph" w:styleId="11">
    <w:name w:val="Normal (Web)"/>
    <w:basedOn w:val="1"/>
    <w:link w:val="21"/>
    <w:qFormat/>
    <w:uiPriority w:val="0"/>
    <w:pPr>
      <w:widowControl/>
      <w:spacing w:before="100" w:beforeAutospacing="1" w:after="100" w:afterAutospacing="1"/>
      <w:jc w:val="left"/>
    </w:pPr>
    <w:rPr>
      <w:rFonts w:ascii="宋体" w:hAnsi="宋体"/>
      <w:kern w:val="0"/>
      <w:sz w:val="24"/>
      <w:szCs w:val="20"/>
    </w:rPr>
  </w:style>
  <w:style w:type="paragraph" w:styleId="12">
    <w:name w:val="annotation subject"/>
    <w:basedOn w:val="4"/>
    <w:next w:val="4"/>
    <w:link w:val="29"/>
    <w:semiHidden/>
    <w:qFormat/>
    <w:uiPriority w:val="0"/>
    <w:rPr>
      <w:b/>
      <w:sz w:val="24"/>
      <w:szCs w:val="20"/>
    </w:rPr>
  </w:style>
  <w:style w:type="table" w:styleId="14">
    <w:name w:val="Table Grid"/>
    <w:basedOn w:val="13"/>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qFormat/>
    <w:locked/>
    <w:uiPriority w:val="0"/>
  </w:style>
  <w:style w:type="character" w:styleId="17">
    <w:name w:val="annotation reference"/>
    <w:semiHidden/>
    <w:qFormat/>
    <w:uiPriority w:val="0"/>
    <w:rPr>
      <w:sz w:val="21"/>
    </w:rPr>
  </w:style>
  <w:style w:type="character" w:customStyle="1" w:styleId="18">
    <w:name w:val="页脚 Char"/>
    <w:link w:val="9"/>
    <w:qFormat/>
    <w:locked/>
    <w:uiPriority w:val="99"/>
    <w:rPr>
      <w:sz w:val="18"/>
    </w:rPr>
  </w:style>
  <w:style w:type="character" w:customStyle="1" w:styleId="19">
    <w:name w:val="日期 Char"/>
    <w:link w:val="7"/>
    <w:qFormat/>
    <w:locked/>
    <w:uiPriority w:val="0"/>
    <w:rPr>
      <w:rFonts w:ascii="Times New Roman" w:hAnsi="Times New Roman" w:eastAsia="宋体"/>
      <w:sz w:val="24"/>
    </w:rPr>
  </w:style>
  <w:style w:type="character" w:customStyle="1" w:styleId="20">
    <w:name w:val="页脚 字符"/>
    <w:basedOn w:val="15"/>
    <w:qFormat/>
    <w:uiPriority w:val="99"/>
  </w:style>
  <w:style w:type="character" w:customStyle="1" w:styleId="21">
    <w:name w:val="普通(网站) Char"/>
    <w:link w:val="11"/>
    <w:qFormat/>
    <w:locked/>
    <w:uiPriority w:val="0"/>
    <w:rPr>
      <w:rFonts w:ascii="宋体" w:hAnsi="宋体" w:eastAsia="宋体"/>
      <w:sz w:val="24"/>
    </w:rPr>
  </w:style>
  <w:style w:type="character" w:customStyle="1" w:styleId="22">
    <w:name w:val="正文文本 字符1"/>
    <w:semiHidden/>
    <w:qFormat/>
    <w:uiPriority w:val="0"/>
    <w:rPr>
      <w:rFonts w:ascii="Times New Roman" w:hAnsi="Times New Roman" w:eastAsia="宋体"/>
      <w:sz w:val="24"/>
    </w:rPr>
  </w:style>
  <w:style w:type="character" w:customStyle="1" w:styleId="23">
    <w:name w:val="正文文本 Char"/>
    <w:link w:val="5"/>
    <w:qFormat/>
    <w:locked/>
    <w:uiPriority w:val="0"/>
    <w:rPr>
      <w:sz w:val="18"/>
    </w:rPr>
  </w:style>
  <w:style w:type="character" w:customStyle="1" w:styleId="24">
    <w:name w:val="批注文字 Char"/>
    <w:link w:val="4"/>
    <w:qFormat/>
    <w:locked/>
    <w:uiPriority w:val="0"/>
    <w:rPr>
      <w:rFonts w:ascii="Times New Roman" w:hAnsi="Times New Roman" w:eastAsia="宋体"/>
      <w:sz w:val="24"/>
    </w:rPr>
  </w:style>
  <w:style w:type="character" w:customStyle="1" w:styleId="25">
    <w:name w:val="表格 Char"/>
    <w:link w:val="26"/>
    <w:qFormat/>
    <w:locked/>
    <w:uiPriority w:val="0"/>
    <w:rPr>
      <w:rFonts w:ascii="宋体"/>
      <w:sz w:val="21"/>
    </w:rPr>
  </w:style>
  <w:style w:type="paragraph" w:customStyle="1" w:styleId="26">
    <w:name w:val="表格"/>
    <w:basedOn w:val="1"/>
    <w:next w:val="1"/>
    <w:link w:val="25"/>
    <w:qFormat/>
    <w:uiPriority w:val="0"/>
    <w:pPr>
      <w:adjustRightInd w:val="0"/>
      <w:snapToGrid w:val="0"/>
      <w:spacing w:beforeLines="10" w:afterLines="10" w:line="259" w:lineRule="auto"/>
      <w:jc w:val="center"/>
    </w:pPr>
    <w:rPr>
      <w:rFonts w:ascii="宋体"/>
      <w:kern w:val="0"/>
      <w:szCs w:val="20"/>
    </w:rPr>
  </w:style>
  <w:style w:type="character" w:customStyle="1" w:styleId="27">
    <w:name w:val="日期 字符"/>
    <w:semiHidden/>
    <w:qFormat/>
    <w:uiPriority w:val="0"/>
    <w:rPr>
      <w:rFonts w:ascii="Times New Roman" w:hAnsi="Times New Roman" w:eastAsia="宋体"/>
      <w:sz w:val="24"/>
    </w:rPr>
  </w:style>
  <w:style w:type="character" w:customStyle="1" w:styleId="28">
    <w:name w:val="批注框文本 Char"/>
    <w:link w:val="8"/>
    <w:semiHidden/>
    <w:qFormat/>
    <w:locked/>
    <w:uiPriority w:val="0"/>
    <w:rPr>
      <w:rFonts w:ascii="Times New Roman" w:hAnsi="Times New Roman" w:eastAsia="宋体"/>
      <w:sz w:val="18"/>
    </w:rPr>
  </w:style>
  <w:style w:type="character" w:customStyle="1" w:styleId="29">
    <w:name w:val="批注主题 Char"/>
    <w:link w:val="12"/>
    <w:semiHidden/>
    <w:qFormat/>
    <w:locked/>
    <w:uiPriority w:val="0"/>
    <w:rPr>
      <w:rFonts w:ascii="Times New Roman" w:hAnsi="Times New Roman" w:eastAsia="宋体"/>
      <w:b/>
      <w:kern w:val="2"/>
      <w:sz w:val="24"/>
    </w:rPr>
  </w:style>
  <w:style w:type="character" w:customStyle="1" w:styleId="30">
    <w:name w:val="页眉 Char"/>
    <w:link w:val="10"/>
    <w:qFormat/>
    <w:locked/>
    <w:uiPriority w:val="0"/>
    <w:rPr>
      <w:sz w:val="18"/>
    </w:rPr>
  </w:style>
  <w:style w:type="character" w:customStyle="1" w:styleId="31">
    <w:name w:val="批注文字 字符1"/>
    <w:semiHidden/>
    <w:qFormat/>
    <w:uiPriority w:val="0"/>
    <w:rPr>
      <w:rFonts w:ascii="Times New Roman" w:hAnsi="Times New Roman" w:eastAsia="宋体"/>
      <w:sz w:val="24"/>
    </w:rPr>
  </w:style>
  <w:style w:type="character" w:customStyle="1" w:styleId="32">
    <w:name w:val="正文文本缩进 Char"/>
    <w:link w:val="6"/>
    <w:semiHidden/>
    <w:qFormat/>
    <w:locked/>
    <w:uiPriority w:val="0"/>
    <w:rPr>
      <w:rFonts w:ascii="Times New Roman" w:hAnsi="Times New Roman" w:eastAsia="宋体"/>
      <w:sz w:val="24"/>
    </w:rPr>
  </w:style>
  <w:style w:type="paragraph" w:customStyle="1" w:styleId="33">
    <w:name w:val="正文_1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4">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35">
    <w:name w:val="环评正文"/>
    <w:basedOn w:val="1"/>
    <w:qFormat/>
    <w:uiPriority w:val="99"/>
    <w:pPr>
      <w:tabs>
        <w:tab w:val="left" w:pos="4540"/>
      </w:tabs>
      <w:spacing w:line="520" w:lineRule="exact"/>
      <w:ind w:firstLine="200" w:firstLineChars="200"/>
      <w:jc w:val="center"/>
    </w:pPr>
    <w:rPr>
      <w:sz w:val="28"/>
      <w:szCs w:val="28"/>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customXml" Target="../customXml/item1.xml"/><Relationship Id="rId16" Type="http://schemas.openxmlformats.org/officeDocument/2006/relationships/image" Target="media/image8.png"/><Relationship Id="rId15" Type="http://schemas.openxmlformats.org/officeDocument/2006/relationships/image" Target="media/image7.png"/><Relationship Id="rId14" Type="http://schemas.openxmlformats.org/officeDocument/2006/relationships/image" Target="media/image6.png"/><Relationship Id="rId13" Type="http://schemas.openxmlformats.org/officeDocument/2006/relationships/image" Target="media/image5.png"/><Relationship Id="rId12" Type="http://schemas.openxmlformats.org/officeDocument/2006/relationships/image" Target="media/image4.png"/><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dsoa\wdzx97.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wdzx97</Template>
  <Company>微软中国</Company>
  <Pages>39</Pages>
  <Words>15899</Words>
  <Characters>18201</Characters>
  <Lines>13</Lines>
  <Paragraphs>3</Paragraphs>
  <TotalTime>1</TotalTime>
  <ScaleCrop>false</ScaleCrop>
  <LinksUpToDate>false</LinksUpToDate>
  <CharactersWithSpaces>18383</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2020-12-24T01:29:00Z</dcterms:created>
  <dc:creator>lhj</dc:creator>
  <cp:lastModifiedBy>骄阳</cp:lastModifiedBy>
  <cp:lastPrinted>2020-12-29T02:43:00Z</cp:lastPrinted>
  <dcterms:modified xsi:type="dcterms:W3CDTF">2022-04-02T01:38:10Z</dcterms:modified>
  <dc:title>附件2</dc:title>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6E7765A152B34E1DB5E76C4CD06367D6</vt:lpwstr>
  </property>
</Properties>
</file>