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0" w:firstLineChars="0"/>
        <w:jc w:val="center"/>
        <w:rPr>
          <w:rFonts w:hint="default" w:ascii="Times New Roman" w:hAnsi="Times New Roman" w:eastAsia="宋体" w:cs="Times New Roman"/>
          <w:b/>
          <w:color w:val="auto"/>
          <w:sz w:val="32"/>
          <w:szCs w:val="32"/>
        </w:rPr>
      </w:pPr>
      <w:r>
        <w:rPr>
          <w:rFonts w:hint="default" w:ascii="Times New Roman" w:hAnsi="Times New Roman" w:eastAsia="宋体" w:cs="Times New Roman"/>
          <w:b/>
          <w:color w:val="auto"/>
          <w:sz w:val="32"/>
          <w:szCs w:val="32"/>
        </w:rPr>
        <w:t>目  录</w:t>
      </w:r>
    </w:p>
    <w:p>
      <w:pPr>
        <w:pStyle w:val="15"/>
        <w:tabs>
          <w:tab w:val="right" w:leader="dot" w:pos="9515"/>
        </w:tabs>
        <w:spacing w:line="480" w:lineRule="auto"/>
        <w:ind w:firstLine="0" w:firstLineChars="0"/>
        <w:rPr>
          <w:rFonts w:hint="default" w:ascii="Times New Roman" w:hAnsi="Times New Roman" w:eastAsia="黑体" w:cs="Times New Roman"/>
          <w:color w:val="auto"/>
          <w:sz w:val="24"/>
        </w:rPr>
      </w:pPr>
      <w:r>
        <w:rPr>
          <w:rFonts w:hint="default" w:ascii="Times New Roman" w:hAnsi="Times New Roman" w:cs="Times New Roman"/>
          <w:color w:val="0000FF"/>
          <w:sz w:val="32"/>
          <w:szCs w:val="28"/>
        </w:rPr>
        <w:fldChar w:fldCharType="begin"/>
      </w:r>
      <w:r>
        <w:rPr>
          <w:rFonts w:hint="default" w:ascii="Times New Roman" w:hAnsi="Times New Roman" w:cs="Times New Roman"/>
          <w:color w:val="0000FF"/>
          <w:sz w:val="32"/>
          <w:szCs w:val="28"/>
        </w:rPr>
        <w:instrText xml:space="preserve">TOC \o "1-1" \h \u </w:instrText>
      </w:r>
      <w:r>
        <w:rPr>
          <w:rFonts w:hint="default" w:ascii="Times New Roman" w:hAnsi="Times New Roman" w:cs="Times New Roman"/>
          <w:color w:val="0000FF"/>
          <w:sz w:val="32"/>
          <w:szCs w:val="28"/>
        </w:rPr>
        <w:fldChar w:fldCharType="separate"/>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HYPERLINK \l "_Toc69745417" </w:instrText>
      </w:r>
      <w:r>
        <w:rPr>
          <w:rFonts w:hint="default" w:ascii="Times New Roman" w:hAnsi="Times New Roman" w:cs="Times New Roman"/>
          <w:color w:val="auto"/>
        </w:rPr>
        <w:fldChar w:fldCharType="separate"/>
      </w:r>
      <w:r>
        <w:rPr>
          <w:rStyle w:val="28"/>
          <w:rFonts w:hint="default" w:ascii="Times New Roman" w:hAnsi="Times New Roman" w:eastAsia="黑体" w:cs="Times New Roman"/>
          <w:color w:val="auto"/>
          <w:sz w:val="24"/>
          <w:u w:val="none"/>
        </w:rPr>
        <w:t>一、建设项目基本情况</w:t>
      </w:r>
      <w:r>
        <w:rPr>
          <w:rFonts w:hint="default" w:ascii="Times New Roman" w:hAnsi="Times New Roman" w:eastAsia="黑体" w:cs="Times New Roman"/>
          <w:b w:val="0"/>
          <w:bCs w:val="0"/>
          <w:color w:val="auto"/>
          <w:sz w:val="24"/>
        </w:rPr>
        <w:tab/>
      </w:r>
      <w:r>
        <w:rPr>
          <w:rFonts w:hint="default" w:ascii="Times New Roman" w:hAnsi="Times New Roman" w:eastAsia="黑体" w:cs="Times New Roman"/>
          <w:color w:val="auto"/>
          <w:sz w:val="24"/>
        </w:rPr>
        <w:fldChar w:fldCharType="begin"/>
      </w:r>
      <w:r>
        <w:rPr>
          <w:rFonts w:hint="default" w:ascii="Times New Roman" w:hAnsi="Times New Roman" w:eastAsia="黑体" w:cs="Times New Roman"/>
          <w:color w:val="auto"/>
          <w:sz w:val="24"/>
        </w:rPr>
        <w:instrText xml:space="preserve"> PAGEREF _Toc69745417 \h </w:instrText>
      </w:r>
      <w:r>
        <w:rPr>
          <w:rFonts w:hint="default" w:ascii="Times New Roman" w:hAnsi="Times New Roman" w:eastAsia="黑体" w:cs="Times New Roman"/>
          <w:color w:val="auto"/>
          <w:sz w:val="24"/>
        </w:rPr>
        <w:fldChar w:fldCharType="separate"/>
      </w:r>
      <w:r>
        <w:rPr>
          <w:rFonts w:hint="default" w:ascii="Times New Roman" w:hAnsi="Times New Roman" w:eastAsia="黑体" w:cs="Times New Roman"/>
          <w:color w:val="auto"/>
          <w:sz w:val="24"/>
        </w:rPr>
        <w:t>1</w:t>
      </w:r>
      <w:r>
        <w:rPr>
          <w:rFonts w:hint="default" w:ascii="Times New Roman" w:hAnsi="Times New Roman" w:eastAsia="黑体" w:cs="Times New Roman"/>
          <w:color w:val="auto"/>
          <w:sz w:val="24"/>
        </w:rPr>
        <w:fldChar w:fldCharType="end"/>
      </w:r>
      <w:r>
        <w:rPr>
          <w:rFonts w:hint="default" w:ascii="Times New Roman" w:hAnsi="Times New Roman" w:eastAsia="黑体" w:cs="Times New Roman"/>
          <w:color w:val="auto"/>
          <w:sz w:val="24"/>
        </w:rPr>
        <w:fldChar w:fldCharType="end"/>
      </w:r>
    </w:p>
    <w:p>
      <w:pPr>
        <w:pStyle w:val="15"/>
        <w:tabs>
          <w:tab w:val="right" w:leader="dot" w:pos="9515"/>
        </w:tabs>
        <w:spacing w:line="480" w:lineRule="auto"/>
        <w:ind w:firstLine="0" w:firstLineChars="0"/>
        <w:rPr>
          <w:rFonts w:hint="default" w:ascii="Times New Roman" w:hAnsi="Times New Roman" w:eastAsia="黑体" w:cs="Times New Roman"/>
          <w:color w:val="auto"/>
          <w:sz w:val="24"/>
        </w:rPr>
      </w:pP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HYPERLINK \l "_Toc69745418" </w:instrText>
      </w:r>
      <w:r>
        <w:rPr>
          <w:rFonts w:hint="default" w:ascii="Times New Roman" w:hAnsi="Times New Roman" w:cs="Times New Roman"/>
          <w:color w:val="auto"/>
        </w:rPr>
        <w:fldChar w:fldCharType="separate"/>
      </w:r>
      <w:r>
        <w:rPr>
          <w:rStyle w:val="28"/>
          <w:rFonts w:hint="default" w:ascii="Times New Roman" w:hAnsi="Times New Roman" w:eastAsia="黑体" w:cs="Times New Roman"/>
          <w:color w:val="auto"/>
          <w:sz w:val="24"/>
          <w:u w:val="none"/>
        </w:rPr>
        <w:t>二、建设内容</w:t>
      </w:r>
      <w:r>
        <w:rPr>
          <w:rFonts w:hint="default" w:ascii="Times New Roman" w:hAnsi="Times New Roman" w:eastAsia="黑体" w:cs="Times New Roman"/>
          <w:b w:val="0"/>
          <w:bCs w:val="0"/>
          <w:color w:val="auto"/>
          <w:sz w:val="24"/>
        </w:rPr>
        <w:tab/>
      </w:r>
      <w:r>
        <w:rPr>
          <w:rFonts w:hint="default" w:ascii="Times New Roman" w:hAnsi="Times New Roman" w:eastAsia="黑体" w:cs="Times New Roman"/>
          <w:color w:val="auto"/>
          <w:sz w:val="24"/>
        </w:rPr>
        <w:fldChar w:fldCharType="begin"/>
      </w:r>
      <w:r>
        <w:rPr>
          <w:rFonts w:hint="default" w:ascii="Times New Roman" w:hAnsi="Times New Roman" w:eastAsia="黑体" w:cs="Times New Roman"/>
          <w:color w:val="auto"/>
          <w:sz w:val="24"/>
        </w:rPr>
        <w:instrText xml:space="preserve"> PAGEREF _Toc69745418 \h </w:instrText>
      </w:r>
      <w:r>
        <w:rPr>
          <w:rFonts w:hint="default" w:ascii="Times New Roman" w:hAnsi="Times New Roman" w:eastAsia="黑体" w:cs="Times New Roman"/>
          <w:color w:val="auto"/>
          <w:sz w:val="24"/>
        </w:rPr>
        <w:fldChar w:fldCharType="separate"/>
      </w:r>
      <w:r>
        <w:rPr>
          <w:rFonts w:hint="default" w:ascii="Times New Roman" w:hAnsi="Times New Roman" w:eastAsia="黑体" w:cs="Times New Roman"/>
          <w:color w:val="auto"/>
          <w:sz w:val="24"/>
        </w:rPr>
        <w:t>6</w:t>
      </w:r>
      <w:r>
        <w:rPr>
          <w:rFonts w:hint="default" w:ascii="Times New Roman" w:hAnsi="Times New Roman" w:eastAsia="黑体" w:cs="Times New Roman"/>
          <w:color w:val="auto"/>
          <w:sz w:val="24"/>
        </w:rPr>
        <w:fldChar w:fldCharType="end"/>
      </w:r>
      <w:r>
        <w:rPr>
          <w:rFonts w:hint="default" w:ascii="Times New Roman" w:hAnsi="Times New Roman" w:eastAsia="黑体" w:cs="Times New Roman"/>
          <w:color w:val="auto"/>
          <w:sz w:val="24"/>
        </w:rPr>
        <w:fldChar w:fldCharType="end"/>
      </w:r>
    </w:p>
    <w:p>
      <w:pPr>
        <w:pStyle w:val="15"/>
        <w:tabs>
          <w:tab w:val="right" w:leader="dot" w:pos="9515"/>
        </w:tabs>
        <w:spacing w:line="480" w:lineRule="auto"/>
        <w:ind w:firstLine="0" w:firstLineChars="0"/>
        <w:rPr>
          <w:rFonts w:hint="default" w:ascii="Times New Roman" w:hAnsi="Times New Roman" w:eastAsia="黑体" w:cs="Times New Roman"/>
          <w:color w:val="auto"/>
          <w:sz w:val="24"/>
        </w:rPr>
      </w:pP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HYPERLINK \l "_Toc69745419" </w:instrText>
      </w:r>
      <w:r>
        <w:rPr>
          <w:rFonts w:hint="default" w:ascii="Times New Roman" w:hAnsi="Times New Roman" w:cs="Times New Roman"/>
          <w:color w:val="auto"/>
        </w:rPr>
        <w:fldChar w:fldCharType="separate"/>
      </w:r>
      <w:r>
        <w:rPr>
          <w:rStyle w:val="28"/>
          <w:rFonts w:hint="default" w:ascii="Times New Roman" w:hAnsi="Times New Roman" w:eastAsia="黑体" w:cs="Times New Roman"/>
          <w:color w:val="auto"/>
          <w:sz w:val="24"/>
          <w:u w:val="none"/>
        </w:rPr>
        <w:t>三、生态环境现状、保护目标及评价标准</w:t>
      </w:r>
      <w:r>
        <w:rPr>
          <w:rFonts w:hint="default" w:ascii="Times New Roman" w:hAnsi="Times New Roman" w:eastAsia="黑体" w:cs="Times New Roman"/>
          <w:b w:val="0"/>
          <w:bCs w:val="0"/>
          <w:color w:val="auto"/>
          <w:sz w:val="24"/>
        </w:rPr>
        <w:tab/>
      </w:r>
      <w:r>
        <w:rPr>
          <w:rFonts w:hint="default" w:ascii="Times New Roman" w:hAnsi="Times New Roman" w:eastAsia="黑体" w:cs="Times New Roman"/>
          <w:color w:val="auto"/>
          <w:sz w:val="24"/>
        </w:rPr>
        <w:fldChar w:fldCharType="begin"/>
      </w:r>
      <w:r>
        <w:rPr>
          <w:rFonts w:hint="default" w:ascii="Times New Roman" w:hAnsi="Times New Roman" w:eastAsia="黑体" w:cs="Times New Roman"/>
          <w:color w:val="auto"/>
          <w:sz w:val="24"/>
        </w:rPr>
        <w:instrText xml:space="preserve"> PAGEREF _Toc69745419 \h </w:instrText>
      </w:r>
      <w:r>
        <w:rPr>
          <w:rFonts w:hint="default" w:ascii="Times New Roman" w:hAnsi="Times New Roman" w:eastAsia="黑体" w:cs="Times New Roman"/>
          <w:color w:val="auto"/>
          <w:sz w:val="24"/>
        </w:rPr>
        <w:fldChar w:fldCharType="separate"/>
      </w:r>
      <w:r>
        <w:rPr>
          <w:rFonts w:hint="default" w:ascii="Times New Roman" w:hAnsi="Times New Roman" w:eastAsia="黑体" w:cs="Times New Roman"/>
          <w:color w:val="auto"/>
          <w:sz w:val="24"/>
        </w:rPr>
        <w:t>14</w:t>
      </w:r>
      <w:r>
        <w:rPr>
          <w:rFonts w:hint="default" w:ascii="Times New Roman" w:hAnsi="Times New Roman" w:eastAsia="黑体" w:cs="Times New Roman"/>
          <w:color w:val="auto"/>
          <w:sz w:val="24"/>
        </w:rPr>
        <w:fldChar w:fldCharType="end"/>
      </w:r>
      <w:r>
        <w:rPr>
          <w:rFonts w:hint="default" w:ascii="Times New Roman" w:hAnsi="Times New Roman" w:eastAsia="黑体" w:cs="Times New Roman"/>
          <w:color w:val="auto"/>
          <w:sz w:val="24"/>
        </w:rPr>
        <w:fldChar w:fldCharType="end"/>
      </w:r>
    </w:p>
    <w:p>
      <w:pPr>
        <w:pStyle w:val="15"/>
        <w:tabs>
          <w:tab w:val="right" w:leader="dot" w:pos="9515"/>
        </w:tabs>
        <w:spacing w:line="480" w:lineRule="auto"/>
        <w:ind w:firstLine="0" w:firstLineChars="0"/>
        <w:rPr>
          <w:rFonts w:hint="default" w:ascii="Times New Roman" w:hAnsi="Times New Roman" w:eastAsia="黑体" w:cs="Times New Roman"/>
          <w:color w:val="auto"/>
          <w:sz w:val="24"/>
        </w:rPr>
      </w:pP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HYPERLINK \l "_Toc69745420" </w:instrText>
      </w:r>
      <w:r>
        <w:rPr>
          <w:rFonts w:hint="default" w:ascii="Times New Roman" w:hAnsi="Times New Roman" w:cs="Times New Roman"/>
          <w:color w:val="auto"/>
        </w:rPr>
        <w:fldChar w:fldCharType="separate"/>
      </w:r>
      <w:r>
        <w:rPr>
          <w:rStyle w:val="28"/>
          <w:rFonts w:hint="default" w:ascii="Times New Roman" w:hAnsi="Times New Roman" w:eastAsia="黑体" w:cs="Times New Roman"/>
          <w:color w:val="auto"/>
          <w:sz w:val="24"/>
          <w:u w:val="none"/>
        </w:rPr>
        <w:t>四、生态环境影响分析</w:t>
      </w:r>
      <w:r>
        <w:rPr>
          <w:rFonts w:hint="default" w:ascii="Times New Roman" w:hAnsi="Times New Roman" w:eastAsia="黑体" w:cs="Times New Roman"/>
          <w:b w:val="0"/>
          <w:bCs w:val="0"/>
          <w:color w:val="auto"/>
          <w:sz w:val="24"/>
        </w:rPr>
        <w:tab/>
      </w:r>
      <w:r>
        <w:rPr>
          <w:rFonts w:hint="default" w:ascii="Times New Roman" w:hAnsi="Times New Roman" w:eastAsia="黑体" w:cs="Times New Roman"/>
          <w:color w:val="auto"/>
          <w:sz w:val="24"/>
        </w:rPr>
        <w:fldChar w:fldCharType="begin"/>
      </w:r>
      <w:r>
        <w:rPr>
          <w:rFonts w:hint="default" w:ascii="Times New Roman" w:hAnsi="Times New Roman" w:eastAsia="黑体" w:cs="Times New Roman"/>
          <w:color w:val="auto"/>
          <w:sz w:val="24"/>
        </w:rPr>
        <w:instrText xml:space="preserve"> PAGEREF _Toc69745420 \h </w:instrText>
      </w:r>
      <w:r>
        <w:rPr>
          <w:rFonts w:hint="default" w:ascii="Times New Roman" w:hAnsi="Times New Roman" w:eastAsia="黑体" w:cs="Times New Roman"/>
          <w:color w:val="auto"/>
          <w:sz w:val="24"/>
        </w:rPr>
        <w:fldChar w:fldCharType="separate"/>
      </w:r>
      <w:r>
        <w:rPr>
          <w:rFonts w:hint="default" w:ascii="Times New Roman" w:hAnsi="Times New Roman" w:eastAsia="黑体" w:cs="Times New Roman"/>
          <w:color w:val="auto"/>
          <w:sz w:val="24"/>
        </w:rPr>
        <w:t>20</w:t>
      </w:r>
      <w:r>
        <w:rPr>
          <w:rFonts w:hint="default" w:ascii="Times New Roman" w:hAnsi="Times New Roman" w:eastAsia="黑体" w:cs="Times New Roman"/>
          <w:color w:val="auto"/>
          <w:sz w:val="24"/>
        </w:rPr>
        <w:fldChar w:fldCharType="end"/>
      </w:r>
      <w:r>
        <w:rPr>
          <w:rFonts w:hint="default" w:ascii="Times New Roman" w:hAnsi="Times New Roman" w:eastAsia="黑体" w:cs="Times New Roman"/>
          <w:color w:val="auto"/>
          <w:sz w:val="24"/>
        </w:rPr>
        <w:fldChar w:fldCharType="end"/>
      </w:r>
    </w:p>
    <w:p>
      <w:pPr>
        <w:pStyle w:val="15"/>
        <w:tabs>
          <w:tab w:val="right" w:leader="dot" w:pos="9515"/>
        </w:tabs>
        <w:spacing w:line="480" w:lineRule="auto"/>
        <w:ind w:firstLine="0" w:firstLineChars="0"/>
        <w:rPr>
          <w:rFonts w:hint="default" w:ascii="Times New Roman" w:hAnsi="Times New Roman" w:eastAsia="黑体" w:cs="Times New Roman"/>
          <w:color w:val="auto"/>
          <w:sz w:val="24"/>
        </w:rPr>
      </w:pP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HYPERLINK \l "_Toc69745421" </w:instrText>
      </w:r>
      <w:r>
        <w:rPr>
          <w:rFonts w:hint="default" w:ascii="Times New Roman" w:hAnsi="Times New Roman" w:cs="Times New Roman"/>
          <w:color w:val="auto"/>
        </w:rPr>
        <w:fldChar w:fldCharType="separate"/>
      </w:r>
      <w:r>
        <w:rPr>
          <w:rStyle w:val="28"/>
          <w:rFonts w:hint="default" w:ascii="Times New Roman" w:hAnsi="Times New Roman" w:eastAsia="黑体" w:cs="Times New Roman"/>
          <w:color w:val="auto"/>
          <w:sz w:val="24"/>
          <w:u w:val="none"/>
        </w:rPr>
        <w:t>五、主要生态环境保护措施</w:t>
      </w:r>
      <w:r>
        <w:rPr>
          <w:rFonts w:hint="default" w:ascii="Times New Roman" w:hAnsi="Times New Roman" w:eastAsia="黑体" w:cs="Times New Roman"/>
          <w:b w:val="0"/>
          <w:bCs w:val="0"/>
          <w:color w:val="auto"/>
          <w:sz w:val="24"/>
        </w:rPr>
        <w:tab/>
      </w:r>
      <w:r>
        <w:rPr>
          <w:rFonts w:hint="default" w:ascii="Times New Roman" w:hAnsi="Times New Roman" w:eastAsia="黑体" w:cs="Times New Roman"/>
          <w:color w:val="auto"/>
          <w:sz w:val="24"/>
        </w:rPr>
        <w:fldChar w:fldCharType="begin"/>
      </w:r>
      <w:r>
        <w:rPr>
          <w:rFonts w:hint="default" w:ascii="Times New Roman" w:hAnsi="Times New Roman" w:eastAsia="黑体" w:cs="Times New Roman"/>
          <w:color w:val="auto"/>
          <w:sz w:val="24"/>
        </w:rPr>
        <w:instrText xml:space="preserve"> PAGEREF _Toc69745421 \h </w:instrText>
      </w:r>
      <w:r>
        <w:rPr>
          <w:rFonts w:hint="default" w:ascii="Times New Roman" w:hAnsi="Times New Roman" w:eastAsia="黑体" w:cs="Times New Roman"/>
          <w:color w:val="auto"/>
          <w:sz w:val="24"/>
        </w:rPr>
        <w:fldChar w:fldCharType="separate"/>
      </w:r>
      <w:r>
        <w:rPr>
          <w:rFonts w:hint="default" w:ascii="Times New Roman" w:hAnsi="Times New Roman" w:eastAsia="黑体" w:cs="Times New Roman"/>
          <w:color w:val="auto"/>
          <w:sz w:val="24"/>
        </w:rPr>
        <w:t>34</w:t>
      </w:r>
      <w:r>
        <w:rPr>
          <w:rFonts w:hint="default" w:ascii="Times New Roman" w:hAnsi="Times New Roman" w:eastAsia="黑体" w:cs="Times New Roman"/>
          <w:color w:val="auto"/>
          <w:sz w:val="24"/>
        </w:rPr>
        <w:fldChar w:fldCharType="end"/>
      </w:r>
      <w:r>
        <w:rPr>
          <w:rFonts w:hint="default" w:ascii="Times New Roman" w:hAnsi="Times New Roman" w:eastAsia="黑体" w:cs="Times New Roman"/>
          <w:color w:val="auto"/>
          <w:sz w:val="24"/>
        </w:rPr>
        <w:fldChar w:fldCharType="end"/>
      </w:r>
    </w:p>
    <w:p>
      <w:pPr>
        <w:pStyle w:val="15"/>
        <w:tabs>
          <w:tab w:val="right" w:leader="dot" w:pos="9515"/>
        </w:tabs>
        <w:spacing w:line="480" w:lineRule="auto"/>
        <w:ind w:firstLine="0" w:firstLineChars="0"/>
        <w:rPr>
          <w:rFonts w:hint="default" w:ascii="Times New Roman" w:hAnsi="Times New Roman" w:eastAsia="黑体" w:cs="Times New Roman"/>
          <w:color w:val="auto"/>
          <w:sz w:val="24"/>
        </w:rPr>
      </w:pP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HYPERLINK \l "_Toc69745422" </w:instrText>
      </w:r>
      <w:r>
        <w:rPr>
          <w:rFonts w:hint="default" w:ascii="Times New Roman" w:hAnsi="Times New Roman" w:cs="Times New Roman"/>
          <w:color w:val="auto"/>
        </w:rPr>
        <w:fldChar w:fldCharType="separate"/>
      </w:r>
      <w:r>
        <w:rPr>
          <w:rStyle w:val="28"/>
          <w:rFonts w:hint="default" w:ascii="Times New Roman" w:hAnsi="Times New Roman" w:eastAsia="黑体" w:cs="Times New Roman"/>
          <w:color w:val="auto"/>
          <w:sz w:val="24"/>
          <w:u w:val="none"/>
        </w:rPr>
        <w:t>六、生态环境保护措施监督检查清单</w:t>
      </w:r>
      <w:r>
        <w:rPr>
          <w:rFonts w:hint="default" w:ascii="Times New Roman" w:hAnsi="Times New Roman" w:eastAsia="黑体" w:cs="Times New Roman"/>
          <w:b w:val="0"/>
          <w:bCs w:val="0"/>
          <w:color w:val="auto"/>
          <w:sz w:val="24"/>
        </w:rPr>
        <w:tab/>
      </w:r>
      <w:r>
        <w:rPr>
          <w:rFonts w:hint="default" w:ascii="Times New Roman" w:hAnsi="Times New Roman" w:eastAsia="黑体" w:cs="Times New Roman"/>
          <w:color w:val="auto"/>
          <w:sz w:val="24"/>
        </w:rPr>
        <w:fldChar w:fldCharType="begin"/>
      </w:r>
      <w:r>
        <w:rPr>
          <w:rFonts w:hint="default" w:ascii="Times New Roman" w:hAnsi="Times New Roman" w:eastAsia="黑体" w:cs="Times New Roman"/>
          <w:color w:val="auto"/>
          <w:sz w:val="24"/>
        </w:rPr>
        <w:instrText xml:space="preserve"> PAGEREF _Toc69745422 \h </w:instrText>
      </w:r>
      <w:r>
        <w:rPr>
          <w:rFonts w:hint="default" w:ascii="Times New Roman" w:hAnsi="Times New Roman" w:eastAsia="黑体" w:cs="Times New Roman"/>
          <w:color w:val="auto"/>
          <w:sz w:val="24"/>
        </w:rPr>
        <w:fldChar w:fldCharType="separate"/>
      </w:r>
      <w:r>
        <w:rPr>
          <w:rFonts w:hint="default" w:ascii="Times New Roman" w:hAnsi="Times New Roman" w:eastAsia="黑体" w:cs="Times New Roman"/>
          <w:color w:val="auto"/>
          <w:sz w:val="24"/>
        </w:rPr>
        <w:t>43</w:t>
      </w:r>
      <w:r>
        <w:rPr>
          <w:rFonts w:hint="default" w:ascii="Times New Roman" w:hAnsi="Times New Roman" w:eastAsia="黑体" w:cs="Times New Roman"/>
          <w:color w:val="auto"/>
          <w:sz w:val="24"/>
        </w:rPr>
        <w:fldChar w:fldCharType="end"/>
      </w:r>
      <w:r>
        <w:rPr>
          <w:rFonts w:hint="default" w:ascii="Times New Roman" w:hAnsi="Times New Roman" w:eastAsia="黑体" w:cs="Times New Roman"/>
          <w:color w:val="auto"/>
          <w:sz w:val="24"/>
        </w:rPr>
        <w:fldChar w:fldCharType="end"/>
      </w:r>
    </w:p>
    <w:p>
      <w:pPr>
        <w:pStyle w:val="15"/>
        <w:tabs>
          <w:tab w:val="right" w:leader="dot" w:pos="9515"/>
        </w:tabs>
        <w:spacing w:line="480" w:lineRule="auto"/>
        <w:ind w:firstLine="0" w:firstLineChars="0"/>
        <w:rPr>
          <w:rFonts w:hint="default" w:ascii="Times New Roman" w:hAnsi="Times New Roman" w:eastAsia="黑体" w:cs="Times New Roman"/>
          <w:color w:val="auto"/>
          <w:sz w:val="21"/>
          <w:szCs w:val="22"/>
        </w:rPr>
      </w:pP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HYPERLINK \l "_Toc69745431" </w:instrText>
      </w:r>
      <w:r>
        <w:rPr>
          <w:rFonts w:hint="default" w:ascii="Times New Roman" w:hAnsi="Times New Roman" w:cs="Times New Roman"/>
          <w:color w:val="auto"/>
        </w:rPr>
        <w:fldChar w:fldCharType="separate"/>
      </w:r>
      <w:r>
        <w:rPr>
          <w:rStyle w:val="28"/>
          <w:rFonts w:hint="default" w:ascii="Times New Roman" w:hAnsi="Times New Roman" w:eastAsia="黑体" w:cs="Times New Roman"/>
          <w:color w:val="auto"/>
          <w:sz w:val="24"/>
          <w:u w:val="none"/>
        </w:rPr>
        <w:t>七、结论</w:t>
      </w:r>
      <w:r>
        <w:rPr>
          <w:rFonts w:hint="default" w:ascii="Times New Roman" w:hAnsi="Times New Roman" w:eastAsia="黑体" w:cs="Times New Roman"/>
          <w:b w:val="0"/>
          <w:bCs w:val="0"/>
          <w:color w:val="auto"/>
          <w:sz w:val="24"/>
        </w:rPr>
        <w:tab/>
      </w:r>
      <w:r>
        <w:rPr>
          <w:rFonts w:hint="default" w:ascii="Times New Roman" w:hAnsi="Times New Roman" w:eastAsia="黑体" w:cs="Times New Roman"/>
          <w:color w:val="auto"/>
          <w:sz w:val="24"/>
        </w:rPr>
        <w:fldChar w:fldCharType="begin"/>
      </w:r>
      <w:r>
        <w:rPr>
          <w:rFonts w:hint="default" w:ascii="Times New Roman" w:hAnsi="Times New Roman" w:eastAsia="黑体" w:cs="Times New Roman"/>
          <w:color w:val="auto"/>
          <w:sz w:val="24"/>
        </w:rPr>
        <w:instrText xml:space="preserve"> PAGEREF _Toc69745431 \h </w:instrText>
      </w:r>
      <w:r>
        <w:rPr>
          <w:rFonts w:hint="default" w:ascii="Times New Roman" w:hAnsi="Times New Roman" w:eastAsia="黑体" w:cs="Times New Roman"/>
          <w:color w:val="auto"/>
          <w:sz w:val="24"/>
        </w:rPr>
        <w:fldChar w:fldCharType="separate"/>
      </w:r>
      <w:r>
        <w:rPr>
          <w:rFonts w:hint="default" w:ascii="Times New Roman" w:hAnsi="Times New Roman" w:eastAsia="黑体" w:cs="Times New Roman"/>
          <w:color w:val="auto"/>
          <w:sz w:val="24"/>
        </w:rPr>
        <w:t>45</w:t>
      </w:r>
      <w:r>
        <w:rPr>
          <w:rFonts w:hint="default" w:ascii="Times New Roman" w:hAnsi="Times New Roman" w:eastAsia="黑体" w:cs="Times New Roman"/>
          <w:color w:val="auto"/>
          <w:sz w:val="24"/>
        </w:rPr>
        <w:fldChar w:fldCharType="end"/>
      </w:r>
      <w:r>
        <w:rPr>
          <w:rFonts w:hint="default" w:ascii="Times New Roman" w:hAnsi="Times New Roman" w:eastAsia="黑体" w:cs="Times New Roman"/>
          <w:color w:val="auto"/>
          <w:sz w:val="24"/>
        </w:rPr>
        <w:fldChar w:fldCharType="end"/>
      </w:r>
    </w:p>
    <w:p>
      <w:pPr>
        <w:ind w:firstLine="0" w:firstLineChars="0"/>
        <w:rPr>
          <w:rFonts w:hint="default" w:ascii="Times New Roman" w:hAnsi="Times New Roman" w:cs="Times New Roman"/>
          <w:color w:val="0000FF"/>
          <w:szCs w:val="28"/>
        </w:rPr>
      </w:pPr>
      <w:r>
        <w:rPr>
          <w:rFonts w:hint="default" w:ascii="Times New Roman" w:hAnsi="Times New Roman" w:cs="Times New Roman"/>
          <w:color w:val="0000FF"/>
          <w:szCs w:val="28"/>
        </w:rPr>
        <w:fldChar w:fldCharType="end"/>
      </w:r>
    </w:p>
    <w:p>
      <w:pPr>
        <w:ind w:firstLine="0" w:firstLineChars="0"/>
        <w:rPr>
          <w:rFonts w:hint="default" w:ascii="Times New Roman" w:hAnsi="Times New Roman" w:cs="Times New Roman"/>
          <w:b/>
          <w:bCs/>
          <w:color w:val="auto"/>
        </w:rPr>
      </w:pPr>
      <w:r>
        <w:rPr>
          <w:rFonts w:hint="default" w:ascii="Times New Roman" w:hAnsi="Times New Roman" w:cs="Times New Roman"/>
          <w:b/>
          <w:bCs/>
          <w:color w:val="auto"/>
        </w:rPr>
        <w:t>专项评价</w:t>
      </w:r>
    </w:p>
    <w:p>
      <w:pPr>
        <w:ind w:firstLine="480"/>
        <w:rPr>
          <w:rFonts w:hint="default" w:ascii="Times New Roman" w:hAnsi="Times New Roman" w:cs="Times New Roman"/>
          <w:color w:val="auto"/>
        </w:rPr>
      </w:pPr>
      <w:r>
        <w:rPr>
          <w:rFonts w:hint="default" w:ascii="Times New Roman" w:hAnsi="Times New Roman" w:cs="Times New Roman"/>
          <w:color w:val="auto"/>
        </w:rPr>
        <w:t>电磁环境影响专题评价</w:t>
      </w:r>
      <w:bookmarkStart w:id="38" w:name="_GoBack"/>
      <w:bookmarkEnd w:id="38"/>
    </w:p>
    <w:p>
      <w:pPr>
        <w:ind w:firstLine="0" w:firstLineChars="0"/>
        <w:rPr>
          <w:rFonts w:hint="default" w:ascii="Times New Roman" w:hAnsi="Times New Roman" w:cs="Times New Roman"/>
          <w:b/>
          <w:bCs/>
          <w:color w:val="auto"/>
        </w:rPr>
      </w:pPr>
    </w:p>
    <w:p>
      <w:pPr>
        <w:ind w:firstLine="0" w:firstLineChars="0"/>
        <w:rPr>
          <w:rFonts w:hint="default" w:ascii="Times New Roman" w:hAnsi="Times New Roman" w:cs="Times New Roman"/>
          <w:b/>
          <w:bCs/>
          <w:color w:val="auto"/>
        </w:rPr>
      </w:pPr>
      <w:r>
        <w:rPr>
          <w:rFonts w:hint="default" w:ascii="Times New Roman" w:hAnsi="Times New Roman" w:cs="Times New Roman"/>
          <w:b/>
          <w:bCs/>
          <w:color w:val="auto"/>
        </w:rPr>
        <w:t>附件</w:t>
      </w:r>
    </w:p>
    <w:p>
      <w:pPr>
        <w:ind w:firstLine="480"/>
        <w:rPr>
          <w:rFonts w:hint="default" w:ascii="Times New Roman" w:hAnsi="Times New Roman" w:cs="Times New Roman"/>
          <w:color w:val="auto"/>
        </w:rPr>
      </w:pPr>
      <w:r>
        <w:rPr>
          <w:rFonts w:hint="default" w:ascii="Times New Roman" w:hAnsi="Times New Roman" w:cs="Times New Roman"/>
          <w:color w:val="auto"/>
        </w:rPr>
        <w:t>附件1  委托书</w:t>
      </w:r>
    </w:p>
    <w:p>
      <w:pPr>
        <w:ind w:firstLine="480"/>
        <w:rPr>
          <w:rFonts w:hint="default" w:ascii="Times New Roman" w:hAnsi="Times New Roman" w:cs="Times New Roman"/>
          <w:color w:val="auto"/>
        </w:rPr>
      </w:pPr>
      <w:r>
        <w:rPr>
          <w:rFonts w:hint="default" w:ascii="Times New Roman" w:hAnsi="Times New Roman" w:cs="Times New Roman"/>
          <w:color w:val="auto"/>
        </w:rPr>
        <w:t>附件2  核准文件</w:t>
      </w:r>
    </w:p>
    <w:p>
      <w:pPr>
        <w:ind w:firstLine="480"/>
        <w:rPr>
          <w:rFonts w:hint="default" w:ascii="Times New Roman" w:hAnsi="Times New Roman" w:cs="Times New Roman" w:eastAsiaTheme="minorEastAsia"/>
          <w:color w:val="auto"/>
          <w:lang w:val="en-US" w:eastAsia="zh-CN"/>
        </w:rPr>
      </w:pPr>
      <w:r>
        <w:rPr>
          <w:rFonts w:hint="default" w:ascii="Times New Roman" w:hAnsi="Times New Roman" w:cs="Times New Roman"/>
          <w:color w:val="auto"/>
        </w:rPr>
        <w:t>附件3  用地预审与选址意见书</w:t>
      </w:r>
      <w:r>
        <w:rPr>
          <w:rFonts w:hint="eastAsia" w:cs="Times New Roman"/>
          <w:color w:val="auto"/>
          <w:lang w:val="en-US" w:eastAsia="zh-CN"/>
        </w:rPr>
        <w:t>及国土部门复函</w:t>
      </w:r>
    </w:p>
    <w:p>
      <w:pPr>
        <w:ind w:firstLine="480"/>
        <w:rPr>
          <w:rFonts w:hint="default" w:ascii="Times New Roman" w:hAnsi="Times New Roman" w:cs="Times New Roman"/>
          <w:color w:val="auto"/>
        </w:rPr>
      </w:pPr>
      <w:r>
        <w:rPr>
          <w:rFonts w:hint="default" w:ascii="Times New Roman" w:hAnsi="Times New Roman" w:cs="Times New Roman"/>
          <w:color w:val="auto"/>
        </w:rPr>
        <w:t>附件</w:t>
      </w:r>
      <w:r>
        <w:rPr>
          <w:rFonts w:hint="eastAsia" w:cs="Times New Roman"/>
          <w:color w:val="auto"/>
          <w:lang w:val="en-US" w:eastAsia="zh-CN"/>
        </w:rPr>
        <w:t>4</w:t>
      </w:r>
      <w:r>
        <w:rPr>
          <w:rFonts w:hint="default" w:ascii="Times New Roman" w:hAnsi="Times New Roman" w:cs="Times New Roman"/>
          <w:color w:val="auto"/>
        </w:rPr>
        <w:t xml:space="preserve">  </w:t>
      </w:r>
      <w:r>
        <w:rPr>
          <w:rFonts w:hint="eastAsia" w:cs="Times New Roman"/>
          <w:color w:val="auto"/>
          <w:lang w:val="en-US" w:eastAsia="zh-CN"/>
        </w:rPr>
        <w:t>林业部门意见</w:t>
      </w:r>
    </w:p>
    <w:p>
      <w:pPr>
        <w:ind w:firstLine="480"/>
        <w:rPr>
          <w:rFonts w:hint="default" w:ascii="Times New Roman" w:hAnsi="Times New Roman" w:cs="Times New Roman" w:eastAsiaTheme="minorEastAsia"/>
          <w:color w:val="auto"/>
          <w:lang w:val="en-US" w:eastAsia="zh-CN"/>
        </w:rPr>
      </w:pPr>
      <w:r>
        <w:rPr>
          <w:rFonts w:hint="default" w:ascii="Times New Roman" w:hAnsi="Times New Roman" w:cs="Times New Roman"/>
          <w:color w:val="auto"/>
        </w:rPr>
        <w:t>附件</w:t>
      </w:r>
      <w:r>
        <w:rPr>
          <w:rFonts w:hint="eastAsia" w:cs="Times New Roman"/>
          <w:color w:val="auto"/>
          <w:lang w:val="en-US" w:eastAsia="zh-CN"/>
        </w:rPr>
        <w:t>5</w:t>
      </w:r>
      <w:r>
        <w:rPr>
          <w:rFonts w:hint="default" w:ascii="Times New Roman" w:hAnsi="Times New Roman" w:cs="Times New Roman"/>
          <w:color w:val="auto"/>
        </w:rPr>
        <w:t xml:space="preserve">  </w:t>
      </w:r>
      <w:r>
        <w:rPr>
          <w:rFonts w:hint="eastAsia" w:cs="Times New Roman"/>
          <w:color w:val="auto"/>
          <w:lang w:val="en-US" w:eastAsia="zh-CN"/>
        </w:rPr>
        <w:t>电力部门意见</w:t>
      </w:r>
    </w:p>
    <w:p>
      <w:pPr>
        <w:ind w:firstLine="480"/>
        <w:rPr>
          <w:rFonts w:hint="default" w:ascii="Times New Roman" w:hAnsi="Times New Roman" w:cs="Times New Roman" w:eastAsiaTheme="minorEastAsia"/>
          <w:color w:val="auto"/>
          <w:lang w:val="en-US" w:eastAsia="zh-CN"/>
        </w:rPr>
      </w:pPr>
      <w:r>
        <w:rPr>
          <w:rFonts w:hint="default" w:ascii="Times New Roman" w:hAnsi="Times New Roman" w:cs="Times New Roman"/>
          <w:color w:val="auto"/>
        </w:rPr>
        <w:t>附件</w:t>
      </w:r>
      <w:r>
        <w:rPr>
          <w:rFonts w:hint="eastAsia" w:cs="Times New Roman"/>
          <w:color w:val="auto"/>
          <w:lang w:val="en-US" w:eastAsia="zh-CN"/>
        </w:rPr>
        <w:t>6</w:t>
      </w:r>
      <w:r>
        <w:rPr>
          <w:rFonts w:hint="default" w:ascii="Times New Roman" w:hAnsi="Times New Roman" w:cs="Times New Roman"/>
          <w:color w:val="auto"/>
        </w:rPr>
        <w:t xml:space="preserve">  </w:t>
      </w:r>
      <w:r>
        <w:rPr>
          <w:rFonts w:hint="eastAsia" w:cs="Times New Roman"/>
          <w:color w:val="auto"/>
          <w:lang w:val="en-US" w:eastAsia="zh-CN"/>
        </w:rPr>
        <w:t>大岭四期风电场项目环评批复</w:t>
      </w:r>
    </w:p>
    <w:p>
      <w:pPr>
        <w:ind w:firstLine="480"/>
        <w:rPr>
          <w:rFonts w:hint="default" w:ascii="Times New Roman" w:hAnsi="Times New Roman" w:cs="Times New Roman"/>
          <w:color w:val="auto"/>
        </w:rPr>
      </w:pPr>
      <w:r>
        <w:rPr>
          <w:rFonts w:hint="default" w:ascii="Times New Roman" w:hAnsi="Times New Roman" w:cs="Times New Roman"/>
          <w:color w:val="auto"/>
        </w:rPr>
        <w:t>附件</w:t>
      </w:r>
      <w:r>
        <w:rPr>
          <w:rFonts w:hint="eastAsia" w:cs="Times New Roman"/>
          <w:color w:val="auto"/>
          <w:lang w:val="en-US" w:eastAsia="zh-CN"/>
        </w:rPr>
        <w:t>7</w:t>
      </w:r>
      <w:r>
        <w:rPr>
          <w:rFonts w:hint="default" w:ascii="Times New Roman" w:hAnsi="Times New Roman" w:cs="Times New Roman"/>
          <w:color w:val="auto"/>
        </w:rPr>
        <w:t xml:space="preserve">  本项目现状监测报告</w:t>
      </w:r>
    </w:p>
    <w:p>
      <w:pPr>
        <w:ind w:firstLine="480"/>
        <w:rPr>
          <w:rFonts w:hint="default" w:ascii="Times New Roman" w:hAnsi="Times New Roman" w:cs="Times New Roman"/>
          <w:color w:val="auto"/>
        </w:rPr>
      </w:pPr>
      <w:r>
        <w:rPr>
          <w:rFonts w:hint="default" w:ascii="Times New Roman" w:hAnsi="Times New Roman" w:cs="Times New Roman"/>
          <w:color w:val="auto"/>
        </w:rPr>
        <w:t>附件</w:t>
      </w:r>
      <w:r>
        <w:rPr>
          <w:rFonts w:hint="eastAsia" w:cs="Times New Roman"/>
          <w:color w:val="auto"/>
          <w:lang w:val="en-US" w:eastAsia="zh-CN"/>
        </w:rPr>
        <w:t>8</w:t>
      </w:r>
      <w:r>
        <w:rPr>
          <w:rFonts w:hint="default" w:ascii="Times New Roman" w:hAnsi="Times New Roman" w:cs="Times New Roman"/>
          <w:color w:val="auto"/>
        </w:rPr>
        <w:t xml:space="preserve">  类比监测报告</w:t>
      </w:r>
    </w:p>
    <w:p>
      <w:pPr>
        <w:ind w:firstLine="0" w:firstLineChars="0"/>
        <w:rPr>
          <w:rFonts w:hint="default" w:ascii="Times New Roman" w:hAnsi="Times New Roman" w:cs="Times New Roman"/>
          <w:b/>
          <w:bCs/>
          <w:color w:val="auto"/>
        </w:rPr>
      </w:pPr>
    </w:p>
    <w:p>
      <w:pPr>
        <w:ind w:firstLine="0" w:firstLineChars="0"/>
        <w:rPr>
          <w:rFonts w:hint="default" w:ascii="Times New Roman" w:hAnsi="Times New Roman" w:cs="Times New Roman"/>
          <w:b/>
          <w:bCs/>
          <w:color w:val="auto"/>
        </w:rPr>
      </w:pPr>
      <w:r>
        <w:rPr>
          <w:rFonts w:hint="default" w:ascii="Times New Roman" w:hAnsi="Times New Roman" w:cs="Times New Roman"/>
          <w:b/>
          <w:bCs/>
          <w:color w:val="auto"/>
        </w:rPr>
        <w:t>附图</w:t>
      </w:r>
    </w:p>
    <w:p>
      <w:pPr>
        <w:ind w:firstLine="480"/>
        <w:rPr>
          <w:rFonts w:hint="default" w:ascii="Times New Roman" w:hAnsi="Times New Roman" w:cs="Times New Roman"/>
          <w:color w:val="auto"/>
        </w:rPr>
      </w:pPr>
      <w:r>
        <w:rPr>
          <w:rFonts w:hint="default" w:ascii="Times New Roman" w:hAnsi="Times New Roman" w:cs="Times New Roman"/>
          <w:color w:val="auto"/>
        </w:rPr>
        <w:t>附图1  项目地理位置图</w:t>
      </w:r>
    </w:p>
    <w:p>
      <w:pPr>
        <w:ind w:firstLine="480"/>
        <w:rPr>
          <w:rFonts w:hint="default" w:ascii="Times New Roman" w:hAnsi="Times New Roman" w:cs="Times New Roman"/>
          <w:color w:val="auto"/>
        </w:rPr>
      </w:pPr>
      <w:r>
        <w:rPr>
          <w:rFonts w:hint="default" w:ascii="Times New Roman" w:hAnsi="Times New Roman" w:cs="Times New Roman"/>
          <w:color w:val="auto"/>
        </w:rPr>
        <w:t>附图</w:t>
      </w:r>
      <w:r>
        <w:rPr>
          <w:rFonts w:hint="eastAsia" w:cs="Times New Roman"/>
          <w:color w:val="auto"/>
          <w:lang w:val="en-US" w:eastAsia="zh-CN"/>
        </w:rPr>
        <w:t>2</w:t>
      </w:r>
      <w:r>
        <w:rPr>
          <w:rFonts w:hint="default" w:ascii="Times New Roman" w:hAnsi="Times New Roman" w:cs="Times New Roman"/>
          <w:color w:val="auto"/>
        </w:rPr>
        <w:t xml:space="preserve">  升压站周围环境示意图</w:t>
      </w:r>
    </w:p>
    <w:p>
      <w:pPr>
        <w:ind w:firstLine="480"/>
        <w:rPr>
          <w:rFonts w:hint="default" w:ascii="Times New Roman" w:hAnsi="Times New Roman" w:cs="Times New Roman"/>
          <w:color w:val="auto"/>
        </w:rPr>
      </w:pPr>
      <w:r>
        <w:rPr>
          <w:rFonts w:hint="default" w:ascii="Times New Roman" w:hAnsi="Times New Roman" w:cs="Times New Roman"/>
          <w:color w:val="auto"/>
        </w:rPr>
        <w:t>附图</w:t>
      </w:r>
      <w:r>
        <w:rPr>
          <w:rFonts w:hint="eastAsia" w:cs="Times New Roman"/>
          <w:color w:val="auto"/>
          <w:lang w:val="en-US" w:eastAsia="zh-CN"/>
        </w:rPr>
        <w:t>3</w:t>
      </w:r>
      <w:r>
        <w:rPr>
          <w:rFonts w:hint="default" w:ascii="Times New Roman" w:hAnsi="Times New Roman" w:cs="Times New Roman"/>
          <w:color w:val="auto"/>
        </w:rPr>
        <w:t xml:space="preserve">  升压站</w:t>
      </w:r>
      <w:r>
        <w:rPr>
          <w:rFonts w:hint="eastAsia" w:cs="Times New Roman"/>
          <w:color w:val="auto"/>
          <w:lang w:val="en-US" w:eastAsia="zh-CN"/>
        </w:rPr>
        <w:t>周边纳污水系情况</w:t>
      </w:r>
      <w:r>
        <w:rPr>
          <w:rFonts w:hint="default" w:ascii="Times New Roman" w:hAnsi="Times New Roman" w:cs="Times New Roman"/>
          <w:color w:val="auto"/>
        </w:rPr>
        <w:t>图</w:t>
      </w:r>
    </w:p>
    <w:p>
      <w:pPr>
        <w:ind w:firstLine="480"/>
        <w:rPr>
          <w:rFonts w:hint="default" w:ascii="Times New Roman" w:hAnsi="Times New Roman" w:cs="Times New Roman"/>
          <w:color w:val="auto"/>
        </w:rPr>
      </w:pPr>
      <w:r>
        <w:rPr>
          <w:rFonts w:hint="default" w:ascii="Times New Roman" w:hAnsi="Times New Roman" w:cs="Times New Roman"/>
          <w:color w:val="auto"/>
        </w:rPr>
        <w:t>附图</w:t>
      </w:r>
      <w:r>
        <w:rPr>
          <w:rFonts w:hint="eastAsia" w:cs="Times New Roman"/>
          <w:color w:val="auto"/>
          <w:lang w:val="en-US" w:eastAsia="zh-CN"/>
        </w:rPr>
        <w:t>4</w:t>
      </w:r>
      <w:r>
        <w:rPr>
          <w:rFonts w:hint="default" w:ascii="Times New Roman" w:hAnsi="Times New Roman" w:cs="Times New Roman"/>
          <w:color w:val="auto"/>
        </w:rPr>
        <w:t xml:space="preserve">  升压站平面布置图</w:t>
      </w:r>
    </w:p>
    <w:p>
      <w:pPr>
        <w:ind w:firstLine="480"/>
        <w:rPr>
          <w:rFonts w:hint="default" w:ascii="Times New Roman" w:hAnsi="Times New Roman" w:cs="Times New Roman"/>
          <w:color w:val="auto"/>
        </w:rPr>
      </w:pPr>
      <w:r>
        <w:rPr>
          <w:rFonts w:hint="default" w:ascii="Times New Roman" w:hAnsi="Times New Roman" w:cs="Times New Roman"/>
          <w:color w:val="auto"/>
        </w:rPr>
        <w:t>附图</w:t>
      </w:r>
      <w:r>
        <w:rPr>
          <w:rFonts w:hint="eastAsia" w:cs="Times New Roman"/>
          <w:color w:val="auto"/>
          <w:lang w:val="en-US" w:eastAsia="zh-CN"/>
        </w:rPr>
        <w:t>5</w:t>
      </w:r>
      <w:r>
        <w:rPr>
          <w:rFonts w:hint="default" w:ascii="Times New Roman" w:hAnsi="Times New Roman" w:cs="Times New Roman"/>
          <w:color w:val="auto"/>
        </w:rPr>
        <w:t xml:space="preserve">  升压站</w:t>
      </w:r>
      <w:r>
        <w:rPr>
          <w:rFonts w:hint="eastAsia" w:cs="Times New Roman"/>
          <w:color w:val="auto"/>
          <w:lang w:val="en-US" w:eastAsia="zh-CN"/>
        </w:rPr>
        <w:t>噪声预测</w:t>
      </w:r>
      <w:r>
        <w:rPr>
          <w:rFonts w:hint="default" w:ascii="Times New Roman" w:hAnsi="Times New Roman" w:cs="Times New Roman"/>
          <w:color w:val="auto"/>
        </w:rPr>
        <w:t>图</w:t>
      </w:r>
    </w:p>
    <w:p>
      <w:pPr>
        <w:ind w:firstLine="480"/>
        <w:rPr>
          <w:rFonts w:hint="default" w:ascii="Times New Roman" w:hAnsi="Times New Roman" w:cs="Times New Roman"/>
          <w:color w:val="auto"/>
        </w:rPr>
      </w:pPr>
      <w:r>
        <w:rPr>
          <w:rFonts w:hint="default" w:ascii="Times New Roman" w:hAnsi="Times New Roman" w:cs="Times New Roman"/>
          <w:color w:val="auto"/>
        </w:rPr>
        <w:t>附图</w:t>
      </w:r>
      <w:r>
        <w:rPr>
          <w:rFonts w:hint="eastAsia" w:cs="Times New Roman"/>
          <w:color w:val="auto"/>
          <w:lang w:val="en-US" w:eastAsia="zh-CN"/>
        </w:rPr>
        <w:t>6</w:t>
      </w:r>
      <w:r>
        <w:rPr>
          <w:rFonts w:hint="default" w:ascii="Times New Roman" w:hAnsi="Times New Roman" w:cs="Times New Roman"/>
          <w:color w:val="auto"/>
        </w:rPr>
        <w:t xml:space="preserve">  升压站现场照片</w:t>
      </w:r>
    </w:p>
    <w:p>
      <w:pPr>
        <w:pStyle w:val="4"/>
        <w:ind w:left="0" w:leftChars="0" w:firstLine="0" w:firstLineChars="0"/>
        <w:rPr>
          <w:rFonts w:hint="default" w:ascii="Times New Roman" w:hAnsi="Times New Roman" w:cs="Times New Roman"/>
          <w:color w:val="auto"/>
        </w:rPr>
      </w:pPr>
    </w:p>
    <w:p>
      <w:pPr>
        <w:pStyle w:val="5"/>
        <w:rPr>
          <w:rFonts w:hint="default"/>
        </w:rPr>
        <w:sectPr>
          <w:headerReference r:id="rId5" w:type="default"/>
          <w:footerReference r:id="rId6" w:type="default"/>
          <w:type w:val="oddPage"/>
          <w:pgSz w:w="11906" w:h="16838"/>
          <w:pgMar w:top="1417" w:right="1134" w:bottom="1247" w:left="1247" w:header="851" w:footer="283" w:gutter="0"/>
          <w:pgBorders>
            <w:top w:val="none" w:sz="0" w:space="0"/>
            <w:left w:val="none" w:sz="0" w:space="0"/>
            <w:bottom w:val="none" w:sz="0" w:space="0"/>
            <w:right w:val="none" w:sz="0" w:space="0"/>
          </w:pgBorders>
          <w:pgNumType w:fmt="upperRoman" w:start="1"/>
          <w:cols w:space="425" w:num="1"/>
          <w:docGrid w:type="lines" w:linePitch="326" w:charSpace="0"/>
        </w:sectPr>
      </w:pPr>
    </w:p>
    <w:p>
      <w:pPr>
        <w:pStyle w:val="6"/>
        <w:numPr>
          <w:ilvl w:val="0"/>
          <w:numId w:val="8"/>
        </w:numPr>
        <w:ind w:firstLine="0" w:firstLineChars="0"/>
        <w:jc w:val="center"/>
        <w:rPr>
          <w:rFonts w:hint="default" w:ascii="Times New Roman" w:hAnsi="Times New Roman" w:cs="Times New Roman"/>
          <w:color w:val="auto"/>
          <w:sz w:val="28"/>
        </w:rPr>
      </w:pPr>
      <w:bookmarkStart w:id="0" w:name="_Toc69745417"/>
      <w:r>
        <w:rPr>
          <w:rFonts w:hint="default" w:ascii="Times New Roman" w:hAnsi="Times New Roman" w:cs="Times New Roman"/>
          <w:color w:val="auto"/>
          <w:sz w:val="28"/>
        </w:rPr>
        <w:t>建设项目基本情况</w:t>
      </w:r>
      <w:bookmarkEnd w:id="0"/>
    </w:p>
    <w:tbl>
      <w:tblPr>
        <w:tblStyle w:val="23"/>
        <w:tblW w:w="5000" w:type="pct"/>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20"/>
        <w:gridCol w:w="1254"/>
        <w:gridCol w:w="2414"/>
        <w:gridCol w:w="2059"/>
        <w:gridCol w:w="3194"/>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2074" w:type="dxa"/>
            <w:gridSpan w:val="2"/>
            <w:vAlign w:val="center"/>
          </w:tcPr>
          <w:p>
            <w:pPr>
              <w:spacing w:line="240" w:lineRule="auto"/>
              <w:ind w:firstLine="0" w:firstLineChars="0"/>
              <w:jc w:val="center"/>
              <w:rPr>
                <w:rFonts w:hint="default" w:ascii="Times New Roman" w:hAnsi="Times New Roman" w:eastAsia="宋体" w:cs="Times New Roman"/>
                <w:color w:val="auto"/>
              </w:rPr>
            </w:pPr>
            <w:r>
              <w:rPr>
                <w:rFonts w:hint="default" w:ascii="Times New Roman" w:hAnsi="Times New Roman" w:eastAsia="宋体" w:cs="Times New Roman"/>
                <w:color w:val="auto"/>
              </w:rPr>
              <w:t>建设项目名称</w:t>
            </w:r>
          </w:p>
        </w:tc>
        <w:tc>
          <w:tcPr>
            <w:tcW w:w="7667" w:type="dxa"/>
            <w:gridSpan w:val="3"/>
            <w:vAlign w:val="center"/>
          </w:tcPr>
          <w:p>
            <w:pPr>
              <w:spacing w:line="240" w:lineRule="auto"/>
              <w:ind w:firstLine="0" w:firstLineChars="0"/>
              <w:jc w:val="center"/>
              <w:rPr>
                <w:rFonts w:hint="default" w:ascii="Times New Roman" w:hAnsi="Times New Roman" w:eastAsia="宋体" w:cs="Times New Roman"/>
                <w:color w:val="auto"/>
              </w:rPr>
            </w:pPr>
            <w:r>
              <w:rPr>
                <w:rFonts w:hint="default" w:ascii="Times New Roman" w:hAnsi="Times New Roman" w:eastAsia="宋体" w:cs="Times New Roman"/>
                <w:color w:val="auto"/>
                <w:lang w:eastAsia="zh-CN"/>
              </w:rPr>
              <w:t>济源大岭四期100MW风电场项目配套110kV升压站工程</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2074" w:type="dxa"/>
            <w:gridSpan w:val="2"/>
            <w:vAlign w:val="center"/>
          </w:tcPr>
          <w:p>
            <w:pPr>
              <w:spacing w:line="240" w:lineRule="auto"/>
              <w:ind w:firstLine="0" w:firstLineChars="0"/>
              <w:jc w:val="center"/>
              <w:rPr>
                <w:rFonts w:hint="default" w:ascii="Times New Roman" w:hAnsi="Times New Roman" w:eastAsia="宋体" w:cs="Times New Roman"/>
                <w:color w:val="0000FF"/>
              </w:rPr>
            </w:pPr>
            <w:r>
              <w:rPr>
                <w:rFonts w:hint="default" w:ascii="Times New Roman" w:hAnsi="Times New Roman" w:eastAsia="宋体" w:cs="Times New Roman"/>
                <w:color w:val="auto"/>
              </w:rPr>
              <w:t>项目代码</w:t>
            </w:r>
          </w:p>
        </w:tc>
        <w:tc>
          <w:tcPr>
            <w:tcW w:w="7667" w:type="dxa"/>
            <w:gridSpan w:val="3"/>
            <w:vAlign w:val="center"/>
          </w:tcPr>
          <w:p>
            <w:pPr>
              <w:adjustRightInd w:val="0"/>
              <w:snapToGrid w:val="0"/>
              <w:spacing w:line="400" w:lineRule="exact"/>
              <w:ind w:firstLine="0" w:firstLineChars="0"/>
              <w:jc w:val="center"/>
              <w:textAlignment w:val="auto"/>
              <w:rPr>
                <w:rFonts w:hint="default" w:ascii="Times New Roman" w:hAnsi="Times New Roman" w:eastAsia="宋体" w:cs="Times New Roman"/>
                <w:color w:val="0000FF"/>
              </w:rPr>
            </w:pPr>
            <w:r>
              <w:rPr>
                <w:rFonts w:hint="default" w:ascii="Times New Roman" w:hAnsi="Times New Roman" w:eastAsia="Times New Roman" w:cs="Times New Roman"/>
                <w:sz w:val="24"/>
                <w:szCs w:val="24"/>
                <w:lang w:val="zh-CN"/>
              </w:rPr>
              <w:t>2112-419001-04-01-984885</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2074" w:type="dxa"/>
            <w:gridSpan w:val="2"/>
            <w:vAlign w:val="center"/>
          </w:tcPr>
          <w:p>
            <w:pPr>
              <w:spacing w:line="240" w:lineRule="auto"/>
              <w:ind w:firstLine="0" w:firstLineChars="0"/>
              <w:jc w:val="center"/>
              <w:rPr>
                <w:rFonts w:hint="default" w:ascii="Times New Roman" w:hAnsi="Times New Roman" w:eastAsia="宋体" w:cs="Times New Roman"/>
                <w:color w:val="0000FF"/>
              </w:rPr>
            </w:pPr>
            <w:r>
              <w:rPr>
                <w:rFonts w:hint="default" w:ascii="Times New Roman" w:hAnsi="Times New Roman" w:eastAsia="宋体" w:cs="Times New Roman"/>
                <w:color w:val="auto"/>
                <w:highlight w:val="none"/>
              </w:rPr>
              <w:t>建设单位联系人</w:t>
            </w:r>
          </w:p>
        </w:tc>
        <w:tc>
          <w:tcPr>
            <w:tcW w:w="2414" w:type="dxa"/>
            <w:vAlign w:val="center"/>
          </w:tcPr>
          <w:p>
            <w:pPr>
              <w:spacing w:line="240" w:lineRule="auto"/>
              <w:ind w:firstLine="0" w:firstLineChars="0"/>
              <w:jc w:val="center"/>
              <w:rPr>
                <w:rFonts w:hint="default" w:ascii="Times New Roman" w:hAnsi="Times New Roman" w:eastAsia="宋体" w:cs="Times New Roman"/>
                <w:color w:val="0000FF"/>
              </w:rPr>
            </w:pPr>
            <w:r>
              <w:rPr>
                <w:rFonts w:hint="default" w:ascii="Times New Roman" w:hAnsi="Times New Roman" w:eastAsia="宋体" w:cs="Times New Roman"/>
                <w:color w:val="auto"/>
                <w:highlight w:val="none"/>
              </w:rPr>
              <w:t>钱方敏</w:t>
            </w:r>
          </w:p>
        </w:tc>
        <w:tc>
          <w:tcPr>
            <w:tcW w:w="2059" w:type="dxa"/>
            <w:vAlign w:val="center"/>
          </w:tcPr>
          <w:p>
            <w:pPr>
              <w:spacing w:line="240" w:lineRule="auto"/>
              <w:ind w:firstLine="0" w:firstLineChars="0"/>
              <w:jc w:val="center"/>
              <w:rPr>
                <w:rFonts w:hint="default" w:ascii="Times New Roman" w:hAnsi="Times New Roman" w:eastAsia="宋体" w:cs="Times New Roman"/>
                <w:color w:val="auto"/>
              </w:rPr>
            </w:pPr>
            <w:r>
              <w:rPr>
                <w:rFonts w:hint="default" w:ascii="Times New Roman" w:hAnsi="Times New Roman" w:eastAsia="宋体" w:cs="Times New Roman"/>
                <w:color w:val="auto"/>
              </w:rPr>
              <w:t>联系方式</w:t>
            </w:r>
          </w:p>
        </w:tc>
        <w:tc>
          <w:tcPr>
            <w:tcW w:w="3194" w:type="dxa"/>
            <w:vAlign w:val="center"/>
          </w:tcPr>
          <w:p>
            <w:pPr>
              <w:spacing w:line="240" w:lineRule="auto"/>
              <w:ind w:firstLine="0" w:firstLineChars="0"/>
              <w:jc w:val="center"/>
              <w:rPr>
                <w:rFonts w:hint="default" w:ascii="Times New Roman" w:hAnsi="Times New Roman" w:eastAsia="宋体" w:cs="Times New Roman"/>
                <w:color w:val="auto"/>
                <w:lang w:val="en-US"/>
              </w:rPr>
            </w:pPr>
            <w:r>
              <w:rPr>
                <w:rFonts w:hint="eastAsia" w:cs="Times New Roman"/>
                <w:color w:val="auto"/>
                <w:sz w:val="24"/>
                <w:lang w:val="en-US" w:eastAsia="zh-CN"/>
              </w:rPr>
              <w:t>18272733645</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2074" w:type="dxa"/>
            <w:gridSpan w:val="2"/>
            <w:vAlign w:val="center"/>
          </w:tcPr>
          <w:p>
            <w:pPr>
              <w:spacing w:line="240" w:lineRule="auto"/>
              <w:ind w:firstLine="0" w:firstLineChars="0"/>
              <w:jc w:val="center"/>
              <w:rPr>
                <w:rFonts w:hint="default" w:ascii="Times New Roman" w:hAnsi="Times New Roman" w:eastAsia="宋体" w:cs="Times New Roman"/>
                <w:color w:val="0000FF"/>
              </w:rPr>
            </w:pPr>
            <w:r>
              <w:rPr>
                <w:rFonts w:hint="default" w:ascii="Times New Roman" w:hAnsi="Times New Roman" w:eastAsia="宋体" w:cs="Times New Roman"/>
                <w:color w:val="auto"/>
              </w:rPr>
              <w:t>建设地点</w:t>
            </w:r>
          </w:p>
        </w:tc>
        <w:tc>
          <w:tcPr>
            <w:tcW w:w="7667" w:type="dxa"/>
            <w:gridSpan w:val="3"/>
            <w:vAlign w:val="center"/>
          </w:tcPr>
          <w:p>
            <w:pPr>
              <w:spacing w:line="240" w:lineRule="auto"/>
              <w:ind w:firstLine="0" w:firstLineChars="0"/>
              <w:jc w:val="center"/>
              <w:rPr>
                <w:rFonts w:hint="eastAsia" w:ascii="Times New Roman" w:hAnsi="Times New Roman" w:eastAsia="宋体" w:cs="Times New Roman"/>
                <w:color w:val="0000FF"/>
                <w:lang w:eastAsia="zh-CN"/>
              </w:rPr>
            </w:pPr>
            <w:r>
              <w:rPr>
                <w:rFonts w:hint="default" w:ascii="Times New Roman" w:hAnsi="Times New Roman" w:cs="Times New Roman"/>
                <w:sz w:val="24"/>
                <w:lang w:val="en-US" w:eastAsia="zh-CN"/>
              </w:rPr>
              <w:t>河南省济源市</w:t>
            </w:r>
            <w:r>
              <w:rPr>
                <w:rFonts w:hint="default" w:ascii="Times New Roman" w:hAnsi="Times New Roman" w:eastAsia="Times New Roman" w:cs="Times New Roman"/>
                <w:sz w:val="24"/>
                <w:szCs w:val="24"/>
                <w:lang w:val="zh-CN"/>
              </w:rPr>
              <w:t>大峪镇</w:t>
            </w:r>
            <w:r>
              <w:rPr>
                <w:rFonts w:hint="eastAsia" w:eastAsia="宋体" w:cs="Times New Roman"/>
                <w:sz w:val="24"/>
                <w:szCs w:val="24"/>
                <w:lang w:val="en-US" w:eastAsia="zh-CN"/>
              </w:rPr>
              <w:t>三岔河村</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2074" w:type="dxa"/>
            <w:gridSpan w:val="2"/>
            <w:vAlign w:val="center"/>
          </w:tcPr>
          <w:p>
            <w:pPr>
              <w:spacing w:line="240" w:lineRule="auto"/>
              <w:ind w:firstLine="0" w:firstLineChars="0"/>
              <w:jc w:val="center"/>
              <w:rPr>
                <w:rFonts w:hint="default" w:ascii="Times New Roman" w:hAnsi="Times New Roman" w:eastAsia="宋体" w:cs="Times New Roman"/>
                <w:color w:val="auto"/>
              </w:rPr>
            </w:pPr>
            <w:r>
              <w:rPr>
                <w:rFonts w:hint="default" w:ascii="Times New Roman" w:hAnsi="Times New Roman" w:eastAsia="宋体" w:cs="Times New Roman"/>
                <w:color w:val="auto"/>
              </w:rPr>
              <w:t>地理坐标</w:t>
            </w:r>
          </w:p>
        </w:tc>
        <w:tc>
          <w:tcPr>
            <w:tcW w:w="7667" w:type="dxa"/>
            <w:gridSpan w:val="3"/>
            <w:vAlign w:val="center"/>
          </w:tcPr>
          <w:p>
            <w:pPr>
              <w:spacing w:line="240" w:lineRule="auto"/>
              <w:ind w:firstLine="0" w:firstLineChars="0"/>
              <w:jc w:val="center"/>
              <w:rPr>
                <w:rFonts w:hint="default" w:ascii="Times New Roman" w:hAnsi="Times New Roman" w:eastAsia="宋体" w:cs="Times New Roman"/>
                <w:color w:val="auto"/>
              </w:rPr>
            </w:pPr>
            <w:r>
              <w:rPr>
                <w:rFonts w:hint="default" w:ascii="Times New Roman" w:hAnsi="Times New Roman" w:eastAsia="宋体" w:cs="Times New Roman"/>
                <w:color w:val="auto"/>
              </w:rPr>
              <w:t>11</w:t>
            </w:r>
            <w:r>
              <w:rPr>
                <w:rFonts w:hint="default" w:ascii="Times New Roman" w:hAnsi="Times New Roman" w:eastAsia="宋体" w:cs="Times New Roman"/>
                <w:color w:val="auto"/>
                <w:lang w:val="en-US" w:eastAsia="zh-CN"/>
              </w:rPr>
              <w:t>2</w:t>
            </w:r>
            <w:r>
              <w:rPr>
                <w:rFonts w:hint="default" w:ascii="Times New Roman" w:hAnsi="Times New Roman" w:eastAsia="宋体" w:cs="Times New Roman"/>
                <w:color w:val="auto"/>
              </w:rPr>
              <w:t>度</w:t>
            </w:r>
            <w:r>
              <w:rPr>
                <w:rFonts w:hint="default" w:ascii="Times New Roman" w:hAnsi="Times New Roman" w:eastAsia="宋体" w:cs="Times New Roman"/>
                <w:color w:val="auto"/>
                <w:lang w:val="en-US" w:eastAsia="zh-CN"/>
              </w:rPr>
              <w:t>21</w:t>
            </w:r>
            <w:r>
              <w:rPr>
                <w:rFonts w:hint="default" w:ascii="Times New Roman" w:hAnsi="Times New Roman" w:eastAsia="宋体" w:cs="Times New Roman"/>
                <w:color w:val="auto"/>
              </w:rPr>
              <w:t>分59.094秒，3</w:t>
            </w:r>
            <w:r>
              <w:rPr>
                <w:rFonts w:hint="default" w:ascii="Times New Roman" w:hAnsi="Times New Roman" w:eastAsia="宋体" w:cs="Times New Roman"/>
                <w:color w:val="auto"/>
                <w:lang w:val="en-US" w:eastAsia="zh-CN"/>
              </w:rPr>
              <w:t>5</w:t>
            </w:r>
            <w:r>
              <w:rPr>
                <w:rFonts w:hint="default" w:ascii="Times New Roman" w:hAnsi="Times New Roman" w:eastAsia="宋体" w:cs="Times New Roman"/>
                <w:color w:val="auto"/>
              </w:rPr>
              <w:t>度</w:t>
            </w:r>
            <w:r>
              <w:rPr>
                <w:rFonts w:hint="default" w:ascii="Times New Roman" w:hAnsi="Times New Roman" w:eastAsia="宋体" w:cs="Times New Roman"/>
                <w:color w:val="auto"/>
                <w:lang w:val="en-US" w:eastAsia="zh-CN"/>
              </w:rPr>
              <w:t>5</w:t>
            </w:r>
            <w:r>
              <w:rPr>
                <w:rFonts w:hint="default" w:ascii="Times New Roman" w:hAnsi="Times New Roman" w:eastAsia="宋体" w:cs="Times New Roman"/>
                <w:color w:val="auto"/>
              </w:rPr>
              <w:t>分3.16</w:t>
            </w:r>
            <w:r>
              <w:rPr>
                <w:rFonts w:hint="default" w:ascii="Times New Roman" w:hAnsi="Times New Roman" w:eastAsia="宋体" w:cs="Times New Roman"/>
                <w:color w:val="auto"/>
                <w:lang w:val="en-US" w:eastAsia="zh-CN"/>
              </w:rPr>
              <w:t>2</w:t>
            </w:r>
            <w:r>
              <w:rPr>
                <w:rFonts w:hint="default" w:ascii="Times New Roman" w:hAnsi="Times New Roman" w:eastAsia="宋体" w:cs="Times New Roman"/>
                <w:color w:val="auto"/>
              </w:rPr>
              <w:t>秒</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2074" w:type="dxa"/>
            <w:gridSpan w:val="2"/>
            <w:vAlign w:val="center"/>
          </w:tcPr>
          <w:p>
            <w:pPr>
              <w:spacing w:line="240" w:lineRule="auto"/>
              <w:ind w:firstLine="0" w:firstLineChars="0"/>
              <w:jc w:val="center"/>
              <w:rPr>
                <w:rFonts w:hint="default" w:ascii="Times New Roman" w:hAnsi="Times New Roman" w:eastAsia="宋体" w:cs="Times New Roman"/>
                <w:color w:val="auto"/>
              </w:rPr>
            </w:pPr>
            <w:r>
              <w:rPr>
                <w:rFonts w:hint="default" w:ascii="Times New Roman" w:hAnsi="Times New Roman" w:eastAsia="宋体" w:cs="Times New Roman"/>
                <w:color w:val="auto"/>
              </w:rPr>
              <w:t>建设项目</w:t>
            </w:r>
          </w:p>
          <w:p>
            <w:pPr>
              <w:spacing w:line="240" w:lineRule="auto"/>
              <w:ind w:firstLine="0" w:firstLineChars="0"/>
              <w:jc w:val="center"/>
              <w:rPr>
                <w:rFonts w:hint="default" w:ascii="Times New Roman" w:hAnsi="Times New Roman" w:eastAsia="宋体" w:cs="Times New Roman"/>
                <w:color w:val="0000FF"/>
              </w:rPr>
            </w:pPr>
            <w:r>
              <w:rPr>
                <w:rFonts w:hint="default" w:ascii="Times New Roman" w:hAnsi="Times New Roman" w:eastAsia="宋体" w:cs="Times New Roman"/>
                <w:color w:val="auto"/>
              </w:rPr>
              <w:t>行业类别</w:t>
            </w:r>
          </w:p>
        </w:tc>
        <w:tc>
          <w:tcPr>
            <w:tcW w:w="2414" w:type="dxa"/>
            <w:vAlign w:val="center"/>
          </w:tcPr>
          <w:p>
            <w:pPr>
              <w:spacing w:line="240" w:lineRule="auto"/>
              <w:ind w:firstLine="0" w:firstLineChars="0"/>
              <w:jc w:val="center"/>
              <w:rPr>
                <w:rFonts w:hint="eastAsia" w:ascii="Times New Roman" w:hAnsi="Times New Roman" w:eastAsia="宋体" w:cs="Times New Roman"/>
                <w:color w:val="0000FF"/>
                <w:lang w:val="en-US" w:eastAsia="zh-CN"/>
              </w:rPr>
            </w:pPr>
            <w:r>
              <w:rPr>
                <w:rFonts w:hint="eastAsia" w:ascii="Times New Roman" w:hAnsi="Times New Roman" w:cs="Times New Roman"/>
                <w:sz w:val="24"/>
                <w:lang w:val="en-US" w:eastAsia="zh-CN"/>
              </w:rPr>
              <w:t>五十五、核与辐射161输变电工程：其他（100千伏以下除外）</w:t>
            </w:r>
          </w:p>
        </w:tc>
        <w:tc>
          <w:tcPr>
            <w:tcW w:w="2059" w:type="dxa"/>
            <w:vAlign w:val="center"/>
          </w:tcPr>
          <w:p>
            <w:pPr>
              <w:spacing w:line="240" w:lineRule="auto"/>
              <w:ind w:firstLine="0" w:firstLineChars="0"/>
              <w:jc w:val="center"/>
              <w:rPr>
                <w:rFonts w:hint="default" w:ascii="Times New Roman" w:hAnsi="Times New Roman" w:eastAsia="宋体" w:cs="Times New Roman"/>
                <w:color w:val="auto"/>
              </w:rPr>
            </w:pPr>
            <w:r>
              <w:rPr>
                <w:rFonts w:hint="default" w:ascii="Times New Roman" w:hAnsi="Times New Roman" w:eastAsia="宋体" w:cs="Times New Roman"/>
                <w:color w:val="auto"/>
              </w:rPr>
              <w:t>用地面积</w:t>
            </w:r>
          </w:p>
        </w:tc>
        <w:tc>
          <w:tcPr>
            <w:tcW w:w="3194" w:type="dxa"/>
            <w:vAlign w:val="center"/>
          </w:tcPr>
          <w:p>
            <w:pPr>
              <w:spacing w:line="240" w:lineRule="auto"/>
              <w:ind w:firstLine="0" w:firstLineChars="0"/>
              <w:jc w:val="center"/>
              <w:rPr>
                <w:rFonts w:hint="default" w:ascii="Times New Roman" w:hAnsi="Times New Roman" w:eastAsia="宋体" w:cs="Times New Roman"/>
                <w:color w:val="auto"/>
              </w:rPr>
            </w:pPr>
            <w:r>
              <w:rPr>
                <w:rFonts w:hint="eastAsia" w:eastAsia="宋体" w:cs="Times New Roman"/>
                <w:color w:val="auto"/>
                <w:lang w:val="en-US" w:eastAsia="zh-CN"/>
              </w:rPr>
              <w:t>9192</w:t>
            </w:r>
            <w:r>
              <w:rPr>
                <w:rFonts w:hint="default" w:ascii="Times New Roman" w:hAnsi="Times New Roman" w:eastAsia="宋体" w:cs="Times New Roman"/>
                <w:color w:val="auto"/>
              </w:rPr>
              <w:t>m</w:t>
            </w:r>
            <w:r>
              <w:rPr>
                <w:rFonts w:hint="default" w:ascii="Times New Roman" w:hAnsi="Times New Roman" w:eastAsia="宋体" w:cs="Times New Roman"/>
                <w:color w:val="auto"/>
                <w:vertAlign w:val="superscript"/>
              </w:rPr>
              <w:t>2</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2074" w:type="dxa"/>
            <w:gridSpan w:val="2"/>
            <w:vAlign w:val="center"/>
          </w:tcPr>
          <w:p>
            <w:pPr>
              <w:spacing w:line="240" w:lineRule="auto"/>
              <w:ind w:firstLine="0" w:firstLineChars="0"/>
              <w:jc w:val="center"/>
              <w:rPr>
                <w:rFonts w:hint="default" w:ascii="Times New Roman" w:hAnsi="Times New Roman" w:eastAsia="宋体" w:cs="Times New Roman"/>
                <w:color w:val="auto"/>
              </w:rPr>
            </w:pPr>
            <w:r>
              <w:rPr>
                <w:rFonts w:hint="default" w:ascii="Times New Roman" w:hAnsi="Times New Roman" w:eastAsia="宋体" w:cs="Times New Roman"/>
                <w:color w:val="auto"/>
              </w:rPr>
              <w:t>建设性质</w:t>
            </w:r>
          </w:p>
        </w:tc>
        <w:tc>
          <w:tcPr>
            <w:tcW w:w="2414"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rPr>
                <w:rFonts w:hint="default" w:ascii="Times New Roman" w:hAnsi="Times New Roman" w:cs="Times New Roman"/>
                <w:color w:val="auto"/>
                <w:szCs w:val="21"/>
              </w:rPr>
            </w:pPr>
            <w:r>
              <w:rPr>
                <w:rFonts w:hint="default" w:ascii="Times New Roman" w:hAnsi="Times New Roman" w:cs="Times New Roman"/>
                <w:color w:val="auto"/>
                <w:szCs w:val="21"/>
                <w:lang w:eastAsia="zh-CN"/>
              </w:rPr>
              <w:t>☑</w:t>
            </w:r>
            <w:r>
              <w:rPr>
                <w:rFonts w:hint="default" w:ascii="Times New Roman" w:hAnsi="Times New Roman" w:cs="Times New Roman"/>
                <w:color w:val="auto"/>
                <w:szCs w:val="21"/>
              </w:rPr>
              <w:t>新建（迁建）</w:t>
            </w:r>
          </w:p>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rPr>
                <w:rFonts w:hint="default" w:ascii="Times New Roman" w:hAnsi="Times New Roman" w:cs="Times New Roman"/>
                <w:color w:val="auto"/>
                <w:szCs w:val="21"/>
              </w:rPr>
            </w:pPr>
            <w:r>
              <w:rPr>
                <w:rFonts w:hint="eastAsia" w:ascii="Times New Roman" w:hAnsi="Times New Roman" w:cs="Times New Roman"/>
                <w:color w:val="auto"/>
                <w:szCs w:val="21"/>
                <w:lang w:eastAsia="zh-CN"/>
              </w:rPr>
              <w:t>□</w:t>
            </w:r>
            <w:r>
              <w:rPr>
                <w:rFonts w:hint="default" w:ascii="Times New Roman" w:hAnsi="Times New Roman" w:cs="Times New Roman"/>
                <w:color w:val="auto"/>
                <w:szCs w:val="21"/>
              </w:rPr>
              <w:t>改建</w:t>
            </w:r>
          </w:p>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rPr>
                <w:rFonts w:hint="default" w:ascii="Times New Roman" w:hAnsi="Times New Roman" w:cs="Times New Roman"/>
                <w:color w:val="auto"/>
                <w:szCs w:val="21"/>
              </w:rPr>
            </w:pPr>
            <w:r>
              <w:rPr>
                <w:rFonts w:hint="eastAsia" w:ascii="Times New Roman" w:hAnsi="Times New Roman" w:cs="Times New Roman"/>
                <w:color w:val="auto"/>
                <w:szCs w:val="21"/>
                <w:lang w:eastAsia="zh-CN"/>
              </w:rPr>
              <w:t>□</w:t>
            </w:r>
            <w:r>
              <w:rPr>
                <w:rFonts w:hint="default" w:ascii="Times New Roman" w:hAnsi="Times New Roman" w:cs="Times New Roman"/>
                <w:color w:val="auto"/>
                <w:szCs w:val="21"/>
              </w:rPr>
              <w:t>扩建</w:t>
            </w:r>
          </w:p>
          <w:p>
            <w:pPr>
              <w:keepNext w:val="0"/>
              <w:keepLines w:val="0"/>
              <w:pageBreakBefore w:val="0"/>
              <w:widowControl w:val="0"/>
              <w:kinsoku/>
              <w:wordWrap/>
              <w:overflowPunct/>
              <w:topLinePunct w:val="0"/>
              <w:autoSpaceDE/>
              <w:autoSpaceDN/>
              <w:bidi w:val="0"/>
              <w:snapToGrid w:val="0"/>
              <w:spacing w:line="240" w:lineRule="auto"/>
              <w:ind w:firstLine="0" w:firstLineChars="0"/>
              <w:jc w:val="left"/>
              <w:textAlignment w:val="auto"/>
              <w:rPr>
                <w:rFonts w:hint="default" w:ascii="Times New Roman" w:hAnsi="Times New Roman" w:eastAsia="宋体" w:cs="Times New Roman"/>
                <w:color w:val="auto"/>
              </w:rPr>
            </w:pPr>
            <w:r>
              <w:rPr>
                <w:rFonts w:hint="eastAsia" w:ascii="Times New Roman" w:hAnsi="Times New Roman" w:cs="Times New Roman"/>
                <w:color w:val="auto"/>
                <w:szCs w:val="21"/>
                <w:lang w:eastAsia="zh-CN"/>
              </w:rPr>
              <w:t>□</w:t>
            </w:r>
            <w:r>
              <w:rPr>
                <w:rFonts w:hint="default" w:ascii="Times New Roman" w:hAnsi="Times New Roman" w:cs="Times New Roman"/>
                <w:color w:val="auto"/>
                <w:szCs w:val="21"/>
              </w:rPr>
              <w:t>技术改造</w:t>
            </w:r>
          </w:p>
        </w:tc>
        <w:tc>
          <w:tcPr>
            <w:tcW w:w="2059" w:type="dxa"/>
            <w:vAlign w:val="center"/>
          </w:tcPr>
          <w:p>
            <w:pPr>
              <w:spacing w:line="240" w:lineRule="auto"/>
              <w:ind w:firstLine="0" w:firstLineChars="0"/>
              <w:jc w:val="center"/>
              <w:rPr>
                <w:rFonts w:hint="default" w:ascii="Times New Roman" w:hAnsi="Times New Roman" w:eastAsia="宋体" w:cs="Times New Roman"/>
                <w:color w:val="auto"/>
              </w:rPr>
            </w:pPr>
            <w:r>
              <w:rPr>
                <w:rFonts w:hint="default" w:ascii="Times New Roman" w:hAnsi="Times New Roman" w:eastAsia="宋体" w:cs="Times New Roman"/>
                <w:color w:val="auto"/>
              </w:rPr>
              <w:t>建设项目</w:t>
            </w:r>
          </w:p>
          <w:p>
            <w:pPr>
              <w:spacing w:line="240" w:lineRule="auto"/>
              <w:ind w:firstLine="0" w:firstLineChars="0"/>
              <w:jc w:val="center"/>
              <w:rPr>
                <w:rFonts w:hint="default" w:ascii="Times New Roman" w:hAnsi="Times New Roman" w:eastAsia="宋体" w:cs="Times New Roman"/>
                <w:color w:val="auto"/>
              </w:rPr>
            </w:pPr>
            <w:r>
              <w:rPr>
                <w:rFonts w:hint="default" w:ascii="Times New Roman" w:hAnsi="Times New Roman" w:eastAsia="宋体" w:cs="Times New Roman"/>
                <w:color w:val="auto"/>
              </w:rPr>
              <w:t>申报情形</w:t>
            </w:r>
          </w:p>
        </w:tc>
        <w:tc>
          <w:tcPr>
            <w:tcW w:w="3194" w:type="dxa"/>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left"/>
              <w:rPr>
                <w:rFonts w:hint="default" w:ascii="Times New Roman" w:hAnsi="Times New Roman" w:cs="Times New Roman"/>
                <w:szCs w:val="21"/>
              </w:rPr>
            </w:pPr>
            <w:r>
              <w:rPr>
                <w:rFonts w:hint="default" w:ascii="Times New Roman" w:hAnsi="Times New Roman" w:cs="Times New Roman"/>
                <w:szCs w:val="21"/>
                <w:lang w:eastAsia="zh-CN"/>
              </w:rPr>
              <w:t>☑</w:t>
            </w:r>
            <w:r>
              <w:rPr>
                <w:rFonts w:hint="default" w:ascii="Times New Roman" w:hAnsi="Times New Roman" w:cs="Times New Roman"/>
                <w:szCs w:val="21"/>
              </w:rPr>
              <w:t>首次申报项目</w:t>
            </w:r>
          </w:p>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left"/>
              <w:rPr>
                <w:rFonts w:hint="default" w:ascii="Times New Roman" w:hAnsi="Times New Roman" w:cs="Times New Roman"/>
                <w:szCs w:val="21"/>
              </w:rPr>
            </w:pPr>
            <w:r>
              <w:rPr>
                <w:rFonts w:hint="eastAsia" w:ascii="Times New Roman" w:hAnsi="Times New Roman" w:cs="Times New Roman"/>
                <w:color w:val="auto"/>
                <w:szCs w:val="21"/>
                <w:lang w:eastAsia="zh-CN"/>
              </w:rPr>
              <w:t>□</w:t>
            </w:r>
            <w:r>
              <w:rPr>
                <w:rFonts w:hint="default" w:ascii="Times New Roman" w:hAnsi="Times New Roman" w:cs="Times New Roman"/>
                <w:szCs w:val="21"/>
              </w:rPr>
              <w:t>不予批准后再次申报项目</w:t>
            </w:r>
          </w:p>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left"/>
              <w:rPr>
                <w:rFonts w:hint="default" w:ascii="Times New Roman" w:hAnsi="Times New Roman" w:cs="Times New Roman"/>
                <w:szCs w:val="21"/>
              </w:rPr>
            </w:pPr>
            <w:r>
              <w:rPr>
                <w:rFonts w:hint="eastAsia" w:ascii="Times New Roman" w:hAnsi="Times New Roman" w:cs="Times New Roman"/>
                <w:color w:val="auto"/>
                <w:szCs w:val="21"/>
                <w:lang w:eastAsia="zh-CN"/>
              </w:rPr>
              <w:t>□</w:t>
            </w:r>
            <w:r>
              <w:rPr>
                <w:rFonts w:hint="default" w:ascii="Times New Roman" w:hAnsi="Times New Roman" w:cs="Times New Roman"/>
                <w:szCs w:val="21"/>
              </w:rPr>
              <w:t>超五年重新审核项目</w:t>
            </w:r>
          </w:p>
          <w:p>
            <w:pPr>
              <w:keepNext w:val="0"/>
              <w:keepLines w:val="0"/>
              <w:pageBreakBefore w:val="0"/>
              <w:widowControl w:val="0"/>
              <w:kinsoku/>
              <w:wordWrap/>
              <w:overflowPunct/>
              <w:topLinePunct w:val="0"/>
              <w:autoSpaceDE/>
              <w:autoSpaceDN/>
              <w:bidi w:val="0"/>
              <w:snapToGrid/>
              <w:spacing w:line="240" w:lineRule="auto"/>
              <w:ind w:firstLine="0" w:firstLineChars="0"/>
              <w:jc w:val="left"/>
              <w:textAlignment w:val="auto"/>
              <w:rPr>
                <w:rFonts w:hint="default" w:ascii="Times New Roman" w:hAnsi="Times New Roman" w:eastAsia="宋体" w:cs="Times New Roman"/>
                <w:color w:val="0000FF"/>
              </w:rPr>
            </w:pPr>
            <w:r>
              <w:rPr>
                <w:rFonts w:hint="eastAsia" w:ascii="Times New Roman" w:hAnsi="Times New Roman" w:cs="Times New Roman"/>
                <w:color w:val="auto"/>
                <w:szCs w:val="21"/>
                <w:lang w:eastAsia="zh-CN"/>
              </w:rPr>
              <w:t>□</w:t>
            </w:r>
            <w:r>
              <w:rPr>
                <w:rFonts w:hint="default" w:ascii="Times New Roman" w:hAnsi="Times New Roman" w:cs="Times New Roman"/>
                <w:szCs w:val="21"/>
              </w:rPr>
              <w:t>重大变动重新报批项目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11" w:hRule="atLeast"/>
          <w:jc w:val="center"/>
        </w:trPr>
        <w:tc>
          <w:tcPr>
            <w:tcW w:w="2074" w:type="dxa"/>
            <w:gridSpan w:val="2"/>
            <w:vAlign w:val="center"/>
          </w:tcPr>
          <w:p>
            <w:pPr>
              <w:spacing w:line="240" w:lineRule="auto"/>
              <w:ind w:firstLine="0" w:firstLineChars="0"/>
              <w:jc w:val="center"/>
              <w:rPr>
                <w:rFonts w:hint="default" w:ascii="Times New Roman" w:hAnsi="Times New Roman" w:eastAsia="宋体" w:cs="Times New Roman"/>
                <w:color w:val="auto"/>
              </w:rPr>
            </w:pPr>
            <w:r>
              <w:rPr>
                <w:rFonts w:hint="default" w:ascii="Times New Roman" w:hAnsi="Times New Roman" w:eastAsia="宋体" w:cs="Times New Roman"/>
                <w:color w:val="auto"/>
              </w:rPr>
              <w:t>项目审批（核准/</w:t>
            </w:r>
          </w:p>
          <w:p>
            <w:pPr>
              <w:spacing w:line="240" w:lineRule="auto"/>
              <w:ind w:firstLine="0" w:firstLineChars="0"/>
              <w:jc w:val="center"/>
              <w:rPr>
                <w:rFonts w:hint="default" w:ascii="Times New Roman" w:hAnsi="Times New Roman" w:cs="Times New Roman"/>
                <w:color w:val="auto"/>
              </w:rPr>
            </w:pPr>
            <w:r>
              <w:rPr>
                <w:rFonts w:hint="default" w:ascii="Times New Roman" w:hAnsi="Times New Roman" w:eastAsia="宋体" w:cs="Times New Roman"/>
                <w:color w:val="auto"/>
              </w:rPr>
              <w:t>备案）部门（选填）</w:t>
            </w:r>
          </w:p>
        </w:tc>
        <w:tc>
          <w:tcPr>
            <w:tcW w:w="2414" w:type="dxa"/>
            <w:vAlign w:val="center"/>
          </w:tcPr>
          <w:p>
            <w:pPr>
              <w:spacing w:line="240" w:lineRule="auto"/>
              <w:ind w:firstLine="0" w:firstLineChars="0"/>
              <w:jc w:val="center"/>
              <w:rPr>
                <w:rFonts w:hint="default" w:ascii="Times New Roman" w:hAnsi="Times New Roman" w:cs="Times New Roman"/>
                <w:color w:val="auto"/>
              </w:rPr>
            </w:pPr>
            <w:r>
              <w:rPr>
                <w:rFonts w:hint="default" w:ascii="Times New Roman" w:hAnsi="Times New Roman" w:cs="Times New Roman"/>
                <w:color w:val="auto"/>
                <w:lang w:val="en-US" w:eastAsia="zh-CN"/>
              </w:rPr>
              <w:t>济源市</w:t>
            </w:r>
            <w:r>
              <w:rPr>
                <w:rFonts w:hint="default" w:ascii="Times New Roman" w:hAnsi="Times New Roman" w:cs="Times New Roman"/>
                <w:color w:val="auto"/>
              </w:rPr>
              <w:t>发展改革</w:t>
            </w:r>
            <w:r>
              <w:rPr>
                <w:rFonts w:hint="default" w:ascii="Times New Roman" w:hAnsi="Times New Roman" w:cs="Times New Roman"/>
                <w:color w:val="auto"/>
                <w:lang w:val="en-US" w:eastAsia="zh-CN"/>
              </w:rPr>
              <w:t>和统计局</w:t>
            </w:r>
          </w:p>
        </w:tc>
        <w:tc>
          <w:tcPr>
            <w:tcW w:w="2059" w:type="dxa"/>
            <w:vAlign w:val="center"/>
          </w:tcPr>
          <w:p>
            <w:pPr>
              <w:adjustRightInd w:val="0"/>
              <w:snapToGrid w:val="0"/>
              <w:spacing w:line="240" w:lineRule="auto"/>
              <w:ind w:firstLine="0" w:firstLineChars="0"/>
              <w:jc w:val="center"/>
              <w:textAlignment w:val="auto"/>
              <w:rPr>
                <w:rFonts w:hint="default" w:ascii="Times New Roman" w:hAnsi="Times New Roman" w:eastAsia="宋体" w:cs="Times New Roman"/>
                <w:color w:val="auto"/>
              </w:rPr>
            </w:pPr>
            <w:r>
              <w:rPr>
                <w:rFonts w:hint="default" w:ascii="Times New Roman" w:hAnsi="Times New Roman" w:eastAsia="宋体" w:cs="Times New Roman"/>
                <w:color w:val="auto"/>
              </w:rPr>
              <w:t>项目审批（核准/</w:t>
            </w:r>
          </w:p>
          <w:p>
            <w:pPr>
              <w:spacing w:line="240" w:lineRule="auto"/>
              <w:ind w:firstLine="0" w:firstLineChars="0"/>
              <w:jc w:val="center"/>
              <w:rPr>
                <w:rFonts w:hint="default" w:ascii="Times New Roman" w:hAnsi="Times New Roman" w:eastAsia="宋体" w:cs="Times New Roman"/>
                <w:color w:val="auto"/>
              </w:rPr>
            </w:pPr>
            <w:r>
              <w:rPr>
                <w:rFonts w:hint="default" w:ascii="Times New Roman" w:hAnsi="Times New Roman" w:eastAsia="宋体" w:cs="Times New Roman"/>
                <w:color w:val="auto"/>
              </w:rPr>
              <w:t>备案）文号（选填）</w:t>
            </w:r>
          </w:p>
        </w:tc>
        <w:tc>
          <w:tcPr>
            <w:tcW w:w="3194" w:type="dxa"/>
            <w:vAlign w:val="center"/>
          </w:tcPr>
          <w:p>
            <w:pPr>
              <w:spacing w:line="240" w:lineRule="auto"/>
              <w:ind w:firstLine="0" w:firstLineChars="0"/>
              <w:jc w:val="center"/>
              <w:rPr>
                <w:rFonts w:hint="default" w:ascii="Times New Roman" w:hAnsi="Times New Roman" w:cs="Times New Roman"/>
                <w:color w:val="auto"/>
              </w:rPr>
            </w:pPr>
            <w:r>
              <w:rPr>
                <w:rFonts w:hint="default" w:ascii="Times New Roman" w:hAnsi="Times New Roman" w:cs="Times New Roman"/>
                <w:color w:val="auto"/>
                <w:lang w:val="en-US" w:eastAsia="zh-CN"/>
              </w:rPr>
              <w:t>济</w:t>
            </w:r>
            <w:r>
              <w:rPr>
                <w:rFonts w:hint="default" w:ascii="Times New Roman" w:hAnsi="Times New Roman" w:cs="Times New Roman"/>
                <w:color w:val="auto"/>
              </w:rPr>
              <w:t>发</w:t>
            </w:r>
            <w:r>
              <w:rPr>
                <w:rFonts w:hint="default" w:ascii="Times New Roman" w:hAnsi="Times New Roman" w:cs="Times New Roman"/>
                <w:color w:val="auto"/>
                <w:lang w:val="en-US" w:eastAsia="zh-CN"/>
              </w:rPr>
              <w:t>统审批</w:t>
            </w:r>
            <w:r>
              <w:rPr>
                <w:rFonts w:hint="default" w:ascii="Times New Roman" w:hAnsi="Times New Roman" w:cs="Times New Roman"/>
                <w:color w:val="auto"/>
              </w:rPr>
              <w:t>[2021]</w:t>
            </w:r>
            <w:r>
              <w:rPr>
                <w:rFonts w:hint="default" w:ascii="Times New Roman" w:hAnsi="Times New Roman" w:cs="Times New Roman"/>
                <w:color w:val="auto"/>
                <w:lang w:val="en-US" w:eastAsia="zh-CN"/>
              </w:rPr>
              <w:t>234</w:t>
            </w:r>
            <w:r>
              <w:rPr>
                <w:rFonts w:hint="default" w:ascii="Times New Roman" w:hAnsi="Times New Roman" w:cs="Times New Roman"/>
                <w:color w:val="auto"/>
              </w:rPr>
              <w:t>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2074" w:type="dxa"/>
            <w:gridSpan w:val="2"/>
            <w:vAlign w:val="center"/>
          </w:tcPr>
          <w:p>
            <w:pPr>
              <w:spacing w:line="240" w:lineRule="auto"/>
              <w:ind w:firstLine="0" w:firstLineChars="0"/>
              <w:jc w:val="center"/>
              <w:rPr>
                <w:rFonts w:hint="default" w:ascii="Times New Roman" w:hAnsi="Times New Roman" w:eastAsia="宋体" w:cs="Times New Roman"/>
                <w:color w:val="auto"/>
                <w:highlight w:val="none"/>
              </w:rPr>
            </w:pPr>
            <w:r>
              <w:rPr>
                <w:rFonts w:hint="default" w:ascii="Times New Roman" w:hAnsi="Times New Roman" w:eastAsia="宋体" w:cs="Times New Roman"/>
                <w:color w:val="auto"/>
                <w:highlight w:val="none"/>
              </w:rPr>
              <w:t>总投资（万元）</w:t>
            </w:r>
          </w:p>
        </w:tc>
        <w:tc>
          <w:tcPr>
            <w:tcW w:w="2414" w:type="dxa"/>
            <w:vAlign w:val="center"/>
          </w:tcPr>
          <w:p>
            <w:pPr>
              <w:spacing w:line="240" w:lineRule="auto"/>
              <w:ind w:firstLine="0" w:firstLineChars="0"/>
              <w:jc w:val="center"/>
              <w:rPr>
                <w:rFonts w:hint="default" w:ascii="Times New Roman" w:hAnsi="Times New Roman" w:eastAsia="宋体" w:cs="Times New Roman"/>
                <w:color w:val="auto"/>
                <w:highlight w:val="none"/>
                <w:lang w:val="en-US" w:eastAsia="zh-CN"/>
              </w:rPr>
            </w:pPr>
            <w:r>
              <w:rPr>
                <w:rFonts w:hint="default" w:ascii="Times New Roman" w:hAnsi="Times New Roman" w:eastAsia="宋体" w:cs="Times New Roman"/>
                <w:color w:val="auto"/>
                <w:highlight w:val="none"/>
                <w:lang w:val="en-US" w:eastAsia="zh-CN"/>
              </w:rPr>
              <w:t>2154</w:t>
            </w:r>
          </w:p>
        </w:tc>
        <w:tc>
          <w:tcPr>
            <w:tcW w:w="2059" w:type="dxa"/>
            <w:vAlign w:val="center"/>
          </w:tcPr>
          <w:p>
            <w:pPr>
              <w:spacing w:line="240" w:lineRule="auto"/>
              <w:ind w:firstLine="0" w:firstLineChars="0"/>
              <w:jc w:val="center"/>
              <w:rPr>
                <w:rFonts w:hint="default" w:ascii="Times New Roman" w:hAnsi="Times New Roman" w:eastAsia="宋体" w:cs="Times New Roman"/>
                <w:color w:val="auto"/>
              </w:rPr>
            </w:pPr>
            <w:r>
              <w:rPr>
                <w:rFonts w:hint="default" w:ascii="Times New Roman" w:hAnsi="Times New Roman" w:eastAsia="宋体" w:cs="Times New Roman"/>
                <w:color w:val="auto"/>
              </w:rPr>
              <w:t>环保投资（万元）</w:t>
            </w:r>
          </w:p>
        </w:tc>
        <w:tc>
          <w:tcPr>
            <w:tcW w:w="3194" w:type="dxa"/>
            <w:vAlign w:val="center"/>
          </w:tcPr>
          <w:p>
            <w:pPr>
              <w:spacing w:line="240" w:lineRule="auto"/>
              <w:ind w:firstLine="0" w:firstLineChars="0"/>
              <w:jc w:val="center"/>
              <w:rPr>
                <w:rFonts w:hint="default" w:ascii="Times New Roman" w:hAnsi="Times New Roman" w:eastAsia="宋体" w:cs="Times New Roman"/>
                <w:color w:val="auto"/>
                <w:lang w:val="en-US" w:eastAsia="zh-CN"/>
              </w:rPr>
            </w:pPr>
            <w:r>
              <w:rPr>
                <w:rFonts w:hint="default" w:ascii="Times New Roman" w:hAnsi="Times New Roman" w:eastAsia="宋体" w:cs="Times New Roman"/>
                <w:color w:val="auto"/>
                <w:lang w:val="en-US" w:eastAsia="zh-CN"/>
              </w:rPr>
              <w:t>58</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2074" w:type="dxa"/>
            <w:gridSpan w:val="2"/>
            <w:vAlign w:val="center"/>
          </w:tcPr>
          <w:p>
            <w:pPr>
              <w:spacing w:line="240" w:lineRule="auto"/>
              <w:ind w:firstLine="0" w:firstLineChars="0"/>
              <w:jc w:val="center"/>
              <w:rPr>
                <w:rFonts w:hint="default" w:ascii="Times New Roman" w:hAnsi="Times New Roman" w:eastAsia="宋体" w:cs="Times New Roman"/>
                <w:color w:val="auto"/>
              </w:rPr>
            </w:pPr>
            <w:r>
              <w:rPr>
                <w:rFonts w:hint="default" w:ascii="Times New Roman" w:hAnsi="Times New Roman" w:eastAsia="宋体" w:cs="Times New Roman"/>
                <w:color w:val="auto"/>
              </w:rPr>
              <w:t>环保投资占比（%）</w:t>
            </w:r>
          </w:p>
        </w:tc>
        <w:tc>
          <w:tcPr>
            <w:tcW w:w="2414" w:type="dxa"/>
            <w:vAlign w:val="center"/>
          </w:tcPr>
          <w:p>
            <w:pPr>
              <w:spacing w:line="240" w:lineRule="auto"/>
              <w:ind w:firstLine="0" w:firstLineChars="0"/>
              <w:jc w:val="center"/>
              <w:rPr>
                <w:rFonts w:hint="default" w:ascii="Times New Roman" w:hAnsi="Times New Roman" w:eastAsia="宋体" w:cs="Times New Roman"/>
                <w:color w:val="auto"/>
                <w:lang w:val="en-US" w:eastAsia="zh-CN"/>
              </w:rPr>
            </w:pPr>
            <w:r>
              <w:rPr>
                <w:rFonts w:hint="default" w:ascii="Times New Roman" w:hAnsi="Times New Roman" w:eastAsia="宋体" w:cs="Times New Roman"/>
                <w:color w:val="auto"/>
                <w:lang w:val="en-US" w:eastAsia="zh-CN"/>
              </w:rPr>
              <w:t>2.7</w:t>
            </w:r>
          </w:p>
        </w:tc>
        <w:tc>
          <w:tcPr>
            <w:tcW w:w="2059" w:type="dxa"/>
            <w:vAlign w:val="center"/>
          </w:tcPr>
          <w:p>
            <w:pPr>
              <w:spacing w:line="240" w:lineRule="auto"/>
              <w:ind w:firstLine="0" w:firstLineChars="0"/>
              <w:jc w:val="center"/>
              <w:rPr>
                <w:rFonts w:hint="default" w:ascii="Times New Roman" w:hAnsi="Times New Roman" w:eastAsia="宋体" w:cs="Times New Roman"/>
                <w:color w:val="auto"/>
              </w:rPr>
            </w:pPr>
            <w:r>
              <w:rPr>
                <w:rFonts w:hint="default" w:ascii="Times New Roman" w:hAnsi="Times New Roman" w:eastAsia="宋体" w:cs="Times New Roman"/>
                <w:color w:val="auto"/>
              </w:rPr>
              <w:t>施工工期</w:t>
            </w:r>
          </w:p>
        </w:tc>
        <w:tc>
          <w:tcPr>
            <w:tcW w:w="3194" w:type="dxa"/>
            <w:vAlign w:val="center"/>
          </w:tcPr>
          <w:p>
            <w:pPr>
              <w:spacing w:line="240" w:lineRule="auto"/>
              <w:ind w:firstLine="0" w:firstLineChars="0"/>
              <w:jc w:val="center"/>
              <w:rPr>
                <w:rFonts w:hint="default" w:ascii="Times New Roman" w:hAnsi="Times New Roman" w:eastAsia="宋体" w:cs="Times New Roman"/>
                <w:color w:val="auto"/>
              </w:rPr>
            </w:pPr>
            <w:r>
              <w:rPr>
                <w:rFonts w:hint="default" w:ascii="Times New Roman" w:hAnsi="Times New Roman" w:eastAsia="宋体" w:cs="Times New Roman"/>
                <w:color w:val="auto"/>
                <w:lang w:val="en-US" w:eastAsia="zh-CN"/>
              </w:rPr>
              <w:t>6</w:t>
            </w:r>
            <w:r>
              <w:rPr>
                <w:rFonts w:hint="default" w:ascii="Times New Roman" w:hAnsi="Times New Roman" w:eastAsia="宋体" w:cs="Times New Roman"/>
                <w:color w:val="auto"/>
              </w:rPr>
              <w:t>个月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2074" w:type="dxa"/>
            <w:gridSpan w:val="2"/>
            <w:vAlign w:val="center"/>
          </w:tcPr>
          <w:p>
            <w:pPr>
              <w:spacing w:line="240" w:lineRule="auto"/>
              <w:ind w:firstLine="0" w:firstLineChars="0"/>
              <w:jc w:val="left"/>
              <w:rPr>
                <w:rFonts w:hint="default" w:ascii="Times New Roman" w:hAnsi="Times New Roman" w:eastAsia="宋体" w:cs="Times New Roman"/>
                <w:color w:val="auto"/>
              </w:rPr>
            </w:pPr>
            <w:r>
              <w:rPr>
                <w:rFonts w:hint="default" w:ascii="Times New Roman" w:hAnsi="Times New Roman" w:eastAsia="宋体" w:cs="Times New Roman"/>
                <w:color w:val="auto"/>
              </w:rPr>
              <w:t>是否开工建设</w:t>
            </w:r>
          </w:p>
        </w:tc>
        <w:tc>
          <w:tcPr>
            <w:tcW w:w="7667" w:type="dxa"/>
            <w:gridSpan w:val="3"/>
            <w:vAlign w:val="center"/>
          </w:tcPr>
          <w:p>
            <w:pPr>
              <w:adjustRightInd w:val="0"/>
              <w:snapToGrid w:val="0"/>
              <w:ind w:left="0" w:leftChars="0" w:firstLine="0" w:firstLineChars="0"/>
              <w:jc w:val="left"/>
              <w:rPr>
                <w:rFonts w:hint="default" w:ascii="Times New Roman" w:hAnsi="Times New Roman" w:cs="Times New Roman"/>
                <w:color w:val="auto"/>
                <w:szCs w:val="21"/>
              </w:rPr>
            </w:pPr>
            <w:r>
              <w:rPr>
                <w:rFonts w:hint="default" w:ascii="Times New Roman" w:hAnsi="Times New Roman" w:cs="Times New Roman"/>
                <w:color w:val="auto"/>
                <w:szCs w:val="21"/>
                <w:lang w:eastAsia="zh-CN"/>
              </w:rPr>
              <w:t>☑</w:t>
            </w:r>
            <w:r>
              <w:rPr>
                <w:rFonts w:hint="default" w:ascii="Times New Roman" w:hAnsi="Times New Roman" w:cs="Times New Roman"/>
                <w:color w:val="auto"/>
                <w:szCs w:val="21"/>
              </w:rPr>
              <w:t>否</w:t>
            </w:r>
          </w:p>
          <w:p>
            <w:pPr>
              <w:adjustRightInd w:val="0"/>
              <w:snapToGrid w:val="0"/>
              <w:spacing w:line="240" w:lineRule="auto"/>
              <w:ind w:firstLine="0" w:firstLineChars="0"/>
              <w:jc w:val="left"/>
              <w:textAlignment w:val="auto"/>
              <w:rPr>
                <w:rFonts w:hint="default" w:ascii="Times New Roman" w:hAnsi="Times New Roman" w:eastAsia="宋体" w:cs="Times New Roman"/>
                <w:color w:val="auto"/>
                <w:u w:val="single"/>
              </w:rPr>
            </w:pPr>
            <w:r>
              <w:rPr>
                <w:rFonts w:hint="eastAsia" w:ascii="Times New Roman" w:hAnsi="Times New Roman" w:cs="Times New Roman"/>
                <w:color w:val="auto"/>
                <w:szCs w:val="21"/>
                <w:lang w:eastAsia="zh-CN"/>
              </w:rPr>
              <w:t>□</w:t>
            </w:r>
            <w:r>
              <w:rPr>
                <w:rFonts w:hint="default" w:ascii="Times New Roman" w:hAnsi="Times New Roman" w:cs="Times New Roman"/>
                <w:color w:val="auto"/>
                <w:szCs w:val="21"/>
              </w:rPr>
              <w:t>是：</w:t>
            </w:r>
            <w:r>
              <w:rPr>
                <w:rFonts w:hint="default" w:ascii="Times New Roman" w:hAnsi="Times New Roman" w:cs="Times New Roman"/>
                <w:color w:val="auto"/>
                <w:szCs w:val="21"/>
                <w:u w:val="single"/>
              </w:rPr>
              <w:t xml:space="preserve">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242" w:hRule="atLeast"/>
          <w:jc w:val="center"/>
        </w:trPr>
        <w:tc>
          <w:tcPr>
            <w:tcW w:w="2074" w:type="dxa"/>
            <w:gridSpan w:val="2"/>
            <w:vAlign w:val="center"/>
          </w:tcPr>
          <w:p>
            <w:pPr>
              <w:spacing w:line="240" w:lineRule="auto"/>
              <w:ind w:firstLine="0" w:firstLineChars="0"/>
              <w:jc w:val="center"/>
              <w:rPr>
                <w:rFonts w:hint="default" w:ascii="Times New Roman" w:hAnsi="Times New Roman" w:eastAsia="宋体" w:cs="Times New Roman"/>
                <w:color w:val="auto"/>
              </w:rPr>
            </w:pPr>
            <w:r>
              <w:rPr>
                <w:rFonts w:hint="default" w:ascii="Times New Roman" w:hAnsi="Times New Roman" w:eastAsia="宋体" w:cs="Times New Roman"/>
                <w:color w:val="auto"/>
              </w:rPr>
              <w:t>专项评价</w:t>
            </w:r>
          </w:p>
          <w:p>
            <w:pPr>
              <w:spacing w:line="240" w:lineRule="auto"/>
              <w:ind w:firstLine="0" w:firstLineChars="0"/>
              <w:jc w:val="center"/>
              <w:rPr>
                <w:rFonts w:hint="default" w:ascii="Times New Roman" w:hAnsi="Times New Roman" w:eastAsia="宋体" w:cs="Times New Roman"/>
                <w:color w:val="auto"/>
              </w:rPr>
            </w:pPr>
            <w:r>
              <w:rPr>
                <w:rFonts w:hint="default" w:ascii="Times New Roman" w:hAnsi="Times New Roman" w:eastAsia="宋体" w:cs="Times New Roman"/>
                <w:color w:val="auto"/>
              </w:rPr>
              <w:t>设置情况</w:t>
            </w:r>
          </w:p>
        </w:tc>
        <w:tc>
          <w:tcPr>
            <w:tcW w:w="7667" w:type="dxa"/>
            <w:gridSpan w:val="3"/>
            <w:vAlign w:val="center"/>
          </w:tcPr>
          <w:p>
            <w:pPr>
              <w:ind w:left="0" w:leftChars="0" w:firstLine="0" w:firstLineChars="0"/>
              <w:rPr>
                <w:rFonts w:hint="default" w:ascii="Times New Roman" w:hAnsi="Times New Roman" w:eastAsia="宋体" w:cs="Times New Roman"/>
                <w:color w:val="auto"/>
              </w:rPr>
            </w:pPr>
            <w:r>
              <w:rPr>
                <w:rFonts w:hint="eastAsia" w:ascii="Times New Roman" w:hAnsi="Times New Roman" w:cs="Times New Roman"/>
                <w:color w:val="auto"/>
                <w:highlight w:val="none"/>
                <w:lang w:val="en-US" w:eastAsia="zh-CN"/>
              </w:rPr>
              <w:t>根据《环境影响评价技术导则</w:t>
            </w:r>
            <w:r>
              <w:rPr>
                <w:rFonts w:hint="eastAsia" w:cs="Times New Roman"/>
                <w:color w:val="auto"/>
                <w:highlight w:val="none"/>
                <w:lang w:val="en-US" w:eastAsia="zh-CN"/>
              </w:rPr>
              <w:t xml:space="preserve"> </w:t>
            </w:r>
            <w:r>
              <w:rPr>
                <w:rFonts w:hint="eastAsia" w:ascii="Times New Roman" w:hAnsi="Times New Roman" w:cs="Times New Roman"/>
                <w:color w:val="auto"/>
                <w:highlight w:val="none"/>
                <w:lang w:val="en-US" w:eastAsia="zh-CN"/>
              </w:rPr>
              <w:t>输变电》（HJ 24-2020），输变电建设项目环境影响报告表应设电磁环境影响专题评价</w:t>
            </w:r>
            <w:r>
              <w:rPr>
                <w:rFonts w:hint="eastAsia" w:cs="Times New Roman"/>
                <w:color w:val="auto"/>
                <w:highlight w:val="none"/>
                <w:lang w:val="en-US" w:eastAsia="zh-CN"/>
              </w:rPr>
              <w:t>，</w:t>
            </w:r>
            <w:r>
              <w:rPr>
                <w:rFonts w:hint="eastAsia" w:ascii="Times New Roman" w:hAnsi="Times New Roman" w:cs="Times New Roman"/>
                <w:color w:val="auto"/>
                <w:highlight w:val="none"/>
                <w:lang w:val="en-US" w:eastAsia="zh-CN"/>
              </w:rPr>
              <w:t>因此设置了“</w:t>
            </w:r>
            <w:r>
              <w:rPr>
                <w:rFonts w:hint="default" w:ascii="Times New Roman" w:hAnsi="Times New Roman" w:eastAsia="宋体" w:cs="Times New Roman"/>
                <w:color w:val="auto"/>
                <w:lang w:eastAsia="zh-CN"/>
              </w:rPr>
              <w:t>济源大岭四期100MW风电场项目配套110kV升压站工程</w:t>
            </w:r>
            <w:r>
              <w:rPr>
                <w:rFonts w:hint="eastAsia" w:ascii="Times New Roman" w:hAnsi="Times New Roman" w:cs="Times New Roman"/>
                <w:color w:val="auto"/>
                <w:highlight w:val="none"/>
                <w:lang w:val="en-US" w:eastAsia="zh-CN"/>
              </w:rPr>
              <w:t>电磁环境影响专题</w:t>
            </w:r>
            <w:r>
              <w:rPr>
                <w:rFonts w:hint="eastAsia" w:cs="Times New Roman"/>
                <w:color w:val="auto"/>
                <w:highlight w:val="none"/>
                <w:lang w:val="en-US" w:eastAsia="zh-CN"/>
              </w:rPr>
              <w:t>评价</w:t>
            </w:r>
            <w:r>
              <w:rPr>
                <w:rFonts w:hint="eastAsia" w:ascii="Times New Roman" w:hAnsi="Times New Roman" w:cs="Times New Roman"/>
                <w:color w:val="auto"/>
                <w:highlight w:val="none"/>
                <w:lang w:val="en-US" w:eastAsia="zh-CN"/>
              </w:rPr>
              <w:t>”，</w:t>
            </w:r>
            <w:r>
              <w:rPr>
                <w:rFonts w:hint="eastAsia" w:cs="Times New Roman"/>
                <w:color w:val="auto"/>
                <w:highlight w:val="none"/>
                <w:lang w:val="en-US" w:eastAsia="zh-CN"/>
              </w:rPr>
              <w:t>详</w:t>
            </w:r>
            <w:r>
              <w:rPr>
                <w:rFonts w:hint="eastAsia" w:ascii="Times New Roman" w:hAnsi="Times New Roman" w:cs="Times New Roman"/>
                <w:color w:val="auto"/>
                <w:highlight w:val="none"/>
                <w:lang w:val="en-US" w:eastAsia="zh-CN"/>
              </w:rPr>
              <w:t>见</w:t>
            </w:r>
            <w:r>
              <w:rPr>
                <w:rFonts w:hint="eastAsia" w:cs="Times New Roman"/>
                <w:color w:val="auto"/>
                <w:highlight w:val="none"/>
                <w:lang w:val="en-US" w:eastAsia="zh-CN"/>
              </w:rPr>
              <w:t>专题评价内容</w:t>
            </w:r>
            <w:r>
              <w:rPr>
                <w:rFonts w:hint="eastAsia" w:ascii="Times New Roman" w:hAnsi="Times New Roman" w:cs="Times New Roman"/>
                <w:color w:val="auto"/>
                <w:highlight w:val="none"/>
                <w:lang w:val="en-US"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2074" w:type="dxa"/>
            <w:gridSpan w:val="2"/>
            <w:vAlign w:val="center"/>
          </w:tcPr>
          <w:p>
            <w:pPr>
              <w:pStyle w:val="13"/>
              <w:spacing w:line="240" w:lineRule="auto"/>
              <w:ind w:firstLine="0" w:firstLineChars="0"/>
              <w:jc w:val="center"/>
              <w:rPr>
                <w:rFonts w:hint="default" w:ascii="Times New Roman" w:hAnsi="Times New Roman" w:eastAsia="宋体" w:cs="Times New Roman"/>
                <w:color w:val="auto"/>
                <w:sz w:val="24"/>
              </w:rPr>
            </w:pPr>
            <w:r>
              <w:rPr>
                <w:rFonts w:hint="default" w:ascii="Times New Roman" w:hAnsi="Times New Roman" w:cs="Times New Roman"/>
                <w:color w:val="auto"/>
                <w:sz w:val="24"/>
              </w:rPr>
              <w:t>规划情况</w:t>
            </w:r>
          </w:p>
        </w:tc>
        <w:tc>
          <w:tcPr>
            <w:tcW w:w="7667" w:type="dxa"/>
            <w:gridSpan w:val="3"/>
            <w:vAlign w:val="center"/>
          </w:tcPr>
          <w:p>
            <w:pPr>
              <w:spacing w:line="240" w:lineRule="auto"/>
              <w:ind w:firstLine="0" w:firstLineChars="0"/>
              <w:jc w:val="center"/>
              <w:rPr>
                <w:rFonts w:hint="default" w:ascii="Times New Roman" w:hAnsi="Times New Roman" w:eastAsia="宋体" w:cs="Times New Roman"/>
                <w:color w:val="auto"/>
              </w:rPr>
            </w:pPr>
            <w:r>
              <w:rPr>
                <w:rFonts w:hint="default" w:ascii="Times New Roman" w:hAnsi="Times New Roman" w:eastAsia="宋体" w:cs="Times New Roman"/>
                <w:color w:val="auto"/>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09" w:hRule="atLeast"/>
          <w:jc w:val="center"/>
        </w:trPr>
        <w:tc>
          <w:tcPr>
            <w:tcW w:w="2074" w:type="dxa"/>
            <w:gridSpan w:val="2"/>
            <w:vAlign w:val="center"/>
          </w:tcPr>
          <w:p>
            <w:pPr>
              <w:spacing w:line="240" w:lineRule="auto"/>
              <w:ind w:firstLine="0" w:firstLineChars="0"/>
              <w:jc w:val="center"/>
              <w:rPr>
                <w:rFonts w:hint="default" w:ascii="Times New Roman" w:hAnsi="Times New Roman" w:eastAsia="宋体" w:cs="Times New Roman"/>
                <w:color w:val="auto"/>
              </w:rPr>
            </w:pPr>
            <w:r>
              <w:rPr>
                <w:rFonts w:hint="default" w:ascii="Times New Roman" w:hAnsi="Times New Roman" w:eastAsia="宋体" w:cs="Times New Roman"/>
                <w:color w:val="auto"/>
              </w:rPr>
              <w:t>规划环境影响</w:t>
            </w:r>
          </w:p>
          <w:p>
            <w:pPr>
              <w:spacing w:line="240" w:lineRule="auto"/>
              <w:ind w:firstLine="0" w:firstLineChars="0"/>
              <w:jc w:val="center"/>
              <w:rPr>
                <w:rFonts w:hint="default" w:ascii="Times New Roman" w:hAnsi="Times New Roman" w:eastAsia="宋体" w:cs="Times New Roman"/>
                <w:color w:val="auto"/>
              </w:rPr>
            </w:pPr>
            <w:r>
              <w:rPr>
                <w:rFonts w:hint="default" w:ascii="Times New Roman" w:hAnsi="Times New Roman" w:eastAsia="宋体" w:cs="Times New Roman"/>
                <w:color w:val="auto"/>
              </w:rPr>
              <w:t>评价情况</w:t>
            </w:r>
          </w:p>
        </w:tc>
        <w:tc>
          <w:tcPr>
            <w:tcW w:w="7667" w:type="dxa"/>
            <w:gridSpan w:val="3"/>
            <w:vAlign w:val="center"/>
          </w:tcPr>
          <w:p>
            <w:pPr>
              <w:spacing w:line="240" w:lineRule="auto"/>
              <w:ind w:firstLine="0" w:firstLineChars="0"/>
              <w:jc w:val="center"/>
              <w:rPr>
                <w:rFonts w:hint="default" w:ascii="Times New Roman" w:hAnsi="Times New Roman" w:eastAsia="宋体" w:cs="Times New Roman"/>
                <w:color w:val="auto"/>
              </w:rPr>
            </w:pPr>
            <w:r>
              <w:rPr>
                <w:rFonts w:hint="default" w:ascii="Times New Roman" w:hAnsi="Times New Roman" w:eastAsia="宋体" w:cs="Times New Roman"/>
                <w:color w:val="auto"/>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928" w:hRule="atLeast"/>
          <w:jc w:val="center"/>
        </w:trPr>
        <w:tc>
          <w:tcPr>
            <w:tcW w:w="2074" w:type="dxa"/>
            <w:gridSpan w:val="2"/>
            <w:vAlign w:val="center"/>
          </w:tcPr>
          <w:p>
            <w:pPr>
              <w:spacing w:line="240" w:lineRule="auto"/>
              <w:ind w:firstLine="0" w:firstLineChars="0"/>
              <w:jc w:val="center"/>
              <w:rPr>
                <w:rFonts w:hint="default" w:ascii="Times New Roman" w:hAnsi="Times New Roman" w:eastAsia="宋体" w:cs="Times New Roman"/>
                <w:color w:val="auto"/>
              </w:rPr>
            </w:pPr>
            <w:r>
              <w:rPr>
                <w:rFonts w:hint="default" w:ascii="Times New Roman" w:hAnsi="Times New Roman" w:eastAsia="宋体" w:cs="Times New Roman"/>
                <w:color w:val="auto"/>
              </w:rPr>
              <w:t>规划及规划环境影响评价符合性分析</w:t>
            </w:r>
          </w:p>
        </w:tc>
        <w:tc>
          <w:tcPr>
            <w:tcW w:w="7667" w:type="dxa"/>
            <w:gridSpan w:val="3"/>
            <w:vAlign w:val="center"/>
          </w:tcPr>
          <w:p>
            <w:pPr>
              <w:keepNext w:val="0"/>
              <w:keepLines w:val="0"/>
              <w:pageBreakBefore w:val="0"/>
              <w:widowControl w:val="0"/>
              <w:kinsoku/>
              <w:wordWrap/>
              <w:overflowPunct/>
              <w:topLinePunct w:val="0"/>
              <w:autoSpaceDE/>
              <w:autoSpaceDN/>
              <w:bidi w:val="0"/>
              <w:adjustRightInd w:val="0"/>
              <w:snapToGrid w:val="0"/>
              <w:ind w:left="0" w:leftChars="0" w:firstLine="0" w:firstLineChars="0"/>
              <w:textAlignment w:val="top"/>
              <w:rPr>
                <w:rFonts w:hint="default"/>
              </w:rPr>
            </w:pPr>
            <w:r>
              <w:rPr>
                <w:rFonts w:hint="default" w:ascii="Times New Roman" w:hAnsi="Times New Roman" w:cs="Times New Roman"/>
                <w:b w:val="0"/>
                <w:bCs w:val="0"/>
                <w:color w:val="auto"/>
                <w:highlight w:val="none"/>
                <w:u w:val="none"/>
                <w:lang w:val="en-US" w:eastAsia="zh-CN"/>
              </w:rPr>
              <w:t>济源大岭四期风电场</w:t>
            </w:r>
            <w:r>
              <w:rPr>
                <w:rFonts w:hint="eastAsia" w:cs="Times New Roman"/>
                <w:b w:val="0"/>
                <w:bCs w:val="0"/>
                <w:color w:val="auto"/>
                <w:highlight w:val="none"/>
                <w:u w:val="none"/>
                <w:lang w:val="en-US" w:eastAsia="zh-CN"/>
              </w:rPr>
              <w:t>项目（含配套升压站）建设符合</w:t>
            </w:r>
            <w:r>
              <w:rPr>
                <w:rFonts w:hint="default" w:ascii="Times New Roman" w:hAnsi="Times New Roman" w:cs="Times New Roman"/>
                <w:b w:val="0"/>
                <w:bCs w:val="0"/>
                <w:color w:val="auto"/>
                <w:highlight w:val="none"/>
                <w:u w:val="none"/>
              </w:rPr>
              <w:t>国家产业政策要求</w:t>
            </w:r>
            <w:r>
              <w:rPr>
                <w:rFonts w:hint="eastAsia" w:cs="Times New Roman"/>
                <w:b w:val="0"/>
                <w:bCs w:val="0"/>
                <w:color w:val="auto"/>
                <w:highlight w:val="none"/>
                <w:u w:val="none"/>
                <w:lang w:eastAsia="zh-CN"/>
              </w:rPr>
              <w:t>、</w:t>
            </w:r>
            <w:r>
              <w:rPr>
                <w:rFonts w:hint="eastAsia" w:cs="Times New Roman"/>
                <w:b w:val="0"/>
                <w:bCs w:val="0"/>
                <w:color w:val="auto"/>
                <w:highlight w:val="none"/>
                <w:u w:val="none"/>
                <w:lang w:val="en-US" w:eastAsia="zh-CN"/>
              </w:rPr>
              <w:t>符合</w:t>
            </w:r>
            <w:r>
              <w:rPr>
                <w:rFonts w:hint="default" w:ascii="Times New Roman" w:hAnsi="Times New Roman" w:cs="Times New Roman"/>
                <w:b w:val="0"/>
                <w:bCs w:val="0"/>
                <w:color w:val="auto"/>
                <w:highlight w:val="none"/>
                <w:u w:val="none"/>
              </w:rPr>
              <w:t>豫发改新能源</w:t>
            </w:r>
            <w:r>
              <w:rPr>
                <w:rFonts w:hint="eastAsia" w:ascii="Times New Roman" w:hAnsi="Times New Roman" w:cs="Times New Roman"/>
                <w:b w:val="0"/>
                <w:bCs w:val="0"/>
                <w:color w:val="auto"/>
                <w:highlight w:val="none"/>
                <w:u w:val="none"/>
                <w:lang w:val="en-US" w:eastAsia="zh-CN"/>
              </w:rPr>
              <w:t>[</w:t>
            </w:r>
            <w:r>
              <w:rPr>
                <w:rFonts w:hint="default" w:ascii="Times New Roman" w:hAnsi="Times New Roman" w:cs="Times New Roman"/>
                <w:b w:val="0"/>
                <w:bCs w:val="0"/>
                <w:color w:val="auto"/>
                <w:highlight w:val="none"/>
                <w:u w:val="none"/>
              </w:rPr>
              <w:t>2021</w:t>
            </w:r>
            <w:r>
              <w:rPr>
                <w:rFonts w:hint="eastAsia" w:ascii="Times New Roman" w:hAnsi="Times New Roman" w:cs="Times New Roman"/>
                <w:b w:val="0"/>
                <w:bCs w:val="0"/>
                <w:color w:val="auto"/>
                <w:highlight w:val="none"/>
                <w:u w:val="none"/>
                <w:lang w:val="en-US" w:eastAsia="zh-CN"/>
              </w:rPr>
              <w:t>]</w:t>
            </w:r>
            <w:r>
              <w:rPr>
                <w:rFonts w:hint="default" w:ascii="Times New Roman" w:hAnsi="Times New Roman" w:cs="Times New Roman"/>
                <w:b w:val="0"/>
                <w:bCs w:val="0"/>
                <w:color w:val="auto"/>
                <w:highlight w:val="none"/>
                <w:u w:val="none"/>
              </w:rPr>
              <w:t>482号</w:t>
            </w:r>
            <w:r>
              <w:rPr>
                <w:rFonts w:hint="eastAsia" w:cs="Times New Roman"/>
                <w:b w:val="0"/>
                <w:bCs w:val="0"/>
                <w:color w:val="auto"/>
                <w:highlight w:val="none"/>
                <w:u w:val="none"/>
                <w:lang w:val="en-US" w:eastAsia="zh-CN"/>
              </w:rPr>
              <w:t>文要求，且</w:t>
            </w:r>
            <w:r>
              <w:rPr>
                <w:rFonts w:hint="default" w:ascii="Times New Roman" w:hAnsi="Times New Roman" w:cs="Times New Roman"/>
                <w:b w:val="0"/>
                <w:bCs w:val="0"/>
                <w:color w:val="auto"/>
                <w:highlight w:val="none"/>
                <w:u w:val="none"/>
                <w:lang w:val="en-US" w:eastAsia="zh-CN"/>
              </w:rPr>
              <w:t>已取得济源市发展改革和统计局核准批复文件</w:t>
            </w:r>
            <w:r>
              <w:rPr>
                <w:rFonts w:hint="eastAsia" w:cs="Times New Roman"/>
                <w:b w:val="0"/>
                <w:bCs w:val="0"/>
                <w:color w:val="auto"/>
                <w:highlight w:val="none"/>
                <w:u w:val="none"/>
                <w:lang w:val="en-US" w:eastAsia="zh-CN"/>
              </w:rPr>
              <w:t>（文号：</w:t>
            </w:r>
            <w:r>
              <w:rPr>
                <w:rFonts w:hint="eastAsia" w:ascii="Times New Roman" w:hAnsi="Times New Roman" w:cs="Times New Roman"/>
                <w:b w:val="0"/>
                <w:bCs w:val="0"/>
                <w:color w:val="auto"/>
                <w:highlight w:val="none"/>
                <w:u w:val="none"/>
                <w:lang w:val="en-US" w:eastAsia="zh-CN"/>
              </w:rPr>
              <w:t>济发统审批</w:t>
            </w:r>
            <w:r>
              <w:rPr>
                <w:rFonts w:hint="default" w:ascii="Times New Roman" w:hAnsi="Times New Roman" w:cs="Times New Roman"/>
                <w:b w:val="0"/>
                <w:bCs w:val="0"/>
                <w:color w:val="auto"/>
                <w:highlight w:val="none"/>
                <w:u w:val="none"/>
                <w:lang w:val="en-US" w:eastAsia="zh-CN"/>
              </w:rPr>
              <w:t>[2021]234</w:t>
            </w:r>
            <w:r>
              <w:rPr>
                <w:rFonts w:hint="eastAsia" w:ascii="Times New Roman" w:hAnsi="Times New Roman" w:cs="Times New Roman"/>
                <w:b w:val="0"/>
                <w:bCs w:val="0"/>
                <w:color w:val="auto"/>
                <w:highlight w:val="none"/>
                <w:u w:val="none"/>
                <w:lang w:val="en-US" w:eastAsia="zh-CN"/>
              </w:rPr>
              <w:t>号</w:t>
            </w:r>
            <w:r>
              <w:rPr>
                <w:rFonts w:hint="eastAsia" w:cs="Times New Roman"/>
                <w:b w:val="0"/>
                <w:bCs w:val="0"/>
                <w:color w:val="auto"/>
                <w:highlight w:val="none"/>
                <w:u w:val="none"/>
                <w:lang w:val="en-US" w:eastAsia="zh-CN"/>
              </w:rPr>
              <w:t>）</w:t>
            </w:r>
            <w:r>
              <w:rPr>
                <w:rFonts w:hint="default" w:ascii="Times New Roman" w:hAnsi="Times New Roman" w:cs="Times New Roman"/>
                <w:b w:val="0"/>
                <w:bCs w:val="0"/>
                <w:color w:val="auto"/>
                <w:highlight w:val="none"/>
                <w:u w:val="none"/>
                <w:lang w:val="en-US" w:eastAsia="zh-CN"/>
              </w:rPr>
              <w:t>。</w:t>
            </w:r>
            <w:r>
              <w:rPr>
                <w:rFonts w:hint="eastAsia" w:cs="Times New Roman"/>
                <w:b w:val="0"/>
                <w:bCs w:val="0"/>
                <w:color w:val="auto"/>
                <w:highlight w:val="none"/>
                <w:u w:val="none"/>
                <w:lang w:val="en-US" w:eastAsia="zh-CN"/>
              </w:rPr>
              <w:t>升压站</w:t>
            </w:r>
            <w:r>
              <w:rPr>
                <w:rFonts w:hint="default" w:ascii="Times New Roman" w:hAnsi="Times New Roman" w:cs="Times New Roman"/>
                <w:b w:val="0"/>
                <w:bCs w:val="0"/>
                <w:color w:val="auto"/>
                <w:highlight w:val="none"/>
                <w:u w:val="none"/>
              </w:rPr>
              <w:t>项目符合国家土地供应政策</w:t>
            </w:r>
            <w:r>
              <w:rPr>
                <w:rFonts w:hint="eastAsia" w:cs="Times New Roman"/>
                <w:b w:val="0"/>
                <w:bCs w:val="0"/>
                <w:color w:val="auto"/>
                <w:highlight w:val="none"/>
                <w:u w:val="none"/>
                <w:lang w:eastAsia="zh-CN"/>
              </w:rPr>
              <w:t>，</w:t>
            </w:r>
            <w:r>
              <w:rPr>
                <w:rFonts w:hint="default" w:ascii="Times New Roman" w:hAnsi="Times New Roman" w:cs="Times New Roman"/>
                <w:b w:val="0"/>
                <w:bCs w:val="0"/>
                <w:color w:val="auto"/>
                <w:highlight w:val="none"/>
                <w:u w:val="none"/>
              </w:rPr>
              <w:t>符合当地电网规划。</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820" w:type="dxa"/>
            <w:vAlign w:val="center"/>
          </w:tcPr>
          <w:p>
            <w:pPr>
              <w:spacing w:line="240" w:lineRule="auto"/>
              <w:ind w:firstLine="0" w:firstLineChars="0"/>
              <w:jc w:val="center"/>
              <w:rPr>
                <w:rFonts w:hint="default" w:ascii="Times New Roman" w:hAnsi="Times New Roman" w:eastAsia="宋体" w:cs="Times New Roman"/>
                <w:color w:val="0000FF"/>
              </w:rPr>
            </w:pPr>
            <w:r>
              <w:rPr>
                <w:rFonts w:hint="default" w:ascii="Times New Roman" w:hAnsi="Times New Roman" w:eastAsia="宋体" w:cs="Times New Roman"/>
                <w:color w:val="auto"/>
              </w:rPr>
              <w:t>其他符合性分析</w:t>
            </w:r>
          </w:p>
        </w:tc>
        <w:tc>
          <w:tcPr>
            <w:tcW w:w="8921" w:type="dxa"/>
            <w:gridSpan w:val="4"/>
          </w:tcPr>
          <w:p>
            <w:pPr>
              <w:keepNext w:val="0"/>
              <w:keepLines w:val="0"/>
              <w:pageBreakBefore w:val="0"/>
              <w:widowControl w:val="0"/>
              <w:kinsoku/>
              <w:wordWrap/>
              <w:overflowPunct/>
              <w:topLinePunct w:val="0"/>
              <w:bidi w:val="0"/>
              <w:adjustRightInd w:val="0"/>
              <w:snapToGrid w:val="0"/>
              <w:spacing w:line="520" w:lineRule="exact"/>
              <w:ind w:firstLine="0" w:firstLineChars="0"/>
              <w:textAlignment w:val="top"/>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1、</w:t>
            </w:r>
            <w:r>
              <w:rPr>
                <w:rFonts w:hint="eastAsia" w:cs="Times New Roman"/>
                <w:b/>
                <w:bCs/>
                <w:color w:val="auto"/>
                <w:highlight w:val="none"/>
                <w:lang w:val="en-US" w:eastAsia="zh-CN"/>
              </w:rPr>
              <w:t>产业政策</w:t>
            </w:r>
            <w:r>
              <w:rPr>
                <w:rFonts w:hint="default" w:ascii="Times New Roman" w:hAnsi="Times New Roman" w:cs="Times New Roman"/>
                <w:b/>
                <w:bCs/>
                <w:color w:val="auto"/>
                <w:highlight w:val="none"/>
              </w:rPr>
              <w:t>符合性分析</w:t>
            </w:r>
          </w:p>
          <w:p>
            <w:pPr>
              <w:keepNext w:val="0"/>
              <w:keepLines w:val="0"/>
              <w:pageBreakBefore w:val="0"/>
              <w:widowControl w:val="0"/>
              <w:kinsoku/>
              <w:wordWrap/>
              <w:overflowPunct/>
              <w:topLinePunct w:val="0"/>
              <w:bidi w:val="0"/>
              <w:adjustRightInd w:val="0"/>
              <w:snapToGrid w:val="0"/>
              <w:spacing w:line="520" w:lineRule="exact"/>
              <w:ind w:firstLine="480"/>
              <w:textAlignment w:val="top"/>
              <w:rPr>
                <w:rFonts w:hint="default" w:ascii="Times New Roman" w:hAnsi="Times New Roman" w:cs="Times New Roman"/>
                <w:color w:val="auto"/>
                <w:highlight w:val="none"/>
              </w:rPr>
            </w:pPr>
            <w:r>
              <w:rPr>
                <w:rFonts w:hint="eastAsia" w:cs="Times New Roman"/>
                <w:color w:val="auto"/>
                <w:highlight w:val="none"/>
                <w:lang w:val="en-US" w:eastAsia="zh-CN"/>
              </w:rPr>
              <w:t>本项目为</w:t>
            </w:r>
            <w:r>
              <w:rPr>
                <w:rFonts w:hint="default" w:ascii="Times New Roman" w:hAnsi="Times New Roman" w:eastAsia="宋体" w:cs="Times New Roman"/>
                <w:color w:val="auto"/>
                <w:highlight w:val="none"/>
                <w:lang w:eastAsia="zh-CN"/>
              </w:rPr>
              <w:t>济源大岭四期100MW风电场项目配套110kV升压站工程</w:t>
            </w:r>
            <w:r>
              <w:rPr>
                <w:rFonts w:hint="eastAsia" w:eastAsia="宋体" w:cs="Times New Roman"/>
                <w:color w:val="auto"/>
                <w:highlight w:val="none"/>
                <w:lang w:eastAsia="zh-CN"/>
              </w:rPr>
              <w:t>，</w:t>
            </w:r>
            <w:r>
              <w:rPr>
                <w:rFonts w:hint="eastAsia" w:ascii="Times New Roman" w:hAnsi="Times New Roman" w:cs="Times New Roman"/>
                <w:color w:val="auto"/>
                <w:highlight w:val="none"/>
                <w:lang w:val="en-US" w:eastAsia="zh-CN"/>
              </w:rPr>
              <w:t>经对照《产业结构调整指导目录（</w:t>
            </w:r>
            <w:r>
              <w:rPr>
                <w:rFonts w:hint="default" w:ascii="Times New Roman" w:hAnsi="Times New Roman" w:cs="Times New Roman"/>
                <w:color w:val="auto"/>
                <w:highlight w:val="none"/>
                <w:lang w:val="en-US" w:eastAsia="zh-CN"/>
              </w:rPr>
              <w:t>2019</w:t>
            </w:r>
            <w:r>
              <w:rPr>
                <w:rFonts w:hint="eastAsia" w:ascii="Times New Roman" w:hAnsi="Times New Roman" w:cs="Times New Roman"/>
                <w:color w:val="auto"/>
                <w:highlight w:val="none"/>
                <w:lang w:val="en-US" w:eastAsia="zh-CN"/>
              </w:rPr>
              <w:t>年本）》，</w:t>
            </w:r>
            <w:r>
              <w:rPr>
                <w:rFonts w:hint="default" w:ascii="Times New Roman" w:hAnsi="Times New Roman" w:cs="Times New Roman"/>
                <w:color w:val="auto"/>
                <w:highlight w:val="none"/>
              </w:rPr>
              <w:t>本项目属于“第一类鼓励类”项目中的“四电力、10电网改造与建设，增量配电网建设”项目，项目建设符合国家产业政策要求。</w:t>
            </w:r>
          </w:p>
          <w:p>
            <w:pPr>
              <w:keepNext w:val="0"/>
              <w:keepLines w:val="0"/>
              <w:pageBreakBefore w:val="0"/>
              <w:widowControl w:val="0"/>
              <w:kinsoku/>
              <w:wordWrap/>
              <w:overflowPunct/>
              <w:topLinePunct w:val="0"/>
              <w:bidi w:val="0"/>
              <w:adjustRightInd w:val="0"/>
              <w:snapToGrid w:val="0"/>
              <w:spacing w:line="520" w:lineRule="exact"/>
              <w:ind w:firstLine="0" w:firstLineChars="0"/>
              <w:textAlignment w:val="top"/>
              <w:rPr>
                <w:rFonts w:hint="default" w:ascii="Times New Roman" w:hAnsi="Times New Roman" w:cs="Times New Roman" w:eastAsiaTheme="minorEastAsia"/>
                <w:b/>
                <w:bCs/>
                <w:color w:val="auto"/>
                <w:highlight w:val="none"/>
                <w:u w:val="none"/>
                <w:lang w:val="en-US" w:eastAsia="zh-CN"/>
              </w:rPr>
            </w:pPr>
            <w:r>
              <w:rPr>
                <w:rFonts w:hint="eastAsia" w:cs="Times New Roman"/>
                <w:b/>
                <w:bCs/>
                <w:color w:val="auto"/>
                <w:highlight w:val="none"/>
                <w:u w:val="none"/>
                <w:lang w:val="en-US" w:eastAsia="zh-CN"/>
              </w:rPr>
              <w:t>2、与《</w:t>
            </w:r>
            <w:r>
              <w:rPr>
                <w:rFonts w:hint="default" w:ascii="Times New Roman" w:hAnsi="Times New Roman" w:cs="Times New Roman"/>
                <w:b/>
                <w:bCs/>
                <w:color w:val="auto"/>
                <w:highlight w:val="none"/>
                <w:u w:val="none"/>
              </w:rPr>
              <w:t>关于2021年风电、光伏发电项目建设有关事项的通知</w:t>
            </w:r>
            <w:r>
              <w:rPr>
                <w:rFonts w:hint="eastAsia" w:cs="Times New Roman"/>
                <w:b/>
                <w:bCs/>
                <w:color w:val="auto"/>
                <w:highlight w:val="none"/>
                <w:u w:val="none"/>
                <w:lang w:eastAsia="zh-CN"/>
              </w:rPr>
              <w:t>》</w:t>
            </w:r>
            <w:r>
              <w:rPr>
                <w:rFonts w:hint="default" w:ascii="Times New Roman" w:hAnsi="Times New Roman" w:cs="Times New Roman"/>
                <w:b/>
                <w:bCs/>
                <w:color w:val="auto"/>
                <w:highlight w:val="none"/>
                <w:u w:val="none"/>
              </w:rPr>
              <w:t>（豫发改新能源</w:t>
            </w:r>
            <w:r>
              <w:rPr>
                <w:rFonts w:hint="eastAsia" w:cs="Times New Roman"/>
                <w:b/>
                <w:bCs/>
                <w:color w:val="auto"/>
                <w:highlight w:val="none"/>
                <w:u w:val="none"/>
                <w:lang w:val="en-US" w:eastAsia="zh-CN"/>
              </w:rPr>
              <w:t>[</w:t>
            </w:r>
            <w:r>
              <w:rPr>
                <w:rFonts w:hint="default" w:ascii="Times New Roman" w:hAnsi="Times New Roman" w:cs="Times New Roman"/>
                <w:b/>
                <w:bCs/>
                <w:color w:val="auto"/>
                <w:highlight w:val="none"/>
                <w:u w:val="none"/>
              </w:rPr>
              <w:t>2021</w:t>
            </w:r>
            <w:r>
              <w:rPr>
                <w:rFonts w:hint="eastAsia" w:cs="Times New Roman"/>
                <w:b/>
                <w:bCs/>
                <w:color w:val="auto"/>
                <w:highlight w:val="none"/>
                <w:u w:val="none"/>
                <w:lang w:val="en-US" w:eastAsia="zh-CN"/>
              </w:rPr>
              <w:t>]</w:t>
            </w:r>
            <w:r>
              <w:rPr>
                <w:rFonts w:hint="default" w:ascii="Times New Roman" w:hAnsi="Times New Roman" w:cs="Times New Roman"/>
                <w:b/>
                <w:bCs/>
                <w:color w:val="auto"/>
                <w:highlight w:val="none"/>
                <w:u w:val="none"/>
              </w:rPr>
              <w:t>482号）</w:t>
            </w:r>
            <w:r>
              <w:rPr>
                <w:rFonts w:hint="eastAsia" w:cs="Times New Roman"/>
                <w:b/>
                <w:bCs/>
                <w:color w:val="auto"/>
                <w:highlight w:val="none"/>
                <w:u w:val="none"/>
                <w:lang w:val="en-US" w:eastAsia="zh-CN"/>
              </w:rPr>
              <w:t>的符合性分析</w:t>
            </w:r>
          </w:p>
          <w:p>
            <w:pPr>
              <w:keepNext w:val="0"/>
              <w:keepLines w:val="0"/>
              <w:pageBreakBefore w:val="0"/>
              <w:widowControl w:val="0"/>
              <w:kinsoku/>
              <w:wordWrap/>
              <w:overflowPunct/>
              <w:topLinePunct w:val="0"/>
              <w:bidi w:val="0"/>
              <w:adjustRightInd w:val="0"/>
              <w:snapToGrid w:val="0"/>
              <w:spacing w:line="520" w:lineRule="exact"/>
              <w:ind w:firstLine="480"/>
              <w:textAlignment w:val="top"/>
              <w:rPr>
                <w:rFonts w:hint="default" w:eastAsiaTheme="minorEastAsia"/>
                <w:b w:val="0"/>
                <w:bCs w:val="0"/>
                <w:highlight w:val="none"/>
                <w:u w:val="none"/>
                <w:lang w:val="en-US" w:eastAsia="zh-CN"/>
              </w:rPr>
            </w:pPr>
            <w:r>
              <w:rPr>
                <w:rFonts w:hint="eastAsia" w:ascii="Times New Roman" w:hAnsi="Times New Roman" w:cs="Times New Roman"/>
                <w:b w:val="0"/>
                <w:bCs w:val="0"/>
                <w:color w:val="auto"/>
                <w:highlight w:val="none"/>
                <w:u w:val="none"/>
                <w:lang w:val="en-US" w:eastAsia="zh-CN"/>
              </w:rPr>
              <w:t>根据《</w:t>
            </w:r>
            <w:r>
              <w:rPr>
                <w:rFonts w:hint="default" w:ascii="Times New Roman" w:hAnsi="Times New Roman" w:cs="Times New Roman"/>
                <w:b w:val="0"/>
                <w:bCs w:val="0"/>
                <w:color w:val="auto"/>
                <w:highlight w:val="none"/>
                <w:u w:val="none"/>
              </w:rPr>
              <w:t>关于2021年风电、光伏发电项目建设有关事项的通知</w:t>
            </w:r>
            <w:r>
              <w:rPr>
                <w:rFonts w:hint="eastAsia" w:ascii="Times New Roman" w:hAnsi="Times New Roman" w:cs="Times New Roman"/>
                <w:b w:val="0"/>
                <w:bCs w:val="0"/>
                <w:color w:val="auto"/>
                <w:highlight w:val="none"/>
                <w:u w:val="none"/>
                <w:lang w:eastAsia="zh-CN"/>
              </w:rPr>
              <w:t>》</w:t>
            </w:r>
            <w:r>
              <w:rPr>
                <w:rFonts w:hint="default" w:ascii="Times New Roman" w:hAnsi="Times New Roman" w:cs="Times New Roman"/>
                <w:b w:val="0"/>
                <w:bCs w:val="0"/>
                <w:color w:val="auto"/>
                <w:highlight w:val="none"/>
                <w:u w:val="none"/>
              </w:rPr>
              <w:t>（豫发改新能源</w:t>
            </w:r>
            <w:r>
              <w:rPr>
                <w:rFonts w:hint="eastAsia" w:ascii="Times New Roman" w:hAnsi="Times New Roman" w:cs="Times New Roman"/>
                <w:b w:val="0"/>
                <w:bCs w:val="0"/>
                <w:color w:val="auto"/>
                <w:highlight w:val="none"/>
                <w:u w:val="none"/>
                <w:lang w:val="en-US" w:eastAsia="zh-CN"/>
              </w:rPr>
              <w:t>[</w:t>
            </w:r>
            <w:r>
              <w:rPr>
                <w:rFonts w:hint="default" w:ascii="Times New Roman" w:hAnsi="Times New Roman" w:cs="Times New Roman"/>
                <w:b w:val="0"/>
                <w:bCs w:val="0"/>
                <w:color w:val="auto"/>
                <w:highlight w:val="none"/>
                <w:u w:val="none"/>
              </w:rPr>
              <w:t>2021</w:t>
            </w:r>
            <w:r>
              <w:rPr>
                <w:rFonts w:hint="eastAsia" w:ascii="Times New Roman" w:hAnsi="Times New Roman" w:cs="Times New Roman"/>
                <w:b w:val="0"/>
                <w:bCs w:val="0"/>
                <w:color w:val="auto"/>
                <w:highlight w:val="none"/>
                <w:u w:val="none"/>
                <w:lang w:val="en-US" w:eastAsia="zh-CN"/>
              </w:rPr>
              <w:t>]</w:t>
            </w:r>
            <w:r>
              <w:rPr>
                <w:rFonts w:hint="default" w:ascii="Times New Roman" w:hAnsi="Times New Roman" w:cs="Times New Roman"/>
                <w:b w:val="0"/>
                <w:bCs w:val="0"/>
                <w:color w:val="auto"/>
                <w:highlight w:val="none"/>
                <w:u w:val="none"/>
              </w:rPr>
              <w:t>482号）</w:t>
            </w:r>
            <w:r>
              <w:rPr>
                <w:rFonts w:hint="eastAsia" w:ascii="Times New Roman" w:hAnsi="Times New Roman" w:cs="Times New Roman"/>
                <w:b w:val="0"/>
                <w:bCs w:val="0"/>
                <w:color w:val="auto"/>
                <w:highlight w:val="none"/>
                <w:u w:val="none"/>
                <w:lang w:eastAsia="zh-CN"/>
              </w:rPr>
              <w:t>，</w:t>
            </w:r>
            <w:r>
              <w:rPr>
                <w:rFonts w:hint="eastAsia" w:cs="Times New Roman"/>
                <w:b w:val="0"/>
                <w:bCs w:val="0"/>
                <w:color w:val="auto"/>
                <w:highlight w:val="none"/>
                <w:u w:val="none"/>
                <w:lang w:val="en-US" w:eastAsia="zh-CN"/>
              </w:rPr>
              <w:t>集中式风电新建项目单体规模应在10万千瓦及以上，济源为</w:t>
            </w:r>
            <w:r>
              <w:rPr>
                <w:rFonts w:hint="eastAsia" w:ascii="宋体" w:hAnsi="宋体" w:eastAsia="宋体" w:cs="宋体"/>
                <w:b w:val="0"/>
                <w:bCs w:val="0"/>
                <w:highlight w:val="none"/>
                <w:u w:val="none"/>
                <w:lang w:val="en-US" w:eastAsia="zh-CN"/>
              </w:rPr>
              <w:t>Ⅱ</w:t>
            </w:r>
            <w:r>
              <w:rPr>
                <w:rFonts w:hint="eastAsia" w:cs="Times New Roman"/>
                <w:b w:val="0"/>
                <w:bCs w:val="0"/>
                <w:color w:val="auto"/>
                <w:highlight w:val="none"/>
                <w:u w:val="none"/>
                <w:lang w:val="en-US" w:eastAsia="zh-CN"/>
              </w:rPr>
              <w:t>类地区，</w:t>
            </w:r>
            <w:r>
              <w:rPr>
                <w:rFonts w:hint="eastAsia"/>
                <w:b w:val="0"/>
                <w:bCs w:val="0"/>
                <w:highlight w:val="none"/>
                <w:u w:val="none"/>
                <w:lang w:val="en-US" w:eastAsia="zh-CN"/>
              </w:rPr>
              <w:t>基础储能配置要求为：15%、2小时，对应规模为10万千瓦。</w:t>
            </w:r>
          </w:p>
          <w:p>
            <w:pPr>
              <w:keepNext w:val="0"/>
              <w:keepLines w:val="0"/>
              <w:pageBreakBefore w:val="0"/>
              <w:widowControl w:val="0"/>
              <w:kinsoku/>
              <w:wordWrap/>
              <w:overflowPunct/>
              <w:topLinePunct w:val="0"/>
              <w:bidi w:val="0"/>
              <w:adjustRightInd w:val="0"/>
              <w:snapToGrid w:val="0"/>
              <w:spacing w:line="520" w:lineRule="exact"/>
              <w:ind w:firstLine="480"/>
              <w:textAlignment w:val="top"/>
              <w:rPr>
                <w:rFonts w:hint="eastAsia" w:ascii="Times New Roman" w:hAnsi="Times New Roman" w:cs="Times New Roman"/>
                <w:b w:val="0"/>
                <w:bCs w:val="0"/>
                <w:color w:val="auto"/>
                <w:highlight w:val="none"/>
                <w:u w:val="none"/>
                <w:lang w:val="en-US" w:eastAsia="zh-CN"/>
              </w:rPr>
            </w:pPr>
            <w:r>
              <w:rPr>
                <w:rFonts w:hint="default" w:ascii="Times New Roman" w:hAnsi="Times New Roman" w:cs="Times New Roman"/>
                <w:b w:val="0"/>
                <w:bCs w:val="0"/>
                <w:color w:val="auto"/>
                <w:highlight w:val="none"/>
                <w:u w:val="none"/>
                <w:lang w:val="en-US" w:eastAsia="zh-CN"/>
              </w:rPr>
              <w:t>济源大岭四期风电场项目</w:t>
            </w:r>
            <w:r>
              <w:rPr>
                <w:rFonts w:hint="eastAsia" w:ascii="Times New Roman" w:hAnsi="Times New Roman" w:cs="Times New Roman"/>
                <w:b w:val="0"/>
                <w:bCs w:val="0"/>
                <w:color w:val="auto"/>
                <w:highlight w:val="none"/>
                <w:u w:val="none"/>
                <w:lang w:val="en-US" w:eastAsia="zh-CN"/>
              </w:rPr>
              <w:t>规模为</w:t>
            </w:r>
            <w:r>
              <w:rPr>
                <w:rFonts w:hint="default" w:ascii="Times New Roman" w:hAnsi="Times New Roman" w:cs="Times New Roman"/>
                <w:b w:val="0"/>
                <w:bCs w:val="0"/>
                <w:color w:val="auto"/>
                <w:highlight w:val="none"/>
                <w:u w:val="none"/>
                <w:lang w:val="en-US" w:eastAsia="zh-CN"/>
              </w:rPr>
              <w:t>100MW</w:t>
            </w:r>
            <w:r>
              <w:rPr>
                <w:rFonts w:hint="eastAsia" w:ascii="Times New Roman" w:hAnsi="Times New Roman" w:cs="Times New Roman"/>
                <w:b w:val="0"/>
                <w:bCs w:val="0"/>
                <w:color w:val="auto"/>
                <w:highlight w:val="none"/>
                <w:u w:val="none"/>
                <w:lang w:val="en-US" w:eastAsia="zh-CN"/>
              </w:rPr>
              <w:t>，即10万千瓦，规模符合要求。</w:t>
            </w:r>
            <w:r>
              <w:rPr>
                <w:rFonts w:hint="eastAsia" w:cs="Times New Roman"/>
                <w:b w:val="0"/>
                <w:bCs w:val="0"/>
                <w:color w:val="auto"/>
                <w:highlight w:val="none"/>
                <w:u w:val="none"/>
                <w:lang w:val="en-US" w:eastAsia="zh-CN"/>
              </w:rPr>
              <w:t>根据《</w:t>
            </w:r>
            <w:r>
              <w:rPr>
                <w:rFonts w:hint="eastAsia" w:ascii="Times New Roman" w:hAnsi="Times New Roman" w:cs="Times New Roman"/>
                <w:b w:val="0"/>
                <w:bCs w:val="0"/>
                <w:color w:val="auto"/>
                <w:highlight w:val="none"/>
                <w:u w:val="none"/>
                <w:lang w:val="en-US" w:eastAsia="zh-CN"/>
              </w:rPr>
              <w:t>国电河南新能源有限公司济源大岭四期100MW风电场项目可行性研究报告</w:t>
            </w:r>
            <w:r>
              <w:rPr>
                <w:rFonts w:hint="eastAsia" w:cs="Times New Roman"/>
                <w:b w:val="0"/>
                <w:bCs w:val="0"/>
                <w:color w:val="auto"/>
                <w:highlight w:val="none"/>
                <w:u w:val="none"/>
                <w:lang w:val="en-US" w:eastAsia="zh-CN"/>
              </w:rPr>
              <w:t>》，</w:t>
            </w:r>
            <w:r>
              <w:rPr>
                <w:rFonts w:hint="default" w:ascii="Times New Roman" w:hAnsi="Times New Roman" w:cs="Times New Roman"/>
                <w:b w:val="0"/>
                <w:bCs w:val="0"/>
                <w:color w:val="auto"/>
                <w:highlight w:val="none"/>
                <w:u w:val="none"/>
                <w:lang w:val="en-US" w:eastAsia="zh-CN"/>
              </w:rPr>
              <w:t>按15%</w:t>
            </w:r>
            <w:r>
              <w:rPr>
                <w:rFonts w:hint="eastAsia" w:ascii="Times New Roman" w:hAnsi="Times New Roman" w:cs="Times New Roman"/>
                <w:b w:val="0"/>
                <w:bCs w:val="0"/>
                <w:color w:val="auto"/>
                <w:highlight w:val="none"/>
                <w:u w:val="none"/>
                <w:lang w:val="en-US" w:eastAsia="zh-CN"/>
              </w:rPr>
              <w:t>、</w:t>
            </w:r>
            <w:r>
              <w:rPr>
                <w:rFonts w:hint="default" w:ascii="Times New Roman" w:hAnsi="Times New Roman" w:cs="Times New Roman"/>
                <w:b w:val="0"/>
                <w:bCs w:val="0"/>
                <w:color w:val="auto"/>
                <w:highlight w:val="none"/>
                <w:u w:val="none"/>
                <w:lang w:val="en-US" w:eastAsia="zh-CN"/>
              </w:rPr>
              <w:t>2h</w:t>
            </w:r>
            <w:r>
              <w:rPr>
                <w:rFonts w:hint="eastAsia" w:ascii="Times New Roman" w:hAnsi="Times New Roman" w:cs="Times New Roman"/>
                <w:b w:val="0"/>
                <w:bCs w:val="0"/>
                <w:color w:val="auto"/>
                <w:highlight w:val="none"/>
                <w:u w:val="none"/>
                <w:lang w:val="en-US" w:eastAsia="zh-CN"/>
              </w:rPr>
              <w:t>的基础储能要求进行储能配置建设</w:t>
            </w:r>
            <w:r>
              <w:rPr>
                <w:rFonts w:hint="eastAsia" w:cs="Times New Roman"/>
                <w:b w:val="0"/>
                <w:bCs w:val="0"/>
                <w:color w:val="auto"/>
                <w:highlight w:val="none"/>
                <w:u w:val="none"/>
                <w:lang w:val="en-US" w:eastAsia="zh-CN"/>
              </w:rPr>
              <w:t>，</w:t>
            </w:r>
            <w:r>
              <w:rPr>
                <w:rFonts w:hint="eastAsia" w:ascii="Times New Roman" w:hAnsi="Times New Roman" w:cs="Times New Roman"/>
                <w:b w:val="0"/>
                <w:bCs w:val="0"/>
                <w:color w:val="auto"/>
                <w:highlight w:val="none"/>
                <w:u w:val="none"/>
                <w:lang w:val="en-US" w:eastAsia="zh-CN"/>
              </w:rPr>
              <w:t>风电场装机</w:t>
            </w:r>
            <w:r>
              <w:rPr>
                <w:rFonts w:hint="default" w:ascii="Times New Roman" w:hAnsi="Times New Roman" w:cs="Times New Roman"/>
                <w:b w:val="0"/>
                <w:bCs w:val="0"/>
                <w:color w:val="auto"/>
                <w:highlight w:val="none"/>
                <w:u w:val="none"/>
                <w:lang w:val="en-US" w:eastAsia="zh-CN"/>
              </w:rPr>
              <w:t>100MW</w:t>
            </w:r>
            <w:r>
              <w:rPr>
                <w:rFonts w:hint="eastAsia" w:ascii="Times New Roman" w:hAnsi="Times New Roman" w:cs="Times New Roman"/>
                <w:b w:val="0"/>
                <w:bCs w:val="0"/>
                <w:color w:val="auto"/>
                <w:highlight w:val="none"/>
                <w:u w:val="none"/>
                <w:lang w:val="en-US" w:eastAsia="zh-CN"/>
              </w:rPr>
              <w:t>，储能容量为</w:t>
            </w:r>
            <w:r>
              <w:rPr>
                <w:rFonts w:hint="default" w:ascii="Times New Roman" w:hAnsi="Times New Roman" w:cs="Times New Roman"/>
                <w:b w:val="0"/>
                <w:bCs w:val="0"/>
                <w:color w:val="auto"/>
                <w:highlight w:val="none"/>
                <w:u w:val="none"/>
                <w:lang w:val="en-US" w:eastAsia="zh-CN"/>
              </w:rPr>
              <w:t>15MW/30MWh</w:t>
            </w:r>
            <w:r>
              <w:rPr>
                <w:rFonts w:hint="eastAsia" w:cs="Times New Roman"/>
                <w:b w:val="0"/>
                <w:bCs w:val="0"/>
                <w:color w:val="auto"/>
                <w:highlight w:val="none"/>
                <w:u w:val="none"/>
                <w:lang w:val="en-US" w:eastAsia="zh-CN"/>
              </w:rPr>
              <w:t>，</w:t>
            </w:r>
            <w:r>
              <w:rPr>
                <w:rFonts w:hint="eastAsia" w:ascii="Times New Roman" w:hAnsi="Times New Roman" w:cs="Times New Roman"/>
                <w:b w:val="0"/>
                <w:bCs w:val="0"/>
                <w:color w:val="auto"/>
                <w:highlight w:val="none"/>
                <w:u w:val="none"/>
                <w:lang w:val="en-US" w:eastAsia="zh-CN"/>
              </w:rPr>
              <w:t>储能系统满足</w:t>
            </w:r>
            <w:r>
              <w:rPr>
                <w:rFonts w:hint="default" w:ascii="Times New Roman" w:hAnsi="Times New Roman" w:cs="Times New Roman"/>
                <w:b w:val="0"/>
                <w:bCs w:val="0"/>
                <w:color w:val="auto"/>
                <w:highlight w:val="none"/>
                <w:u w:val="none"/>
                <w:lang w:val="en-US" w:eastAsia="zh-CN"/>
              </w:rPr>
              <w:t>10</w:t>
            </w:r>
            <w:r>
              <w:rPr>
                <w:rFonts w:hint="eastAsia" w:ascii="Times New Roman" w:hAnsi="Times New Roman" w:cs="Times New Roman"/>
                <w:b w:val="0"/>
                <w:bCs w:val="0"/>
                <w:color w:val="auto"/>
                <w:highlight w:val="none"/>
                <w:u w:val="none"/>
                <w:lang w:val="en-US" w:eastAsia="zh-CN"/>
              </w:rPr>
              <w:t>年（</w:t>
            </w:r>
            <w:r>
              <w:rPr>
                <w:rFonts w:hint="default" w:ascii="Times New Roman" w:hAnsi="Times New Roman" w:cs="Times New Roman"/>
                <w:b w:val="0"/>
                <w:bCs w:val="0"/>
                <w:color w:val="auto"/>
                <w:highlight w:val="none"/>
                <w:u w:val="none"/>
                <w:lang w:val="en-US" w:eastAsia="zh-CN"/>
              </w:rPr>
              <w:t>5000</w:t>
            </w:r>
            <w:r>
              <w:rPr>
                <w:rFonts w:hint="eastAsia" w:ascii="Times New Roman" w:hAnsi="Times New Roman" w:cs="Times New Roman"/>
                <w:b w:val="0"/>
                <w:bCs w:val="0"/>
                <w:color w:val="auto"/>
                <w:highlight w:val="none"/>
                <w:u w:val="none"/>
                <w:lang w:val="en-US" w:eastAsia="zh-CN"/>
              </w:rPr>
              <w:t>次）以上工作寿命，系统容量</w:t>
            </w:r>
            <w:r>
              <w:rPr>
                <w:rFonts w:hint="default" w:ascii="Times New Roman" w:hAnsi="Times New Roman" w:cs="Times New Roman"/>
                <w:b w:val="0"/>
                <w:bCs w:val="0"/>
                <w:color w:val="auto"/>
                <w:highlight w:val="none"/>
                <w:u w:val="none"/>
                <w:lang w:val="en-US" w:eastAsia="zh-CN"/>
              </w:rPr>
              <w:t>10</w:t>
            </w:r>
            <w:r>
              <w:rPr>
                <w:rFonts w:hint="eastAsia" w:ascii="Times New Roman" w:hAnsi="Times New Roman" w:cs="Times New Roman"/>
                <w:b w:val="0"/>
                <w:bCs w:val="0"/>
                <w:color w:val="auto"/>
                <w:highlight w:val="none"/>
                <w:u w:val="none"/>
                <w:lang w:val="en-US" w:eastAsia="zh-CN"/>
              </w:rPr>
              <w:t>年衰减率不超过</w:t>
            </w:r>
            <w:r>
              <w:rPr>
                <w:rFonts w:hint="default" w:ascii="Times New Roman" w:hAnsi="Times New Roman" w:cs="Times New Roman"/>
                <w:b w:val="0"/>
                <w:bCs w:val="0"/>
                <w:color w:val="auto"/>
                <w:highlight w:val="none"/>
                <w:u w:val="none"/>
                <w:lang w:val="en-US" w:eastAsia="zh-CN"/>
              </w:rPr>
              <w:t>20%</w:t>
            </w:r>
            <w:r>
              <w:rPr>
                <w:rFonts w:hint="eastAsia" w:ascii="Times New Roman" w:hAnsi="Times New Roman" w:cs="Times New Roman"/>
                <w:b w:val="0"/>
                <w:bCs w:val="0"/>
                <w:color w:val="auto"/>
                <w:highlight w:val="none"/>
                <w:u w:val="none"/>
                <w:lang w:val="en-US" w:eastAsia="zh-CN"/>
              </w:rPr>
              <w:t>。储能系统与风电项目同步投运。</w:t>
            </w:r>
          </w:p>
          <w:p>
            <w:pPr>
              <w:keepNext w:val="0"/>
              <w:keepLines w:val="0"/>
              <w:pageBreakBefore w:val="0"/>
              <w:widowControl w:val="0"/>
              <w:kinsoku/>
              <w:wordWrap/>
              <w:overflowPunct/>
              <w:topLinePunct w:val="0"/>
              <w:bidi w:val="0"/>
              <w:adjustRightInd w:val="0"/>
              <w:snapToGrid w:val="0"/>
              <w:spacing w:line="520" w:lineRule="exact"/>
              <w:ind w:firstLine="480"/>
              <w:textAlignment w:val="top"/>
              <w:rPr>
                <w:rFonts w:hint="default"/>
                <w:b w:val="0"/>
                <w:bCs w:val="0"/>
                <w:highlight w:val="none"/>
                <w:u w:val="none"/>
              </w:rPr>
            </w:pPr>
            <w:r>
              <w:rPr>
                <w:rFonts w:hint="eastAsia" w:cs="Times New Roman"/>
                <w:b w:val="0"/>
                <w:bCs w:val="0"/>
                <w:color w:val="auto"/>
                <w:highlight w:val="none"/>
                <w:u w:val="none"/>
                <w:lang w:val="en-US" w:eastAsia="zh-CN"/>
              </w:rPr>
              <w:t>综上所述，</w:t>
            </w:r>
            <w:r>
              <w:rPr>
                <w:rFonts w:hint="default" w:ascii="Times New Roman" w:hAnsi="Times New Roman" w:cs="Times New Roman"/>
                <w:b w:val="0"/>
                <w:bCs w:val="0"/>
                <w:color w:val="auto"/>
                <w:highlight w:val="none"/>
                <w:u w:val="none"/>
                <w:lang w:val="en-US" w:eastAsia="zh-CN"/>
              </w:rPr>
              <w:t>济源大岭四期风电场</w:t>
            </w:r>
            <w:r>
              <w:rPr>
                <w:rFonts w:hint="eastAsia" w:cs="Times New Roman"/>
                <w:b w:val="0"/>
                <w:bCs w:val="0"/>
                <w:color w:val="auto"/>
                <w:highlight w:val="none"/>
                <w:u w:val="none"/>
                <w:lang w:val="en-US" w:eastAsia="zh-CN"/>
              </w:rPr>
              <w:t>项目（含配套升压站）符合</w:t>
            </w:r>
            <w:r>
              <w:rPr>
                <w:rFonts w:hint="default" w:ascii="Times New Roman" w:hAnsi="Times New Roman" w:cs="Times New Roman"/>
                <w:b w:val="0"/>
                <w:bCs w:val="0"/>
                <w:color w:val="auto"/>
                <w:highlight w:val="none"/>
                <w:u w:val="none"/>
              </w:rPr>
              <w:t>豫发改新能源</w:t>
            </w:r>
            <w:r>
              <w:rPr>
                <w:rFonts w:hint="eastAsia" w:ascii="Times New Roman" w:hAnsi="Times New Roman" w:cs="Times New Roman"/>
                <w:b w:val="0"/>
                <w:bCs w:val="0"/>
                <w:color w:val="auto"/>
                <w:highlight w:val="none"/>
                <w:u w:val="none"/>
                <w:lang w:val="en-US" w:eastAsia="zh-CN"/>
              </w:rPr>
              <w:t>[</w:t>
            </w:r>
            <w:r>
              <w:rPr>
                <w:rFonts w:hint="default" w:ascii="Times New Roman" w:hAnsi="Times New Roman" w:cs="Times New Roman"/>
                <w:b w:val="0"/>
                <w:bCs w:val="0"/>
                <w:color w:val="auto"/>
                <w:highlight w:val="none"/>
                <w:u w:val="none"/>
              </w:rPr>
              <w:t>2021</w:t>
            </w:r>
            <w:r>
              <w:rPr>
                <w:rFonts w:hint="eastAsia" w:ascii="Times New Roman" w:hAnsi="Times New Roman" w:cs="Times New Roman"/>
                <w:b w:val="0"/>
                <w:bCs w:val="0"/>
                <w:color w:val="auto"/>
                <w:highlight w:val="none"/>
                <w:u w:val="none"/>
                <w:lang w:val="en-US" w:eastAsia="zh-CN"/>
              </w:rPr>
              <w:t>]</w:t>
            </w:r>
            <w:r>
              <w:rPr>
                <w:rFonts w:hint="default" w:ascii="Times New Roman" w:hAnsi="Times New Roman" w:cs="Times New Roman"/>
                <w:b w:val="0"/>
                <w:bCs w:val="0"/>
                <w:color w:val="auto"/>
                <w:highlight w:val="none"/>
                <w:u w:val="none"/>
              </w:rPr>
              <w:t>482号</w:t>
            </w:r>
            <w:r>
              <w:rPr>
                <w:rFonts w:hint="eastAsia" w:cs="Times New Roman"/>
                <w:b w:val="0"/>
                <w:bCs w:val="0"/>
                <w:color w:val="auto"/>
                <w:highlight w:val="none"/>
                <w:u w:val="none"/>
                <w:lang w:val="en-US" w:eastAsia="zh-CN"/>
              </w:rPr>
              <w:t>文要求。</w:t>
            </w:r>
            <w:r>
              <w:rPr>
                <w:rFonts w:hint="default" w:ascii="Times New Roman" w:hAnsi="Times New Roman" w:cs="Times New Roman"/>
                <w:b w:val="0"/>
                <w:bCs w:val="0"/>
                <w:color w:val="auto"/>
                <w:highlight w:val="none"/>
                <w:u w:val="none"/>
                <w:lang w:val="en-US" w:eastAsia="zh-CN"/>
              </w:rPr>
              <w:t>济源大岭四期风电场</w:t>
            </w:r>
            <w:r>
              <w:rPr>
                <w:rFonts w:hint="eastAsia" w:cs="Times New Roman"/>
                <w:b w:val="0"/>
                <w:bCs w:val="0"/>
                <w:color w:val="auto"/>
                <w:highlight w:val="none"/>
                <w:u w:val="none"/>
                <w:lang w:val="en-US" w:eastAsia="zh-CN"/>
              </w:rPr>
              <w:t>项目（含配套升压站）</w:t>
            </w:r>
            <w:r>
              <w:rPr>
                <w:rFonts w:hint="default" w:ascii="Times New Roman" w:hAnsi="Times New Roman" w:cs="Times New Roman"/>
                <w:b w:val="0"/>
                <w:bCs w:val="0"/>
                <w:color w:val="auto"/>
                <w:highlight w:val="none"/>
                <w:u w:val="none"/>
                <w:lang w:val="en-US" w:eastAsia="zh-CN"/>
              </w:rPr>
              <w:t>已</w:t>
            </w:r>
            <w:r>
              <w:rPr>
                <w:rFonts w:hint="eastAsia" w:ascii="Times New Roman" w:hAnsi="Times New Roman" w:cs="Times New Roman"/>
                <w:b w:val="0"/>
                <w:bCs w:val="0"/>
                <w:color w:val="auto"/>
                <w:highlight w:val="none"/>
                <w:u w:val="none"/>
                <w:lang w:val="en-US" w:eastAsia="zh-CN"/>
              </w:rPr>
              <w:t>于</w:t>
            </w:r>
            <w:r>
              <w:rPr>
                <w:rFonts w:hint="default" w:ascii="Times New Roman" w:hAnsi="Times New Roman" w:cs="Times New Roman"/>
                <w:b w:val="0"/>
                <w:bCs w:val="0"/>
                <w:color w:val="auto"/>
                <w:highlight w:val="none"/>
                <w:u w:val="none"/>
                <w:lang w:val="en-US" w:eastAsia="zh-CN"/>
              </w:rPr>
              <w:t>2021</w:t>
            </w:r>
            <w:r>
              <w:rPr>
                <w:rFonts w:hint="eastAsia" w:ascii="Times New Roman" w:hAnsi="Times New Roman" w:cs="Times New Roman"/>
                <w:b w:val="0"/>
                <w:bCs w:val="0"/>
                <w:color w:val="auto"/>
                <w:highlight w:val="none"/>
                <w:u w:val="none"/>
                <w:lang w:val="en-US" w:eastAsia="zh-CN"/>
              </w:rPr>
              <w:t>年</w:t>
            </w:r>
            <w:r>
              <w:rPr>
                <w:rFonts w:hint="default" w:ascii="Times New Roman" w:hAnsi="Times New Roman" w:cs="Times New Roman"/>
                <w:b w:val="0"/>
                <w:bCs w:val="0"/>
                <w:color w:val="auto"/>
                <w:highlight w:val="none"/>
                <w:u w:val="none"/>
                <w:lang w:val="en-US" w:eastAsia="zh-CN"/>
              </w:rPr>
              <w:t>12</w:t>
            </w:r>
            <w:r>
              <w:rPr>
                <w:rFonts w:hint="eastAsia" w:ascii="Times New Roman" w:hAnsi="Times New Roman" w:cs="Times New Roman"/>
                <w:b w:val="0"/>
                <w:bCs w:val="0"/>
                <w:color w:val="auto"/>
                <w:highlight w:val="none"/>
                <w:u w:val="none"/>
                <w:lang w:val="en-US" w:eastAsia="zh-CN"/>
              </w:rPr>
              <w:t>月</w:t>
            </w:r>
            <w:r>
              <w:rPr>
                <w:rFonts w:hint="default" w:ascii="Times New Roman" w:hAnsi="Times New Roman" w:cs="Times New Roman"/>
                <w:b w:val="0"/>
                <w:bCs w:val="0"/>
                <w:color w:val="auto"/>
                <w:highlight w:val="none"/>
                <w:u w:val="none"/>
                <w:lang w:val="en-US" w:eastAsia="zh-CN"/>
              </w:rPr>
              <w:t>29</w:t>
            </w:r>
            <w:r>
              <w:rPr>
                <w:rFonts w:hint="eastAsia" w:ascii="Times New Roman" w:hAnsi="Times New Roman" w:cs="Times New Roman"/>
                <w:b w:val="0"/>
                <w:bCs w:val="0"/>
                <w:color w:val="auto"/>
                <w:highlight w:val="none"/>
                <w:u w:val="none"/>
                <w:lang w:val="en-US" w:eastAsia="zh-CN"/>
              </w:rPr>
              <w:t>日</w:t>
            </w:r>
            <w:r>
              <w:rPr>
                <w:rFonts w:hint="default" w:ascii="Times New Roman" w:hAnsi="Times New Roman" w:cs="Times New Roman"/>
                <w:b w:val="0"/>
                <w:bCs w:val="0"/>
                <w:color w:val="auto"/>
                <w:highlight w:val="none"/>
                <w:u w:val="none"/>
                <w:lang w:val="en-US" w:eastAsia="zh-CN"/>
              </w:rPr>
              <w:t>取得济源市发展改革和统计局核准批复文件</w:t>
            </w:r>
            <w:r>
              <w:rPr>
                <w:rFonts w:hint="eastAsia" w:cs="Times New Roman"/>
                <w:b w:val="0"/>
                <w:bCs w:val="0"/>
                <w:color w:val="auto"/>
                <w:highlight w:val="none"/>
                <w:u w:val="none"/>
                <w:lang w:val="en-US" w:eastAsia="zh-CN"/>
              </w:rPr>
              <w:t>（</w:t>
            </w:r>
            <w:r>
              <w:rPr>
                <w:rFonts w:hint="eastAsia" w:ascii="Times New Roman" w:hAnsi="Times New Roman" w:cs="Times New Roman"/>
                <w:b w:val="0"/>
                <w:bCs w:val="0"/>
                <w:color w:val="auto"/>
                <w:highlight w:val="none"/>
                <w:u w:val="none"/>
                <w:lang w:val="en-US" w:eastAsia="zh-CN"/>
              </w:rPr>
              <w:t>见附件</w:t>
            </w:r>
            <w:r>
              <w:rPr>
                <w:rFonts w:hint="default" w:ascii="Times New Roman" w:hAnsi="Times New Roman" w:cs="Times New Roman"/>
                <w:b w:val="0"/>
                <w:bCs w:val="0"/>
                <w:color w:val="auto"/>
                <w:highlight w:val="none"/>
                <w:u w:val="none"/>
                <w:lang w:val="en-US" w:eastAsia="zh-CN"/>
              </w:rPr>
              <w:t>2</w:t>
            </w:r>
            <w:r>
              <w:rPr>
                <w:rFonts w:hint="eastAsia" w:cs="Times New Roman"/>
                <w:b w:val="0"/>
                <w:bCs w:val="0"/>
                <w:color w:val="auto"/>
                <w:highlight w:val="none"/>
                <w:u w:val="none"/>
                <w:lang w:val="en-US" w:eastAsia="zh-CN"/>
              </w:rPr>
              <w:t>），文号：</w:t>
            </w:r>
            <w:r>
              <w:rPr>
                <w:rFonts w:hint="eastAsia" w:ascii="Times New Roman" w:hAnsi="Times New Roman" w:cs="Times New Roman"/>
                <w:b w:val="0"/>
                <w:bCs w:val="0"/>
                <w:color w:val="auto"/>
                <w:highlight w:val="none"/>
                <w:u w:val="none"/>
                <w:lang w:val="en-US" w:eastAsia="zh-CN"/>
              </w:rPr>
              <w:t>济发统审批</w:t>
            </w:r>
            <w:r>
              <w:rPr>
                <w:rFonts w:hint="default" w:ascii="Times New Roman" w:hAnsi="Times New Roman" w:cs="Times New Roman"/>
                <w:b w:val="0"/>
                <w:bCs w:val="0"/>
                <w:color w:val="auto"/>
                <w:highlight w:val="none"/>
                <w:u w:val="none"/>
                <w:lang w:val="en-US" w:eastAsia="zh-CN"/>
              </w:rPr>
              <w:t>[2021]234</w:t>
            </w:r>
            <w:r>
              <w:rPr>
                <w:rFonts w:hint="eastAsia" w:ascii="Times New Roman" w:hAnsi="Times New Roman" w:cs="Times New Roman"/>
                <w:b w:val="0"/>
                <w:bCs w:val="0"/>
                <w:color w:val="auto"/>
                <w:highlight w:val="none"/>
                <w:u w:val="none"/>
                <w:lang w:val="en-US" w:eastAsia="zh-CN"/>
              </w:rPr>
              <w:t>号</w:t>
            </w:r>
            <w:r>
              <w:rPr>
                <w:rFonts w:hint="default" w:ascii="Times New Roman" w:hAnsi="Times New Roman" w:cs="Times New Roman"/>
                <w:b w:val="0"/>
                <w:bCs w:val="0"/>
                <w:color w:val="auto"/>
                <w:highlight w:val="none"/>
                <w:u w:val="none"/>
                <w:lang w:val="en-US" w:eastAsia="zh-CN"/>
              </w:rPr>
              <w:t>。</w:t>
            </w:r>
          </w:p>
          <w:p>
            <w:pPr>
              <w:keepNext w:val="0"/>
              <w:keepLines w:val="0"/>
              <w:pageBreakBefore w:val="0"/>
              <w:widowControl w:val="0"/>
              <w:kinsoku/>
              <w:wordWrap/>
              <w:overflowPunct/>
              <w:topLinePunct w:val="0"/>
              <w:bidi w:val="0"/>
              <w:adjustRightInd w:val="0"/>
              <w:snapToGrid w:val="0"/>
              <w:spacing w:line="520" w:lineRule="exact"/>
              <w:ind w:firstLine="0" w:firstLineChars="0"/>
              <w:textAlignment w:val="top"/>
              <w:rPr>
                <w:rFonts w:hint="default" w:ascii="Times New Roman" w:hAnsi="Times New Roman" w:cs="Times New Roman"/>
                <w:b/>
                <w:bCs/>
                <w:color w:val="auto"/>
              </w:rPr>
            </w:pPr>
            <w:r>
              <w:rPr>
                <w:rFonts w:hint="eastAsia" w:cs="Times New Roman"/>
                <w:b/>
                <w:bCs/>
                <w:color w:val="auto"/>
                <w:lang w:val="en-US" w:eastAsia="zh-CN"/>
              </w:rPr>
              <w:t>3</w:t>
            </w:r>
            <w:r>
              <w:rPr>
                <w:rFonts w:hint="default" w:ascii="Times New Roman" w:hAnsi="Times New Roman" w:cs="Times New Roman"/>
                <w:b/>
                <w:bCs/>
                <w:color w:val="auto"/>
              </w:rPr>
              <w:t>、与“三线一单”符合性分析</w:t>
            </w:r>
          </w:p>
          <w:p>
            <w:pPr>
              <w:keepNext w:val="0"/>
              <w:keepLines w:val="0"/>
              <w:pageBreakBefore w:val="0"/>
              <w:widowControl w:val="0"/>
              <w:kinsoku/>
              <w:wordWrap/>
              <w:overflowPunct/>
              <w:topLinePunct w:val="0"/>
              <w:bidi w:val="0"/>
              <w:adjustRightInd w:val="0"/>
              <w:snapToGrid w:val="0"/>
              <w:spacing w:line="520" w:lineRule="exact"/>
              <w:ind w:firstLine="480"/>
              <w:textAlignment w:val="top"/>
              <w:rPr>
                <w:rFonts w:hint="default" w:ascii="Times New Roman" w:hAnsi="Times New Roman" w:cs="Times New Roman" w:eastAsiaTheme="minorEastAsia"/>
                <w:color w:val="auto"/>
                <w:lang w:eastAsia="zh-CN"/>
              </w:rPr>
            </w:pPr>
            <w:r>
              <w:rPr>
                <w:rFonts w:hint="default" w:ascii="Times New Roman" w:hAnsi="Times New Roman" w:cs="Times New Roman"/>
                <w:color w:val="auto"/>
              </w:rPr>
              <w:t>根据《济源产城融合示范区管理委员会关于实施“三线一单”生态环境分区管控的意见》（济管〔2021〕5号），</w:t>
            </w:r>
            <w:r>
              <w:rPr>
                <w:rFonts w:hint="default" w:ascii="Times New Roman" w:hAnsi="Times New Roman" w:cs="Times New Roman"/>
                <w:kern w:val="0"/>
                <w:sz w:val="24"/>
              </w:rPr>
              <w:t>对比分析本项目的相符性</w:t>
            </w:r>
            <w:r>
              <w:rPr>
                <w:rFonts w:hint="default" w:ascii="Times New Roman" w:hAnsi="Times New Roman" w:cs="Times New Roman"/>
                <w:kern w:val="0"/>
                <w:sz w:val="24"/>
                <w:lang w:eastAsia="zh-CN"/>
              </w:rPr>
              <w:t>。</w:t>
            </w:r>
          </w:p>
          <w:p>
            <w:pPr>
              <w:keepNext w:val="0"/>
              <w:keepLines w:val="0"/>
              <w:pageBreakBefore w:val="0"/>
              <w:widowControl w:val="0"/>
              <w:kinsoku/>
              <w:wordWrap/>
              <w:overflowPunct/>
              <w:topLinePunct w:val="0"/>
              <w:bidi w:val="0"/>
              <w:adjustRightInd w:val="0"/>
              <w:snapToGrid w:val="0"/>
              <w:spacing w:line="520" w:lineRule="exact"/>
              <w:ind w:firstLine="480"/>
              <w:textAlignment w:val="top"/>
              <w:rPr>
                <w:rFonts w:hint="default" w:ascii="Times New Roman" w:hAnsi="Times New Roman" w:cs="Times New Roman"/>
                <w:color w:val="auto"/>
              </w:rPr>
            </w:pPr>
            <w:r>
              <w:rPr>
                <w:rFonts w:hint="default" w:ascii="Times New Roman" w:hAnsi="Times New Roman" w:cs="Times New Roman"/>
                <w:color w:val="auto"/>
              </w:rPr>
              <w:t>（1）生态保护红线</w:t>
            </w:r>
          </w:p>
          <w:p>
            <w:pPr>
              <w:keepNext w:val="0"/>
              <w:keepLines w:val="0"/>
              <w:pageBreakBefore w:val="0"/>
              <w:widowControl w:val="0"/>
              <w:kinsoku/>
              <w:wordWrap/>
              <w:overflowPunct/>
              <w:topLinePunct w:val="0"/>
              <w:autoSpaceDE w:val="0"/>
              <w:autoSpaceDN w:val="0"/>
              <w:bidi w:val="0"/>
              <w:adjustRightInd w:val="0"/>
              <w:snapToGrid w:val="0"/>
              <w:spacing w:line="520" w:lineRule="exact"/>
              <w:ind w:firstLine="480" w:firstLineChars="200"/>
              <w:jc w:val="left"/>
              <w:textAlignment w:val="top"/>
              <w:rPr>
                <w:rFonts w:hint="default" w:ascii="Times New Roman" w:hAnsi="Times New Roman" w:cs="Times New Roman"/>
                <w:color w:val="auto"/>
                <w:kern w:val="0"/>
                <w:sz w:val="24"/>
                <w:highlight w:val="none"/>
              </w:rPr>
            </w:pPr>
            <w:r>
              <w:rPr>
                <w:rFonts w:hint="default" w:ascii="Times New Roman" w:hAnsi="Times New Roman" w:cs="Times New Roman"/>
                <w:color w:val="auto"/>
                <w:kern w:val="0"/>
                <w:sz w:val="24"/>
                <w:highlight w:val="none"/>
              </w:rPr>
              <w:t>本项目</w:t>
            </w:r>
            <w:r>
              <w:rPr>
                <w:rFonts w:hint="default" w:ascii="Times New Roman" w:hAnsi="Times New Roman" w:cs="Times New Roman"/>
                <w:color w:val="auto"/>
                <w:kern w:val="0"/>
                <w:sz w:val="24"/>
                <w:highlight w:val="none"/>
                <w:lang w:val="en-US" w:eastAsia="zh-CN"/>
              </w:rPr>
              <w:t>主要</w:t>
            </w:r>
            <w:r>
              <w:rPr>
                <w:rFonts w:hint="default" w:ascii="Times New Roman" w:hAnsi="Times New Roman" w:cs="Times New Roman"/>
                <w:color w:val="auto"/>
                <w:kern w:val="0"/>
                <w:sz w:val="24"/>
                <w:highlight w:val="none"/>
              </w:rPr>
              <w:t>位于河南省济源市大峪镇，不在生态保护红线范围内，属于一般管控单元，满足其管控要求。</w:t>
            </w:r>
          </w:p>
          <w:p>
            <w:pPr>
              <w:keepNext w:val="0"/>
              <w:keepLines w:val="0"/>
              <w:pageBreakBefore w:val="0"/>
              <w:widowControl w:val="0"/>
              <w:kinsoku/>
              <w:wordWrap/>
              <w:overflowPunct/>
              <w:topLinePunct w:val="0"/>
              <w:bidi w:val="0"/>
              <w:adjustRightInd w:val="0"/>
              <w:snapToGrid w:val="0"/>
              <w:spacing w:line="520" w:lineRule="exact"/>
              <w:ind w:firstLine="480"/>
              <w:textAlignment w:val="top"/>
              <w:rPr>
                <w:rFonts w:hint="default" w:ascii="Times New Roman" w:hAnsi="Times New Roman" w:cs="Times New Roman"/>
                <w:color w:val="auto"/>
                <w:highlight w:val="none"/>
              </w:rPr>
            </w:pPr>
            <w:r>
              <w:rPr>
                <w:rFonts w:hint="default" w:ascii="Times New Roman" w:hAnsi="Times New Roman" w:cs="Times New Roman"/>
                <w:color w:val="auto"/>
                <w:highlight w:val="none"/>
              </w:rPr>
              <w:t>（2）环境质量底线</w:t>
            </w:r>
          </w:p>
          <w:p>
            <w:pPr>
              <w:keepNext w:val="0"/>
              <w:keepLines w:val="0"/>
              <w:pageBreakBefore w:val="0"/>
              <w:widowControl w:val="0"/>
              <w:kinsoku/>
              <w:wordWrap/>
              <w:overflowPunct/>
              <w:topLinePunct w:val="0"/>
              <w:autoSpaceDE w:val="0"/>
              <w:autoSpaceDN w:val="0"/>
              <w:bidi w:val="0"/>
              <w:adjustRightInd w:val="0"/>
              <w:snapToGrid w:val="0"/>
              <w:spacing w:line="520" w:lineRule="exact"/>
              <w:ind w:firstLine="480" w:firstLineChars="200"/>
              <w:jc w:val="left"/>
              <w:textAlignment w:val="top"/>
              <w:rPr>
                <w:rFonts w:hint="default" w:ascii="Times New Roman" w:hAnsi="Times New Roman" w:cs="Times New Roman"/>
                <w:sz w:val="24"/>
              </w:rPr>
            </w:pPr>
            <w:r>
              <w:rPr>
                <w:rFonts w:hint="default" w:ascii="Times New Roman" w:hAnsi="Times New Roman" w:cs="Times New Roman"/>
                <w:color w:val="auto"/>
                <w:kern w:val="0"/>
                <w:sz w:val="24"/>
                <w:highlight w:val="none"/>
              </w:rPr>
              <w:t>根据《济源</w:t>
            </w:r>
            <w:r>
              <w:rPr>
                <w:rFonts w:hint="eastAsia" w:ascii="Times New Roman" w:hAnsi="Times New Roman" w:cs="Times New Roman"/>
                <w:color w:val="auto"/>
                <w:kern w:val="0"/>
                <w:sz w:val="24"/>
                <w:highlight w:val="none"/>
                <w:lang w:val="en-US" w:eastAsia="zh-CN"/>
              </w:rPr>
              <w:t>产城融合</w:t>
            </w:r>
            <w:r>
              <w:rPr>
                <w:rFonts w:hint="default" w:ascii="Times New Roman" w:hAnsi="Times New Roman" w:cs="Times New Roman"/>
                <w:color w:val="auto"/>
                <w:kern w:val="0"/>
                <w:sz w:val="24"/>
                <w:highlight w:val="none"/>
              </w:rPr>
              <w:t>示范区202</w:t>
            </w:r>
            <w:r>
              <w:rPr>
                <w:rFonts w:hint="eastAsia" w:ascii="Times New Roman" w:hAnsi="Times New Roman" w:cs="Times New Roman"/>
                <w:color w:val="auto"/>
                <w:kern w:val="0"/>
                <w:sz w:val="24"/>
                <w:highlight w:val="none"/>
                <w:lang w:val="en-US" w:eastAsia="zh-CN"/>
              </w:rPr>
              <w:t>1</w:t>
            </w:r>
            <w:r>
              <w:rPr>
                <w:rFonts w:hint="default" w:ascii="Times New Roman" w:hAnsi="Times New Roman" w:cs="Times New Roman"/>
                <w:color w:val="auto"/>
                <w:kern w:val="0"/>
                <w:sz w:val="24"/>
                <w:highlight w:val="none"/>
              </w:rPr>
              <w:t>年生态环境状况公报》</w:t>
            </w:r>
            <w:r>
              <w:rPr>
                <w:rFonts w:hint="default" w:ascii="Times New Roman" w:hAnsi="Times New Roman" w:cs="Times New Roman"/>
                <w:sz w:val="24"/>
              </w:rPr>
              <w:t>，济源市</w:t>
            </w:r>
            <w:r>
              <w:rPr>
                <w:rFonts w:hint="eastAsia" w:cs="Times New Roman"/>
                <w:sz w:val="24"/>
                <w:lang w:val="en-US" w:eastAsia="zh-CN"/>
              </w:rPr>
              <w:t>区域</w:t>
            </w:r>
            <w:r>
              <w:rPr>
                <w:rFonts w:hint="default" w:ascii="Times New Roman" w:hAnsi="Times New Roman" w:cs="Times New Roman"/>
                <w:sz w:val="24"/>
              </w:rPr>
              <w:t>PM</w:t>
            </w:r>
            <w:r>
              <w:rPr>
                <w:rFonts w:hint="default" w:ascii="Times New Roman" w:hAnsi="Times New Roman" w:cs="Times New Roman"/>
                <w:sz w:val="24"/>
                <w:vertAlign w:val="subscript"/>
              </w:rPr>
              <w:t>10</w:t>
            </w:r>
            <w:r>
              <w:rPr>
                <w:rFonts w:hint="default" w:ascii="Times New Roman" w:hAnsi="Times New Roman" w:cs="Times New Roman"/>
                <w:sz w:val="24"/>
              </w:rPr>
              <w:t>、PM</w:t>
            </w:r>
            <w:r>
              <w:rPr>
                <w:rFonts w:hint="default" w:ascii="Times New Roman" w:hAnsi="Times New Roman" w:cs="Times New Roman"/>
                <w:sz w:val="24"/>
                <w:vertAlign w:val="subscript"/>
              </w:rPr>
              <w:t>2.5</w:t>
            </w:r>
            <w:r>
              <w:rPr>
                <w:rFonts w:hint="default" w:ascii="Times New Roman" w:hAnsi="Times New Roman" w:cs="Times New Roman"/>
                <w:sz w:val="24"/>
              </w:rPr>
              <w:t>、O</w:t>
            </w:r>
            <w:r>
              <w:rPr>
                <w:rFonts w:hint="default" w:ascii="Times New Roman" w:hAnsi="Times New Roman" w:cs="Times New Roman"/>
                <w:sz w:val="24"/>
                <w:vertAlign w:val="subscript"/>
              </w:rPr>
              <w:t>3</w:t>
            </w:r>
            <w:r>
              <w:rPr>
                <w:rFonts w:hint="eastAsia" w:cs="Times New Roman"/>
                <w:sz w:val="24"/>
                <w:vertAlign w:val="baseline"/>
                <w:lang w:val="en-US" w:eastAsia="zh-CN"/>
              </w:rPr>
              <w:t>年评价</w:t>
            </w:r>
            <w:r>
              <w:rPr>
                <w:rFonts w:hint="default" w:ascii="Times New Roman" w:hAnsi="Times New Roman" w:cs="Times New Roman"/>
                <w:sz w:val="24"/>
              </w:rPr>
              <w:t>指标浓度超过《环境空气质量标准》(GB3095-2012)二级标准</w:t>
            </w:r>
            <w:r>
              <w:rPr>
                <w:rFonts w:hint="eastAsia" w:cs="Times New Roman"/>
                <w:sz w:val="24"/>
                <w:lang w:eastAsia="zh-CN"/>
              </w:rPr>
              <w:t>，</w:t>
            </w:r>
            <w:r>
              <w:rPr>
                <w:rFonts w:hint="eastAsia" w:cs="Times New Roman"/>
                <w:sz w:val="24"/>
                <w:lang w:val="en-US" w:eastAsia="zh-CN"/>
              </w:rPr>
              <w:t>济源市属于</w:t>
            </w:r>
            <w:r>
              <w:rPr>
                <w:rFonts w:hint="default" w:ascii="Times New Roman" w:hAnsi="Times New Roman" w:cs="Times New Roman"/>
                <w:sz w:val="24"/>
              </w:rPr>
              <w:t>环境空气质量</w:t>
            </w:r>
            <w:r>
              <w:rPr>
                <w:rFonts w:hint="eastAsia" w:cs="Times New Roman"/>
                <w:sz w:val="24"/>
                <w:lang w:val="en-US" w:eastAsia="zh-CN"/>
              </w:rPr>
              <w:t>不达标区</w:t>
            </w:r>
            <w:r>
              <w:rPr>
                <w:rFonts w:hint="eastAsia" w:cs="Times New Roman"/>
                <w:sz w:val="24"/>
                <w:lang w:eastAsia="zh-CN"/>
              </w:rPr>
              <w:t>。</w:t>
            </w:r>
            <w:r>
              <w:rPr>
                <w:rFonts w:hint="default" w:ascii="Times New Roman" w:hAnsi="Times New Roman" w:cs="Times New Roman"/>
                <w:sz w:val="24"/>
                <w:highlight w:val="none"/>
              </w:rPr>
              <w:t>根据</w:t>
            </w:r>
            <w:r>
              <w:rPr>
                <w:rFonts w:hint="default" w:ascii="Times New Roman" w:hAnsi="Times New Roman" w:cs="Times New Roman"/>
                <w:color w:val="000000"/>
                <w:sz w:val="24"/>
                <w:highlight w:val="none"/>
              </w:rPr>
              <w:t>《济源产城融合示范区202</w:t>
            </w:r>
            <w:r>
              <w:rPr>
                <w:rFonts w:hint="eastAsia" w:cs="Times New Roman"/>
                <w:color w:val="000000"/>
                <w:sz w:val="24"/>
                <w:highlight w:val="none"/>
                <w:lang w:val="en-US" w:eastAsia="zh-CN"/>
              </w:rPr>
              <w:t>2</w:t>
            </w:r>
            <w:r>
              <w:rPr>
                <w:rFonts w:hint="default" w:ascii="Times New Roman" w:hAnsi="Times New Roman" w:cs="Times New Roman"/>
                <w:color w:val="000000"/>
                <w:sz w:val="24"/>
                <w:highlight w:val="none"/>
              </w:rPr>
              <w:t>年大气、水、土壤污染防治攻坚战及农业农村污染治理攻坚战实施方案的通知》（济环</w:t>
            </w:r>
            <w:r>
              <w:rPr>
                <w:rFonts w:hint="eastAsia" w:cs="Times New Roman"/>
                <w:color w:val="000000"/>
                <w:sz w:val="24"/>
                <w:highlight w:val="none"/>
                <w:lang w:val="en-US" w:eastAsia="zh-CN"/>
              </w:rPr>
              <w:t>委办</w:t>
            </w:r>
            <w:r>
              <w:rPr>
                <w:rFonts w:hint="default" w:ascii="Times New Roman" w:hAnsi="Times New Roman" w:cs="Times New Roman"/>
                <w:color w:val="000000"/>
                <w:sz w:val="24"/>
                <w:highlight w:val="none"/>
              </w:rPr>
              <w:t>〔202</w:t>
            </w:r>
            <w:r>
              <w:rPr>
                <w:rFonts w:hint="eastAsia" w:cs="Times New Roman"/>
                <w:color w:val="000000"/>
                <w:sz w:val="24"/>
                <w:highlight w:val="none"/>
                <w:lang w:val="en-US" w:eastAsia="zh-CN"/>
              </w:rPr>
              <w:t>2</w:t>
            </w:r>
            <w:r>
              <w:rPr>
                <w:rFonts w:hint="default" w:ascii="Times New Roman" w:hAnsi="Times New Roman" w:cs="Times New Roman"/>
                <w:color w:val="000000"/>
                <w:sz w:val="24"/>
                <w:highlight w:val="none"/>
              </w:rPr>
              <w:t>〕</w:t>
            </w:r>
            <w:r>
              <w:rPr>
                <w:rFonts w:hint="eastAsia" w:cs="Times New Roman"/>
                <w:color w:val="000000"/>
                <w:sz w:val="24"/>
                <w:highlight w:val="none"/>
                <w:lang w:val="en-US" w:eastAsia="zh-CN"/>
              </w:rPr>
              <w:t>15</w:t>
            </w:r>
            <w:r>
              <w:rPr>
                <w:rFonts w:hint="default" w:ascii="Times New Roman" w:hAnsi="Times New Roman" w:cs="Times New Roman"/>
                <w:color w:val="000000"/>
                <w:sz w:val="24"/>
                <w:highlight w:val="none"/>
              </w:rPr>
              <w:t>号）</w:t>
            </w:r>
            <w:r>
              <w:rPr>
                <w:rFonts w:hint="eastAsia" w:cs="Times New Roman"/>
                <w:color w:val="000000"/>
                <w:sz w:val="24"/>
                <w:highlight w:val="none"/>
                <w:lang w:val="en-US" w:eastAsia="zh-CN"/>
              </w:rPr>
              <w:t>等</w:t>
            </w:r>
            <w:r>
              <w:rPr>
                <w:rFonts w:hint="default" w:ascii="Times New Roman" w:hAnsi="Times New Roman" w:cs="Times New Roman"/>
                <w:color w:val="000000"/>
                <w:sz w:val="24"/>
              </w:rPr>
              <w:t>，</w:t>
            </w:r>
            <w:r>
              <w:rPr>
                <w:rFonts w:hint="default" w:ascii="Times New Roman" w:hAnsi="Times New Roman" w:cs="Times New Roman"/>
                <w:color w:val="000000"/>
                <w:sz w:val="24"/>
                <w:lang w:eastAsia="zh-CN"/>
              </w:rPr>
              <w:t>采取</w:t>
            </w:r>
            <w:r>
              <w:rPr>
                <w:rFonts w:hint="default" w:ascii="Times New Roman" w:hAnsi="Times New Roman" w:cs="Times New Roman"/>
                <w:sz w:val="24"/>
              </w:rPr>
              <w:t>控制、削减措施实施后，济源市境内环境空气质量可望得到进一步的改善。</w:t>
            </w:r>
          </w:p>
          <w:p>
            <w:pPr>
              <w:pStyle w:val="67"/>
              <w:keepNext w:val="0"/>
              <w:keepLines w:val="0"/>
              <w:pageBreakBefore w:val="0"/>
              <w:widowControl w:val="0"/>
              <w:kinsoku/>
              <w:wordWrap/>
              <w:overflowPunct/>
              <w:topLinePunct w:val="0"/>
              <w:autoSpaceDE/>
              <w:autoSpaceDN/>
              <w:bidi w:val="0"/>
              <w:adjustRightInd w:val="0"/>
              <w:snapToGrid w:val="0"/>
              <w:spacing w:line="520" w:lineRule="exact"/>
              <w:ind w:firstLine="480"/>
              <w:textAlignment w:val="top"/>
              <w:rPr>
                <w:rFonts w:hint="default" w:ascii="Times New Roman" w:hAnsi="Times New Roman" w:cs="Times New Roman"/>
                <w:sz w:val="24"/>
                <w:szCs w:val="24"/>
              </w:rPr>
            </w:pPr>
            <w:r>
              <w:rPr>
                <w:rFonts w:hint="default" w:ascii="Times New Roman" w:hAnsi="Times New Roman" w:cs="Times New Roman"/>
                <w:sz w:val="24"/>
                <w:szCs w:val="24"/>
              </w:rPr>
              <w:t>本项目施工期将会采取先进有效的环保治理措施，项目实施后无新增废气、废水产生，噪声达标排放，固体废物</w:t>
            </w:r>
            <w:r>
              <w:rPr>
                <w:rFonts w:hint="default" w:ascii="Times New Roman" w:hAnsi="Times New Roman" w:cs="Times New Roman"/>
                <w:sz w:val="24"/>
                <w:szCs w:val="24"/>
                <w:lang w:eastAsia="zh-CN"/>
              </w:rPr>
              <w:t>得到</w:t>
            </w:r>
            <w:r>
              <w:rPr>
                <w:rFonts w:hint="default" w:ascii="Times New Roman" w:hAnsi="Times New Roman" w:cs="Times New Roman"/>
                <w:sz w:val="24"/>
                <w:szCs w:val="24"/>
              </w:rPr>
              <w:t>合理处置</w:t>
            </w:r>
            <w:r>
              <w:rPr>
                <w:rFonts w:hint="eastAsia" w:hAnsi="Times New Roman" w:cs="Times New Roman"/>
                <w:sz w:val="24"/>
                <w:szCs w:val="24"/>
                <w:lang w:eastAsia="zh-CN"/>
              </w:rPr>
              <w:t>；</w:t>
            </w:r>
            <w:r>
              <w:rPr>
                <w:rFonts w:hint="default" w:ascii="Times New Roman" w:hAnsi="Times New Roman" w:cs="Times New Roman"/>
                <w:sz w:val="24"/>
                <w:szCs w:val="24"/>
              </w:rPr>
              <w:t>通过环境影响分析，项目运营期采取环评要求的措施能够合理处置各项污染物，各项污染物对周边环境影响较小，环境质量可以保持现有水平，不突破区域环境质量底线。</w:t>
            </w:r>
          </w:p>
          <w:p>
            <w:pPr>
              <w:pStyle w:val="67"/>
              <w:keepNext w:val="0"/>
              <w:keepLines w:val="0"/>
              <w:pageBreakBefore w:val="0"/>
              <w:widowControl w:val="0"/>
              <w:kinsoku/>
              <w:wordWrap/>
              <w:overflowPunct/>
              <w:topLinePunct w:val="0"/>
              <w:autoSpaceDE/>
              <w:autoSpaceDN/>
              <w:bidi w:val="0"/>
              <w:adjustRightInd w:val="0"/>
              <w:snapToGrid w:val="0"/>
              <w:spacing w:line="520" w:lineRule="exact"/>
              <w:ind w:firstLine="480"/>
              <w:textAlignment w:val="top"/>
              <w:rPr>
                <w:rFonts w:hint="default" w:ascii="Times New Roman" w:hAnsi="Times New Roman" w:cs="Times New Roman"/>
                <w:sz w:val="24"/>
                <w:szCs w:val="24"/>
              </w:rPr>
            </w:pPr>
            <w:r>
              <w:rPr>
                <w:rFonts w:hint="default" w:ascii="Times New Roman" w:hAnsi="Times New Roman" w:cs="Times New Roman"/>
                <w:sz w:val="24"/>
                <w:szCs w:val="24"/>
              </w:rPr>
              <w:t>综上，本项目建设符合环境质量底线要求。</w:t>
            </w:r>
          </w:p>
          <w:p>
            <w:pPr>
              <w:pStyle w:val="67"/>
              <w:keepNext w:val="0"/>
              <w:keepLines w:val="0"/>
              <w:pageBreakBefore w:val="0"/>
              <w:widowControl w:val="0"/>
              <w:kinsoku/>
              <w:wordWrap/>
              <w:overflowPunct/>
              <w:topLinePunct w:val="0"/>
              <w:autoSpaceDE/>
              <w:autoSpaceDN/>
              <w:bidi w:val="0"/>
              <w:adjustRightInd w:val="0"/>
              <w:snapToGrid w:val="0"/>
              <w:spacing w:line="520" w:lineRule="exact"/>
              <w:ind w:firstLine="480"/>
              <w:textAlignment w:val="top"/>
              <w:rPr>
                <w:rFonts w:hint="default" w:ascii="Times New Roman" w:hAnsi="Times New Roman" w:cs="Times New Roman"/>
                <w:sz w:val="24"/>
                <w:szCs w:val="24"/>
              </w:rPr>
            </w:pPr>
            <w:r>
              <w:rPr>
                <w:rFonts w:hint="default" w:ascii="Times New Roman" w:hAnsi="Times New Roman" w:cs="Times New Roman"/>
                <w:sz w:val="24"/>
                <w:szCs w:val="24"/>
              </w:rPr>
              <w:t>（3）资源利用上线</w:t>
            </w:r>
          </w:p>
          <w:p>
            <w:pPr>
              <w:pStyle w:val="67"/>
              <w:keepNext w:val="0"/>
              <w:keepLines w:val="0"/>
              <w:pageBreakBefore w:val="0"/>
              <w:widowControl w:val="0"/>
              <w:kinsoku/>
              <w:wordWrap/>
              <w:overflowPunct/>
              <w:topLinePunct w:val="0"/>
              <w:autoSpaceDE/>
              <w:autoSpaceDN/>
              <w:bidi w:val="0"/>
              <w:adjustRightInd w:val="0"/>
              <w:snapToGrid w:val="0"/>
              <w:spacing w:line="520" w:lineRule="exact"/>
              <w:ind w:firstLine="480"/>
              <w:textAlignment w:val="top"/>
              <w:rPr>
                <w:rFonts w:hint="default" w:ascii="Times New Roman" w:hAnsi="Times New Roman" w:cs="Times New Roman"/>
                <w:sz w:val="24"/>
                <w:szCs w:val="24"/>
              </w:rPr>
            </w:pPr>
            <w:r>
              <w:rPr>
                <w:rFonts w:hint="default" w:ascii="Times New Roman" w:hAnsi="Times New Roman" w:cs="Times New Roman"/>
                <w:sz w:val="24"/>
                <w:szCs w:val="24"/>
              </w:rPr>
              <w:t>本项目为风力发电</w:t>
            </w:r>
            <w:r>
              <w:rPr>
                <w:rFonts w:hint="default" w:ascii="Times New Roman" w:hAnsi="Times New Roman" w:cs="Times New Roman"/>
                <w:sz w:val="24"/>
                <w:szCs w:val="24"/>
                <w:lang w:val="en-US" w:eastAsia="zh-CN"/>
              </w:rPr>
              <w:t>配套升压站</w:t>
            </w:r>
            <w:r>
              <w:rPr>
                <w:rFonts w:hint="default" w:ascii="Times New Roman" w:hAnsi="Times New Roman" w:cs="Times New Roman"/>
                <w:sz w:val="24"/>
                <w:szCs w:val="24"/>
              </w:rPr>
              <w:t>项目，建设过程中消耗一定量的水电。项目建设土地不涉及基本农田，土地资源消耗符合要求。项目资源利用强度较小，不会突破资源利用上线。因此，项目资源利用满足要求。</w:t>
            </w:r>
          </w:p>
          <w:p>
            <w:pPr>
              <w:pStyle w:val="67"/>
              <w:keepNext w:val="0"/>
              <w:keepLines w:val="0"/>
              <w:pageBreakBefore w:val="0"/>
              <w:widowControl w:val="0"/>
              <w:kinsoku/>
              <w:wordWrap/>
              <w:overflowPunct/>
              <w:topLinePunct w:val="0"/>
              <w:autoSpaceDE/>
              <w:autoSpaceDN/>
              <w:bidi w:val="0"/>
              <w:adjustRightInd w:val="0"/>
              <w:snapToGrid w:val="0"/>
              <w:spacing w:line="520" w:lineRule="exact"/>
              <w:ind w:firstLine="480"/>
              <w:textAlignment w:val="top"/>
              <w:rPr>
                <w:rFonts w:hint="default" w:ascii="Times New Roman" w:hAnsi="Times New Roman" w:cs="Times New Roman"/>
                <w:sz w:val="24"/>
                <w:szCs w:val="24"/>
              </w:rPr>
            </w:pPr>
            <w:r>
              <w:rPr>
                <w:rFonts w:hint="default" w:ascii="Times New Roman" w:hAnsi="Times New Roman" w:cs="Times New Roman"/>
                <w:sz w:val="24"/>
                <w:szCs w:val="24"/>
              </w:rPr>
              <w:t>（4）环境准入清单</w:t>
            </w:r>
          </w:p>
          <w:p>
            <w:pPr>
              <w:pStyle w:val="67"/>
              <w:keepNext w:val="0"/>
              <w:keepLines w:val="0"/>
              <w:pageBreakBefore w:val="0"/>
              <w:widowControl w:val="0"/>
              <w:kinsoku/>
              <w:wordWrap/>
              <w:overflowPunct/>
              <w:topLinePunct w:val="0"/>
              <w:autoSpaceDE/>
              <w:autoSpaceDN/>
              <w:bidi w:val="0"/>
              <w:adjustRightInd w:val="0"/>
              <w:snapToGrid w:val="0"/>
              <w:spacing w:line="520" w:lineRule="exact"/>
              <w:ind w:firstLine="480"/>
              <w:textAlignment w:val="top"/>
              <w:rPr>
                <w:rFonts w:hint="default" w:ascii="Times New Roman" w:hAnsi="Times New Roman" w:cs="Times New Roman"/>
                <w:sz w:val="24"/>
                <w:szCs w:val="24"/>
              </w:rPr>
            </w:pPr>
            <w:r>
              <w:rPr>
                <w:rFonts w:hint="default" w:ascii="Times New Roman" w:hAnsi="Times New Roman" w:cs="Times New Roman"/>
                <w:sz w:val="24"/>
                <w:szCs w:val="24"/>
              </w:rPr>
              <w:t>本项目属于输变电项目，根据《国家发展和改革委商务部关于印发&lt;市场准入负面清单（2020年版）&gt;的通知》（发改体改规[2020]1880号），本项目不属于“市场准入负面清单（2020年版）”中禁止准入类建设项目</w:t>
            </w:r>
            <w:r>
              <w:rPr>
                <w:rFonts w:hint="eastAsia" w:hAnsi="Times New Roman" w:cs="Times New Roman"/>
                <w:sz w:val="24"/>
                <w:szCs w:val="24"/>
                <w:lang w:eastAsia="zh-CN"/>
              </w:rPr>
              <w:t>。</w:t>
            </w:r>
            <w:r>
              <w:rPr>
                <w:rFonts w:hint="default" w:ascii="Times New Roman" w:hAnsi="Times New Roman" w:cs="Times New Roman"/>
                <w:sz w:val="24"/>
                <w:szCs w:val="24"/>
              </w:rPr>
              <w:t>本项目与</w:t>
            </w:r>
            <w:r>
              <w:rPr>
                <w:rFonts w:hint="default" w:ascii="Times New Roman" w:hAnsi="Times New Roman" w:cs="Times New Roman"/>
                <w:sz w:val="24"/>
                <w:szCs w:val="24"/>
                <w:lang w:val="en-US" w:eastAsia="zh-CN"/>
              </w:rPr>
              <w:t>济源市</w:t>
            </w:r>
            <w:r>
              <w:rPr>
                <w:rFonts w:hint="default" w:ascii="Times New Roman" w:hAnsi="Times New Roman" w:cs="Times New Roman"/>
                <w:sz w:val="24"/>
                <w:szCs w:val="24"/>
              </w:rPr>
              <w:t>环境管控单元生态环境准入清单对比分析见表1-1。</w:t>
            </w:r>
          </w:p>
          <w:p>
            <w:pPr>
              <w:pStyle w:val="30"/>
              <w:spacing w:line="520" w:lineRule="exact"/>
              <w:ind w:left="425" w:hanging="425" w:firstLineChars="0"/>
              <w:textAlignment w:val="auto"/>
              <w:rPr>
                <w:rFonts w:hint="default" w:ascii="Times New Roman" w:hAnsi="Times New Roman" w:eastAsia="宋体" w:cs="Times New Roman"/>
                <w:highlight w:val="none"/>
              </w:rPr>
            </w:pPr>
            <w:r>
              <w:rPr>
                <w:rFonts w:hint="default" w:ascii="Times New Roman" w:hAnsi="Times New Roman" w:eastAsia="宋体" w:cs="Times New Roman"/>
                <w:highlight w:val="none"/>
              </w:rPr>
              <w:t xml:space="preserve"> 本项目与</w:t>
            </w:r>
            <w:r>
              <w:rPr>
                <w:rFonts w:hint="default" w:ascii="Times New Roman" w:hAnsi="Times New Roman" w:eastAsia="宋体" w:cs="Times New Roman"/>
                <w:highlight w:val="none"/>
                <w:lang w:val="en-US" w:eastAsia="zh-CN"/>
              </w:rPr>
              <w:t>济源市</w:t>
            </w:r>
            <w:r>
              <w:rPr>
                <w:rFonts w:hint="default" w:ascii="Times New Roman" w:hAnsi="Times New Roman" w:eastAsia="宋体" w:cs="Times New Roman"/>
                <w:highlight w:val="none"/>
              </w:rPr>
              <w:t>环境管控单元生态环境准入清单相符性分析</w:t>
            </w:r>
          </w:p>
          <w:tbl>
            <w:tblPr>
              <w:tblStyle w:val="22"/>
              <w:tblW w:w="5000" w:type="pct"/>
              <w:jc w:val="center"/>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867"/>
              <w:gridCol w:w="736"/>
              <w:gridCol w:w="769"/>
              <w:gridCol w:w="4257"/>
              <w:gridCol w:w="1488"/>
              <w:gridCol w:w="588"/>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497" w:type="pct"/>
                  <w:tcBorders>
                    <w:tl2br w:val="nil"/>
                    <w:tr2bl w:val="nil"/>
                  </w:tcBorders>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left="-120" w:leftChars="-50" w:right="-120" w:rightChars="-50" w:firstLine="0" w:firstLineChars="0"/>
                    <w:jc w:val="center"/>
                    <w:textAlignment w:val="auto"/>
                    <w:rPr>
                      <w:rFonts w:hint="default" w:ascii="Times New Roman" w:hAnsi="Times New Roman" w:eastAsia="宋体" w:cs="Times New Roman"/>
                      <w:color w:val="auto"/>
                      <w:kern w:val="0"/>
                      <w:sz w:val="21"/>
                      <w:szCs w:val="21"/>
                      <w:lang w:val="en-US"/>
                    </w:rPr>
                  </w:pPr>
                  <w:r>
                    <w:rPr>
                      <w:rFonts w:hint="default" w:ascii="Times New Roman" w:hAnsi="Times New Roman" w:eastAsia="宋体" w:cs="Times New Roman"/>
                      <w:color w:val="auto"/>
                      <w:kern w:val="0"/>
                      <w:sz w:val="21"/>
                      <w:szCs w:val="21"/>
                    </w:rPr>
                    <w:t>环境管控单元</w:t>
                  </w:r>
                  <w:r>
                    <w:rPr>
                      <w:rFonts w:hint="default" w:ascii="Times New Roman" w:hAnsi="Times New Roman" w:eastAsia="宋体" w:cs="Times New Roman"/>
                      <w:color w:val="auto"/>
                      <w:kern w:val="0"/>
                      <w:sz w:val="21"/>
                      <w:szCs w:val="21"/>
                      <w:lang w:val="en-US" w:eastAsia="zh-CN"/>
                    </w:rPr>
                    <w:t>编码及分类</w:t>
                  </w:r>
                </w:p>
              </w:tc>
              <w:tc>
                <w:tcPr>
                  <w:tcW w:w="422" w:type="pct"/>
                  <w:tcBorders>
                    <w:tl2br w:val="nil"/>
                    <w:tr2bl w:val="nil"/>
                  </w:tcBorders>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left="-120" w:leftChars="-50" w:right="-120" w:rightChars="-50" w:firstLine="0" w:firstLineChars="0"/>
                    <w:jc w:val="center"/>
                    <w:textAlignment w:val="auto"/>
                    <w:rPr>
                      <w:rFonts w:hint="default" w:ascii="Times New Roman" w:hAnsi="Times New Roman" w:eastAsia="宋体" w:cs="Times New Roman"/>
                      <w:color w:val="auto"/>
                      <w:kern w:val="0"/>
                      <w:sz w:val="21"/>
                      <w:szCs w:val="21"/>
                    </w:rPr>
                  </w:pPr>
                  <w:r>
                    <w:rPr>
                      <w:rFonts w:hint="default" w:ascii="Times New Roman" w:hAnsi="Times New Roman" w:eastAsia="宋体" w:cs="Times New Roman"/>
                      <w:color w:val="auto"/>
                      <w:kern w:val="0"/>
                      <w:sz w:val="21"/>
                      <w:szCs w:val="21"/>
                    </w:rPr>
                    <w:t>环境管控单元名称</w:t>
                  </w:r>
                </w:p>
              </w:tc>
              <w:tc>
                <w:tcPr>
                  <w:tcW w:w="2887" w:type="pct"/>
                  <w:gridSpan w:val="2"/>
                  <w:tcBorders>
                    <w:tl2br w:val="nil"/>
                    <w:tr2bl w:val="nil"/>
                  </w:tcBorders>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left="-120" w:leftChars="-50" w:right="-120" w:rightChars="-50" w:firstLine="0" w:firstLineChars="0"/>
                    <w:jc w:val="center"/>
                    <w:textAlignment w:val="auto"/>
                    <w:rPr>
                      <w:rFonts w:hint="default" w:ascii="Times New Roman" w:hAnsi="Times New Roman" w:eastAsia="宋体" w:cs="Times New Roman"/>
                      <w:color w:val="auto"/>
                      <w:kern w:val="0"/>
                      <w:sz w:val="21"/>
                      <w:szCs w:val="21"/>
                    </w:rPr>
                  </w:pPr>
                  <w:r>
                    <w:rPr>
                      <w:rFonts w:hint="default" w:ascii="Times New Roman" w:hAnsi="Times New Roman" w:eastAsia="宋体" w:cs="Times New Roman"/>
                      <w:color w:val="auto"/>
                      <w:kern w:val="0"/>
                      <w:sz w:val="21"/>
                      <w:szCs w:val="21"/>
                    </w:rPr>
                    <w:t>管控要求</w:t>
                  </w:r>
                </w:p>
              </w:tc>
              <w:tc>
                <w:tcPr>
                  <w:tcW w:w="854" w:type="pct"/>
                  <w:tcBorders>
                    <w:tl2br w:val="nil"/>
                    <w:tr2bl w:val="nil"/>
                  </w:tcBorders>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left="-120" w:leftChars="-50" w:right="-120" w:rightChars="-50" w:firstLine="0" w:firstLineChars="0"/>
                    <w:jc w:val="center"/>
                    <w:textAlignment w:val="auto"/>
                    <w:rPr>
                      <w:rFonts w:hint="default" w:ascii="Times New Roman" w:hAnsi="Times New Roman" w:eastAsia="宋体" w:cs="Times New Roman"/>
                      <w:color w:val="auto"/>
                      <w:kern w:val="0"/>
                      <w:sz w:val="21"/>
                      <w:szCs w:val="21"/>
                    </w:rPr>
                  </w:pPr>
                  <w:r>
                    <w:rPr>
                      <w:rFonts w:hint="default" w:ascii="Times New Roman" w:hAnsi="Times New Roman" w:eastAsia="宋体" w:cs="Times New Roman"/>
                      <w:color w:val="auto"/>
                      <w:kern w:val="0"/>
                      <w:sz w:val="21"/>
                      <w:szCs w:val="21"/>
                    </w:rPr>
                    <w:t>本项目</w:t>
                  </w:r>
                </w:p>
              </w:tc>
              <w:tc>
                <w:tcPr>
                  <w:tcW w:w="337" w:type="pct"/>
                  <w:tcBorders>
                    <w:tl2br w:val="nil"/>
                    <w:tr2bl w:val="nil"/>
                  </w:tcBorders>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left="-120" w:leftChars="-50" w:right="-120" w:rightChars="-50" w:firstLine="0" w:firstLineChars="0"/>
                    <w:jc w:val="center"/>
                    <w:textAlignment w:val="auto"/>
                    <w:rPr>
                      <w:rFonts w:hint="default" w:ascii="Times New Roman" w:hAnsi="Times New Roman" w:eastAsia="宋体" w:cs="Times New Roman"/>
                      <w:color w:val="auto"/>
                      <w:kern w:val="0"/>
                      <w:sz w:val="21"/>
                      <w:szCs w:val="21"/>
                    </w:rPr>
                  </w:pPr>
                  <w:r>
                    <w:rPr>
                      <w:rFonts w:hint="default" w:ascii="Times New Roman" w:hAnsi="Times New Roman" w:eastAsia="宋体" w:cs="Times New Roman"/>
                      <w:color w:val="auto"/>
                      <w:kern w:val="0"/>
                      <w:sz w:val="21"/>
                      <w:szCs w:val="21"/>
                    </w:rPr>
                    <w:t>相符性</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497" w:type="pct"/>
                  <w:vMerge w:val="restart"/>
                  <w:tcBorders>
                    <w:tl2br w:val="nil"/>
                    <w:tr2bl w:val="nil"/>
                  </w:tcBorders>
                  <w:vAlign w:val="center"/>
                </w:tcPr>
                <w:p>
                  <w:pPr>
                    <w:autoSpaceDE w:val="0"/>
                    <w:autoSpaceDN w:val="0"/>
                    <w:adjustRightInd w:val="0"/>
                    <w:snapToGrid w:val="0"/>
                    <w:spacing w:line="360" w:lineRule="exact"/>
                    <w:ind w:firstLine="0" w:firstLineChars="0"/>
                    <w:jc w:val="center"/>
                    <w:textAlignment w:val="auto"/>
                    <w:rPr>
                      <w:rFonts w:hint="default" w:ascii="Times New Roman" w:hAnsi="Times New Roman" w:eastAsia="宋体" w:cs="Times New Roman"/>
                      <w:color w:val="0000FF"/>
                      <w:kern w:val="0"/>
                      <w:sz w:val="21"/>
                      <w:szCs w:val="21"/>
                    </w:rPr>
                  </w:pPr>
                  <w:r>
                    <w:rPr>
                      <w:rFonts w:hint="default" w:ascii="Times New Roman" w:hAnsi="Times New Roman" w:eastAsia="宋体" w:cs="Times New Roman"/>
                      <w:kern w:val="2"/>
                      <w:sz w:val="21"/>
                      <w:szCs w:val="21"/>
                      <w:lang w:val="en-US" w:eastAsia="zh-CN" w:bidi="ar-SA"/>
                    </w:rPr>
                    <w:t>ZH41900130001一般管控单元</w:t>
                  </w:r>
                </w:p>
              </w:tc>
              <w:tc>
                <w:tcPr>
                  <w:tcW w:w="422" w:type="pct"/>
                  <w:vMerge w:val="restart"/>
                  <w:tcBorders>
                    <w:tl2br w:val="nil"/>
                    <w:tr2bl w:val="nil"/>
                  </w:tcBorders>
                  <w:vAlign w:val="center"/>
                </w:tcPr>
                <w:p>
                  <w:pPr>
                    <w:spacing w:line="240" w:lineRule="auto"/>
                    <w:ind w:firstLine="0" w:firstLineChars="0"/>
                    <w:jc w:val="center"/>
                    <w:textAlignment w:val="auto"/>
                    <w:rPr>
                      <w:rFonts w:hint="default" w:ascii="Times New Roman" w:hAnsi="Times New Roman" w:eastAsia="宋体" w:cs="Times New Roman"/>
                      <w:color w:val="0000FF"/>
                      <w:kern w:val="0"/>
                      <w:sz w:val="21"/>
                      <w:szCs w:val="21"/>
                    </w:rPr>
                  </w:pPr>
                  <w:r>
                    <w:rPr>
                      <w:rFonts w:hint="default" w:ascii="Times New Roman" w:hAnsi="Times New Roman" w:eastAsia="宋体" w:cs="Times New Roman"/>
                      <w:kern w:val="2"/>
                      <w:sz w:val="21"/>
                      <w:szCs w:val="21"/>
                      <w:lang w:val="en-US" w:eastAsia="zh-CN" w:bidi="ar-SA"/>
                    </w:rPr>
                    <w:t>济源示范区一般管控单元</w:t>
                  </w:r>
                </w:p>
              </w:tc>
              <w:tc>
                <w:tcPr>
                  <w:tcW w:w="441" w:type="pct"/>
                  <w:tcBorders>
                    <w:tl2br w:val="nil"/>
                    <w:tr2bl w:val="nil"/>
                  </w:tcBorders>
                  <w:vAlign w:val="center"/>
                </w:tcPr>
                <w:p>
                  <w:pPr>
                    <w:pStyle w:val="73"/>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Cs w:val="20"/>
                    </w:rPr>
                    <w:t>空间布局约束</w:t>
                  </w:r>
                </w:p>
              </w:tc>
              <w:tc>
                <w:tcPr>
                  <w:tcW w:w="2445" w:type="pct"/>
                  <w:tcBorders>
                    <w:tl2br w:val="nil"/>
                    <w:tr2bl w:val="nil"/>
                  </w:tcBorders>
                  <w:vAlign w:val="center"/>
                </w:tcPr>
                <w:p>
                  <w:pPr>
                    <w:pStyle w:val="73"/>
                    <w:jc w:val="both"/>
                    <w:rPr>
                      <w:rFonts w:hint="default" w:ascii="Times New Roman" w:hAnsi="Times New Roman" w:cs="Times New Roman"/>
                      <w:color w:val="auto"/>
                      <w:highlight w:val="none"/>
                    </w:rPr>
                  </w:pPr>
                  <w:r>
                    <w:rPr>
                      <w:rFonts w:hint="default" w:ascii="Times New Roman" w:hAnsi="Times New Roman" w:cs="Times New Roman"/>
                      <w:color w:val="auto"/>
                      <w:highlight w:val="none"/>
                    </w:rPr>
                    <w:t>1.新建石化、化工、工业涂装、包装印刷、油品储运输等高排放VOCs的工业企业原则上要入园区。</w:t>
                  </w:r>
                </w:p>
                <w:p>
                  <w:pPr>
                    <w:pStyle w:val="73"/>
                    <w:jc w:val="both"/>
                    <w:rPr>
                      <w:rFonts w:hint="default" w:ascii="Times New Roman" w:hAnsi="Times New Roman" w:cs="Times New Roman"/>
                      <w:color w:val="auto"/>
                      <w:highlight w:val="none"/>
                    </w:rPr>
                  </w:pPr>
                  <w:r>
                    <w:rPr>
                      <w:rFonts w:hint="default" w:ascii="Times New Roman" w:hAnsi="Times New Roman" w:cs="Times New Roman"/>
                      <w:color w:val="auto"/>
                      <w:highlight w:val="none"/>
                    </w:rPr>
                    <w:t>2.禁止在居民区、学校、医疗和养老机构等周边新建有色金属冶炼、焦化等重污染行业企业。</w:t>
                  </w:r>
                </w:p>
                <w:p>
                  <w:pPr>
                    <w:pStyle w:val="73"/>
                    <w:jc w:val="both"/>
                    <w:rPr>
                      <w:rFonts w:hint="default" w:ascii="Times New Roman" w:hAnsi="Times New Roman" w:cs="Times New Roman"/>
                      <w:color w:val="auto"/>
                      <w:highlight w:val="none"/>
                    </w:rPr>
                  </w:pPr>
                  <w:r>
                    <w:rPr>
                      <w:rFonts w:hint="default" w:ascii="Times New Roman" w:hAnsi="Times New Roman" w:cs="Times New Roman"/>
                      <w:color w:val="auto"/>
                      <w:highlight w:val="none"/>
                    </w:rPr>
                    <w:t>3.有序搬迁或依法关闭对土壤造成严重污染的企业。</w:t>
                  </w:r>
                </w:p>
                <w:p>
                  <w:pPr>
                    <w:pStyle w:val="73"/>
                    <w:jc w:val="both"/>
                    <w:rPr>
                      <w:rFonts w:hint="default" w:ascii="Times New Roman" w:hAnsi="Times New Roman" w:cs="Times New Roman"/>
                      <w:color w:val="auto"/>
                      <w:highlight w:val="none"/>
                    </w:rPr>
                  </w:pPr>
                  <w:r>
                    <w:rPr>
                      <w:rFonts w:hint="default" w:ascii="Times New Roman" w:hAnsi="Times New Roman" w:cs="Times New Roman"/>
                      <w:color w:val="auto"/>
                      <w:highlight w:val="none"/>
                    </w:rPr>
                    <w:t>4.严禁在优先保护类耕地集中区域新建有色金属冶炼、石油化工、化工、焦化、电镀、制革等行业企业以及可能造成耕地土壤污染的建设项目。</w:t>
                  </w:r>
                </w:p>
                <w:p>
                  <w:pPr>
                    <w:pStyle w:val="73"/>
                    <w:jc w:val="both"/>
                    <w:rPr>
                      <w:rFonts w:hint="default" w:ascii="Times New Roman" w:hAnsi="Times New Roman" w:cs="Times New Roman"/>
                      <w:color w:val="auto"/>
                      <w:highlight w:val="none"/>
                    </w:rPr>
                  </w:pPr>
                  <w:r>
                    <w:rPr>
                      <w:rFonts w:hint="default" w:ascii="Times New Roman" w:hAnsi="Times New Roman" w:cs="Times New Roman"/>
                      <w:color w:val="auto"/>
                      <w:highlight w:val="none"/>
                    </w:rPr>
                    <w:t>5.区域内不得新增或以增加产能为目的扩建化工项目；不得新建、扩建电厂及火电项目。</w:t>
                  </w:r>
                </w:p>
                <w:p>
                  <w:pPr>
                    <w:pStyle w:val="73"/>
                    <w:jc w:val="both"/>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highlight w:val="none"/>
                    </w:rPr>
                    <w:t>6.对列入疑似污染地块名单的地块，未经土壤环境调查确定未受污染的地块，不得进入用地程序，不得办理建设许可证。</w:t>
                  </w:r>
                </w:p>
              </w:tc>
              <w:tc>
                <w:tcPr>
                  <w:tcW w:w="854" w:type="pct"/>
                  <w:vMerge w:val="restart"/>
                  <w:tcBorders>
                    <w:tl2br w:val="nil"/>
                    <w:tr2bl w:val="nil"/>
                  </w:tcBorders>
                  <w:vAlign w:val="center"/>
                </w:tcPr>
                <w:p>
                  <w:pPr>
                    <w:autoSpaceDE w:val="0"/>
                    <w:autoSpaceDN w:val="0"/>
                    <w:adjustRightInd w:val="0"/>
                    <w:snapToGrid w:val="0"/>
                    <w:spacing w:line="360" w:lineRule="exact"/>
                    <w:ind w:left="-72" w:leftChars="-30" w:right="-72" w:rightChars="-30" w:firstLine="0" w:firstLineChars="0"/>
                    <w:jc w:val="center"/>
                    <w:textAlignment w:val="auto"/>
                    <w:rPr>
                      <w:rFonts w:hint="default" w:ascii="Times New Roman" w:hAnsi="Times New Roman" w:eastAsia="宋体" w:cs="Times New Roman"/>
                      <w:color w:val="auto"/>
                      <w:kern w:val="0"/>
                      <w:sz w:val="21"/>
                      <w:szCs w:val="21"/>
                      <w:highlight w:val="none"/>
                    </w:rPr>
                  </w:pPr>
                  <w:r>
                    <w:rPr>
                      <w:rFonts w:hint="default" w:ascii="Times New Roman" w:hAnsi="Times New Roman" w:eastAsia="宋体" w:cs="Times New Roman"/>
                      <w:color w:val="auto"/>
                      <w:kern w:val="0"/>
                      <w:sz w:val="21"/>
                      <w:szCs w:val="21"/>
                      <w:highlight w:val="none"/>
                    </w:rPr>
                    <w:t>本项目属于输变电工程，已取得用地预审意见。项目无生产废水，生活污水经一体化污水处理设施处理后用于厂区绿化，不外排。</w:t>
                  </w:r>
                </w:p>
              </w:tc>
              <w:tc>
                <w:tcPr>
                  <w:tcW w:w="337" w:type="pct"/>
                  <w:vMerge w:val="restart"/>
                  <w:tcBorders>
                    <w:tl2br w:val="nil"/>
                    <w:tr2bl w:val="nil"/>
                  </w:tcBorders>
                  <w:vAlign w:val="center"/>
                </w:tcPr>
                <w:p>
                  <w:pPr>
                    <w:autoSpaceDE w:val="0"/>
                    <w:autoSpaceDN w:val="0"/>
                    <w:adjustRightInd w:val="0"/>
                    <w:snapToGrid w:val="0"/>
                    <w:spacing w:line="360" w:lineRule="exact"/>
                    <w:ind w:left="-72" w:leftChars="-30" w:right="-72" w:rightChars="-30" w:firstLine="0" w:firstLineChars="0"/>
                    <w:jc w:val="center"/>
                    <w:textAlignment w:val="auto"/>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auto"/>
                      <w:kern w:val="0"/>
                      <w:sz w:val="21"/>
                      <w:szCs w:val="21"/>
                    </w:rPr>
                    <w:t>相符</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497" w:type="pct"/>
                  <w:vMerge w:val="continue"/>
                  <w:tcBorders>
                    <w:tl2br w:val="nil"/>
                    <w:tr2bl w:val="nil"/>
                  </w:tcBorders>
                  <w:vAlign w:val="center"/>
                </w:tcPr>
                <w:p>
                  <w:pPr>
                    <w:widowControl/>
                    <w:spacing w:line="360" w:lineRule="exact"/>
                    <w:ind w:firstLine="0" w:firstLineChars="0"/>
                    <w:jc w:val="center"/>
                    <w:textAlignment w:val="auto"/>
                    <w:rPr>
                      <w:rFonts w:hint="default" w:ascii="Times New Roman" w:hAnsi="Times New Roman" w:eastAsia="仿宋" w:cs="Times New Roman"/>
                      <w:color w:val="0000FF"/>
                      <w:kern w:val="0"/>
                      <w:sz w:val="21"/>
                      <w:szCs w:val="21"/>
                      <w:lang w:bidi="ar"/>
                    </w:rPr>
                  </w:pPr>
                </w:p>
              </w:tc>
              <w:tc>
                <w:tcPr>
                  <w:tcW w:w="422" w:type="pct"/>
                  <w:vMerge w:val="continue"/>
                  <w:tcBorders>
                    <w:tl2br w:val="nil"/>
                    <w:tr2bl w:val="nil"/>
                  </w:tcBorders>
                  <w:vAlign w:val="center"/>
                </w:tcPr>
                <w:p>
                  <w:pPr>
                    <w:widowControl/>
                    <w:spacing w:line="360" w:lineRule="exact"/>
                    <w:ind w:firstLine="0" w:firstLineChars="0"/>
                    <w:jc w:val="center"/>
                    <w:textAlignment w:val="auto"/>
                    <w:rPr>
                      <w:rFonts w:hint="default" w:ascii="Times New Roman" w:hAnsi="Times New Roman" w:eastAsia="仿宋" w:cs="Times New Roman"/>
                      <w:color w:val="0000FF"/>
                      <w:kern w:val="0"/>
                      <w:sz w:val="21"/>
                      <w:szCs w:val="21"/>
                      <w:lang w:bidi="ar"/>
                    </w:rPr>
                  </w:pPr>
                </w:p>
              </w:tc>
              <w:tc>
                <w:tcPr>
                  <w:tcW w:w="441" w:type="pct"/>
                  <w:tcBorders>
                    <w:tl2br w:val="nil"/>
                    <w:tr2bl w:val="nil"/>
                  </w:tcBorders>
                  <w:vAlign w:val="center"/>
                </w:tcPr>
                <w:p>
                  <w:pPr>
                    <w:pStyle w:val="73"/>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Cs w:val="20"/>
                    </w:rPr>
                    <w:t>污染物排放管控</w:t>
                  </w:r>
                </w:p>
              </w:tc>
              <w:tc>
                <w:tcPr>
                  <w:tcW w:w="2445" w:type="pct"/>
                  <w:tcBorders>
                    <w:tl2br w:val="nil"/>
                    <w:tr2bl w:val="nil"/>
                  </w:tcBorders>
                  <w:vAlign w:val="center"/>
                </w:tcPr>
                <w:p>
                  <w:pPr>
                    <w:pStyle w:val="73"/>
                    <w:jc w:val="both"/>
                    <w:rPr>
                      <w:rFonts w:hint="default" w:ascii="Times New Roman" w:hAnsi="Times New Roman" w:cs="Times New Roman"/>
                    </w:rPr>
                  </w:pPr>
                  <w:r>
                    <w:rPr>
                      <w:rFonts w:hint="default" w:ascii="Times New Roman" w:hAnsi="Times New Roman" w:cs="Times New Roman"/>
                    </w:rPr>
                    <w:t>1.严禁污水灌溉，灌溉用水应满足灌溉水水质标准。</w:t>
                  </w:r>
                </w:p>
                <w:p>
                  <w:pPr>
                    <w:pStyle w:val="73"/>
                    <w:jc w:val="both"/>
                    <w:rPr>
                      <w:rFonts w:hint="default" w:ascii="Times New Roman" w:hAnsi="Times New Roman" w:cs="Times New Roman"/>
                    </w:rPr>
                  </w:pPr>
                  <w:r>
                    <w:rPr>
                      <w:rFonts w:hint="default" w:ascii="Times New Roman" w:hAnsi="Times New Roman" w:cs="Times New Roman"/>
                    </w:rPr>
                    <w:t>2.现有工业企业应逐步提升清洁生产水平，减少污染物排放量。</w:t>
                  </w:r>
                </w:p>
                <w:p>
                  <w:pPr>
                    <w:pStyle w:val="73"/>
                    <w:jc w:val="both"/>
                    <w:rPr>
                      <w:rFonts w:hint="default" w:ascii="Times New Roman" w:hAnsi="Times New Roman" w:cs="Times New Roman"/>
                    </w:rPr>
                  </w:pPr>
                  <w:r>
                    <w:rPr>
                      <w:rFonts w:hint="default" w:ascii="Times New Roman" w:hAnsi="Times New Roman" w:cs="Times New Roman"/>
                    </w:rPr>
                    <w:t>3.新建或扩建城镇污水处理厂必须达到或优于《河南省黄河流域水污染物排放标准》（DB41/2087-2021）。</w:t>
                  </w:r>
                </w:p>
                <w:p>
                  <w:pPr>
                    <w:pStyle w:val="73"/>
                    <w:jc w:val="both"/>
                    <w:rPr>
                      <w:rFonts w:hint="default" w:ascii="Times New Roman" w:hAnsi="Times New Roman" w:cs="Times New Roman"/>
                    </w:rPr>
                  </w:pPr>
                  <w:r>
                    <w:rPr>
                      <w:rFonts w:hint="default" w:ascii="Times New Roman" w:hAnsi="Times New Roman" w:cs="Times New Roman"/>
                    </w:rPr>
                    <w:t>4.禁止向耕地及农田沟渠中排放有毒有害工业、生活废水和未经处理的养殖小区畜禽粪便；禁止占用耕地倾倒、堆放城乡生活垃圾、建筑垃圾、医疗垃圾、工业废料及废渣等废弃物。</w:t>
                  </w:r>
                </w:p>
                <w:p>
                  <w:pPr>
                    <w:pStyle w:val="73"/>
                    <w:jc w:val="both"/>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rPr>
                    <w:t>5.新建和在建矿山须达到绿色矿山建设要求。</w:t>
                  </w:r>
                </w:p>
              </w:tc>
              <w:tc>
                <w:tcPr>
                  <w:tcW w:w="854" w:type="pct"/>
                  <w:vMerge w:val="continue"/>
                  <w:tcBorders>
                    <w:tl2br w:val="nil"/>
                    <w:tr2bl w:val="nil"/>
                  </w:tcBorders>
                  <w:vAlign w:val="center"/>
                </w:tcPr>
                <w:p>
                  <w:pPr>
                    <w:autoSpaceDE w:val="0"/>
                    <w:autoSpaceDN w:val="0"/>
                    <w:adjustRightInd w:val="0"/>
                    <w:snapToGrid w:val="0"/>
                    <w:spacing w:line="360" w:lineRule="exact"/>
                    <w:ind w:left="-72" w:leftChars="-30" w:right="-72" w:rightChars="-30" w:firstLine="0" w:firstLineChars="0"/>
                    <w:jc w:val="center"/>
                    <w:textAlignment w:val="auto"/>
                    <w:rPr>
                      <w:rFonts w:hint="default" w:ascii="Times New Roman" w:hAnsi="Times New Roman" w:eastAsia="宋体" w:cs="Times New Roman"/>
                      <w:color w:val="0000FF"/>
                      <w:kern w:val="0"/>
                      <w:sz w:val="21"/>
                      <w:szCs w:val="21"/>
                    </w:rPr>
                  </w:pPr>
                </w:p>
              </w:tc>
              <w:tc>
                <w:tcPr>
                  <w:tcW w:w="337" w:type="pct"/>
                  <w:vMerge w:val="continue"/>
                  <w:tcBorders>
                    <w:tl2br w:val="nil"/>
                    <w:tr2bl w:val="nil"/>
                  </w:tcBorders>
                  <w:vAlign w:val="center"/>
                </w:tcPr>
                <w:p>
                  <w:pPr>
                    <w:autoSpaceDE w:val="0"/>
                    <w:autoSpaceDN w:val="0"/>
                    <w:adjustRightInd w:val="0"/>
                    <w:snapToGrid w:val="0"/>
                    <w:spacing w:line="360" w:lineRule="exact"/>
                    <w:ind w:left="-72" w:leftChars="-30" w:right="-72" w:rightChars="-30" w:firstLine="0" w:firstLineChars="0"/>
                    <w:jc w:val="center"/>
                    <w:textAlignment w:val="auto"/>
                    <w:rPr>
                      <w:rFonts w:hint="default" w:ascii="Times New Roman" w:hAnsi="Times New Roman" w:eastAsia="宋体" w:cs="Times New Roman"/>
                      <w:color w:val="0000FF"/>
                      <w:kern w:val="0"/>
                      <w:sz w:val="21"/>
                      <w:szCs w:val="21"/>
                    </w:rPr>
                  </w:p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497" w:type="pct"/>
                  <w:vMerge w:val="continue"/>
                  <w:tcBorders>
                    <w:tl2br w:val="nil"/>
                    <w:tr2bl w:val="nil"/>
                  </w:tcBorders>
                  <w:vAlign w:val="center"/>
                </w:tcPr>
                <w:p>
                  <w:pPr>
                    <w:widowControl/>
                    <w:spacing w:line="360" w:lineRule="exact"/>
                    <w:ind w:firstLine="0" w:firstLineChars="0"/>
                    <w:jc w:val="center"/>
                    <w:textAlignment w:val="auto"/>
                    <w:rPr>
                      <w:rFonts w:hint="default" w:ascii="Times New Roman" w:hAnsi="Times New Roman" w:eastAsia="仿宋" w:cs="Times New Roman"/>
                      <w:color w:val="0000FF"/>
                      <w:kern w:val="0"/>
                      <w:sz w:val="21"/>
                      <w:szCs w:val="21"/>
                      <w:lang w:bidi="ar"/>
                    </w:rPr>
                  </w:pPr>
                </w:p>
              </w:tc>
              <w:tc>
                <w:tcPr>
                  <w:tcW w:w="422" w:type="pct"/>
                  <w:vMerge w:val="continue"/>
                  <w:tcBorders>
                    <w:tl2br w:val="nil"/>
                    <w:tr2bl w:val="nil"/>
                  </w:tcBorders>
                  <w:vAlign w:val="center"/>
                </w:tcPr>
                <w:p>
                  <w:pPr>
                    <w:widowControl/>
                    <w:spacing w:line="360" w:lineRule="exact"/>
                    <w:ind w:firstLine="0" w:firstLineChars="0"/>
                    <w:jc w:val="center"/>
                    <w:textAlignment w:val="auto"/>
                    <w:rPr>
                      <w:rFonts w:hint="default" w:ascii="Times New Roman" w:hAnsi="Times New Roman" w:eastAsia="仿宋" w:cs="Times New Roman"/>
                      <w:color w:val="0000FF"/>
                      <w:kern w:val="0"/>
                      <w:sz w:val="21"/>
                      <w:szCs w:val="21"/>
                      <w:lang w:bidi="ar"/>
                    </w:rPr>
                  </w:pPr>
                </w:p>
              </w:tc>
              <w:tc>
                <w:tcPr>
                  <w:tcW w:w="441" w:type="pct"/>
                  <w:tcBorders>
                    <w:tl2br w:val="nil"/>
                    <w:tr2bl w:val="nil"/>
                  </w:tcBorders>
                  <w:vAlign w:val="center"/>
                </w:tcPr>
                <w:p>
                  <w:pPr>
                    <w:pStyle w:val="73"/>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rPr>
                    <w:t>环境风险防控</w:t>
                  </w:r>
                </w:p>
              </w:tc>
              <w:tc>
                <w:tcPr>
                  <w:tcW w:w="2445" w:type="pct"/>
                  <w:tcBorders>
                    <w:tl2br w:val="nil"/>
                    <w:tr2bl w:val="nil"/>
                  </w:tcBorders>
                  <w:vAlign w:val="center"/>
                </w:tcPr>
                <w:p>
                  <w:pPr>
                    <w:pStyle w:val="73"/>
                    <w:jc w:val="both"/>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rPr>
                    <w:t>1.以跨界河流水体为重点，加强涉水污染源治理和监管，建立上下游水污染防治联动协作机制，严格防范跨界水环境污染风险。</w:t>
                  </w:r>
                  <w:r>
                    <w:rPr>
                      <w:rFonts w:hint="default" w:ascii="Times New Roman" w:hAnsi="Times New Roman" w:cs="Times New Roman"/>
                    </w:rPr>
                    <w:br w:type="textWrapping"/>
                  </w:r>
                  <w:r>
                    <w:rPr>
                      <w:rFonts w:hint="default" w:ascii="Times New Roman" w:hAnsi="Times New Roman" w:cs="Times New Roman"/>
                    </w:rPr>
                    <w:t>2.对集中式饮用水水源地上游和永久基本农田周边地区的现役尾矿库开展整治。</w:t>
                  </w:r>
                  <w:r>
                    <w:rPr>
                      <w:rFonts w:hint="default" w:ascii="Times New Roman" w:hAnsi="Times New Roman" w:cs="Times New Roman"/>
                    </w:rPr>
                    <w:br w:type="textWrapping"/>
                  </w:r>
                  <w:r>
                    <w:rPr>
                      <w:rFonts w:hint="default" w:ascii="Times New Roman" w:hAnsi="Times New Roman" w:cs="Times New Roman"/>
                    </w:rPr>
                    <w:t>3.开展尾矿库安全隐患排查及风险评估。</w:t>
                  </w:r>
                  <w:r>
                    <w:rPr>
                      <w:rFonts w:hint="default" w:ascii="Times New Roman" w:hAnsi="Times New Roman" w:cs="Times New Roman"/>
                    </w:rPr>
                    <w:br w:type="textWrapping"/>
                  </w:r>
                  <w:r>
                    <w:rPr>
                      <w:rFonts w:hint="default" w:ascii="Times New Roman" w:hAnsi="Times New Roman" w:cs="Times New Roman"/>
                    </w:rPr>
                    <w:t>4.做好事故废水的风险管控联动，防止事故废水排入雨水管网或未经处理直接进入地表水体。</w:t>
                  </w:r>
                </w:p>
              </w:tc>
              <w:tc>
                <w:tcPr>
                  <w:tcW w:w="854" w:type="pct"/>
                  <w:vMerge w:val="continue"/>
                  <w:tcBorders>
                    <w:tl2br w:val="nil"/>
                    <w:tr2bl w:val="nil"/>
                  </w:tcBorders>
                  <w:vAlign w:val="center"/>
                </w:tcPr>
                <w:p>
                  <w:pPr>
                    <w:autoSpaceDE w:val="0"/>
                    <w:autoSpaceDN w:val="0"/>
                    <w:adjustRightInd w:val="0"/>
                    <w:snapToGrid w:val="0"/>
                    <w:spacing w:line="360" w:lineRule="exact"/>
                    <w:ind w:left="-72" w:leftChars="-30" w:right="-72" w:rightChars="-30" w:firstLine="0" w:firstLineChars="0"/>
                    <w:jc w:val="center"/>
                    <w:textAlignment w:val="auto"/>
                    <w:rPr>
                      <w:rFonts w:hint="default" w:ascii="Times New Roman" w:hAnsi="Times New Roman" w:eastAsia="宋体" w:cs="Times New Roman"/>
                      <w:color w:val="0000FF"/>
                      <w:kern w:val="0"/>
                      <w:sz w:val="21"/>
                      <w:szCs w:val="21"/>
                    </w:rPr>
                  </w:pPr>
                </w:p>
              </w:tc>
              <w:tc>
                <w:tcPr>
                  <w:tcW w:w="337" w:type="pct"/>
                  <w:vMerge w:val="continue"/>
                  <w:tcBorders>
                    <w:tl2br w:val="nil"/>
                    <w:tr2bl w:val="nil"/>
                  </w:tcBorders>
                  <w:vAlign w:val="center"/>
                </w:tcPr>
                <w:p>
                  <w:pPr>
                    <w:autoSpaceDE w:val="0"/>
                    <w:autoSpaceDN w:val="0"/>
                    <w:adjustRightInd w:val="0"/>
                    <w:snapToGrid w:val="0"/>
                    <w:spacing w:line="360" w:lineRule="exact"/>
                    <w:ind w:left="-72" w:leftChars="-30" w:right="-72" w:rightChars="-30" w:firstLine="0" w:firstLineChars="0"/>
                    <w:jc w:val="center"/>
                    <w:textAlignment w:val="auto"/>
                    <w:rPr>
                      <w:rFonts w:hint="default" w:ascii="Times New Roman" w:hAnsi="Times New Roman" w:eastAsia="宋体" w:cs="Times New Roman"/>
                      <w:color w:val="0000FF"/>
                      <w:kern w:val="0"/>
                      <w:sz w:val="21"/>
                      <w:szCs w:val="21"/>
                    </w:rPr>
                  </w:p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497" w:type="pct"/>
                  <w:vMerge w:val="continue"/>
                  <w:tcBorders>
                    <w:tl2br w:val="nil"/>
                    <w:tr2bl w:val="nil"/>
                  </w:tcBorders>
                  <w:vAlign w:val="center"/>
                </w:tcPr>
                <w:p>
                  <w:pPr>
                    <w:widowControl/>
                    <w:spacing w:line="360" w:lineRule="exact"/>
                    <w:ind w:firstLine="0" w:firstLineChars="0"/>
                    <w:jc w:val="center"/>
                    <w:textAlignment w:val="auto"/>
                    <w:rPr>
                      <w:rFonts w:hint="default" w:ascii="Times New Roman" w:hAnsi="Times New Roman" w:eastAsia="仿宋" w:cs="Times New Roman"/>
                      <w:color w:val="0000FF"/>
                      <w:kern w:val="0"/>
                      <w:sz w:val="21"/>
                      <w:szCs w:val="21"/>
                      <w:lang w:bidi="ar"/>
                    </w:rPr>
                  </w:pPr>
                </w:p>
              </w:tc>
              <w:tc>
                <w:tcPr>
                  <w:tcW w:w="422" w:type="pct"/>
                  <w:vMerge w:val="continue"/>
                  <w:tcBorders>
                    <w:tl2br w:val="nil"/>
                    <w:tr2bl w:val="nil"/>
                  </w:tcBorders>
                  <w:vAlign w:val="center"/>
                </w:tcPr>
                <w:p>
                  <w:pPr>
                    <w:widowControl/>
                    <w:spacing w:line="360" w:lineRule="exact"/>
                    <w:ind w:firstLine="0" w:firstLineChars="0"/>
                    <w:jc w:val="center"/>
                    <w:textAlignment w:val="auto"/>
                    <w:rPr>
                      <w:rFonts w:hint="default" w:ascii="Times New Roman" w:hAnsi="Times New Roman" w:eastAsia="仿宋" w:cs="Times New Roman"/>
                      <w:color w:val="0000FF"/>
                      <w:kern w:val="0"/>
                      <w:sz w:val="21"/>
                      <w:szCs w:val="21"/>
                      <w:lang w:bidi="ar"/>
                    </w:rPr>
                  </w:pPr>
                </w:p>
              </w:tc>
              <w:tc>
                <w:tcPr>
                  <w:tcW w:w="441" w:type="pct"/>
                  <w:tcBorders>
                    <w:tl2br w:val="nil"/>
                    <w:tr2bl w:val="nil"/>
                  </w:tcBorders>
                  <w:vAlign w:val="center"/>
                </w:tcPr>
                <w:p>
                  <w:pPr>
                    <w:pStyle w:val="73"/>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rPr>
                    <w:t>资源开发效率要求</w:t>
                  </w:r>
                </w:p>
              </w:tc>
              <w:tc>
                <w:tcPr>
                  <w:tcW w:w="2445" w:type="pct"/>
                  <w:tcBorders>
                    <w:tl2br w:val="nil"/>
                    <w:tr2bl w:val="nil"/>
                  </w:tcBorders>
                  <w:vAlign w:val="center"/>
                </w:tcPr>
                <w:p>
                  <w:pPr>
                    <w:pStyle w:val="73"/>
                    <w:jc w:val="both"/>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rPr>
                    <w:t>1.沁河入河南境—五龙口及五龙口—武陟段在水电站的规划、设计、建设、运行的整个过程都应保证最小生态流量。</w:t>
                  </w:r>
                  <w:r>
                    <w:rPr>
                      <w:rFonts w:hint="default" w:ascii="Times New Roman" w:hAnsi="Times New Roman" w:cs="Times New Roman"/>
                    </w:rPr>
                    <w:br w:type="textWrapping"/>
                  </w:r>
                  <w:r>
                    <w:rPr>
                      <w:rFonts w:hint="default" w:ascii="Times New Roman" w:hAnsi="Times New Roman" w:cs="Times New Roman"/>
                    </w:rPr>
                    <w:t>2.沁河入河南境—五龙口及五龙口—武陟段蓄水工程或者水力发电工程，应当服从下达的调度计划或者调度方案，确保下泄流量达到规定的控制指标。</w:t>
                  </w:r>
                </w:p>
              </w:tc>
              <w:tc>
                <w:tcPr>
                  <w:tcW w:w="854" w:type="pct"/>
                  <w:vMerge w:val="continue"/>
                  <w:tcBorders>
                    <w:tl2br w:val="nil"/>
                    <w:tr2bl w:val="nil"/>
                  </w:tcBorders>
                  <w:vAlign w:val="center"/>
                </w:tcPr>
                <w:p>
                  <w:pPr>
                    <w:autoSpaceDE w:val="0"/>
                    <w:autoSpaceDN w:val="0"/>
                    <w:adjustRightInd w:val="0"/>
                    <w:snapToGrid w:val="0"/>
                    <w:spacing w:line="360" w:lineRule="exact"/>
                    <w:ind w:left="-72" w:leftChars="-30" w:right="-72" w:rightChars="-30" w:firstLine="0" w:firstLineChars="0"/>
                    <w:jc w:val="center"/>
                    <w:textAlignment w:val="auto"/>
                    <w:rPr>
                      <w:rFonts w:hint="default" w:ascii="Times New Roman" w:hAnsi="Times New Roman" w:eastAsia="宋体" w:cs="Times New Roman"/>
                      <w:color w:val="0000FF"/>
                      <w:kern w:val="0"/>
                      <w:sz w:val="21"/>
                      <w:szCs w:val="21"/>
                    </w:rPr>
                  </w:pPr>
                </w:p>
              </w:tc>
              <w:tc>
                <w:tcPr>
                  <w:tcW w:w="337" w:type="pct"/>
                  <w:vMerge w:val="continue"/>
                  <w:tcBorders>
                    <w:tl2br w:val="nil"/>
                    <w:tr2bl w:val="nil"/>
                  </w:tcBorders>
                  <w:vAlign w:val="center"/>
                </w:tcPr>
                <w:p>
                  <w:pPr>
                    <w:autoSpaceDE w:val="0"/>
                    <w:autoSpaceDN w:val="0"/>
                    <w:adjustRightInd w:val="0"/>
                    <w:snapToGrid w:val="0"/>
                    <w:spacing w:line="360" w:lineRule="exact"/>
                    <w:ind w:left="-72" w:leftChars="-30" w:right="-72" w:rightChars="-30" w:firstLine="0" w:firstLineChars="0"/>
                    <w:jc w:val="center"/>
                    <w:textAlignment w:val="auto"/>
                    <w:rPr>
                      <w:rFonts w:hint="default" w:ascii="Times New Roman" w:hAnsi="Times New Roman" w:eastAsia="宋体" w:cs="Times New Roman"/>
                      <w:color w:val="0000FF"/>
                      <w:kern w:val="0"/>
                      <w:sz w:val="21"/>
                      <w:szCs w:val="21"/>
                    </w:rPr>
                  </w:pPr>
                </w:p>
              </w:tc>
            </w:tr>
          </w:tbl>
          <w:p>
            <w:pPr>
              <w:ind w:firstLine="480"/>
              <w:rPr>
                <w:rFonts w:hint="default" w:ascii="Times New Roman" w:hAnsi="Times New Roman" w:cs="Times New Roman"/>
                <w:color w:val="auto"/>
              </w:rPr>
            </w:pPr>
            <w:r>
              <w:rPr>
                <w:rFonts w:hint="default" w:ascii="Times New Roman" w:hAnsi="Times New Roman" w:cs="Times New Roman"/>
                <w:color w:val="auto"/>
              </w:rPr>
              <w:t>综上，本项目符合“三线一单”管理要求。</w:t>
            </w:r>
          </w:p>
          <w:p>
            <w:pPr>
              <w:keepNext w:val="0"/>
              <w:keepLines w:val="0"/>
              <w:pageBreakBefore w:val="0"/>
              <w:widowControl w:val="0"/>
              <w:kinsoku/>
              <w:wordWrap/>
              <w:overflowPunct/>
              <w:topLinePunct w:val="0"/>
              <w:autoSpaceDE/>
              <w:autoSpaceDN/>
              <w:bidi w:val="0"/>
              <w:adjustRightInd w:val="0"/>
              <w:snapToGrid w:val="0"/>
              <w:spacing w:line="520" w:lineRule="exact"/>
              <w:ind w:firstLine="0" w:firstLineChars="0"/>
              <w:textAlignment w:val="top"/>
              <w:rPr>
                <w:rFonts w:hint="default" w:ascii="Times New Roman" w:hAnsi="Times New Roman" w:cs="Times New Roman"/>
                <w:b/>
                <w:bCs/>
                <w:color w:val="auto"/>
              </w:rPr>
            </w:pPr>
            <w:r>
              <w:rPr>
                <w:rFonts w:hint="eastAsia" w:cs="Times New Roman"/>
                <w:b/>
                <w:bCs/>
                <w:color w:val="auto"/>
                <w:lang w:val="en-US" w:eastAsia="zh-CN"/>
              </w:rPr>
              <w:t>4</w:t>
            </w:r>
            <w:r>
              <w:rPr>
                <w:rFonts w:hint="default" w:ascii="Times New Roman" w:hAnsi="Times New Roman" w:cs="Times New Roman"/>
                <w:b/>
                <w:bCs/>
                <w:color w:val="auto"/>
              </w:rPr>
              <w:t>、与土地规划符合性分析</w:t>
            </w:r>
          </w:p>
          <w:p>
            <w:pPr>
              <w:keepNext w:val="0"/>
              <w:keepLines w:val="0"/>
              <w:pageBreakBefore w:val="0"/>
              <w:widowControl w:val="0"/>
              <w:kinsoku/>
              <w:wordWrap/>
              <w:overflowPunct/>
              <w:topLinePunct w:val="0"/>
              <w:autoSpaceDE/>
              <w:autoSpaceDN/>
              <w:bidi w:val="0"/>
              <w:adjustRightInd w:val="0"/>
              <w:snapToGrid w:val="0"/>
              <w:spacing w:line="520" w:lineRule="exact"/>
              <w:ind w:firstLine="480"/>
              <w:textAlignment w:val="top"/>
              <w:rPr>
                <w:rFonts w:hint="default" w:ascii="Times New Roman" w:hAnsi="Times New Roman" w:cs="Times New Roman"/>
                <w:color w:val="0000FF"/>
              </w:rPr>
            </w:pPr>
            <w:r>
              <w:rPr>
                <w:rFonts w:hint="default" w:ascii="Times New Roman" w:hAnsi="Times New Roman" w:cs="Times New Roman"/>
                <w:color w:val="auto"/>
              </w:rPr>
              <w:t>本项目已取得济源产城融合示范区</w:t>
            </w:r>
            <w:r>
              <w:rPr>
                <w:rFonts w:hint="default" w:ascii="Times New Roman" w:hAnsi="Times New Roman" w:cs="Times New Roman"/>
                <w:color w:val="auto"/>
                <w:lang w:val="en-US" w:eastAsia="zh-CN"/>
              </w:rPr>
              <w:t>自然资源和规划局用地预审意见，取得</w:t>
            </w:r>
            <w:r>
              <w:rPr>
                <w:rFonts w:hint="default" w:ascii="Times New Roman" w:hAnsi="Times New Roman" w:cs="Times New Roman"/>
                <w:color w:val="auto"/>
              </w:rPr>
              <w:t>济源</w:t>
            </w:r>
            <w:r>
              <w:rPr>
                <w:rFonts w:hint="default" w:ascii="Times New Roman" w:hAnsi="Times New Roman" w:cs="Times New Roman"/>
                <w:color w:val="auto"/>
                <w:lang w:val="en-US" w:eastAsia="zh-CN"/>
              </w:rPr>
              <w:t>市自然资源和规划局核发的用地预审与选址意见书（用字第419001202100010号）。</w:t>
            </w:r>
            <w:r>
              <w:rPr>
                <w:rFonts w:hint="default" w:ascii="Times New Roman" w:hAnsi="Times New Roman" w:cs="Times New Roman"/>
                <w:color w:val="auto"/>
              </w:rPr>
              <w:t>项目符合国家土地供应政策。</w:t>
            </w:r>
          </w:p>
          <w:p>
            <w:pPr>
              <w:keepNext w:val="0"/>
              <w:keepLines w:val="0"/>
              <w:pageBreakBefore w:val="0"/>
              <w:widowControl w:val="0"/>
              <w:kinsoku/>
              <w:wordWrap/>
              <w:overflowPunct/>
              <w:topLinePunct w:val="0"/>
              <w:autoSpaceDE/>
              <w:autoSpaceDN/>
              <w:bidi w:val="0"/>
              <w:adjustRightInd w:val="0"/>
              <w:snapToGrid w:val="0"/>
              <w:spacing w:line="520" w:lineRule="exact"/>
              <w:ind w:firstLine="0" w:firstLineChars="0"/>
              <w:textAlignment w:val="top"/>
              <w:rPr>
                <w:rFonts w:hint="default" w:ascii="Times New Roman" w:hAnsi="Times New Roman" w:cs="Times New Roman"/>
                <w:b/>
                <w:bCs/>
                <w:color w:val="auto"/>
              </w:rPr>
            </w:pPr>
            <w:r>
              <w:rPr>
                <w:rFonts w:hint="eastAsia" w:cs="Times New Roman"/>
                <w:b/>
                <w:bCs/>
                <w:color w:val="auto"/>
                <w:lang w:val="en-US" w:eastAsia="zh-CN"/>
              </w:rPr>
              <w:t>5</w:t>
            </w:r>
            <w:r>
              <w:rPr>
                <w:rFonts w:hint="default" w:ascii="Times New Roman" w:hAnsi="Times New Roman" w:cs="Times New Roman"/>
                <w:b/>
                <w:bCs/>
                <w:color w:val="auto"/>
              </w:rPr>
              <w:t>、与</w:t>
            </w:r>
            <w:r>
              <w:rPr>
                <w:rFonts w:hint="default" w:ascii="Times New Roman" w:hAnsi="Times New Roman" w:cs="Times New Roman"/>
                <w:b/>
                <w:bCs/>
                <w:color w:val="auto"/>
                <w:lang w:val="en-US" w:eastAsia="zh-CN"/>
              </w:rPr>
              <w:t>电网规划</w:t>
            </w:r>
            <w:r>
              <w:rPr>
                <w:rFonts w:hint="default" w:ascii="Times New Roman" w:hAnsi="Times New Roman" w:cs="Times New Roman"/>
                <w:b/>
                <w:bCs/>
                <w:color w:val="auto"/>
              </w:rPr>
              <w:t>符合性分析</w:t>
            </w:r>
          </w:p>
          <w:p>
            <w:pPr>
              <w:pStyle w:val="42"/>
              <w:keepNext w:val="0"/>
              <w:keepLines w:val="0"/>
              <w:pageBreakBefore w:val="0"/>
              <w:widowControl w:val="0"/>
              <w:kinsoku/>
              <w:wordWrap/>
              <w:overflowPunct/>
              <w:topLinePunct w:val="0"/>
              <w:autoSpaceDE/>
              <w:autoSpaceDN/>
              <w:bidi w:val="0"/>
              <w:adjustRightInd w:val="0"/>
              <w:snapToGrid w:val="0"/>
              <w:spacing w:line="520" w:lineRule="exact"/>
              <w:contextualSpacing/>
              <w:textAlignment w:val="top"/>
              <w:rPr>
                <w:rFonts w:hint="eastAsia" w:cs="Times New Roman"/>
                <w:color w:val="auto"/>
                <w:lang w:val="en-US" w:eastAsia="zh-CN"/>
              </w:rPr>
            </w:pPr>
            <w:r>
              <w:rPr>
                <w:rFonts w:hint="default" w:ascii="Times New Roman" w:hAnsi="Times New Roman" w:cs="Times New Roman"/>
                <w:color w:val="auto"/>
              </w:rPr>
              <w:t>根据</w:t>
            </w:r>
            <w:r>
              <w:rPr>
                <w:rFonts w:hint="default" w:ascii="Times New Roman" w:hAnsi="Times New Roman" w:cs="Times New Roman"/>
                <w:color w:val="auto"/>
                <w:lang w:val="en-US" w:eastAsia="zh-CN"/>
              </w:rPr>
              <w:t>项目</w:t>
            </w:r>
            <w:r>
              <w:rPr>
                <w:rFonts w:hint="default" w:ascii="Times New Roman" w:hAnsi="Times New Roman" w:cs="Times New Roman"/>
                <w:color w:val="auto"/>
              </w:rPr>
              <w:t>可研设计</w:t>
            </w:r>
            <w:r>
              <w:rPr>
                <w:rFonts w:hint="default" w:ascii="Times New Roman" w:hAnsi="Times New Roman" w:cs="Times New Roman"/>
                <w:color w:val="auto"/>
                <w:lang w:eastAsia="zh-CN"/>
              </w:rPr>
              <w:t>，</w:t>
            </w:r>
            <w:r>
              <w:rPr>
                <w:rFonts w:hint="default" w:ascii="Times New Roman" w:hAnsi="Times New Roman" w:cs="Times New Roman"/>
                <w:color w:val="auto"/>
                <w:lang w:val="en-US" w:eastAsia="zh-CN"/>
              </w:rPr>
              <w:t>本工程以110kV电压等级入系统，所发电能通过一回110千伏线路</w:t>
            </w:r>
            <w:r>
              <w:rPr>
                <w:rFonts w:hint="eastAsia" w:cs="Times New Roman"/>
                <w:color w:val="auto"/>
                <w:lang w:val="en-US" w:eastAsia="zh-CN"/>
              </w:rPr>
              <w:t>向外输出接入电网。</w:t>
            </w:r>
          </w:p>
          <w:p>
            <w:pPr>
              <w:pStyle w:val="42"/>
              <w:keepNext w:val="0"/>
              <w:keepLines w:val="0"/>
              <w:pageBreakBefore w:val="0"/>
              <w:widowControl w:val="0"/>
              <w:kinsoku/>
              <w:wordWrap/>
              <w:overflowPunct/>
              <w:topLinePunct w:val="0"/>
              <w:autoSpaceDE/>
              <w:autoSpaceDN/>
              <w:bidi w:val="0"/>
              <w:adjustRightInd w:val="0"/>
              <w:snapToGrid w:val="0"/>
              <w:spacing w:line="520" w:lineRule="exact"/>
              <w:contextualSpacing/>
              <w:textAlignment w:val="top"/>
              <w:rPr>
                <w:rFonts w:hint="default" w:cs="Times New Roman"/>
                <w:b w:val="0"/>
                <w:bCs w:val="0"/>
                <w:color w:val="auto"/>
                <w:highlight w:val="none"/>
                <w:u w:val="none"/>
                <w:lang w:val="en-US" w:eastAsia="zh-CN"/>
              </w:rPr>
            </w:pPr>
            <w:r>
              <w:rPr>
                <w:rFonts w:hint="eastAsia" w:cs="Times New Roman"/>
                <w:b w:val="0"/>
                <w:bCs w:val="0"/>
                <w:color w:val="auto"/>
                <w:u w:val="none"/>
                <w:lang w:val="en-US" w:eastAsia="zh-CN"/>
              </w:rPr>
              <w:t>本项目已编制《</w:t>
            </w:r>
            <w:r>
              <w:rPr>
                <w:rFonts w:hint="default" w:ascii="Times New Roman" w:hAnsi="Times New Roman" w:cs="Times New Roman"/>
                <w:b w:val="0"/>
                <w:bCs w:val="0"/>
                <w:color w:val="auto"/>
                <w:u w:val="none"/>
                <w:lang w:eastAsia="zh-CN"/>
              </w:rPr>
              <w:t>济源大岭四期100</w:t>
            </w:r>
            <w:r>
              <w:rPr>
                <w:rFonts w:hint="eastAsia" w:cs="Times New Roman"/>
                <w:b w:val="0"/>
                <w:bCs w:val="0"/>
                <w:color w:val="auto"/>
                <w:u w:val="none"/>
                <w:lang w:val="en-US" w:eastAsia="zh-CN"/>
              </w:rPr>
              <w:t>兆瓦</w:t>
            </w:r>
            <w:r>
              <w:rPr>
                <w:rFonts w:hint="default" w:ascii="Times New Roman" w:hAnsi="Times New Roman" w:cs="Times New Roman"/>
                <w:b w:val="0"/>
                <w:bCs w:val="0"/>
                <w:color w:val="auto"/>
                <w:u w:val="none"/>
                <w:lang w:eastAsia="zh-CN"/>
              </w:rPr>
              <w:t>风电场项目</w:t>
            </w:r>
            <w:r>
              <w:rPr>
                <w:rFonts w:hint="eastAsia" w:cs="Times New Roman"/>
                <w:b w:val="0"/>
                <w:bCs w:val="0"/>
                <w:color w:val="auto"/>
                <w:u w:val="none"/>
                <w:lang w:val="en-US" w:eastAsia="zh-CN"/>
              </w:rPr>
              <w:t>接入系统设计报告》，并通过国网河南省电力公司评审，取得评审意见（意见文号为：豫电发展</w:t>
            </w:r>
            <w:r>
              <w:rPr>
                <w:rFonts w:hint="default" w:ascii="Times New Roman" w:hAnsi="Times New Roman" w:cs="Times New Roman" w:eastAsiaTheme="minorEastAsia"/>
                <w:b w:val="0"/>
                <w:bCs w:val="0"/>
                <w:color w:val="auto"/>
                <w:kern w:val="2"/>
                <w:sz w:val="24"/>
                <w:szCs w:val="24"/>
                <w:highlight w:val="none"/>
                <w:u w:val="none"/>
                <w:lang w:val="en-US" w:eastAsia="zh-CN" w:bidi="ar-SA"/>
              </w:rPr>
              <w:t>〔2022〕</w:t>
            </w:r>
            <w:r>
              <w:rPr>
                <w:rFonts w:hint="eastAsia" w:cs="Times New Roman" w:eastAsiaTheme="minorEastAsia"/>
                <w:b w:val="0"/>
                <w:bCs w:val="0"/>
                <w:color w:val="auto"/>
                <w:kern w:val="2"/>
                <w:sz w:val="24"/>
                <w:szCs w:val="24"/>
                <w:highlight w:val="none"/>
                <w:u w:val="none"/>
                <w:lang w:val="en-US" w:eastAsia="zh-CN" w:bidi="ar-SA"/>
              </w:rPr>
              <w:t>485</w:t>
            </w:r>
            <w:r>
              <w:rPr>
                <w:rFonts w:hint="default" w:ascii="Times New Roman" w:hAnsi="Times New Roman" w:cs="Times New Roman" w:eastAsiaTheme="minorEastAsia"/>
                <w:b w:val="0"/>
                <w:bCs w:val="0"/>
                <w:color w:val="auto"/>
                <w:kern w:val="2"/>
                <w:sz w:val="24"/>
                <w:szCs w:val="24"/>
                <w:highlight w:val="none"/>
                <w:u w:val="none"/>
                <w:lang w:val="en-US" w:eastAsia="zh-CN" w:bidi="ar-SA"/>
              </w:rPr>
              <w:t>号</w:t>
            </w:r>
            <w:r>
              <w:rPr>
                <w:rFonts w:hint="eastAsia" w:cs="Times New Roman"/>
                <w:b w:val="0"/>
                <w:bCs w:val="0"/>
                <w:color w:val="auto"/>
                <w:u w:val="none"/>
                <w:lang w:val="en-US" w:eastAsia="zh-CN"/>
              </w:rPr>
              <w:t>，详见附件5）。根据豫电发展</w:t>
            </w:r>
            <w:r>
              <w:rPr>
                <w:rFonts w:hint="default" w:ascii="Times New Roman" w:hAnsi="Times New Roman" w:cs="Times New Roman" w:eastAsiaTheme="minorEastAsia"/>
                <w:b w:val="0"/>
                <w:bCs w:val="0"/>
                <w:color w:val="auto"/>
                <w:kern w:val="2"/>
                <w:sz w:val="24"/>
                <w:szCs w:val="24"/>
                <w:highlight w:val="none"/>
                <w:u w:val="none"/>
                <w:lang w:val="en-US" w:eastAsia="zh-CN" w:bidi="ar-SA"/>
              </w:rPr>
              <w:t>〔2022〕</w:t>
            </w:r>
            <w:r>
              <w:rPr>
                <w:rFonts w:hint="eastAsia" w:cs="Times New Roman" w:eastAsiaTheme="minorEastAsia"/>
                <w:b w:val="0"/>
                <w:bCs w:val="0"/>
                <w:color w:val="auto"/>
                <w:kern w:val="2"/>
                <w:sz w:val="24"/>
                <w:szCs w:val="24"/>
                <w:highlight w:val="none"/>
                <w:u w:val="none"/>
                <w:lang w:val="en-US" w:eastAsia="zh-CN" w:bidi="ar-SA"/>
              </w:rPr>
              <w:t>485</w:t>
            </w:r>
            <w:r>
              <w:rPr>
                <w:rFonts w:hint="default" w:ascii="Times New Roman" w:hAnsi="Times New Roman" w:cs="Times New Roman" w:eastAsiaTheme="minorEastAsia"/>
                <w:b w:val="0"/>
                <w:bCs w:val="0"/>
                <w:color w:val="auto"/>
                <w:kern w:val="2"/>
                <w:sz w:val="24"/>
                <w:szCs w:val="24"/>
                <w:highlight w:val="none"/>
                <w:u w:val="none"/>
                <w:lang w:val="en-US" w:eastAsia="zh-CN" w:bidi="ar-SA"/>
              </w:rPr>
              <w:t>号</w:t>
            </w:r>
            <w:r>
              <w:rPr>
                <w:rFonts w:hint="eastAsia" w:cs="Times New Roman" w:eastAsiaTheme="minorEastAsia"/>
                <w:b w:val="0"/>
                <w:bCs w:val="0"/>
                <w:color w:val="auto"/>
                <w:kern w:val="2"/>
                <w:sz w:val="24"/>
                <w:szCs w:val="24"/>
                <w:highlight w:val="none"/>
                <w:u w:val="none"/>
                <w:lang w:val="en-US" w:eastAsia="zh-CN" w:bidi="ar-SA"/>
              </w:rPr>
              <w:t>文，同意</w:t>
            </w:r>
            <w:r>
              <w:rPr>
                <w:rFonts w:hint="default" w:ascii="Times New Roman" w:hAnsi="Times New Roman" w:cs="Times New Roman"/>
                <w:b w:val="0"/>
                <w:bCs w:val="0"/>
                <w:color w:val="auto"/>
                <w:u w:val="none"/>
                <w:lang w:eastAsia="zh-CN"/>
              </w:rPr>
              <w:t>济源大岭四期风电场</w:t>
            </w:r>
            <w:r>
              <w:rPr>
                <w:rFonts w:hint="eastAsia" w:cs="Times New Roman"/>
                <w:b w:val="0"/>
                <w:bCs w:val="0"/>
                <w:color w:val="auto"/>
                <w:u w:val="none"/>
                <w:lang w:val="en-US" w:eastAsia="zh-CN"/>
              </w:rPr>
              <w:t>自建110千伏升压站，通过1</w:t>
            </w:r>
            <w:r>
              <w:rPr>
                <w:rFonts w:hint="eastAsia" w:ascii="Times New Roman" w:hAnsi="Times New Roman" w:cs="Times New Roman"/>
                <w:b w:val="0"/>
                <w:bCs w:val="0"/>
                <w:color w:val="auto"/>
                <w:highlight w:val="none"/>
                <w:u w:val="none"/>
                <w:lang w:val="en-US" w:eastAsia="zh-CN"/>
              </w:rPr>
              <w:t>回</w:t>
            </w:r>
            <w:r>
              <w:rPr>
                <w:rFonts w:hint="default" w:ascii="Times New Roman" w:hAnsi="Times New Roman" w:cs="Times New Roman"/>
                <w:b w:val="0"/>
                <w:bCs w:val="0"/>
                <w:color w:val="auto"/>
                <w:highlight w:val="none"/>
                <w:u w:val="none"/>
                <w:lang w:val="en-US" w:eastAsia="zh-CN"/>
              </w:rPr>
              <w:t>110</w:t>
            </w:r>
            <w:r>
              <w:rPr>
                <w:rFonts w:hint="eastAsia" w:cs="Times New Roman"/>
                <w:b w:val="0"/>
                <w:bCs w:val="0"/>
                <w:color w:val="auto"/>
                <w:u w:val="none"/>
                <w:lang w:val="en-US" w:eastAsia="zh-CN"/>
              </w:rPr>
              <w:t>千伏</w:t>
            </w:r>
            <w:r>
              <w:rPr>
                <w:rFonts w:hint="eastAsia" w:ascii="Times New Roman" w:hAnsi="Times New Roman" w:cs="Times New Roman"/>
                <w:b w:val="0"/>
                <w:bCs w:val="0"/>
                <w:color w:val="auto"/>
                <w:highlight w:val="none"/>
                <w:u w:val="none"/>
                <w:lang w:val="en-US" w:eastAsia="zh-CN"/>
              </w:rPr>
              <w:t>线路接入</w:t>
            </w:r>
            <w:r>
              <w:rPr>
                <w:rFonts w:hint="default" w:ascii="Times New Roman" w:hAnsi="Times New Roman" w:cs="Times New Roman"/>
                <w:b w:val="0"/>
                <w:bCs w:val="0"/>
                <w:color w:val="auto"/>
                <w:highlight w:val="none"/>
                <w:u w:val="none"/>
                <w:lang w:val="en-US" w:eastAsia="zh-CN"/>
              </w:rPr>
              <w:t>110</w:t>
            </w:r>
            <w:r>
              <w:rPr>
                <w:rFonts w:hint="eastAsia" w:cs="Times New Roman"/>
                <w:b w:val="0"/>
                <w:bCs w:val="0"/>
                <w:color w:val="auto"/>
                <w:u w:val="none"/>
                <w:lang w:val="en-US" w:eastAsia="zh-CN"/>
              </w:rPr>
              <w:t>千伏</w:t>
            </w:r>
            <w:r>
              <w:rPr>
                <w:rFonts w:hint="eastAsia" w:ascii="Times New Roman" w:hAnsi="Times New Roman" w:cs="Times New Roman"/>
                <w:b w:val="0"/>
                <w:bCs w:val="0"/>
                <w:color w:val="auto"/>
                <w:highlight w:val="none"/>
                <w:u w:val="none"/>
                <w:lang w:val="en-US" w:eastAsia="zh-CN"/>
              </w:rPr>
              <w:t>承留变</w:t>
            </w:r>
            <w:r>
              <w:rPr>
                <w:rFonts w:hint="eastAsia" w:cs="Times New Roman"/>
                <w:b w:val="0"/>
                <w:bCs w:val="0"/>
                <w:color w:val="auto"/>
                <w:highlight w:val="none"/>
                <w:u w:val="none"/>
                <w:lang w:val="en-US" w:eastAsia="zh-CN"/>
              </w:rPr>
              <w:t>；同意</w:t>
            </w:r>
            <w:r>
              <w:rPr>
                <w:rFonts w:hint="default" w:ascii="Times New Roman" w:hAnsi="Times New Roman" w:cs="Times New Roman"/>
                <w:b w:val="0"/>
                <w:bCs w:val="0"/>
                <w:color w:val="auto"/>
                <w:u w:val="none"/>
                <w:lang w:eastAsia="zh-CN"/>
              </w:rPr>
              <w:t>济源大岭四期风电场</w:t>
            </w:r>
            <w:r>
              <w:rPr>
                <w:rFonts w:hint="eastAsia" w:cs="Times New Roman"/>
                <w:b w:val="0"/>
                <w:bCs w:val="0"/>
                <w:color w:val="auto"/>
                <w:u w:val="none"/>
                <w:lang w:val="en-US" w:eastAsia="zh-CN"/>
              </w:rPr>
              <w:t>升压站安装一台主变，采用</w:t>
            </w:r>
            <w:r>
              <w:rPr>
                <w:rFonts w:hint="default" w:cs="Times New Roman"/>
                <w:b w:val="0"/>
                <w:bCs w:val="0"/>
                <w:color w:val="auto"/>
                <w:u w:val="none"/>
                <w:lang w:val="en-US" w:eastAsia="zh-CN"/>
              </w:rPr>
              <w:t>有载调压变压器</w:t>
            </w:r>
            <w:r>
              <w:rPr>
                <w:rFonts w:hint="eastAsia" w:cs="Times New Roman"/>
                <w:b w:val="0"/>
                <w:bCs w:val="0"/>
                <w:color w:val="auto"/>
                <w:u w:val="none"/>
                <w:lang w:val="en-US" w:eastAsia="zh-CN"/>
              </w:rPr>
              <w:t>，电压等级110</w:t>
            </w:r>
            <w:r>
              <w:rPr>
                <w:rFonts w:hint="default" w:cs="Times New Roman"/>
                <w:b w:val="0"/>
                <w:bCs w:val="0"/>
                <w:color w:val="auto"/>
                <w:u w:val="none"/>
                <w:lang w:val="en-US" w:eastAsia="zh-CN"/>
              </w:rPr>
              <w:t>/</w:t>
            </w:r>
            <w:r>
              <w:rPr>
                <w:rFonts w:hint="eastAsia" w:cs="Times New Roman"/>
                <w:b w:val="0"/>
                <w:bCs w:val="0"/>
                <w:color w:val="auto"/>
                <w:u w:val="none"/>
                <w:lang w:val="en-US" w:eastAsia="zh-CN"/>
              </w:rPr>
              <w:t>35千伏</w:t>
            </w:r>
            <w:r>
              <w:rPr>
                <w:rFonts w:hint="eastAsia" w:cs="Times New Roman"/>
                <w:b w:val="0"/>
                <w:bCs w:val="0"/>
                <w:color w:val="auto"/>
                <w:highlight w:val="none"/>
                <w:u w:val="none"/>
                <w:lang w:val="en-US" w:eastAsia="zh-CN"/>
              </w:rPr>
              <w:t>。</w:t>
            </w:r>
            <w:r>
              <w:rPr>
                <w:rFonts w:hint="default" w:ascii="Times New Roman" w:hAnsi="Times New Roman" w:cs="Times New Roman"/>
                <w:b w:val="0"/>
                <w:bCs w:val="0"/>
                <w:color w:val="auto"/>
                <w:u w:val="none"/>
                <w:lang w:eastAsia="zh-CN"/>
              </w:rPr>
              <w:t>济源大岭四期风电场</w:t>
            </w:r>
            <w:r>
              <w:rPr>
                <w:rFonts w:hint="eastAsia" w:cs="Times New Roman"/>
                <w:b w:val="0"/>
                <w:bCs w:val="0"/>
                <w:color w:val="auto"/>
                <w:u w:val="none"/>
                <w:lang w:val="en-US" w:eastAsia="zh-CN"/>
              </w:rPr>
              <w:t>配套储能装置经1</w:t>
            </w:r>
            <w:r>
              <w:rPr>
                <w:rFonts w:hint="eastAsia" w:ascii="Times New Roman" w:hAnsi="Times New Roman" w:cs="Times New Roman"/>
                <w:b w:val="0"/>
                <w:bCs w:val="0"/>
                <w:color w:val="auto"/>
                <w:highlight w:val="none"/>
                <w:u w:val="none"/>
                <w:lang w:val="en-US" w:eastAsia="zh-CN"/>
              </w:rPr>
              <w:t>回</w:t>
            </w:r>
            <w:r>
              <w:rPr>
                <w:rFonts w:hint="eastAsia" w:cs="Times New Roman"/>
                <w:b w:val="0"/>
                <w:bCs w:val="0"/>
                <w:color w:val="auto"/>
                <w:highlight w:val="none"/>
                <w:u w:val="none"/>
                <w:lang w:val="en-US" w:eastAsia="zh-CN"/>
              </w:rPr>
              <w:t>35</w:t>
            </w:r>
            <w:r>
              <w:rPr>
                <w:rFonts w:hint="eastAsia" w:cs="Times New Roman"/>
                <w:b w:val="0"/>
                <w:bCs w:val="0"/>
                <w:color w:val="auto"/>
                <w:u w:val="none"/>
                <w:lang w:val="en-US" w:eastAsia="zh-CN"/>
              </w:rPr>
              <w:t>千伏集电线路接入</w:t>
            </w:r>
            <w:r>
              <w:rPr>
                <w:rFonts w:hint="default" w:ascii="Times New Roman" w:hAnsi="Times New Roman" w:cs="Times New Roman"/>
                <w:b w:val="0"/>
                <w:bCs w:val="0"/>
                <w:color w:val="auto"/>
                <w:u w:val="none"/>
                <w:lang w:eastAsia="zh-CN"/>
              </w:rPr>
              <w:t>风电场</w:t>
            </w:r>
            <w:r>
              <w:rPr>
                <w:rFonts w:hint="eastAsia" w:cs="Times New Roman"/>
                <w:b w:val="0"/>
                <w:bCs w:val="0"/>
                <w:color w:val="auto"/>
                <w:u w:val="none"/>
                <w:lang w:val="en-US" w:eastAsia="zh-CN"/>
              </w:rPr>
              <w:t>升压站35千伏母线。</w:t>
            </w:r>
          </w:p>
          <w:p>
            <w:pPr>
              <w:pStyle w:val="42"/>
              <w:keepNext w:val="0"/>
              <w:keepLines w:val="0"/>
              <w:pageBreakBefore w:val="0"/>
              <w:widowControl w:val="0"/>
              <w:kinsoku/>
              <w:wordWrap/>
              <w:overflowPunct/>
              <w:topLinePunct w:val="0"/>
              <w:autoSpaceDE/>
              <w:autoSpaceDN/>
              <w:bidi w:val="0"/>
              <w:adjustRightInd w:val="0"/>
              <w:snapToGrid w:val="0"/>
              <w:spacing w:line="520" w:lineRule="exact"/>
              <w:contextualSpacing/>
              <w:textAlignment w:val="top"/>
              <w:rPr>
                <w:rFonts w:hint="default" w:ascii="Times New Roman" w:hAnsi="Times New Roman" w:eastAsia="宋体" w:cs="Times New Roman"/>
                <w:color w:val="auto"/>
                <w:lang w:val="en-US" w:eastAsia="zh-CN"/>
              </w:rPr>
            </w:pPr>
            <w:r>
              <w:rPr>
                <w:rFonts w:hint="eastAsia" w:cs="Times New Roman"/>
                <w:color w:val="auto"/>
                <w:lang w:val="en-US" w:eastAsia="zh-CN"/>
              </w:rPr>
              <w:t>由上，</w:t>
            </w:r>
            <w:r>
              <w:rPr>
                <w:rFonts w:hint="default" w:ascii="Times New Roman" w:hAnsi="Times New Roman" w:cs="Times New Roman"/>
                <w:color w:val="auto"/>
                <w:lang w:val="en-US" w:eastAsia="zh-CN"/>
              </w:rPr>
              <w:t>项目</w:t>
            </w:r>
            <w:r>
              <w:rPr>
                <w:rFonts w:hint="default" w:ascii="Times New Roman" w:hAnsi="Times New Roman" w:cs="Times New Roman"/>
                <w:color w:val="auto"/>
              </w:rPr>
              <w:t>符合当地电网规划。</w:t>
            </w:r>
          </w:p>
          <w:p>
            <w:pPr>
              <w:ind w:firstLine="480"/>
              <w:rPr>
                <w:rFonts w:hint="default" w:ascii="Times New Roman" w:hAnsi="Times New Roman" w:cs="Times New Roman"/>
                <w:color w:val="0000FF"/>
              </w:rPr>
            </w:pPr>
          </w:p>
          <w:p>
            <w:pPr>
              <w:pStyle w:val="3"/>
              <w:rPr>
                <w:rFonts w:hint="default" w:ascii="Times New Roman" w:hAnsi="Times New Roman" w:cs="Times New Roman"/>
                <w:color w:val="0000FF"/>
              </w:rPr>
            </w:pPr>
          </w:p>
          <w:p>
            <w:pPr>
              <w:pStyle w:val="4"/>
              <w:rPr>
                <w:rFonts w:hint="default" w:ascii="Times New Roman" w:hAnsi="Times New Roman" w:cs="Times New Roman"/>
                <w:color w:val="0000FF"/>
              </w:rPr>
            </w:pPr>
          </w:p>
          <w:p>
            <w:pPr>
              <w:pStyle w:val="5"/>
              <w:rPr>
                <w:rFonts w:hint="default" w:ascii="Times New Roman" w:hAnsi="Times New Roman" w:cs="Times New Roman"/>
                <w:color w:val="0000FF"/>
              </w:rPr>
            </w:pPr>
          </w:p>
          <w:p>
            <w:pPr>
              <w:pStyle w:val="5"/>
              <w:rPr>
                <w:rFonts w:hint="default" w:ascii="Times New Roman" w:hAnsi="Times New Roman" w:cs="Times New Roman"/>
                <w:color w:val="0000FF"/>
              </w:rPr>
            </w:pPr>
          </w:p>
          <w:p>
            <w:pPr>
              <w:pStyle w:val="5"/>
              <w:rPr>
                <w:rFonts w:hint="default" w:ascii="Times New Roman" w:hAnsi="Times New Roman" w:cs="Times New Roman"/>
                <w:color w:val="0000FF"/>
              </w:rPr>
            </w:pPr>
          </w:p>
          <w:p>
            <w:pPr>
              <w:pStyle w:val="5"/>
              <w:rPr>
                <w:rFonts w:hint="default" w:ascii="Times New Roman" w:hAnsi="Times New Roman" w:cs="Times New Roman"/>
                <w:color w:val="0000FF"/>
              </w:rPr>
            </w:pPr>
          </w:p>
          <w:p>
            <w:pPr>
              <w:rPr>
                <w:rFonts w:hint="default"/>
              </w:rPr>
            </w:pPr>
          </w:p>
          <w:p>
            <w:pPr>
              <w:pStyle w:val="32"/>
              <w:jc w:val="both"/>
              <w:rPr>
                <w:rFonts w:hint="default" w:ascii="Times New Roman" w:hAnsi="Times New Roman" w:cs="Times New Roman"/>
                <w:color w:val="0000FF"/>
              </w:rPr>
            </w:pPr>
          </w:p>
        </w:tc>
      </w:tr>
    </w:tbl>
    <w:p>
      <w:pPr>
        <w:ind w:firstLine="480"/>
        <w:jc w:val="center"/>
        <w:rPr>
          <w:rFonts w:hint="default" w:ascii="Times New Roman" w:hAnsi="Times New Roman" w:eastAsia="楷体" w:cs="Times New Roman"/>
          <w:color w:val="0000FF"/>
          <w:szCs w:val="21"/>
        </w:rPr>
        <w:sectPr>
          <w:footerReference r:id="rId7" w:type="default"/>
          <w:pgSz w:w="11906" w:h="16838"/>
          <w:pgMar w:top="1417" w:right="1134" w:bottom="1247" w:left="1247" w:header="851" w:footer="283" w:gutter="0"/>
          <w:pgBorders>
            <w:top w:val="none" w:sz="0" w:space="0"/>
            <w:left w:val="none" w:sz="0" w:space="0"/>
            <w:bottom w:val="none" w:sz="0" w:space="0"/>
            <w:right w:val="none" w:sz="0" w:space="0"/>
          </w:pgBorders>
          <w:pgNumType w:fmt="decimal" w:start="1"/>
          <w:cols w:space="425" w:num="1"/>
          <w:docGrid w:type="lines" w:linePitch="326" w:charSpace="0"/>
        </w:sectPr>
      </w:pPr>
    </w:p>
    <w:p>
      <w:pPr>
        <w:pStyle w:val="6"/>
        <w:ind w:firstLine="0" w:firstLineChars="0"/>
        <w:jc w:val="center"/>
        <w:rPr>
          <w:rFonts w:hint="default" w:ascii="Times New Roman" w:hAnsi="Times New Roman" w:cs="Times New Roman"/>
          <w:color w:val="auto"/>
          <w:sz w:val="28"/>
        </w:rPr>
      </w:pPr>
      <w:bookmarkStart w:id="1" w:name="_Toc69745418"/>
      <w:r>
        <w:rPr>
          <w:rFonts w:hint="default" w:ascii="Times New Roman" w:hAnsi="Times New Roman" w:cs="Times New Roman"/>
          <w:color w:val="auto"/>
          <w:sz w:val="28"/>
        </w:rPr>
        <w:t>二、建设内容</w:t>
      </w:r>
      <w:bookmarkEnd w:id="1"/>
    </w:p>
    <w:tbl>
      <w:tblPr>
        <w:tblStyle w:val="22"/>
        <w:tblW w:w="5000" w:type="pct"/>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14"/>
        <w:gridCol w:w="8927"/>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36" w:hRule="atLeast"/>
          <w:jc w:val="center"/>
        </w:trPr>
        <w:tc>
          <w:tcPr>
            <w:tcW w:w="814" w:type="dxa"/>
            <w:vAlign w:val="center"/>
          </w:tcPr>
          <w:p>
            <w:pPr>
              <w:adjustRightInd w:val="0"/>
              <w:snapToGrid w:val="0"/>
              <w:spacing w:line="240" w:lineRule="auto"/>
              <w:ind w:firstLine="0" w:firstLineChars="0"/>
              <w:jc w:val="center"/>
              <w:rPr>
                <w:rFonts w:hint="default" w:ascii="Times New Roman" w:hAnsi="Times New Roman" w:cs="Times New Roman"/>
                <w:color w:val="0000FF"/>
                <w:kern w:val="0"/>
                <w:szCs w:val="21"/>
              </w:rPr>
            </w:pPr>
            <w:r>
              <w:rPr>
                <w:rFonts w:hint="default" w:ascii="Times New Roman" w:hAnsi="Times New Roman" w:cs="Times New Roman"/>
                <w:color w:val="auto"/>
                <w:kern w:val="0"/>
                <w:szCs w:val="21"/>
              </w:rPr>
              <w:t>地理位置</w:t>
            </w:r>
          </w:p>
        </w:tc>
        <w:tc>
          <w:tcPr>
            <w:tcW w:w="8927" w:type="dxa"/>
            <w:vAlign w:val="center"/>
          </w:tcPr>
          <w:p>
            <w:pPr>
              <w:spacing w:line="360" w:lineRule="auto"/>
              <w:ind w:firstLine="480"/>
              <w:jc w:val="left"/>
              <w:rPr>
                <w:rFonts w:hint="default"/>
                <w:lang w:eastAsia="zh-CN"/>
              </w:rPr>
            </w:pPr>
          </w:p>
          <w:p>
            <w:pPr>
              <w:spacing w:line="360" w:lineRule="auto"/>
              <w:ind w:firstLine="480"/>
              <w:jc w:val="left"/>
              <w:rPr>
                <w:rFonts w:hint="default"/>
                <w:lang w:eastAsia="zh-CN"/>
              </w:rPr>
            </w:pPr>
            <w:r>
              <w:rPr>
                <w:rFonts w:hint="default"/>
                <w:lang w:eastAsia="zh-CN"/>
              </w:rPr>
              <w:t>110kV升压站</w:t>
            </w:r>
            <w:r>
              <w:rPr>
                <w:rFonts w:hint="default"/>
                <w:lang w:val="en-US" w:eastAsia="zh-CN"/>
              </w:rPr>
              <w:t>位于济源市</w:t>
            </w:r>
            <w:r>
              <w:rPr>
                <w:rFonts w:hint="default"/>
                <w:lang w:val="zh-CN"/>
              </w:rPr>
              <w:t>大峪镇</w:t>
            </w:r>
            <w:r>
              <w:rPr>
                <w:rFonts w:hint="eastAsia" w:eastAsia="宋体" w:cs="Times New Roman"/>
                <w:sz w:val="24"/>
                <w:szCs w:val="24"/>
                <w:lang w:val="en-US" w:eastAsia="zh-CN"/>
              </w:rPr>
              <w:t>三岔河村</w:t>
            </w:r>
            <w:r>
              <w:rPr>
                <w:rFonts w:hint="default"/>
                <w:lang w:val="zh-CN"/>
              </w:rPr>
              <w:t>丘陵区，</w:t>
            </w:r>
            <w:r>
              <w:rPr>
                <w:rFonts w:hint="default"/>
              </w:rPr>
              <w:t>属于</w:t>
            </w:r>
            <w:r>
              <w:rPr>
                <w:rFonts w:hint="default"/>
                <w:lang w:eastAsia="zh-CN"/>
              </w:rPr>
              <w:t>济源大岭四期100MW风电场项目配套工程，</w:t>
            </w:r>
            <w:r>
              <w:rPr>
                <w:rFonts w:hint="default"/>
              </w:rPr>
              <w:t>地理坐标：11</w:t>
            </w:r>
            <w:r>
              <w:rPr>
                <w:rFonts w:hint="default"/>
                <w:lang w:val="en-US" w:eastAsia="zh-CN"/>
              </w:rPr>
              <w:t>2</w:t>
            </w:r>
            <w:r>
              <w:rPr>
                <w:rFonts w:hint="default"/>
              </w:rPr>
              <w:t>度</w:t>
            </w:r>
            <w:r>
              <w:rPr>
                <w:rFonts w:hint="default"/>
                <w:lang w:val="en-US" w:eastAsia="zh-CN"/>
              </w:rPr>
              <w:t>21</w:t>
            </w:r>
            <w:r>
              <w:rPr>
                <w:rFonts w:hint="default"/>
              </w:rPr>
              <w:t>分59.094秒，3</w:t>
            </w:r>
            <w:r>
              <w:rPr>
                <w:rFonts w:hint="default"/>
                <w:lang w:val="en-US" w:eastAsia="zh-CN"/>
              </w:rPr>
              <w:t>5</w:t>
            </w:r>
            <w:r>
              <w:rPr>
                <w:rFonts w:hint="default"/>
              </w:rPr>
              <w:t>度</w:t>
            </w:r>
            <w:r>
              <w:rPr>
                <w:rFonts w:hint="default"/>
                <w:lang w:val="en-US" w:eastAsia="zh-CN"/>
              </w:rPr>
              <w:t>5</w:t>
            </w:r>
            <w:r>
              <w:rPr>
                <w:rFonts w:hint="default"/>
              </w:rPr>
              <w:t>分3.16</w:t>
            </w:r>
            <w:r>
              <w:rPr>
                <w:rFonts w:hint="default"/>
                <w:lang w:val="en-US" w:eastAsia="zh-CN"/>
              </w:rPr>
              <w:t>2</w:t>
            </w:r>
            <w:r>
              <w:rPr>
                <w:rFonts w:hint="default"/>
              </w:rPr>
              <w:t>秒</w:t>
            </w:r>
            <w:r>
              <w:rPr>
                <w:rFonts w:hint="default"/>
                <w:lang w:eastAsia="zh-CN"/>
              </w:rPr>
              <w:t>。</w:t>
            </w:r>
          </w:p>
          <w:p>
            <w:pPr>
              <w:spacing w:line="360" w:lineRule="auto"/>
              <w:ind w:firstLine="480"/>
              <w:jc w:val="left"/>
              <w:rPr>
                <w:rFonts w:hint="default"/>
              </w:rPr>
            </w:pPr>
            <w:r>
              <w:rPr>
                <w:rFonts w:hint="default"/>
              </w:rPr>
              <w:t>本项目地理位置示意图见附图1。</w:t>
            </w:r>
          </w:p>
          <w:p>
            <w:pPr>
              <w:rPr>
                <w:rFonts w:hint="default"/>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48" w:hRule="atLeast"/>
          <w:jc w:val="center"/>
        </w:trPr>
        <w:tc>
          <w:tcPr>
            <w:tcW w:w="814" w:type="dxa"/>
            <w:vAlign w:val="center"/>
          </w:tcPr>
          <w:p>
            <w:pPr>
              <w:adjustRightInd w:val="0"/>
              <w:snapToGrid w:val="0"/>
              <w:spacing w:line="240" w:lineRule="auto"/>
              <w:ind w:firstLine="0" w:firstLineChars="0"/>
              <w:jc w:val="center"/>
              <w:rPr>
                <w:rFonts w:hint="default" w:ascii="Times New Roman" w:hAnsi="Times New Roman" w:cs="Times New Roman"/>
                <w:color w:val="0000FF"/>
                <w:kern w:val="0"/>
                <w:szCs w:val="21"/>
              </w:rPr>
            </w:pPr>
            <w:r>
              <w:rPr>
                <w:rFonts w:hint="default" w:ascii="Times New Roman" w:hAnsi="Times New Roman" w:cs="Times New Roman"/>
                <w:color w:val="auto"/>
                <w:kern w:val="0"/>
                <w:szCs w:val="21"/>
              </w:rPr>
              <w:t>项目组成及规模</w:t>
            </w:r>
          </w:p>
        </w:tc>
        <w:tc>
          <w:tcPr>
            <w:tcW w:w="8927" w:type="dxa"/>
          </w:tcPr>
          <w:p>
            <w:pPr>
              <w:spacing w:line="360" w:lineRule="auto"/>
              <w:ind w:firstLine="0" w:firstLineChars="0"/>
              <w:jc w:val="left"/>
              <w:rPr>
                <w:rFonts w:hint="default" w:ascii="Times New Roman" w:hAnsi="Times New Roman" w:cs="Times New Roman"/>
                <w:b/>
                <w:color w:val="auto"/>
                <w:kern w:val="0"/>
                <w:szCs w:val="21"/>
              </w:rPr>
            </w:pPr>
            <w:r>
              <w:rPr>
                <w:rFonts w:hint="default" w:ascii="Times New Roman" w:hAnsi="Times New Roman" w:cs="Times New Roman"/>
                <w:b/>
                <w:color w:val="auto"/>
                <w:kern w:val="0"/>
                <w:szCs w:val="21"/>
              </w:rPr>
              <w:t>1、项目概况</w:t>
            </w:r>
          </w:p>
          <w:p>
            <w:pPr>
              <w:spacing w:line="360" w:lineRule="auto"/>
              <w:ind w:firstLine="480"/>
              <w:jc w:val="left"/>
              <w:rPr>
                <w:rFonts w:hint="default" w:ascii="Times New Roman" w:hAnsi="Times New Roman" w:cs="Times New Roman"/>
                <w:color w:val="auto"/>
                <w:highlight w:val="none"/>
              </w:rPr>
            </w:pPr>
            <w:r>
              <w:rPr>
                <w:rFonts w:hint="default" w:ascii="Times New Roman" w:hAnsi="Times New Roman" w:cs="Times New Roman"/>
                <w:color w:val="auto"/>
              </w:rPr>
              <w:t>本项目为</w:t>
            </w:r>
            <w:r>
              <w:rPr>
                <w:rFonts w:hint="default" w:ascii="Times New Roman" w:hAnsi="Times New Roman" w:cs="Times New Roman"/>
                <w:color w:val="auto"/>
                <w:lang w:eastAsia="zh-CN"/>
              </w:rPr>
              <w:t>济源大岭四期100MW风电场项目</w:t>
            </w:r>
            <w:r>
              <w:rPr>
                <w:rFonts w:hint="default" w:ascii="Times New Roman" w:hAnsi="Times New Roman" w:cs="Times New Roman"/>
                <w:color w:val="auto"/>
              </w:rPr>
              <w:t>的配套工程</w:t>
            </w:r>
            <w:r>
              <w:rPr>
                <w:rFonts w:hint="eastAsia" w:cs="Times New Roman"/>
                <w:color w:val="auto"/>
                <w:lang w:eastAsia="zh-CN"/>
              </w:rPr>
              <w:t>，</w:t>
            </w:r>
            <w:r>
              <w:rPr>
                <w:rFonts w:hint="eastAsia" w:cs="Times New Roman"/>
                <w:color w:val="auto"/>
                <w:highlight w:val="none"/>
                <w:lang w:val="en-US" w:eastAsia="zh-CN"/>
              </w:rPr>
              <w:t>为新建项目，且与</w:t>
            </w:r>
            <w:r>
              <w:rPr>
                <w:rFonts w:hint="default" w:ascii="Times New Roman" w:hAnsi="Times New Roman" w:cs="Times New Roman"/>
                <w:color w:val="auto"/>
                <w:highlight w:val="none"/>
                <w:lang w:eastAsia="zh-CN"/>
              </w:rPr>
              <w:t>济源大岭风电场项目</w:t>
            </w:r>
            <w:r>
              <w:rPr>
                <w:rFonts w:hint="eastAsia" w:cs="Times New Roman"/>
                <w:color w:val="auto"/>
                <w:highlight w:val="none"/>
                <w:lang w:val="en-US" w:eastAsia="zh-CN"/>
              </w:rPr>
              <w:t>前期工程无关</w:t>
            </w:r>
            <w:r>
              <w:rPr>
                <w:rFonts w:hint="default" w:ascii="Times New Roman" w:hAnsi="Times New Roman" w:cs="Times New Roman"/>
                <w:color w:val="auto"/>
                <w:highlight w:val="none"/>
              </w:rPr>
              <w:t>。</w:t>
            </w:r>
          </w:p>
          <w:p>
            <w:pPr>
              <w:spacing w:line="360" w:lineRule="auto"/>
              <w:ind w:firstLine="480"/>
              <w:jc w:val="left"/>
              <w:rPr>
                <w:rFonts w:hint="default" w:ascii="Times New Roman" w:hAnsi="Times New Roman" w:cs="Times New Roman" w:eastAsiaTheme="minorEastAsia"/>
                <w:color w:val="auto"/>
                <w:kern w:val="2"/>
                <w:sz w:val="24"/>
                <w:szCs w:val="24"/>
                <w:highlight w:val="none"/>
                <w:lang w:val="en-US" w:eastAsia="zh-CN" w:bidi="ar-SA"/>
              </w:rPr>
            </w:pPr>
            <w:r>
              <w:rPr>
                <w:rFonts w:hint="default" w:ascii="Times New Roman" w:hAnsi="Times New Roman" w:cs="Times New Roman"/>
                <w:color w:val="auto"/>
                <w:lang w:val="en-US" w:eastAsia="zh-CN"/>
              </w:rPr>
              <w:t>2021年12月29日，济源市发展改革和统计局以《济源市发展改革和统计局关于济源大岭四期100MW风电场项目核准的批复》（济发统审批[2021]234号）批复了本项目核准文件</w:t>
            </w:r>
            <w:r>
              <w:rPr>
                <w:rFonts w:hint="default" w:ascii="Times New Roman" w:hAnsi="Times New Roman" w:cs="Times New Roman"/>
                <w:color w:val="auto"/>
                <w:highlight w:val="none"/>
                <w:lang w:val="en-US" w:eastAsia="zh-CN"/>
              </w:rPr>
              <w:t>。</w:t>
            </w:r>
            <w:r>
              <w:rPr>
                <w:rFonts w:hint="eastAsia" w:cs="Times New Roman"/>
                <w:color w:val="auto"/>
                <w:highlight w:val="none"/>
                <w:lang w:val="en-US" w:eastAsia="zh-CN"/>
              </w:rPr>
              <w:t>2022年11月，</w:t>
            </w:r>
            <w:r>
              <w:rPr>
                <w:rFonts w:hint="default" w:ascii="Times New Roman" w:hAnsi="Times New Roman" w:cs="Times New Roman"/>
                <w:color w:val="auto"/>
                <w:highlight w:val="none"/>
                <w:lang w:val="en-US" w:eastAsia="zh-CN"/>
              </w:rPr>
              <w:t>《国电河南新能源有限公司济源大岭四期100MW风电场项目预可行性研究报告》（以下简称：</w:t>
            </w:r>
            <w:r>
              <w:rPr>
                <w:rFonts w:hint="eastAsia" w:ascii="Times New Roman" w:hAnsi="Times New Roman" w:cs="Times New Roman"/>
                <w:color w:val="auto"/>
                <w:highlight w:val="none"/>
                <w:lang w:val="en-US" w:eastAsia="zh-CN"/>
              </w:rPr>
              <w:t>“</w:t>
            </w:r>
            <w:r>
              <w:rPr>
                <w:rFonts w:hint="default" w:ascii="Times New Roman" w:hAnsi="Times New Roman" w:cs="Times New Roman"/>
                <w:color w:val="auto"/>
                <w:highlight w:val="none"/>
                <w:lang w:val="en-US" w:eastAsia="zh-CN"/>
              </w:rPr>
              <w:t>可研</w:t>
            </w:r>
            <w:r>
              <w:rPr>
                <w:rFonts w:hint="eastAsia" w:ascii="Times New Roman" w:hAnsi="Times New Roman" w:cs="Times New Roman"/>
                <w:color w:val="auto"/>
                <w:highlight w:val="none"/>
                <w:lang w:val="en-US" w:eastAsia="zh-CN"/>
              </w:rPr>
              <w:t>”</w:t>
            </w:r>
            <w:r>
              <w:rPr>
                <w:rFonts w:hint="default" w:ascii="Times New Roman" w:hAnsi="Times New Roman" w:cs="Times New Roman"/>
                <w:color w:val="auto"/>
                <w:highlight w:val="none"/>
                <w:lang w:val="en-US" w:eastAsia="zh-CN"/>
              </w:rPr>
              <w:t>）</w:t>
            </w:r>
            <w:r>
              <w:rPr>
                <w:rFonts w:hint="eastAsia" w:cs="Times New Roman"/>
                <w:color w:val="auto"/>
                <w:highlight w:val="none"/>
                <w:lang w:val="en-US" w:eastAsia="zh-CN"/>
              </w:rPr>
              <w:t>编制完成（该报告初稿于</w:t>
            </w:r>
            <w:r>
              <w:rPr>
                <w:rFonts w:hint="default" w:ascii="Times New Roman" w:hAnsi="Times New Roman" w:cs="Times New Roman"/>
                <w:color w:val="auto"/>
                <w:highlight w:val="none"/>
                <w:lang w:val="en-US" w:eastAsia="zh-CN"/>
              </w:rPr>
              <w:t>2022年</w:t>
            </w:r>
            <w:r>
              <w:rPr>
                <w:rFonts w:hint="eastAsia" w:cs="Times New Roman"/>
                <w:color w:val="auto"/>
                <w:highlight w:val="none"/>
                <w:lang w:val="en-US" w:eastAsia="zh-CN"/>
              </w:rPr>
              <w:t>4</w:t>
            </w:r>
            <w:r>
              <w:rPr>
                <w:rFonts w:hint="default" w:ascii="Times New Roman" w:hAnsi="Times New Roman" w:cs="Times New Roman"/>
                <w:color w:val="auto"/>
                <w:highlight w:val="none"/>
                <w:lang w:val="en-US" w:eastAsia="zh-CN"/>
              </w:rPr>
              <w:t>月</w:t>
            </w:r>
            <w:r>
              <w:rPr>
                <w:rFonts w:hint="eastAsia" w:cs="Times New Roman"/>
                <w:color w:val="auto"/>
                <w:highlight w:val="none"/>
                <w:lang w:val="en-US" w:eastAsia="zh-CN"/>
              </w:rPr>
              <w:t>编制完成，后期细化完善升压站建设内容）。</w:t>
            </w:r>
            <w:r>
              <w:rPr>
                <w:rFonts w:hint="eastAsia" w:ascii="Times New Roman" w:hAnsi="Times New Roman" w:cs="Times New Roman" w:eastAsiaTheme="minorEastAsia"/>
                <w:b w:val="0"/>
                <w:bCs w:val="0"/>
                <w:color w:val="auto"/>
                <w:kern w:val="2"/>
                <w:sz w:val="24"/>
                <w:szCs w:val="24"/>
                <w:highlight w:val="none"/>
                <w:u w:val="none"/>
                <w:lang w:val="en-US" w:eastAsia="zh-CN" w:bidi="ar-SA"/>
              </w:rPr>
              <w:t>2022年9月23日，</w:t>
            </w:r>
            <w:r>
              <w:rPr>
                <w:rFonts w:hint="default" w:ascii="Times New Roman" w:hAnsi="Times New Roman" w:cs="Times New Roman" w:eastAsiaTheme="minorEastAsia"/>
                <w:b w:val="0"/>
                <w:bCs w:val="0"/>
                <w:color w:val="auto"/>
                <w:kern w:val="2"/>
                <w:sz w:val="24"/>
                <w:szCs w:val="24"/>
                <w:highlight w:val="none"/>
                <w:u w:val="none"/>
                <w:lang w:val="en-US" w:eastAsia="zh-CN" w:bidi="ar-SA"/>
              </w:rPr>
              <w:t>《</w:t>
            </w:r>
            <w:r>
              <w:rPr>
                <w:rFonts w:hint="default" w:ascii="Times New Roman" w:hAnsi="Times New Roman" w:cs="Times New Roman"/>
                <w:b w:val="0"/>
                <w:bCs w:val="0"/>
                <w:color w:val="auto"/>
                <w:highlight w:val="none"/>
                <w:u w:val="none"/>
                <w:lang w:val="en-US" w:eastAsia="zh-CN"/>
              </w:rPr>
              <w:t>国电河南新能源有限公司</w:t>
            </w:r>
            <w:r>
              <w:rPr>
                <w:rFonts w:hint="default" w:ascii="Times New Roman" w:hAnsi="Times New Roman" w:cs="Times New Roman" w:eastAsiaTheme="minorEastAsia"/>
                <w:b w:val="0"/>
                <w:bCs w:val="0"/>
                <w:color w:val="auto"/>
                <w:kern w:val="2"/>
                <w:sz w:val="24"/>
                <w:szCs w:val="24"/>
                <w:highlight w:val="none"/>
                <w:u w:val="none"/>
                <w:lang w:val="en-US" w:eastAsia="zh-CN" w:bidi="ar-SA"/>
              </w:rPr>
              <w:t>济源大岭四期100MW风电场项目</w:t>
            </w:r>
            <w:r>
              <w:rPr>
                <w:rFonts w:hint="eastAsia" w:ascii="Times New Roman" w:hAnsi="Times New Roman" w:cs="Times New Roman" w:eastAsiaTheme="minorEastAsia"/>
                <w:b w:val="0"/>
                <w:bCs w:val="0"/>
                <w:color w:val="auto"/>
                <w:kern w:val="2"/>
                <w:sz w:val="24"/>
                <w:szCs w:val="24"/>
                <w:highlight w:val="none"/>
                <w:u w:val="none"/>
                <w:lang w:val="en-US" w:eastAsia="zh-CN" w:bidi="ar-SA"/>
              </w:rPr>
              <w:t>环境影响报告表</w:t>
            </w:r>
            <w:r>
              <w:rPr>
                <w:rFonts w:hint="default" w:ascii="Times New Roman" w:hAnsi="Times New Roman" w:cs="Times New Roman" w:eastAsiaTheme="minorEastAsia"/>
                <w:b w:val="0"/>
                <w:bCs w:val="0"/>
                <w:color w:val="auto"/>
                <w:kern w:val="2"/>
                <w:sz w:val="24"/>
                <w:szCs w:val="24"/>
                <w:highlight w:val="none"/>
                <w:u w:val="none"/>
                <w:lang w:val="en-US" w:eastAsia="zh-CN" w:bidi="ar-SA"/>
              </w:rPr>
              <w:t>》</w:t>
            </w:r>
            <w:r>
              <w:rPr>
                <w:rFonts w:hint="eastAsia" w:cs="Times New Roman"/>
                <w:b w:val="0"/>
                <w:bCs w:val="0"/>
                <w:color w:val="auto"/>
                <w:kern w:val="2"/>
                <w:sz w:val="24"/>
                <w:szCs w:val="24"/>
                <w:highlight w:val="none"/>
                <w:u w:val="none"/>
                <w:lang w:val="en-US" w:eastAsia="zh-CN" w:bidi="ar-SA"/>
              </w:rPr>
              <w:t>取得济源市生态环境局批复，批复文号为：</w:t>
            </w:r>
            <w:r>
              <w:rPr>
                <w:rFonts w:hint="eastAsia" w:ascii="Times New Roman" w:hAnsi="Times New Roman" w:cs="Times New Roman" w:eastAsiaTheme="minorEastAsia"/>
                <w:b w:val="0"/>
                <w:bCs w:val="0"/>
                <w:color w:val="auto"/>
                <w:kern w:val="2"/>
                <w:sz w:val="24"/>
                <w:szCs w:val="24"/>
                <w:highlight w:val="none"/>
                <w:u w:val="none"/>
                <w:lang w:val="en-US" w:eastAsia="zh-CN" w:bidi="ar-SA"/>
              </w:rPr>
              <w:t>济</w:t>
            </w:r>
            <w:r>
              <w:rPr>
                <w:rFonts w:hint="default" w:ascii="Times New Roman" w:hAnsi="Times New Roman" w:cs="Times New Roman" w:eastAsiaTheme="minorEastAsia"/>
                <w:b w:val="0"/>
                <w:bCs w:val="0"/>
                <w:color w:val="auto"/>
                <w:kern w:val="2"/>
                <w:sz w:val="24"/>
                <w:szCs w:val="24"/>
                <w:highlight w:val="none"/>
                <w:u w:val="none"/>
                <w:lang w:val="en-US" w:eastAsia="zh-CN" w:bidi="ar-SA"/>
              </w:rPr>
              <w:t>环</w:t>
            </w:r>
            <w:r>
              <w:rPr>
                <w:rFonts w:hint="eastAsia" w:ascii="Times New Roman" w:hAnsi="Times New Roman" w:cs="Times New Roman" w:eastAsiaTheme="minorEastAsia"/>
                <w:b w:val="0"/>
                <w:bCs w:val="0"/>
                <w:color w:val="auto"/>
                <w:kern w:val="2"/>
                <w:sz w:val="24"/>
                <w:szCs w:val="24"/>
                <w:highlight w:val="none"/>
                <w:u w:val="none"/>
                <w:lang w:val="en-US" w:eastAsia="zh-CN" w:bidi="ar-SA"/>
              </w:rPr>
              <w:t>评审</w:t>
            </w:r>
            <w:r>
              <w:rPr>
                <w:rFonts w:hint="default" w:ascii="Times New Roman" w:hAnsi="Times New Roman" w:cs="Times New Roman" w:eastAsiaTheme="minorEastAsia"/>
                <w:b w:val="0"/>
                <w:bCs w:val="0"/>
                <w:color w:val="auto"/>
                <w:kern w:val="2"/>
                <w:sz w:val="24"/>
                <w:szCs w:val="24"/>
                <w:highlight w:val="none"/>
                <w:u w:val="none"/>
                <w:lang w:val="en-US" w:eastAsia="zh-CN" w:bidi="ar-SA"/>
              </w:rPr>
              <w:t>〔2022〕</w:t>
            </w:r>
            <w:r>
              <w:rPr>
                <w:rFonts w:hint="eastAsia" w:ascii="Times New Roman" w:hAnsi="Times New Roman" w:cs="Times New Roman" w:eastAsiaTheme="minorEastAsia"/>
                <w:b w:val="0"/>
                <w:bCs w:val="0"/>
                <w:color w:val="auto"/>
                <w:kern w:val="2"/>
                <w:sz w:val="24"/>
                <w:szCs w:val="24"/>
                <w:highlight w:val="none"/>
                <w:u w:val="none"/>
                <w:lang w:val="en-US" w:eastAsia="zh-CN" w:bidi="ar-SA"/>
              </w:rPr>
              <w:t>69</w:t>
            </w:r>
            <w:r>
              <w:rPr>
                <w:rFonts w:hint="default" w:ascii="Times New Roman" w:hAnsi="Times New Roman" w:cs="Times New Roman" w:eastAsiaTheme="minorEastAsia"/>
                <w:b w:val="0"/>
                <w:bCs w:val="0"/>
                <w:color w:val="auto"/>
                <w:kern w:val="2"/>
                <w:sz w:val="24"/>
                <w:szCs w:val="24"/>
                <w:highlight w:val="none"/>
                <w:u w:val="none"/>
                <w:lang w:val="en-US" w:eastAsia="zh-CN" w:bidi="ar-SA"/>
              </w:rPr>
              <w:t>号</w:t>
            </w:r>
            <w:r>
              <w:rPr>
                <w:rFonts w:hint="eastAsia" w:cs="Times New Roman"/>
                <w:b w:val="0"/>
                <w:bCs w:val="0"/>
                <w:color w:val="auto"/>
                <w:kern w:val="2"/>
                <w:sz w:val="24"/>
                <w:szCs w:val="24"/>
                <w:highlight w:val="none"/>
                <w:u w:val="none"/>
                <w:lang w:val="en-US" w:eastAsia="zh-CN" w:bidi="ar-SA"/>
              </w:rPr>
              <w:t>。</w:t>
            </w:r>
          </w:p>
          <w:p>
            <w:pPr>
              <w:spacing w:line="360" w:lineRule="auto"/>
              <w:ind w:firstLine="480"/>
              <w:jc w:val="left"/>
              <w:rPr>
                <w:rFonts w:hint="default" w:ascii="Times New Roman" w:hAnsi="Times New Roman" w:cs="Times New Roman"/>
                <w:color w:val="auto"/>
                <w:highlight w:val="green"/>
                <w:lang w:val="en-US" w:eastAsia="zh-CN"/>
              </w:rPr>
            </w:pPr>
            <w:r>
              <w:rPr>
                <w:rFonts w:hint="default" w:ascii="Times New Roman" w:hAnsi="Times New Roman" w:cs="Times New Roman"/>
                <w:color w:val="auto"/>
                <w:lang w:val="en-US" w:eastAsia="zh-CN"/>
              </w:rPr>
              <w:t>根据项目</w:t>
            </w:r>
            <w:r>
              <w:rPr>
                <w:rFonts w:hint="eastAsia" w:ascii="Times New Roman" w:hAnsi="Times New Roman" w:cs="Times New Roman"/>
                <w:color w:val="auto"/>
                <w:lang w:val="en-US" w:eastAsia="zh-CN"/>
              </w:rPr>
              <w:t>“</w:t>
            </w:r>
            <w:r>
              <w:rPr>
                <w:rFonts w:hint="default" w:ascii="Times New Roman" w:hAnsi="Times New Roman" w:cs="Times New Roman"/>
                <w:color w:val="auto"/>
                <w:lang w:val="en-US" w:eastAsia="zh-CN"/>
              </w:rPr>
              <w:t>可研</w:t>
            </w:r>
            <w:r>
              <w:rPr>
                <w:rFonts w:hint="eastAsia" w:ascii="Times New Roman" w:hAnsi="Times New Roman" w:cs="Times New Roman"/>
                <w:color w:val="auto"/>
                <w:lang w:val="en-US" w:eastAsia="zh-CN"/>
              </w:rPr>
              <w:t>”</w:t>
            </w:r>
            <w:r>
              <w:rPr>
                <w:rFonts w:hint="default" w:ascii="Times New Roman" w:hAnsi="Times New Roman" w:cs="Times New Roman"/>
                <w:color w:val="auto"/>
                <w:lang w:val="en-US" w:eastAsia="zh-CN"/>
              </w:rPr>
              <w:t>，</w:t>
            </w:r>
            <w:r>
              <w:rPr>
                <w:rFonts w:hint="default" w:ascii="Times New Roman" w:hAnsi="Times New Roman" w:cs="Times New Roman"/>
                <w:b w:val="0"/>
                <w:bCs w:val="0"/>
                <w:color w:val="auto"/>
                <w:u w:val="none"/>
                <w:lang w:val="en-US" w:eastAsia="zh-CN"/>
              </w:rPr>
              <w:t>风电机组出口电压</w:t>
            </w:r>
            <w:r>
              <w:rPr>
                <w:rFonts w:hint="eastAsia" w:cs="Times New Roman"/>
                <w:b w:val="0"/>
                <w:bCs w:val="0"/>
                <w:color w:val="auto"/>
                <w:u w:val="none"/>
                <w:lang w:val="en-US" w:eastAsia="zh-CN"/>
              </w:rPr>
              <w:t>114</w:t>
            </w:r>
            <w:r>
              <w:rPr>
                <w:rFonts w:hint="default" w:ascii="Times New Roman" w:hAnsi="Times New Roman" w:cs="Times New Roman"/>
                <w:b w:val="0"/>
                <w:bCs w:val="0"/>
                <w:color w:val="auto"/>
                <w:u w:val="none"/>
                <w:lang w:val="en-US" w:eastAsia="zh-CN"/>
              </w:rPr>
              <w:t>0V，经箱变</w:t>
            </w:r>
            <w:r>
              <w:rPr>
                <w:rFonts w:hint="default" w:ascii="Times New Roman" w:hAnsi="Times New Roman" w:cs="Times New Roman"/>
                <w:b w:val="0"/>
                <w:bCs w:val="0"/>
                <w:color w:val="auto"/>
                <w:highlight w:val="none"/>
                <w:u w:val="none"/>
                <w:lang w:val="en-US" w:eastAsia="zh-CN"/>
              </w:rPr>
              <w:t>升压至35kV接入风电场升压站35kV配电装置，经主变压器二次升压至110kV</w:t>
            </w:r>
            <w:r>
              <w:rPr>
                <w:rFonts w:hint="eastAsia" w:ascii="Times New Roman" w:hAnsi="Times New Roman" w:cs="Times New Roman"/>
                <w:b w:val="0"/>
                <w:bCs w:val="0"/>
                <w:color w:val="auto"/>
                <w:highlight w:val="none"/>
                <w:u w:val="none"/>
                <w:lang w:val="en-US" w:eastAsia="zh-CN"/>
              </w:rPr>
              <w:t>通过</w:t>
            </w:r>
            <w:r>
              <w:rPr>
                <w:rFonts w:hint="default" w:ascii="Times New Roman" w:hAnsi="Times New Roman" w:cs="Times New Roman"/>
                <w:b w:val="0"/>
                <w:bCs w:val="0"/>
                <w:color w:val="auto"/>
                <w:highlight w:val="none"/>
                <w:u w:val="none"/>
                <w:lang w:val="en-US" w:eastAsia="zh-CN"/>
              </w:rPr>
              <w:t>1</w:t>
            </w:r>
            <w:r>
              <w:rPr>
                <w:rFonts w:hint="eastAsia" w:ascii="Times New Roman" w:hAnsi="Times New Roman" w:cs="Times New Roman"/>
                <w:b w:val="0"/>
                <w:bCs w:val="0"/>
                <w:color w:val="auto"/>
                <w:highlight w:val="none"/>
                <w:u w:val="none"/>
                <w:lang w:val="en-US" w:eastAsia="zh-CN"/>
              </w:rPr>
              <w:t>回</w:t>
            </w:r>
            <w:r>
              <w:rPr>
                <w:rFonts w:hint="default" w:ascii="Times New Roman" w:hAnsi="Times New Roman" w:cs="Times New Roman"/>
                <w:b w:val="0"/>
                <w:bCs w:val="0"/>
                <w:color w:val="auto"/>
                <w:highlight w:val="none"/>
                <w:u w:val="none"/>
                <w:lang w:val="en-US" w:eastAsia="zh-CN"/>
              </w:rPr>
              <w:t>110kV</w:t>
            </w:r>
            <w:r>
              <w:rPr>
                <w:rFonts w:hint="eastAsia" w:ascii="Times New Roman" w:hAnsi="Times New Roman" w:cs="Times New Roman"/>
                <w:b w:val="0"/>
                <w:bCs w:val="0"/>
                <w:color w:val="auto"/>
                <w:highlight w:val="none"/>
                <w:u w:val="none"/>
                <w:lang w:val="en-US" w:eastAsia="zh-CN"/>
              </w:rPr>
              <w:t>线路接入</w:t>
            </w:r>
            <w:r>
              <w:rPr>
                <w:rFonts w:hint="default" w:ascii="Times New Roman" w:hAnsi="Times New Roman" w:cs="Times New Roman"/>
                <w:b w:val="0"/>
                <w:bCs w:val="0"/>
                <w:color w:val="auto"/>
                <w:highlight w:val="none"/>
                <w:u w:val="none"/>
                <w:lang w:val="en-US" w:eastAsia="zh-CN"/>
              </w:rPr>
              <w:t>110kV</w:t>
            </w:r>
            <w:r>
              <w:rPr>
                <w:rFonts w:hint="eastAsia" w:ascii="Times New Roman" w:hAnsi="Times New Roman" w:cs="Times New Roman"/>
                <w:b w:val="0"/>
                <w:bCs w:val="0"/>
                <w:color w:val="auto"/>
                <w:highlight w:val="none"/>
                <w:u w:val="none"/>
                <w:lang w:val="en-US" w:eastAsia="zh-CN"/>
              </w:rPr>
              <w:t>承留变电站</w:t>
            </w:r>
            <w:r>
              <w:rPr>
                <w:rFonts w:hint="default" w:ascii="Times New Roman" w:hAnsi="Times New Roman" w:cs="Times New Roman"/>
                <w:b w:val="0"/>
                <w:bCs w:val="0"/>
                <w:color w:val="auto"/>
                <w:highlight w:val="none"/>
                <w:u w:val="none"/>
                <w:lang w:val="en-US" w:eastAsia="zh-CN"/>
              </w:rPr>
              <w:t>110kV</w:t>
            </w:r>
            <w:r>
              <w:rPr>
                <w:rFonts w:hint="eastAsia" w:ascii="Times New Roman" w:hAnsi="Times New Roman" w:cs="Times New Roman"/>
                <w:b w:val="0"/>
                <w:bCs w:val="0"/>
                <w:color w:val="auto"/>
                <w:highlight w:val="none"/>
                <w:u w:val="none"/>
                <w:lang w:val="en-US" w:eastAsia="zh-CN"/>
              </w:rPr>
              <w:t>侧</w:t>
            </w:r>
            <w:r>
              <w:rPr>
                <w:rFonts w:hint="eastAsia" w:cs="Times New Roman"/>
                <w:b w:val="0"/>
                <w:bCs w:val="0"/>
                <w:color w:val="auto"/>
                <w:highlight w:val="none"/>
                <w:u w:val="none"/>
                <w:lang w:val="en-US" w:eastAsia="zh-CN"/>
              </w:rPr>
              <w:t>，总长度约13km，</w:t>
            </w:r>
            <w:r>
              <w:rPr>
                <w:rFonts w:hint="eastAsia" w:ascii="Times New Roman" w:hAnsi="Times New Roman" w:cs="Times New Roman"/>
                <w:b w:val="0"/>
                <w:bCs w:val="0"/>
                <w:color w:val="auto"/>
                <w:highlight w:val="none"/>
                <w:u w:val="none"/>
                <w:lang w:val="en-US" w:eastAsia="zh-CN"/>
              </w:rPr>
              <w:t>新建并网线路长度约</w:t>
            </w:r>
            <w:r>
              <w:rPr>
                <w:rFonts w:hint="default" w:ascii="Times New Roman" w:hAnsi="Times New Roman" w:cs="Times New Roman"/>
                <w:b w:val="0"/>
                <w:bCs w:val="0"/>
                <w:color w:val="auto"/>
                <w:highlight w:val="none"/>
                <w:u w:val="none"/>
                <w:lang w:val="en-US" w:eastAsia="zh-CN"/>
              </w:rPr>
              <w:t>7km</w:t>
            </w:r>
            <w:r>
              <w:rPr>
                <w:rFonts w:hint="eastAsia" w:cs="Times New Roman"/>
                <w:b w:val="0"/>
                <w:bCs w:val="0"/>
                <w:color w:val="auto"/>
                <w:highlight w:val="none"/>
                <w:u w:val="none"/>
                <w:lang w:val="en-US" w:eastAsia="zh-CN"/>
              </w:rPr>
              <w:t>。</w:t>
            </w:r>
            <w:r>
              <w:rPr>
                <w:rFonts w:hint="default" w:ascii="Times New Roman" w:hAnsi="Times New Roman" w:cs="Times New Roman"/>
                <w:b w:val="0"/>
                <w:bCs w:val="0"/>
                <w:color w:val="auto"/>
                <w:highlight w:val="none"/>
                <w:u w:val="none"/>
                <w:lang w:val="en-US" w:eastAsia="zh-CN"/>
              </w:rPr>
              <w:t>本升</w:t>
            </w:r>
            <w:r>
              <w:rPr>
                <w:rFonts w:hint="default" w:ascii="Times New Roman" w:hAnsi="Times New Roman" w:cs="Times New Roman"/>
                <w:color w:val="auto"/>
                <w:highlight w:val="none"/>
                <w:lang w:val="en-US" w:eastAsia="zh-CN"/>
              </w:rPr>
              <w:t>压站项目不包括具体电网接入系统。</w:t>
            </w:r>
          </w:p>
          <w:p>
            <w:pPr>
              <w:spacing w:line="360" w:lineRule="auto"/>
              <w:ind w:firstLine="480"/>
              <w:jc w:val="left"/>
              <w:rPr>
                <w:rFonts w:hint="default" w:ascii="Times New Roman" w:hAnsi="Times New Roman" w:cs="Times New Roman" w:eastAsiaTheme="minorEastAsia"/>
                <w:color w:val="auto"/>
                <w:highlight w:val="none"/>
                <w:lang w:val="en-US" w:eastAsia="zh-CN"/>
              </w:rPr>
            </w:pPr>
            <w:r>
              <w:rPr>
                <w:rFonts w:hint="eastAsia" w:cs="Times New Roman"/>
                <w:color w:val="auto"/>
                <w:highlight w:val="none"/>
                <w:lang w:val="en-US" w:eastAsia="zh-CN"/>
              </w:rPr>
              <w:t>根据</w:t>
            </w:r>
            <w:r>
              <w:rPr>
                <w:rFonts w:hint="eastAsia" w:cs="Times New Roman"/>
                <w:color w:val="auto"/>
                <w:highlight w:val="none"/>
                <w:lang w:eastAsia="zh-CN"/>
              </w:rPr>
              <w:t>《</w:t>
            </w:r>
            <w:r>
              <w:rPr>
                <w:rFonts w:hint="default" w:ascii="Times New Roman" w:hAnsi="Times New Roman" w:cs="Times New Roman"/>
                <w:color w:val="auto"/>
                <w:highlight w:val="none"/>
              </w:rPr>
              <w:t>建设项目环境影响评价分类管理名录（2021年版）</w:t>
            </w:r>
            <w:r>
              <w:rPr>
                <w:rFonts w:hint="eastAsia" w:cs="Times New Roman"/>
                <w:color w:val="auto"/>
                <w:highlight w:val="none"/>
                <w:lang w:eastAsia="zh-CN"/>
              </w:rPr>
              <w:t>》</w:t>
            </w:r>
            <w:r>
              <w:rPr>
                <w:rFonts w:hint="default" w:ascii="Times New Roman" w:hAnsi="Times New Roman" w:cs="Times New Roman"/>
                <w:color w:val="auto"/>
                <w:highlight w:val="none"/>
              </w:rPr>
              <w:t>(部令第16号)</w:t>
            </w:r>
            <w:r>
              <w:rPr>
                <w:rFonts w:hint="eastAsia" w:cs="Times New Roman"/>
                <w:color w:val="auto"/>
                <w:highlight w:val="none"/>
                <w:lang w:eastAsia="zh-CN"/>
              </w:rPr>
              <w:t>，</w:t>
            </w:r>
            <w:r>
              <w:rPr>
                <w:rFonts w:hint="eastAsia" w:cs="Times New Roman"/>
                <w:color w:val="auto"/>
                <w:highlight w:val="none"/>
                <w:lang w:val="en-US" w:eastAsia="zh-CN"/>
              </w:rPr>
              <w:t>本项目属于“五十五、核与辐射 161输变电工程”，该类别中“500千伏及以上的；涉及环境敏感区的330千伏及以上的”编制报告书，“其他（100千伏以下除外）”编制报告表，本项目为</w:t>
            </w:r>
            <w:r>
              <w:rPr>
                <w:rFonts w:hint="default" w:ascii="Times New Roman" w:hAnsi="Times New Roman" w:cs="Times New Roman"/>
                <w:color w:val="auto"/>
                <w:highlight w:val="none"/>
                <w:lang w:val="en-US" w:eastAsia="zh-CN"/>
              </w:rPr>
              <w:t>110kV</w:t>
            </w:r>
            <w:r>
              <w:rPr>
                <w:rFonts w:hint="eastAsia" w:cs="Times New Roman"/>
                <w:color w:val="auto"/>
                <w:highlight w:val="none"/>
                <w:lang w:val="en-US" w:eastAsia="zh-CN"/>
              </w:rPr>
              <w:t>升压站项目（不含110KV线路输出），属于“其他（100千伏以下除外）”，应编制报告表。</w:t>
            </w:r>
          </w:p>
          <w:p>
            <w:pPr>
              <w:spacing w:line="360" w:lineRule="auto"/>
              <w:ind w:firstLine="0" w:firstLineChars="0"/>
              <w:jc w:val="left"/>
              <w:rPr>
                <w:rFonts w:hint="default" w:ascii="Times New Roman" w:hAnsi="Times New Roman" w:cs="Times New Roman" w:eastAsiaTheme="minorEastAsia"/>
                <w:b/>
                <w:color w:val="auto"/>
                <w:kern w:val="0"/>
                <w:szCs w:val="21"/>
                <w:highlight w:val="none"/>
                <w:lang w:val="en-US" w:eastAsia="zh-CN"/>
              </w:rPr>
            </w:pPr>
            <w:r>
              <w:rPr>
                <w:rFonts w:hint="eastAsia" w:cs="Times New Roman"/>
                <w:b/>
                <w:color w:val="auto"/>
                <w:kern w:val="0"/>
                <w:szCs w:val="21"/>
                <w:highlight w:val="none"/>
                <w:lang w:val="en-US" w:eastAsia="zh-CN"/>
              </w:rPr>
              <w:t>2</w:t>
            </w:r>
            <w:r>
              <w:rPr>
                <w:rFonts w:hint="default" w:ascii="Times New Roman" w:hAnsi="Times New Roman" w:cs="Times New Roman"/>
                <w:b/>
                <w:color w:val="auto"/>
                <w:kern w:val="0"/>
                <w:szCs w:val="21"/>
                <w:highlight w:val="none"/>
              </w:rPr>
              <w:t>、项目</w:t>
            </w:r>
            <w:r>
              <w:rPr>
                <w:rFonts w:hint="eastAsia" w:cs="Times New Roman"/>
                <w:b/>
                <w:color w:val="auto"/>
                <w:kern w:val="0"/>
                <w:szCs w:val="21"/>
                <w:highlight w:val="none"/>
                <w:lang w:val="en-US" w:eastAsia="zh-CN"/>
              </w:rPr>
              <w:t>主要建设内容</w:t>
            </w:r>
          </w:p>
          <w:p>
            <w:pPr>
              <w:spacing w:line="360" w:lineRule="auto"/>
              <w:ind w:firstLine="480"/>
              <w:jc w:val="left"/>
              <w:rPr>
                <w:rFonts w:hint="default" w:ascii="Times New Roman" w:hAnsi="Times New Roman" w:cs="Times New Roman" w:eastAsiaTheme="minorEastAsia"/>
                <w:b w:val="0"/>
                <w:bCs w:val="0"/>
                <w:color w:val="auto"/>
                <w:highlight w:val="none"/>
                <w:u w:val="none"/>
                <w:lang w:val="en-US" w:eastAsia="zh-CN"/>
              </w:rPr>
            </w:pPr>
            <w:r>
              <w:rPr>
                <w:rFonts w:hint="eastAsia" w:cs="Times New Roman"/>
                <w:b w:val="0"/>
                <w:bCs w:val="0"/>
                <w:color w:val="auto"/>
                <w:highlight w:val="none"/>
                <w:u w:val="none"/>
                <w:lang w:val="en-US" w:eastAsia="zh-CN"/>
              </w:rPr>
              <w:t>本项目拟建厂址内设</w:t>
            </w:r>
            <w:r>
              <w:rPr>
                <w:rFonts w:hint="default" w:cs="Times New Roman"/>
                <w:b w:val="0"/>
                <w:bCs w:val="0"/>
                <w:color w:val="auto"/>
                <w:highlight w:val="none"/>
                <w:u w:val="none"/>
                <w:lang w:val="en-US" w:eastAsia="zh-CN"/>
              </w:rPr>
              <w:t>110kV</w:t>
            </w:r>
            <w:r>
              <w:rPr>
                <w:rFonts w:hint="eastAsia" w:cs="Times New Roman"/>
                <w:b w:val="0"/>
                <w:bCs w:val="0"/>
                <w:color w:val="auto"/>
                <w:highlight w:val="none"/>
                <w:u w:val="none"/>
                <w:lang w:val="en-US" w:eastAsia="zh-CN"/>
              </w:rPr>
              <w:t>升压站及储能电站。</w:t>
            </w:r>
          </w:p>
          <w:p>
            <w:pPr>
              <w:spacing w:line="360" w:lineRule="auto"/>
              <w:ind w:firstLine="480"/>
              <w:jc w:val="left"/>
              <w:rPr>
                <w:rFonts w:hint="eastAsia" w:ascii="Times New Roman" w:hAnsi="Times New Roman" w:cs="Times New Roman"/>
                <w:color w:val="auto"/>
                <w:highlight w:val="none"/>
                <w:lang w:val="en-US" w:eastAsia="zh-CN"/>
              </w:rPr>
            </w:pPr>
            <w:r>
              <w:rPr>
                <w:rFonts w:hint="default" w:ascii="Times New Roman" w:hAnsi="Times New Roman" w:cs="Times New Roman"/>
                <w:color w:val="auto"/>
                <w:highlight w:val="none"/>
              </w:rPr>
              <w:t>本项目工程内容</w:t>
            </w:r>
            <w:r>
              <w:rPr>
                <w:rFonts w:hint="eastAsia" w:ascii="Times New Roman" w:hAnsi="Times New Roman" w:cs="Times New Roman"/>
                <w:color w:val="auto"/>
                <w:highlight w:val="none"/>
                <w:lang w:val="en-US" w:eastAsia="zh-CN"/>
              </w:rPr>
              <w:t>详见下表。</w:t>
            </w:r>
          </w:p>
          <w:p>
            <w:pPr>
              <w:pStyle w:val="31"/>
              <w:ind w:left="425" w:firstLine="0" w:firstLineChars="0"/>
              <w:textAlignment w:val="auto"/>
              <w:rPr>
                <w:rFonts w:hint="default" w:ascii="Times New Roman" w:hAnsi="Times New Roman" w:eastAsia="宋体" w:cs="Times New Roman"/>
                <w:highlight w:val="none"/>
              </w:rPr>
            </w:pPr>
            <w:r>
              <w:rPr>
                <w:rFonts w:hint="default" w:ascii="Times New Roman" w:hAnsi="Times New Roman" w:eastAsia="宋体" w:cs="Times New Roman"/>
                <w:highlight w:val="none"/>
              </w:rPr>
              <w:t>项目组成及建设内容一览表</w:t>
            </w:r>
          </w:p>
          <w:tbl>
            <w:tblPr>
              <w:tblStyle w:val="23"/>
              <w:tblW w:w="0" w:type="auto"/>
              <w:tblInd w:w="5" w:type="dxa"/>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51" w:type="dxa"/>
                <w:bottom w:w="0" w:type="dxa"/>
                <w:right w:w="51" w:type="dxa"/>
              </w:tblCellMar>
            </w:tblPr>
            <w:tblGrid>
              <w:gridCol w:w="574"/>
              <w:gridCol w:w="553"/>
              <w:gridCol w:w="1172"/>
              <w:gridCol w:w="6407"/>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2299" w:type="dxa"/>
                  <w:gridSpan w:val="3"/>
                  <w:tcBorders>
                    <w:tl2br w:val="nil"/>
                    <w:tr2bl w:val="nil"/>
                  </w:tcBorders>
                  <w:vAlign w:val="center"/>
                </w:tcPr>
                <w:p>
                  <w:pPr>
                    <w:pStyle w:val="31"/>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 w:val="0"/>
                      <w:bCs/>
                      <w:highlight w:val="none"/>
                      <w:u w:val="none"/>
                      <w:vertAlign w:val="baseline"/>
                    </w:rPr>
                  </w:pPr>
                  <w:r>
                    <w:rPr>
                      <w:rFonts w:hint="eastAsia" w:ascii="Times New Roman" w:hAnsi="Times New Roman" w:cs="Times New Roman"/>
                      <w:b w:val="0"/>
                      <w:bCs/>
                      <w:color w:val="auto"/>
                      <w:sz w:val="21"/>
                      <w:szCs w:val="21"/>
                      <w:u w:val="none"/>
                      <w:lang w:val="en-US" w:eastAsia="zh-CN"/>
                    </w:rPr>
                    <w:t>工程</w:t>
                  </w:r>
                  <w:r>
                    <w:rPr>
                      <w:rFonts w:hint="eastAsia" w:cs="Times New Roman"/>
                      <w:b w:val="0"/>
                      <w:bCs/>
                      <w:color w:val="auto"/>
                      <w:sz w:val="21"/>
                      <w:szCs w:val="21"/>
                      <w:u w:val="none"/>
                      <w:lang w:val="en-US" w:eastAsia="zh-CN"/>
                    </w:rPr>
                    <w:t>类别</w:t>
                  </w:r>
                </w:p>
              </w:tc>
              <w:tc>
                <w:tcPr>
                  <w:tcW w:w="6407" w:type="dxa"/>
                  <w:tcBorders>
                    <w:tl2br w:val="nil"/>
                    <w:tr2bl w:val="nil"/>
                  </w:tcBorders>
                  <w:vAlign w:val="center"/>
                </w:tcPr>
                <w:p>
                  <w:pPr>
                    <w:pStyle w:val="31"/>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 w:val="0"/>
                      <w:bCs/>
                      <w:highlight w:val="none"/>
                      <w:u w:val="none"/>
                      <w:vertAlign w:val="baseline"/>
                      <w:lang w:val="en-US"/>
                    </w:rPr>
                  </w:pPr>
                  <w:r>
                    <w:rPr>
                      <w:rFonts w:hint="eastAsia" w:ascii="Times New Roman" w:hAnsi="Times New Roman" w:cs="Times New Roman"/>
                      <w:b w:val="0"/>
                      <w:bCs/>
                      <w:color w:val="auto"/>
                      <w:sz w:val="21"/>
                      <w:szCs w:val="21"/>
                      <w:u w:val="none"/>
                      <w:lang w:val="en-US" w:eastAsia="zh-CN"/>
                    </w:rPr>
                    <w:t>建设内容</w:t>
                  </w:r>
                  <w:r>
                    <w:rPr>
                      <w:rFonts w:hint="eastAsia" w:cs="Times New Roman"/>
                      <w:b w:val="0"/>
                      <w:bCs/>
                      <w:color w:val="auto"/>
                      <w:sz w:val="21"/>
                      <w:szCs w:val="21"/>
                      <w:u w:val="none"/>
                      <w:lang w:val="en-US" w:eastAsia="zh-CN"/>
                    </w:rPr>
                    <w:t>及规模</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574" w:type="dxa"/>
                  <w:vMerge w:val="restart"/>
                  <w:tcBorders>
                    <w:tl2br w:val="nil"/>
                    <w:tr2bl w:val="nil"/>
                  </w:tcBorders>
                  <w:vAlign w:val="center"/>
                </w:tcPr>
                <w:p>
                  <w:pPr>
                    <w:pStyle w:val="31"/>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 w:val="0"/>
                      <w:bCs/>
                      <w:highlight w:val="none"/>
                      <w:u w:val="none"/>
                      <w:vertAlign w:val="baseline"/>
                    </w:rPr>
                  </w:pPr>
                  <w:r>
                    <w:rPr>
                      <w:rFonts w:hint="eastAsia" w:ascii="Times New Roman" w:hAnsi="Times New Roman" w:cs="Times New Roman"/>
                      <w:b w:val="0"/>
                      <w:bCs/>
                      <w:color w:val="auto"/>
                      <w:sz w:val="21"/>
                      <w:szCs w:val="21"/>
                      <w:u w:val="none"/>
                      <w:lang w:val="en-US" w:eastAsia="zh-CN"/>
                    </w:rPr>
                    <w:t>主体工程</w:t>
                  </w:r>
                </w:p>
              </w:tc>
              <w:tc>
                <w:tcPr>
                  <w:tcW w:w="553" w:type="dxa"/>
                  <w:vMerge w:val="restart"/>
                  <w:tcBorders>
                    <w:tl2br w:val="nil"/>
                    <w:tr2bl w:val="nil"/>
                  </w:tcBorders>
                  <w:vAlign w:val="center"/>
                </w:tcPr>
                <w:p>
                  <w:pPr>
                    <w:pStyle w:val="31"/>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 w:val="0"/>
                      <w:bCs/>
                      <w:color w:val="auto"/>
                      <w:sz w:val="21"/>
                      <w:szCs w:val="21"/>
                      <w:highlight w:val="none"/>
                      <w:u w:val="none"/>
                      <w:lang w:val="en-US" w:eastAsia="zh-CN"/>
                    </w:rPr>
                  </w:pPr>
                  <w:r>
                    <w:rPr>
                      <w:rFonts w:hint="default" w:ascii="Times New Roman" w:hAnsi="Times New Roman" w:eastAsia="宋体" w:cs="Times New Roman"/>
                      <w:b w:val="0"/>
                      <w:bCs/>
                      <w:color w:val="auto"/>
                      <w:sz w:val="21"/>
                      <w:szCs w:val="21"/>
                      <w:highlight w:val="none"/>
                      <w:u w:val="none"/>
                      <w:lang w:val="en-US" w:eastAsia="zh-CN"/>
                    </w:rPr>
                    <w:t>110kV</w:t>
                  </w:r>
                  <w:r>
                    <w:rPr>
                      <w:rFonts w:hint="eastAsia" w:ascii="Times New Roman" w:hAnsi="Times New Roman" w:eastAsia="宋体" w:cs="Times New Roman"/>
                      <w:b w:val="0"/>
                      <w:bCs/>
                      <w:color w:val="auto"/>
                      <w:sz w:val="21"/>
                      <w:szCs w:val="21"/>
                      <w:highlight w:val="none"/>
                      <w:u w:val="none"/>
                      <w:lang w:val="en-US" w:eastAsia="zh-CN"/>
                    </w:rPr>
                    <w:t>升压站</w:t>
                  </w:r>
                </w:p>
              </w:tc>
              <w:tc>
                <w:tcPr>
                  <w:tcW w:w="1172" w:type="dxa"/>
                  <w:tcBorders>
                    <w:tl2br w:val="nil"/>
                    <w:tr2bl w:val="nil"/>
                  </w:tcBorders>
                  <w:vAlign w:val="center"/>
                </w:tcPr>
                <w:p>
                  <w:pPr>
                    <w:pStyle w:val="31"/>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 w:val="0"/>
                      <w:bCs/>
                      <w:color w:val="auto"/>
                      <w:sz w:val="21"/>
                      <w:szCs w:val="21"/>
                      <w:highlight w:val="none"/>
                      <w:u w:val="none"/>
                      <w:lang w:val="en-US" w:eastAsia="zh-CN"/>
                    </w:rPr>
                  </w:pPr>
                  <w:r>
                    <w:rPr>
                      <w:rFonts w:hint="eastAsia" w:cs="Times New Roman"/>
                      <w:b w:val="0"/>
                      <w:bCs/>
                      <w:color w:val="auto"/>
                      <w:sz w:val="21"/>
                      <w:szCs w:val="21"/>
                      <w:highlight w:val="none"/>
                      <w:u w:val="none"/>
                      <w:lang w:val="en-US" w:eastAsia="zh-CN"/>
                    </w:rPr>
                    <w:t>布置</w:t>
                  </w:r>
                </w:p>
              </w:tc>
              <w:tc>
                <w:tcPr>
                  <w:tcW w:w="6407" w:type="dxa"/>
                  <w:tcBorders>
                    <w:tl2br w:val="nil"/>
                    <w:tr2bl w:val="nil"/>
                  </w:tcBorders>
                  <w:vAlign w:val="center"/>
                </w:tcPr>
                <w:p>
                  <w:pPr>
                    <w:pStyle w:val="31"/>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left"/>
                    <w:textAlignment w:val="auto"/>
                    <w:rPr>
                      <w:rFonts w:hint="default" w:ascii="Times New Roman" w:hAnsi="Times New Roman" w:eastAsia="宋体" w:cs="Times New Roman"/>
                      <w:b w:val="0"/>
                      <w:bCs/>
                      <w:color w:val="auto"/>
                      <w:sz w:val="21"/>
                      <w:szCs w:val="21"/>
                      <w:highlight w:val="none"/>
                      <w:u w:val="none"/>
                      <w:lang w:val="en-US" w:eastAsia="zh-CN"/>
                    </w:rPr>
                  </w:pPr>
                  <w:r>
                    <w:rPr>
                      <w:rFonts w:hint="eastAsia" w:ascii="Times New Roman" w:hAnsi="Times New Roman" w:eastAsia="宋体" w:cs="Times New Roman"/>
                      <w:b w:val="0"/>
                      <w:bCs/>
                      <w:color w:val="auto"/>
                      <w:sz w:val="21"/>
                      <w:szCs w:val="21"/>
                      <w:highlight w:val="none"/>
                      <w:u w:val="none"/>
                      <w:lang w:val="en-US" w:eastAsia="zh-CN"/>
                    </w:rPr>
                    <w:t>项目采用预制舱升压站，主要包括配电装置等的预制舱、主变（1台）、无功补偿装置等。</w:t>
                  </w:r>
                  <w:r>
                    <w:rPr>
                      <w:rFonts w:hint="default" w:ascii="Times New Roman" w:hAnsi="Times New Roman" w:eastAsia="宋体" w:cs="Times New Roman"/>
                      <w:b w:val="0"/>
                      <w:bCs/>
                      <w:color w:val="auto"/>
                      <w:sz w:val="21"/>
                      <w:szCs w:val="21"/>
                      <w:highlight w:val="none"/>
                      <w:u w:val="none"/>
                      <w:lang w:val="en-US" w:eastAsia="zh-CN"/>
                    </w:rPr>
                    <w:t>110kV</w:t>
                  </w:r>
                  <w:r>
                    <w:rPr>
                      <w:rFonts w:hint="eastAsia" w:ascii="Times New Roman" w:hAnsi="Times New Roman" w:eastAsia="宋体" w:cs="Times New Roman"/>
                      <w:b w:val="0"/>
                      <w:bCs/>
                      <w:color w:val="auto"/>
                      <w:sz w:val="21"/>
                      <w:szCs w:val="21"/>
                      <w:highlight w:val="none"/>
                      <w:u w:val="none"/>
                      <w:lang w:val="en-US" w:eastAsia="zh-CN"/>
                    </w:rPr>
                    <w:t>配电装置、</w:t>
                  </w:r>
                  <w:r>
                    <w:rPr>
                      <w:rFonts w:hint="default" w:ascii="Times New Roman" w:hAnsi="Times New Roman" w:eastAsia="宋体" w:cs="Times New Roman"/>
                      <w:b w:val="0"/>
                      <w:bCs/>
                      <w:color w:val="auto"/>
                      <w:sz w:val="21"/>
                      <w:szCs w:val="21"/>
                      <w:highlight w:val="none"/>
                      <w:u w:val="none"/>
                      <w:lang w:val="en-US" w:eastAsia="zh-CN"/>
                    </w:rPr>
                    <w:t>35kV</w:t>
                  </w:r>
                  <w:r>
                    <w:rPr>
                      <w:rFonts w:hint="eastAsia" w:ascii="Times New Roman" w:hAnsi="Times New Roman" w:eastAsia="宋体" w:cs="Times New Roman"/>
                      <w:b w:val="0"/>
                      <w:bCs/>
                      <w:color w:val="auto"/>
                      <w:sz w:val="21"/>
                      <w:szCs w:val="21"/>
                      <w:highlight w:val="none"/>
                      <w:u w:val="none"/>
                      <w:lang w:val="en-US" w:eastAsia="zh-CN"/>
                    </w:rPr>
                    <w:t>及</w:t>
                  </w:r>
                  <w:r>
                    <w:rPr>
                      <w:rFonts w:hint="default" w:ascii="Times New Roman" w:hAnsi="Times New Roman" w:eastAsia="宋体" w:cs="Times New Roman"/>
                      <w:b w:val="0"/>
                      <w:bCs/>
                      <w:color w:val="auto"/>
                      <w:sz w:val="21"/>
                      <w:szCs w:val="21"/>
                      <w:highlight w:val="none"/>
                      <w:u w:val="none"/>
                      <w:lang w:val="en-US" w:eastAsia="zh-CN"/>
                    </w:rPr>
                    <w:t>0.4kV</w:t>
                  </w:r>
                  <w:r>
                    <w:rPr>
                      <w:rFonts w:hint="eastAsia" w:ascii="Times New Roman" w:hAnsi="Times New Roman" w:eastAsia="宋体" w:cs="Times New Roman"/>
                      <w:b w:val="0"/>
                      <w:bCs/>
                      <w:color w:val="auto"/>
                      <w:sz w:val="21"/>
                      <w:szCs w:val="21"/>
                      <w:highlight w:val="none"/>
                      <w:u w:val="none"/>
                      <w:lang w:val="en-US" w:eastAsia="zh-CN"/>
                    </w:rPr>
                    <w:t>开关柜、电子设备间、</w:t>
                  </w:r>
                  <w:r>
                    <w:rPr>
                      <w:rFonts w:hint="default" w:ascii="Times New Roman" w:hAnsi="Times New Roman" w:eastAsia="宋体" w:cs="Times New Roman"/>
                      <w:b w:val="0"/>
                      <w:bCs/>
                      <w:color w:val="auto"/>
                      <w:sz w:val="21"/>
                      <w:szCs w:val="21"/>
                      <w:highlight w:val="none"/>
                      <w:u w:val="none"/>
                      <w:lang w:val="en-US" w:eastAsia="zh-CN"/>
                    </w:rPr>
                    <w:t>SVG</w:t>
                  </w:r>
                  <w:r>
                    <w:rPr>
                      <w:rFonts w:hint="eastAsia" w:ascii="Times New Roman" w:hAnsi="Times New Roman" w:eastAsia="宋体" w:cs="Times New Roman"/>
                      <w:b w:val="0"/>
                      <w:bCs/>
                      <w:color w:val="auto"/>
                      <w:sz w:val="21"/>
                      <w:szCs w:val="21"/>
                      <w:highlight w:val="none"/>
                      <w:u w:val="none"/>
                      <w:lang w:val="en-US" w:eastAsia="zh-CN"/>
                    </w:rPr>
                    <w:t>等均采用预制舱布置，主变及无功补偿降压变采用户外布置。</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574" w:type="dxa"/>
                  <w:vMerge w:val="continue"/>
                  <w:tcBorders>
                    <w:tl2br w:val="nil"/>
                    <w:tr2bl w:val="nil"/>
                  </w:tcBorders>
                  <w:vAlign w:val="center"/>
                </w:tcPr>
                <w:p>
                  <w:pPr>
                    <w:pStyle w:val="31"/>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cs="Times New Roman"/>
                      <w:b w:val="0"/>
                      <w:bCs/>
                      <w:color w:val="auto"/>
                      <w:sz w:val="21"/>
                      <w:szCs w:val="21"/>
                      <w:u w:val="none"/>
                      <w:lang w:val="en-US" w:eastAsia="zh-CN"/>
                    </w:rPr>
                  </w:pPr>
                </w:p>
              </w:tc>
              <w:tc>
                <w:tcPr>
                  <w:tcW w:w="553" w:type="dxa"/>
                  <w:vMerge w:val="continue"/>
                  <w:tcBorders>
                    <w:tl2br w:val="nil"/>
                    <w:tr2bl w:val="nil"/>
                  </w:tcBorders>
                  <w:vAlign w:val="center"/>
                </w:tcPr>
                <w:p>
                  <w:pPr>
                    <w:pStyle w:val="31"/>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left"/>
                    <w:textAlignment w:val="auto"/>
                    <w:rPr>
                      <w:rFonts w:hint="default" w:ascii="Times New Roman" w:hAnsi="Times New Roman" w:eastAsia="宋体" w:cs="Times New Roman"/>
                      <w:b w:val="0"/>
                      <w:bCs/>
                      <w:color w:val="auto"/>
                      <w:sz w:val="21"/>
                      <w:szCs w:val="21"/>
                      <w:highlight w:val="none"/>
                      <w:u w:val="none"/>
                      <w:lang w:val="en-US" w:eastAsia="zh-CN"/>
                    </w:rPr>
                  </w:pPr>
                </w:p>
              </w:tc>
              <w:tc>
                <w:tcPr>
                  <w:tcW w:w="1172" w:type="dxa"/>
                  <w:tcBorders>
                    <w:tl2br w:val="nil"/>
                    <w:tr2bl w:val="nil"/>
                  </w:tcBorders>
                  <w:vAlign w:val="center"/>
                </w:tcPr>
                <w:p>
                  <w:pPr>
                    <w:pStyle w:val="31"/>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 w:val="0"/>
                      <w:bCs/>
                      <w:color w:val="auto"/>
                      <w:sz w:val="21"/>
                      <w:szCs w:val="21"/>
                      <w:highlight w:val="none"/>
                      <w:u w:val="none"/>
                      <w:lang w:val="en-US" w:eastAsia="zh-CN"/>
                    </w:rPr>
                  </w:pPr>
                  <w:r>
                    <w:rPr>
                      <w:rFonts w:hint="default" w:ascii="Times New Roman" w:hAnsi="Times New Roman" w:eastAsia="宋体" w:cs="Times New Roman"/>
                      <w:b w:val="0"/>
                      <w:bCs/>
                      <w:color w:val="auto"/>
                      <w:kern w:val="2"/>
                      <w:sz w:val="21"/>
                      <w:szCs w:val="21"/>
                      <w:highlight w:val="none"/>
                      <w:u w:val="none"/>
                      <w:lang w:val="en-US" w:eastAsia="zh-CN" w:bidi="ar-SA"/>
                    </w:rPr>
                    <w:t>主变</w:t>
                  </w:r>
                </w:p>
              </w:tc>
              <w:tc>
                <w:tcPr>
                  <w:tcW w:w="6407" w:type="dxa"/>
                  <w:tcBorders>
                    <w:tl2br w:val="nil"/>
                    <w:tr2bl w:val="nil"/>
                  </w:tcBorders>
                  <w:vAlign w:val="center"/>
                </w:tcPr>
                <w:p>
                  <w:pPr>
                    <w:pStyle w:val="31"/>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left"/>
                    <w:textAlignment w:val="auto"/>
                    <w:rPr>
                      <w:rFonts w:hint="eastAsia" w:ascii="Times New Roman" w:hAnsi="Times New Roman" w:eastAsia="宋体" w:cs="Times New Roman"/>
                      <w:b w:val="0"/>
                      <w:bCs/>
                      <w:color w:val="auto"/>
                      <w:sz w:val="21"/>
                      <w:szCs w:val="21"/>
                      <w:highlight w:val="none"/>
                      <w:u w:val="none"/>
                      <w:lang w:val="en-US" w:eastAsia="zh-CN"/>
                    </w:rPr>
                  </w:pPr>
                  <w:r>
                    <w:rPr>
                      <w:rFonts w:hint="eastAsia" w:ascii="Times New Roman" w:hAnsi="Times New Roman" w:cs="Times New Roman"/>
                      <w:b w:val="0"/>
                      <w:bCs/>
                      <w:color w:val="auto"/>
                      <w:kern w:val="2"/>
                      <w:sz w:val="21"/>
                      <w:szCs w:val="21"/>
                      <w:highlight w:val="none"/>
                      <w:u w:val="none"/>
                      <w:lang w:val="en-US" w:eastAsia="zh-CN" w:bidi="ar-SA"/>
                    </w:rPr>
                    <w:t>1台，</w:t>
                  </w:r>
                  <w:r>
                    <w:rPr>
                      <w:rFonts w:hint="eastAsia" w:ascii="Times New Roman" w:hAnsi="Times New Roman" w:eastAsia="宋体" w:cs="Times New Roman"/>
                      <w:b w:val="0"/>
                      <w:bCs/>
                      <w:color w:val="auto"/>
                      <w:kern w:val="2"/>
                      <w:sz w:val="21"/>
                      <w:szCs w:val="21"/>
                      <w:highlight w:val="none"/>
                      <w:u w:val="none"/>
                      <w:lang w:val="en-US" w:eastAsia="zh-CN" w:bidi="ar-SA"/>
                    </w:rPr>
                    <w:t>容量</w:t>
                  </w:r>
                  <w:r>
                    <w:rPr>
                      <w:rFonts w:hint="default" w:ascii="Times New Roman" w:hAnsi="Times New Roman" w:eastAsia="宋体" w:cs="Times New Roman"/>
                      <w:b w:val="0"/>
                      <w:bCs/>
                      <w:color w:val="auto"/>
                      <w:kern w:val="2"/>
                      <w:sz w:val="21"/>
                      <w:szCs w:val="21"/>
                      <w:highlight w:val="none"/>
                      <w:u w:val="none"/>
                      <w:lang w:val="en-US" w:eastAsia="zh-CN" w:bidi="ar-SA"/>
                    </w:rPr>
                    <w:t>1</w:t>
                  </w:r>
                  <w:r>
                    <w:rPr>
                      <w:rFonts w:hint="default" w:ascii="Times New Roman" w:hAnsi="Times New Roman" w:cs="Times New Roman"/>
                      <w:b w:val="0"/>
                      <w:bCs/>
                      <w:color w:val="auto"/>
                      <w:sz w:val="21"/>
                      <w:szCs w:val="21"/>
                      <w:highlight w:val="none"/>
                      <w:u w:val="none"/>
                    </w:rPr>
                    <w:t>×</w:t>
                  </w:r>
                  <w:r>
                    <w:rPr>
                      <w:rFonts w:hint="default" w:ascii="Times New Roman" w:hAnsi="Times New Roman" w:eastAsia="宋体" w:cs="Times New Roman"/>
                      <w:b w:val="0"/>
                      <w:bCs/>
                      <w:color w:val="auto"/>
                      <w:kern w:val="2"/>
                      <w:sz w:val="21"/>
                      <w:szCs w:val="21"/>
                      <w:highlight w:val="none"/>
                      <w:u w:val="none"/>
                      <w:lang w:val="en-US" w:eastAsia="zh-CN" w:bidi="ar-SA"/>
                    </w:rPr>
                    <w:t>100MVA</w:t>
                  </w:r>
                  <w:r>
                    <w:rPr>
                      <w:rFonts w:hint="eastAsia" w:ascii="Times New Roman" w:hAnsi="Times New Roman" w:cs="Times New Roman"/>
                      <w:b w:val="0"/>
                      <w:bCs/>
                      <w:color w:val="auto"/>
                      <w:kern w:val="2"/>
                      <w:sz w:val="21"/>
                      <w:szCs w:val="21"/>
                      <w:highlight w:val="none"/>
                      <w:u w:val="none"/>
                      <w:lang w:val="en-US" w:eastAsia="zh-CN" w:bidi="ar-SA"/>
                    </w:rPr>
                    <w:t>，</w:t>
                  </w:r>
                  <w:r>
                    <w:rPr>
                      <w:rFonts w:hint="default" w:ascii="Times New Roman" w:hAnsi="Times New Roman" w:cs="Times New Roman" w:eastAsiaTheme="minorEastAsia"/>
                      <w:b w:val="0"/>
                      <w:bCs/>
                      <w:color w:val="000000"/>
                      <w:kern w:val="0"/>
                      <w:sz w:val="21"/>
                      <w:szCs w:val="21"/>
                      <w:highlight w:val="none"/>
                      <w:u w:val="none"/>
                      <w:lang w:val="en-US" w:eastAsia="zh-CN" w:bidi="ar"/>
                    </w:rPr>
                    <w:t>型号为SZ11-100000/110</w:t>
                  </w:r>
                  <w:r>
                    <w:rPr>
                      <w:rFonts w:hint="eastAsia" w:ascii="Times New Roman" w:hAnsi="Times New Roman" w:cs="Times New Roman" w:eastAsiaTheme="minorEastAsia"/>
                      <w:b w:val="0"/>
                      <w:bCs/>
                      <w:color w:val="000000"/>
                      <w:kern w:val="0"/>
                      <w:sz w:val="21"/>
                      <w:szCs w:val="21"/>
                      <w:highlight w:val="none"/>
                      <w:u w:val="none"/>
                      <w:lang w:val="en-US" w:eastAsia="zh-CN" w:bidi="ar"/>
                    </w:rPr>
                    <w:t>，</w:t>
                  </w:r>
                  <w:r>
                    <w:rPr>
                      <w:rFonts w:hint="default" w:ascii="Times New Roman" w:hAnsi="Times New Roman" w:cs="Times New Roman" w:eastAsiaTheme="minorEastAsia"/>
                      <w:b w:val="0"/>
                      <w:bCs/>
                      <w:color w:val="000000"/>
                      <w:kern w:val="0"/>
                      <w:sz w:val="21"/>
                      <w:szCs w:val="21"/>
                      <w:highlight w:val="none"/>
                      <w:u w:val="none"/>
                      <w:lang w:val="en-US" w:eastAsia="zh-CN" w:bidi="ar"/>
                    </w:rPr>
                    <w:t>型式</w:t>
                  </w:r>
                  <w:r>
                    <w:rPr>
                      <w:rFonts w:hint="eastAsia" w:cs="Times New Roman"/>
                      <w:b w:val="0"/>
                      <w:bCs/>
                      <w:color w:val="000000"/>
                      <w:kern w:val="0"/>
                      <w:sz w:val="21"/>
                      <w:szCs w:val="21"/>
                      <w:highlight w:val="none"/>
                      <w:u w:val="none"/>
                      <w:lang w:val="en-US" w:eastAsia="zh-CN" w:bidi="ar"/>
                    </w:rPr>
                    <w:t>为</w:t>
                  </w:r>
                  <w:r>
                    <w:rPr>
                      <w:rFonts w:hint="default" w:ascii="Times New Roman" w:hAnsi="Times New Roman" w:cs="Times New Roman" w:eastAsiaTheme="minorEastAsia"/>
                      <w:b w:val="0"/>
                      <w:bCs/>
                      <w:color w:val="000000"/>
                      <w:kern w:val="0"/>
                      <w:sz w:val="21"/>
                      <w:szCs w:val="21"/>
                      <w:highlight w:val="none"/>
                      <w:u w:val="none"/>
                      <w:lang w:val="en-US" w:eastAsia="zh-CN" w:bidi="ar"/>
                    </w:rPr>
                    <w:t>双绕组油浸式有载调压变压器</w:t>
                  </w:r>
                  <w:r>
                    <w:rPr>
                      <w:rFonts w:hint="eastAsia" w:cs="Times New Roman"/>
                      <w:b w:val="0"/>
                      <w:bCs/>
                      <w:color w:val="000000"/>
                      <w:kern w:val="0"/>
                      <w:sz w:val="21"/>
                      <w:szCs w:val="21"/>
                      <w:highlight w:val="none"/>
                      <w:u w:val="none"/>
                      <w:lang w:val="en-US" w:eastAsia="zh-CN" w:bidi="ar"/>
                    </w:rPr>
                    <w:t>。</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574" w:type="dxa"/>
                  <w:vMerge w:val="continue"/>
                  <w:tcBorders>
                    <w:tl2br w:val="nil"/>
                    <w:tr2bl w:val="nil"/>
                  </w:tcBorders>
                  <w:vAlign w:val="center"/>
                </w:tcPr>
                <w:p>
                  <w:pPr>
                    <w:pStyle w:val="31"/>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cs="Times New Roman"/>
                      <w:b w:val="0"/>
                      <w:bCs/>
                      <w:color w:val="auto"/>
                      <w:sz w:val="21"/>
                      <w:szCs w:val="21"/>
                      <w:u w:val="none"/>
                      <w:lang w:val="en-US" w:eastAsia="zh-CN"/>
                    </w:rPr>
                  </w:pPr>
                </w:p>
              </w:tc>
              <w:tc>
                <w:tcPr>
                  <w:tcW w:w="553" w:type="dxa"/>
                  <w:vMerge w:val="continue"/>
                  <w:tcBorders>
                    <w:tl2br w:val="nil"/>
                    <w:tr2bl w:val="nil"/>
                  </w:tcBorders>
                  <w:vAlign w:val="center"/>
                </w:tcPr>
                <w:p>
                  <w:pPr>
                    <w:pStyle w:val="31"/>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val="0"/>
                      <w:bCs/>
                      <w:color w:val="auto"/>
                      <w:sz w:val="21"/>
                      <w:szCs w:val="21"/>
                      <w:highlight w:val="none"/>
                      <w:u w:val="none"/>
                      <w:lang w:val="en-US" w:eastAsia="zh-CN"/>
                    </w:rPr>
                  </w:pPr>
                </w:p>
              </w:tc>
              <w:tc>
                <w:tcPr>
                  <w:tcW w:w="1172" w:type="dxa"/>
                  <w:tcBorders>
                    <w:tl2br w:val="nil"/>
                    <w:tr2bl w:val="nil"/>
                  </w:tcBorders>
                  <w:vAlign w:val="center"/>
                </w:tcPr>
                <w:p>
                  <w:pPr>
                    <w:pStyle w:val="31"/>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val="0"/>
                      <w:bCs/>
                      <w:color w:val="auto"/>
                      <w:sz w:val="21"/>
                      <w:szCs w:val="21"/>
                      <w:highlight w:val="none"/>
                      <w:u w:val="none"/>
                      <w:lang w:val="en-US" w:eastAsia="zh-CN"/>
                    </w:rPr>
                  </w:pPr>
                  <w:r>
                    <w:rPr>
                      <w:rFonts w:hint="default" w:ascii="Times New Roman" w:hAnsi="Times New Roman" w:eastAsia="宋体" w:cs="Times New Roman"/>
                      <w:b w:val="0"/>
                      <w:bCs/>
                      <w:color w:val="auto"/>
                      <w:sz w:val="21"/>
                      <w:szCs w:val="21"/>
                      <w:highlight w:val="none"/>
                      <w:u w:val="none"/>
                      <w:lang w:val="en-US" w:eastAsia="zh-CN"/>
                    </w:rPr>
                    <w:t>配电装置</w:t>
                  </w:r>
                  <w:r>
                    <w:rPr>
                      <w:rFonts w:hint="eastAsia" w:ascii="Times New Roman" w:hAnsi="Times New Roman" w:eastAsia="宋体" w:cs="Times New Roman"/>
                      <w:b w:val="0"/>
                      <w:bCs/>
                      <w:color w:val="auto"/>
                      <w:sz w:val="21"/>
                      <w:szCs w:val="21"/>
                      <w:highlight w:val="none"/>
                      <w:u w:val="none"/>
                      <w:lang w:val="en-US" w:eastAsia="zh-CN"/>
                    </w:rPr>
                    <w:t>预制舱</w:t>
                  </w:r>
                </w:p>
              </w:tc>
              <w:tc>
                <w:tcPr>
                  <w:tcW w:w="6407" w:type="dxa"/>
                  <w:tcBorders>
                    <w:tl2br w:val="nil"/>
                    <w:tr2bl w:val="nil"/>
                  </w:tcBorders>
                  <w:vAlign w:val="center"/>
                </w:tcPr>
                <w:p>
                  <w:pPr>
                    <w:pStyle w:val="21"/>
                    <w:keepNext w:val="0"/>
                    <w:keepLines w:val="0"/>
                    <w:pageBreakBefore w:val="0"/>
                    <w:widowControl w:val="0"/>
                    <w:kinsoku/>
                    <w:wordWrap/>
                    <w:overflowPunct/>
                    <w:topLinePunct w:val="0"/>
                    <w:autoSpaceDE/>
                    <w:autoSpaceDN/>
                    <w:bidi w:val="0"/>
                    <w:adjustRightInd/>
                    <w:snapToGrid/>
                    <w:spacing w:before="0" w:line="240" w:lineRule="auto"/>
                    <w:ind w:left="0" w:leftChars="0" w:firstLine="0" w:firstLineChars="0"/>
                    <w:textAlignment w:val="top"/>
                    <w:rPr>
                      <w:rFonts w:hint="default" w:ascii="Times New Roman" w:hAnsi="Times New Roman" w:eastAsia="宋体" w:cs="Times New Roman"/>
                      <w:b w:val="0"/>
                      <w:bCs/>
                      <w:color w:val="auto"/>
                      <w:kern w:val="2"/>
                      <w:sz w:val="21"/>
                      <w:szCs w:val="21"/>
                      <w:highlight w:val="none"/>
                      <w:u w:val="none"/>
                      <w:lang w:val="en-US" w:eastAsia="zh-CN" w:bidi="ar-SA"/>
                    </w:rPr>
                  </w:pPr>
                  <w:r>
                    <w:rPr>
                      <w:rFonts w:hint="default" w:ascii="Times New Roman" w:hAnsi="Times New Roman" w:eastAsia="宋体" w:cs="Times New Roman"/>
                      <w:b w:val="0"/>
                      <w:bCs/>
                      <w:color w:val="auto"/>
                      <w:sz w:val="21"/>
                      <w:szCs w:val="21"/>
                      <w:highlight w:val="none"/>
                      <w:u w:val="none"/>
                      <w:lang w:val="en-US" w:eastAsia="zh-CN"/>
                    </w:rPr>
                    <w:t>配电装置</w:t>
                  </w:r>
                  <w:r>
                    <w:rPr>
                      <w:rFonts w:hint="eastAsia" w:ascii="Times New Roman" w:hAnsi="Times New Roman" w:eastAsia="宋体" w:cs="Times New Roman"/>
                      <w:b w:val="0"/>
                      <w:bCs/>
                      <w:color w:val="auto"/>
                      <w:sz w:val="21"/>
                      <w:szCs w:val="21"/>
                      <w:highlight w:val="none"/>
                      <w:u w:val="none"/>
                      <w:lang w:val="en-US" w:eastAsia="zh-CN"/>
                    </w:rPr>
                    <w:t>等的预制舱分为两层，一层为</w:t>
                  </w:r>
                  <w:r>
                    <w:rPr>
                      <w:rFonts w:hint="default" w:ascii="Times New Roman" w:hAnsi="Times New Roman" w:eastAsia="宋体" w:cs="Times New Roman"/>
                      <w:b w:val="0"/>
                      <w:bCs/>
                      <w:color w:val="auto"/>
                      <w:sz w:val="21"/>
                      <w:szCs w:val="21"/>
                      <w:highlight w:val="none"/>
                      <w:u w:val="none"/>
                      <w:lang w:val="en-US" w:eastAsia="zh-CN"/>
                    </w:rPr>
                    <w:t>110kV配电装置、35kV</w:t>
                  </w:r>
                  <w:r>
                    <w:rPr>
                      <w:rFonts w:hint="eastAsia" w:ascii="Times New Roman" w:hAnsi="Times New Roman" w:eastAsia="宋体" w:cs="Times New Roman"/>
                      <w:b w:val="0"/>
                      <w:bCs/>
                      <w:color w:val="auto"/>
                      <w:sz w:val="21"/>
                      <w:szCs w:val="21"/>
                      <w:highlight w:val="none"/>
                      <w:u w:val="none"/>
                      <w:lang w:val="en-US" w:eastAsia="zh-CN"/>
                    </w:rPr>
                    <w:t>及</w:t>
                  </w:r>
                  <w:r>
                    <w:rPr>
                      <w:rFonts w:hint="default" w:ascii="Times New Roman" w:hAnsi="Times New Roman" w:eastAsia="宋体" w:cs="Times New Roman"/>
                      <w:b w:val="0"/>
                      <w:bCs/>
                      <w:color w:val="auto"/>
                      <w:sz w:val="21"/>
                      <w:szCs w:val="21"/>
                      <w:highlight w:val="none"/>
                      <w:u w:val="none"/>
                      <w:lang w:val="en-US" w:eastAsia="zh-CN"/>
                    </w:rPr>
                    <w:t>0.4kV</w:t>
                  </w:r>
                  <w:r>
                    <w:rPr>
                      <w:rFonts w:hint="eastAsia" w:ascii="Times New Roman" w:hAnsi="Times New Roman" w:eastAsia="宋体" w:cs="Times New Roman"/>
                      <w:b w:val="0"/>
                      <w:bCs/>
                      <w:color w:val="auto"/>
                      <w:sz w:val="21"/>
                      <w:szCs w:val="21"/>
                      <w:highlight w:val="none"/>
                      <w:u w:val="none"/>
                      <w:lang w:val="en-US" w:eastAsia="zh-CN"/>
                    </w:rPr>
                    <w:t>开关柜，二层为</w:t>
                  </w:r>
                  <w:r>
                    <w:rPr>
                      <w:rFonts w:hint="default" w:ascii="Times New Roman" w:hAnsi="Times New Roman" w:eastAsia="宋体" w:cs="Times New Roman"/>
                      <w:b w:val="0"/>
                      <w:bCs/>
                      <w:color w:val="auto"/>
                      <w:sz w:val="21"/>
                      <w:szCs w:val="21"/>
                      <w:highlight w:val="none"/>
                      <w:u w:val="none"/>
                      <w:lang w:val="en-US" w:eastAsia="zh-CN"/>
                    </w:rPr>
                    <w:t>电子设备间</w:t>
                  </w:r>
                  <w:r>
                    <w:rPr>
                      <w:rFonts w:hint="eastAsia" w:ascii="Times New Roman" w:hAnsi="Times New Roman" w:eastAsia="宋体" w:cs="Times New Roman"/>
                      <w:b w:val="0"/>
                      <w:bCs/>
                      <w:color w:val="auto"/>
                      <w:sz w:val="21"/>
                      <w:szCs w:val="21"/>
                      <w:highlight w:val="none"/>
                      <w:u w:val="none"/>
                      <w:lang w:val="en-US" w:eastAsia="zh-CN"/>
                    </w:rPr>
                    <w:t>及中控室。</w:t>
                  </w:r>
                  <w:r>
                    <w:rPr>
                      <w:rFonts w:hint="default" w:ascii="Times New Roman" w:hAnsi="Times New Roman" w:cs="Times New Roman"/>
                      <w:b w:val="0"/>
                      <w:bCs/>
                      <w:color w:val="auto"/>
                      <w:sz w:val="21"/>
                      <w:szCs w:val="21"/>
                      <w:highlight w:val="none"/>
                      <w:u w:val="none"/>
                      <w:lang w:val="en-US" w:eastAsia="zh-CN"/>
                    </w:rPr>
                    <w:t>中控室</w:t>
                  </w:r>
                  <w:r>
                    <w:rPr>
                      <w:rFonts w:hint="eastAsia" w:cs="Times New Roman"/>
                      <w:b w:val="0"/>
                      <w:bCs/>
                      <w:color w:val="auto"/>
                      <w:sz w:val="21"/>
                      <w:szCs w:val="21"/>
                      <w:highlight w:val="none"/>
                      <w:u w:val="none"/>
                      <w:lang w:val="en-US" w:eastAsia="zh-CN"/>
                    </w:rPr>
                    <w:t>为</w:t>
                  </w:r>
                  <w:r>
                    <w:rPr>
                      <w:rFonts w:hint="default" w:ascii="Times New Roman" w:hAnsi="Times New Roman" w:cs="Times New Roman"/>
                      <w:b w:val="0"/>
                      <w:bCs/>
                      <w:color w:val="auto"/>
                      <w:sz w:val="21"/>
                      <w:szCs w:val="21"/>
                      <w:highlight w:val="none"/>
                      <w:u w:val="none"/>
                      <w:lang w:val="en-US" w:eastAsia="zh-CN"/>
                    </w:rPr>
                    <w:t>风电场工程生产管理</w:t>
                  </w:r>
                  <w:r>
                    <w:rPr>
                      <w:rFonts w:hint="eastAsia" w:cs="Times New Roman"/>
                      <w:b w:val="0"/>
                      <w:bCs/>
                      <w:color w:val="auto"/>
                      <w:sz w:val="21"/>
                      <w:szCs w:val="21"/>
                      <w:highlight w:val="none"/>
                      <w:u w:val="none"/>
                      <w:lang w:val="en-US" w:eastAsia="zh-CN"/>
                    </w:rPr>
                    <w:t>的</w:t>
                  </w:r>
                  <w:r>
                    <w:rPr>
                      <w:rFonts w:hint="default" w:ascii="Times New Roman" w:hAnsi="Times New Roman" w:cs="Times New Roman"/>
                      <w:b w:val="0"/>
                      <w:bCs/>
                      <w:color w:val="auto"/>
                      <w:sz w:val="21"/>
                      <w:szCs w:val="21"/>
                      <w:highlight w:val="none"/>
                      <w:u w:val="none"/>
                      <w:lang w:val="en-US" w:eastAsia="zh-CN"/>
                    </w:rPr>
                    <w:t>集中</w:t>
                  </w:r>
                  <w:r>
                    <w:rPr>
                      <w:rFonts w:hint="eastAsia" w:cs="Times New Roman"/>
                      <w:b w:val="0"/>
                      <w:bCs/>
                      <w:color w:val="auto"/>
                      <w:sz w:val="21"/>
                      <w:szCs w:val="21"/>
                      <w:highlight w:val="none"/>
                      <w:u w:val="none"/>
                      <w:lang w:val="en-US" w:eastAsia="zh-CN"/>
                    </w:rPr>
                    <w:t>场所，</w:t>
                  </w:r>
                  <w:r>
                    <w:rPr>
                      <w:rFonts w:hint="default" w:ascii="Times New Roman" w:hAnsi="Times New Roman" w:cs="Times New Roman"/>
                      <w:b w:val="0"/>
                      <w:bCs/>
                      <w:color w:val="auto"/>
                      <w:sz w:val="21"/>
                      <w:szCs w:val="21"/>
                      <w:highlight w:val="none"/>
                      <w:u w:val="none"/>
                      <w:lang w:val="en-US" w:eastAsia="zh-CN"/>
                    </w:rPr>
                    <w:t>管理整个风电场的风电机</w:t>
                  </w:r>
                  <w:r>
                    <w:rPr>
                      <w:rFonts w:hint="eastAsia" w:ascii="Times New Roman" w:hAnsi="Times New Roman" w:cs="Times New Roman"/>
                      <w:b w:val="0"/>
                      <w:bCs/>
                      <w:color w:val="auto"/>
                      <w:sz w:val="21"/>
                      <w:szCs w:val="21"/>
                      <w:highlight w:val="none"/>
                      <w:u w:val="none"/>
                      <w:lang w:val="en-US" w:eastAsia="zh-CN"/>
                    </w:rPr>
                    <w:t>组和升压站的生产设备</w:t>
                  </w:r>
                  <w:r>
                    <w:rPr>
                      <w:rFonts w:hint="eastAsia" w:cs="Times New Roman"/>
                      <w:b w:val="0"/>
                      <w:bCs/>
                      <w:color w:val="auto"/>
                      <w:sz w:val="21"/>
                      <w:szCs w:val="21"/>
                      <w:highlight w:val="none"/>
                      <w:u w:val="none"/>
                      <w:lang w:val="en-US" w:eastAsia="zh-CN"/>
                    </w:rPr>
                    <w:t>。</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484" w:hRule="atLeast"/>
              </w:trPr>
              <w:tc>
                <w:tcPr>
                  <w:tcW w:w="574" w:type="dxa"/>
                  <w:vMerge w:val="continue"/>
                  <w:tcBorders>
                    <w:tl2br w:val="nil"/>
                    <w:tr2bl w:val="nil"/>
                  </w:tcBorders>
                  <w:vAlign w:val="center"/>
                </w:tcPr>
                <w:p>
                  <w:pPr>
                    <w:pStyle w:val="31"/>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cs="Times New Roman"/>
                      <w:b w:val="0"/>
                      <w:bCs/>
                      <w:color w:val="auto"/>
                      <w:sz w:val="21"/>
                      <w:szCs w:val="21"/>
                      <w:u w:val="none"/>
                      <w:lang w:val="en-US" w:eastAsia="zh-CN"/>
                    </w:rPr>
                  </w:pPr>
                </w:p>
              </w:tc>
              <w:tc>
                <w:tcPr>
                  <w:tcW w:w="553" w:type="dxa"/>
                  <w:vMerge w:val="restart"/>
                  <w:tcBorders>
                    <w:tl2br w:val="nil"/>
                    <w:tr2bl w:val="nil"/>
                  </w:tcBorders>
                  <w:vAlign w:val="center"/>
                </w:tcPr>
                <w:p>
                  <w:pPr>
                    <w:pStyle w:val="31"/>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val="0"/>
                      <w:bCs/>
                      <w:color w:val="auto"/>
                      <w:sz w:val="21"/>
                      <w:szCs w:val="21"/>
                      <w:highlight w:val="none"/>
                      <w:u w:val="none"/>
                      <w:lang w:val="en-US" w:eastAsia="zh-CN"/>
                    </w:rPr>
                  </w:pPr>
                  <w:r>
                    <w:rPr>
                      <w:rFonts w:hint="eastAsia" w:cs="Times New Roman"/>
                      <w:b w:val="0"/>
                      <w:bCs/>
                      <w:color w:val="auto"/>
                      <w:sz w:val="21"/>
                      <w:szCs w:val="21"/>
                      <w:highlight w:val="none"/>
                      <w:u w:val="none"/>
                      <w:lang w:val="en-US" w:eastAsia="zh-CN"/>
                    </w:rPr>
                    <w:t>间隔</w:t>
                  </w:r>
                </w:p>
              </w:tc>
              <w:tc>
                <w:tcPr>
                  <w:tcW w:w="1172" w:type="dxa"/>
                  <w:tcBorders>
                    <w:tl2br w:val="nil"/>
                    <w:tr2bl w:val="nil"/>
                  </w:tcBorders>
                  <w:vAlign w:val="center"/>
                </w:tcPr>
                <w:p>
                  <w:pPr>
                    <w:pStyle w:val="31"/>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cs="Times New Roman"/>
                      <w:b w:val="0"/>
                      <w:bCs/>
                      <w:color w:val="auto"/>
                      <w:sz w:val="21"/>
                      <w:szCs w:val="21"/>
                      <w:highlight w:val="none"/>
                      <w:u w:val="none"/>
                      <w:lang w:val="en-US" w:eastAsia="zh-CN"/>
                    </w:rPr>
                  </w:pPr>
                  <w:r>
                    <w:rPr>
                      <w:rFonts w:hint="eastAsia" w:cs="Times New Roman"/>
                      <w:b w:val="0"/>
                      <w:bCs/>
                      <w:color w:val="auto"/>
                      <w:sz w:val="21"/>
                      <w:szCs w:val="21"/>
                      <w:highlight w:val="none"/>
                      <w:u w:val="none"/>
                      <w:lang w:val="en-US" w:eastAsia="zh-CN"/>
                    </w:rPr>
                    <w:t>35KV间隔</w:t>
                  </w:r>
                </w:p>
              </w:tc>
              <w:tc>
                <w:tcPr>
                  <w:tcW w:w="6407" w:type="dxa"/>
                  <w:tcBorders>
                    <w:tl2br w:val="nil"/>
                    <w:tr2bl w:val="nil"/>
                  </w:tcBorders>
                  <w:vAlign w:val="center"/>
                </w:tcPr>
                <w:p>
                  <w:pPr>
                    <w:pStyle w:val="21"/>
                    <w:keepNext w:val="0"/>
                    <w:keepLines w:val="0"/>
                    <w:pageBreakBefore w:val="0"/>
                    <w:widowControl w:val="0"/>
                    <w:kinsoku/>
                    <w:wordWrap/>
                    <w:overflowPunct/>
                    <w:topLinePunct w:val="0"/>
                    <w:autoSpaceDE/>
                    <w:autoSpaceDN/>
                    <w:bidi w:val="0"/>
                    <w:adjustRightInd/>
                    <w:snapToGrid/>
                    <w:spacing w:before="0" w:line="240" w:lineRule="auto"/>
                    <w:ind w:left="0" w:leftChars="0" w:firstLine="0" w:firstLineChars="0"/>
                    <w:textAlignment w:val="top"/>
                    <w:rPr>
                      <w:rFonts w:hint="eastAsia" w:ascii="Times New Roman" w:hAnsi="Times New Roman" w:eastAsia="宋体" w:cs="Times New Roman"/>
                      <w:b w:val="0"/>
                      <w:bCs/>
                      <w:color w:val="auto"/>
                      <w:kern w:val="2"/>
                      <w:sz w:val="21"/>
                      <w:szCs w:val="21"/>
                      <w:highlight w:val="none"/>
                      <w:u w:val="none"/>
                      <w:lang w:val="en-US" w:eastAsia="zh-CN" w:bidi="ar-SA"/>
                    </w:rPr>
                  </w:pPr>
                  <w:r>
                    <w:rPr>
                      <w:rFonts w:hint="eastAsia" w:ascii="Times New Roman" w:hAnsi="Times New Roman" w:cs="Times New Roman"/>
                      <w:b w:val="0"/>
                      <w:bCs/>
                      <w:color w:val="auto"/>
                      <w:kern w:val="2"/>
                      <w:sz w:val="21"/>
                      <w:szCs w:val="21"/>
                      <w:highlight w:val="none"/>
                      <w:u w:val="none"/>
                      <w:lang w:val="en-US" w:eastAsia="zh-CN" w:bidi="ar-SA"/>
                    </w:rPr>
                    <w:t>7个，</w:t>
                  </w:r>
                  <w:r>
                    <w:rPr>
                      <w:rFonts w:hint="default" w:ascii="Times New Roman" w:hAnsi="Times New Roman" w:cs="Times New Roman"/>
                      <w:b w:val="0"/>
                      <w:bCs/>
                      <w:color w:val="auto"/>
                      <w:kern w:val="2"/>
                      <w:sz w:val="21"/>
                      <w:szCs w:val="21"/>
                      <w:highlight w:val="none"/>
                      <w:u w:val="none"/>
                      <w:lang w:val="en-US" w:eastAsia="zh-CN" w:bidi="ar-SA"/>
                    </w:rPr>
                    <w:t>35kV侧共有6回进线，1回出线；其中集电线路进线4回，储能进线1回，接地变兼站用变进线1回，主变低压侧出线1回。</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484" w:hRule="atLeast"/>
              </w:trPr>
              <w:tc>
                <w:tcPr>
                  <w:tcW w:w="574" w:type="dxa"/>
                  <w:vMerge w:val="continue"/>
                  <w:tcBorders>
                    <w:tl2br w:val="nil"/>
                    <w:tr2bl w:val="nil"/>
                  </w:tcBorders>
                  <w:vAlign w:val="center"/>
                </w:tcPr>
                <w:p>
                  <w:pPr>
                    <w:pStyle w:val="31"/>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b w:val="0"/>
                      <w:bCs/>
                      <w:u w:val="none"/>
                    </w:rPr>
                  </w:pPr>
                </w:p>
              </w:tc>
              <w:tc>
                <w:tcPr>
                  <w:tcW w:w="553" w:type="dxa"/>
                  <w:vMerge w:val="continue"/>
                  <w:tcBorders>
                    <w:tl2br w:val="nil"/>
                    <w:tr2bl w:val="nil"/>
                  </w:tcBorders>
                  <w:vAlign w:val="center"/>
                </w:tcPr>
                <w:p>
                  <w:pPr>
                    <w:pStyle w:val="31"/>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b w:val="0"/>
                      <w:bCs/>
                      <w:u w:val="none"/>
                    </w:rPr>
                  </w:pPr>
                </w:p>
              </w:tc>
              <w:tc>
                <w:tcPr>
                  <w:tcW w:w="1172" w:type="dxa"/>
                  <w:tcBorders>
                    <w:tl2br w:val="nil"/>
                    <w:tr2bl w:val="nil"/>
                  </w:tcBorders>
                  <w:vAlign w:val="center"/>
                </w:tcPr>
                <w:p>
                  <w:pPr>
                    <w:pStyle w:val="31"/>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cs="Times New Roman"/>
                      <w:b w:val="0"/>
                      <w:bCs/>
                      <w:color w:val="auto"/>
                      <w:sz w:val="21"/>
                      <w:szCs w:val="21"/>
                      <w:highlight w:val="none"/>
                      <w:u w:val="none"/>
                      <w:lang w:val="en-US" w:eastAsia="zh-CN"/>
                    </w:rPr>
                  </w:pPr>
                  <w:r>
                    <w:rPr>
                      <w:rFonts w:hint="eastAsia" w:cs="Times New Roman"/>
                      <w:b w:val="0"/>
                      <w:bCs/>
                      <w:color w:val="auto"/>
                      <w:sz w:val="21"/>
                      <w:szCs w:val="21"/>
                      <w:highlight w:val="none"/>
                      <w:u w:val="none"/>
                      <w:lang w:val="en-US" w:eastAsia="zh-CN"/>
                    </w:rPr>
                    <w:t>110KV间隔</w:t>
                  </w:r>
                </w:p>
              </w:tc>
              <w:tc>
                <w:tcPr>
                  <w:tcW w:w="6407" w:type="dxa"/>
                  <w:tcBorders>
                    <w:tl2br w:val="nil"/>
                    <w:tr2bl w:val="nil"/>
                  </w:tcBorders>
                  <w:vAlign w:val="center"/>
                </w:tcPr>
                <w:p>
                  <w:pPr>
                    <w:pStyle w:val="31"/>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both"/>
                    <w:textAlignment w:val="auto"/>
                    <w:rPr>
                      <w:rFonts w:hint="default" w:cs="Times New Roman"/>
                      <w:b w:val="0"/>
                      <w:bCs/>
                      <w:color w:val="auto"/>
                      <w:sz w:val="21"/>
                      <w:szCs w:val="21"/>
                      <w:highlight w:val="none"/>
                      <w:u w:val="none"/>
                      <w:lang w:val="en-US" w:eastAsia="zh-CN"/>
                    </w:rPr>
                  </w:pPr>
                  <w:r>
                    <w:rPr>
                      <w:rFonts w:hint="eastAsia" w:cs="Times New Roman"/>
                      <w:b w:val="0"/>
                      <w:bCs/>
                      <w:color w:val="auto"/>
                      <w:kern w:val="2"/>
                      <w:sz w:val="21"/>
                      <w:szCs w:val="21"/>
                      <w:highlight w:val="none"/>
                      <w:u w:val="none"/>
                      <w:lang w:val="en-US" w:eastAsia="zh-CN" w:bidi="ar-SA"/>
                    </w:rPr>
                    <w:t>1</w:t>
                  </w:r>
                  <w:r>
                    <w:rPr>
                      <w:rFonts w:hint="eastAsia" w:ascii="Times New Roman" w:hAnsi="Times New Roman" w:cs="Times New Roman"/>
                      <w:b w:val="0"/>
                      <w:bCs/>
                      <w:color w:val="auto"/>
                      <w:kern w:val="2"/>
                      <w:sz w:val="21"/>
                      <w:szCs w:val="21"/>
                      <w:highlight w:val="none"/>
                      <w:u w:val="none"/>
                      <w:lang w:val="en-US" w:eastAsia="zh-CN" w:bidi="ar-SA"/>
                    </w:rPr>
                    <w:t>个</w:t>
                  </w:r>
                  <w:r>
                    <w:rPr>
                      <w:rFonts w:hint="eastAsia" w:cs="Times New Roman"/>
                      <w:b w:val="0"/>
                      <w:bCs/>
                      <w:color w:val="auto"/>
                      <w:kern w:val="2"/>
                      <w:sz w:val="21"/>
                      <w:szCs w:val="21"/>
                      <w:highlight w:val="none"/>
                      <w:u w:val="none"/>
                      <w:lang w:val="en-US" w:eastAsia="zh-CN" w:bidi="ar-SA"/>
                    </w:rPr>
                    <w:t>，110kV侧共有1回出线。出线</w:t>
                  </w:r>
                  <w:r>
                    <w:rPr>
                      <w:rFonts w:hint="eastAsia" w:ascii="Times New Roman" w:hAnsi="Times New Roman" w:eastAsia="宋体" w:cs="Times New Roman"/>
                      <w:b w:val="0"/>
                      <w:bCs/>
                      <w:color w:val="auto"/>
                      <w:kern w:val="2"/>
                      <w:sz w:val="21"/>
                      <w:szCs w:val="21"/>
                      <w:highlight w:val="none"/>
                      <w:u w:val="none"/>
                      <w:lang w:val="en-US" w:eastAsia="zh-CN" w:bidi="ar-SA"/>
                    </w:rPr>
                    <w:t>接入</w:t>
                  </w:r>
                  <w:r>
                    <w:rPr>
                      <w:rFonts w:hint="default" w:ascii="Times New Roman" w:hAnsi="Times New Roman" w:cs="Times New Roman"/>
                      <w:b w:val="0"/>
                      <w:bCs/>
                      <w:color w:val="auto"/>
                      <w:sz w:val="21"/>
                      <w:szCs w:val="21"/>
                      <w:highlight w:val="none"/>
                      <w:u w:val="none"/>
                      <w:lang w:val="en-US" w:eastAsia="zh-CN"/>
                    </w:rPr>
                    <w:t>系统</w:t>
                  </w:r>
                  <w:r>
                    <w:rPr>
                      <w:rFonts w:hint="eastAsia" w:cs="Times New Roman"/>
                      <w:b w:val="0"/>
                      <w:bCs/>
                      <w:color w:val="auto"/>
                      <w:sz w:val="21"/>
                      <w:szCs w:val="21"/>
                      <w:highlight w:val="none"/>
                      <w:u w:val="none"/>
                      <w:lang w:val="en-US" w:eastAsia="zh-CN"/>
                    </w:rPr>
                    <w:t>不属于本项目。</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574" w:type="dxa"/>
                  <w:vMerge w:val="continue"/>
                  <w:tcBorders>
                    <w:tl2br w:val="nil"/>
                    <w:tr2bl w:val="nil"/>
                  </w:tcBorders>
                  <w:vAlign w:val="center"/>
                </w:tcPr>
                <w:p>
                  <w:pPr>
                    <w:pStyle w:val="31"/>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cs="Times New Roman"/>
                      <w:b w:val="0"/>
                      <w:bCs/>
                      <w:color w:val="auto"/>
                      <w:sz w:val="21"/>
                      <w:szCs w:val="21"/>
                      <w:u w:val="none"/>
                      <w:lang w:val="en-US" w:eastAsia="zh-CN"/>
                    </w:rPr>
                  </w:pPr>
                </w:p>
              </w:tc>
              <w:tc>
                <w:tcPr>
                  <w:tcW w:w="553" w:type="dxa"/>
                  <w:vMerge w:val="restart"/>
                  <w:tcBorders>
                    <w:tl2br w:val="nil"/>
                    <w:tr2bl w:val="nil"/>
                  </w:tcBorders>
                  <w:vAlign w:val="center"/>
                </w:tcPr>
                <w:p>
                  <w:pPr>
                    <w:pStyle w:val="31"/>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cs="Times New Roman"/>
                      <w:b w:val="0"/>
                      <w:bCs/>
                      <w:color w:val="auto"/>
                      <w:sz w:val="21"/>
                      <w:szCs w:val="21"/>
                      <w:highlight w:val="none"/>
                      <w:u w:val="none"/>
                      <w:lang w:val="en-US" w:eastAsia="zh-CN"/>
                    </w:rPr>
                  </w:pPr>
                  <w:r>
                    <w:rPr>
                      <w:rFonts w:hint="eastAsia" w:ascii="Times New Roman" w:hAnsi="Times New Roman" w:cs="Times New Roman"/>
                      <w:b w:val="0"/>
                      <w:bCs/>
                      <w:color w:val="auto"/>
                      <w:sz w:val="21"/>
                      <w:szCs w:val="21"/>
                      <w:highlight w:val="none"/>
                      <w:u w:val="none"/>
                      <w:lang w:val="en-US" w:eastAsia="zh-CN"/>
                    </w:rPr>
                    <w:t>储能</w:t>
                  </w:r>
                </w:p>
                <w:p>
                  <w:pPr>
                    <w:pStyle w:val="31"/>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cs="Times New Roman"/>
                      <w:b w:val="0"/>
                      <w:bCs/>
                      <w:color w:val="auto"/>
                      <w:sz w:val="21"/>
                      <w:szCs w:val="21"/>
                      <w:highlight w:val="none"/>
                      <w:u w:val="none"/>
                      <w:lang w:val="en-US" w:eastAsia="zh-CN"/>
                    </w:rPr>
                  </w:pPr>
                  <w:r>
                    <w:rPr>
                      <w:rFonts w:hint="eastAsia" w:ascii="Times New Roman" w:hAnsi="Times New Roman" w:cs="Times New Roman"/>
                      <w:b w:val="0"/>
                      <w:bCs/>
                      <w:color w:val="auto"/>
                      <w:sz w:val="21"/>
                      <w:szCs w:val="21"/>
                      <w:highlight w:val="none"/>
                      <w:u w:val="none"/>
                      <w:lang w:val="en-US" w:eastAsia="zh-CN"/>
                    </w:rPr>
                    <w:t>电站</w:t>
                  </w:r>
                </w:p>
              </w:tc>
              <w:tc>
                <w:tcPr>
                  <w:tcW w:w="1172" w:type="dxa"/>
                  <w:tcBorders>
                    <w:tl2br w:val="nil"/>
                    <w:tr2bl w:val="nil"/>
                  </w:tcBorders>
                  <w:vAlign w:val="center"/>
                </w:tcPr>
                <w:p>
                  <w:pPr>
                    <w:pStyle w:val="31"/>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cs="Times New Roman"/>
                      <w:b w:val="0"/>
                      <w:bCs/>
                      <w:color w:val="auto"/>
                      <w:sz w:val="21"/>
                      <w:szCs w:val="21"/>
                      <w:highlight w:val="none"/>
                      <w:u w:val="none"/>
                      <w:lang w:val="en-US" w:eastAsia="zh-CN"/>
                    </w:rPr>
                  </w:pPr>
                  <w:r>
                    <w:rPr>
                      <w:rFonts w:hint="eastAsia" w:cs="Times New Roman"/>
                      <w:b w:val="0"/>
                      <w:bCs/>
                      <w:color w:val="auto"/>
                      <w:sz w:val="21"/>
                      <w:szCs w:val="21"/>
                      <w:highlight w:val="none"/>
                      <w:u w:val="none"/>
                      <w:lang w:val="en-US" w:eastAsia="zh-CN"/>
                    </w:rPr>
                    <w:t>容量</w:t>
                  </w:r>
                </w:p>
              </w:tc>
              <w:tc>
                <w:tcPr>
                  <w:tcW w:w="6407" w:type="dxa"/>
                  <w:tcBorders>
                    <w:tl2br w:val="nil"/>
                    <w:tr2bl w:val="nil"/>
                  </w:tcBorders>
                  <w:vAlign w:val="center"/>
                </w:tcPr>
                <w:p>
                  <w:pPr>
                    <w:pStyle w:val="21"/>
                    <w:keepNext w:val="0"/>
                    <w:keepLines w:val="0"/>
                    <w:pageBreakBefore w:val="0"/>
                    <w:widowControl w:val="0"/>
                    <w:kinsoku/>
                    <w:wordWrap/>
                    <w:overflowPunct/>
                    <w:topLinePunct w:val="0"/>
                    <w:autoSpaceDE/>
                    <w:autoSpaceDN/>
                    <w:bidi w:val="0"/>
                    <w:adjustRightInd/>
                    <w:snapToGrid/>
                    <w:spacing w:before="0" w:line="240" w:lineRule="auto"/>
                    <w:ind w:left="0" w:leftChars="0" w:firstLine="0" w:firstLineChars="0"/>
                    <w:textAlignment w:val="top"/>
                    <w:rPr>
                      <w:rFonts w:hint="eastAsia" w:ascii="Times New Roman" w:hAnsi="Times New Roman" w:cs="Times New Roman"/>
                      <w:b w:val="0"/>
                      <w:bCs/>
                      <w:color w:val="auto"/>
                      <w:kern w:val="2"/>
                      <w:sz w:val="21"/>
                      <w:szCs w:val="21"/>
                      <w:highlight w:val="none"/>
                      <w:u w:val="none"/>
                      <w:lang w:val="en-US" w:eastAsia="zh-CN" w:bidi="ar-SA"/>
                    </w:rPr>
                  </w:pPr>
                  <w:r>
                    <w:rPr>
                      <w:rFonts w:hint="eastAsia" w:eastAsia="宋体" w:cs="Times New Roman"/>
                      <w:b w:val="0"/>
                      <w:bCs/>
                      <w:color w:val="auto"/>
                      <w:kern w:val="2"/>
                      <w:sz w:val="21"/>
                      <w:szCs w:val="21"/>
                      <w:highlight w:val="none"/>
                      <w:u w:val="none"/>
                      <w:lang w:val="en-US" w:eastAsia="zh-CN" w:bidi="ar-SA"/>
                    </w:rPr>
                    <w:t>位于</w:t>
                  </w:r>
                  <w:r>
                    <w:rPr>
                      <w:rFonts w:hint="eastAsia" w:ascii="Times New Roman" w:hAnsi="Times New Roman" w:cs="Times New Roman"/>
                      <w:b w:val="0"/>
                      <w:bCs/>
                      <w:color w:val="auto"/>
                      <w:sz w:val="21"/>
                      <w:szCs w:val="21"/>
                      <w:highlight w:val="none"/>
                      <w:u w:val="none"/>
                      <w:lang w:val="en-US" w:eastAsia="zh-CN"/>
                    </w:rPr>
                    <w:t>站内东侧，</w:t>
                  </w:r>
                  <w:r>
                    <w:rPr>
                      <w:rFonts w:hint="default" w:ascii="Times New Roman" w:hAnsi="Times New Roman" w:eastAsia="宋体" w:cs="Times New Roman"/>
                      <w:b w:val="0"/>
                      <w:bCs/>
                      <w:color w:val="auto"/>
                      <w:kern w:val="2"/>
                      <w:sz w:val="21"/>
                      <w:szCs w:val="21"/>
                      <w:highlight w:val="none"/>
                      <w:u w:val="none"/>
                      <w:lang w:val="en-US" w:eastAsia="zh-CN" w:bidi="ar-SA"/>
                    </w:rPr>
                    <w:t>按15%</w:t>
                  </w:r>
                  <w:r>
                    <w:rPr>
                      <w:rFonts w:hint="eastAsia" w:ascii="Times New Roman" w:hAnsi="Times New Roman" w:eastAsia="宋体" w:cs="Times New Roman"/>
                      <w:b w:val="0"/>
                      <w:bCs/>
                      <w:color w:val="auto"/>
                      <w:kern w:val="2"/>
                      <w:sz w:val="21"/>
                      <w:szCs w:val="21"/>
                      <w:highlight w:val="none"/>
                      <w:u w:val="none"/>
                      <w:lang w:val="en-US" w:eastAsia="zh-CN" w:bidi="ar-SA"/>
                    </w:rPr>
                    <w:t>、</w:t>
                  </w:r>
                  <w:r>
                    <w:rPr>
                      <w:rFonts w:hint="default" w:ascii="Times New Roman" w:hAnsi="Times New Roman" w:eastAsia="宋体" w:cs="Times New Roman"/>
                      <w:b w:val="0"/>
                      <w:bCs/>
                      <w:color w:val="auto"/>
                      <w:kern w:val="2"/>
                      <w:sz w:val="21"/>
                      <w:szCs w:val="21"/>
                      <w:highlight w:val="none"/>
                      <w:u w:val="none"/>
                      <w:lang w:val="en-US" w:eastAsia="zh-CN" w:bidi="ar-SA"/>
                    </w:rPr>
                    <w:t>2h</w:t>
                  </w:r>
                  <w:r>
                    <w:rPr>
                      <w:rFonts w:hint="eastAsia" w:ascii="Times New Roman" w:hAnsi="Times New Roman" w:eastAsia="宋体" w:cs="Times New Roman"/>
                      <w:b w:val="0"/>
                      <w:bCs/>
                      <w:color w:val="auto"/>
                      <w:kern w:val="2"/>
                      <w:sz w:val="21"/>
                      <w:szCs w:val="21"/>
                      <w:highlight w:val="none"/>
                      <w:u w:val="none"/>
                      <w:lang w:val="en-US" w:eastAsia="zh-CN" w:bidi="ar-SA"/>
                    </w:rPr>
                    <w:t>的基础储能要求进行储能配置建设。容量为</w:t>
                  </w:r>
                  <w:r>
                    <w:rPr>
                      <w:rFonts w:hint="eastAsia" w:ascii="Times New Roman" w:hAnsi="Times New Roman" w:cs="Times New Roman"/>
                      <w:b w:val="0"/>
                      <w:bCs/>
                      <w:color w:val="auto"/>
                      <w:kern w:val="2"/>
                      <w:sz w:val="21"/>
                      <w:szCs w:val="21"/>
                      <w:highlight w:val="none"/>
                      <w:u w:val="none"/>
                      <w:lang w:val="en-US" w:eastAsia="zh-CN" w:bidi="ar-SA"/>
                    </w:rPr>
                    <w:t>15</w:t>
                  </w:r>
                  <w:r>
                    <w:rPr>
                      <w:rFonts w:hint="default" w:ascii="Times New Roman" w:hAnsi="Times New Roman" w:eastAsia="宋体" w:cs="Times New Roman"/>
                      <w:b w:val="0"/>
                      <w:bCs/>
                      <w:color w:val="auto"/>
                      <w:kern w:val="2"/>
                      <w:sz w:val="21"/>
                      <w:szCs w:val="21"/>
                      <w:highlight w:val="none"/>
                      <w:u w:val="none"/>
                      <w:lang w:val="en-US" w:eastAsia="zh-CN" w:bidi="ar-SA"/>
                    </w:rPr>
                    <w:t>MW/</w:t>
                  </w:r>
                  <w:r>
                    <w:rPr>
                      <w:rFonts w:hint="eastAsia" w:ascii="Times New Roman" w:hAnsi="Times New Roman" w:cs="Times New Roman"/>
                      <w:b w:val="0"/>
                      <w:bCs/>
                      <w:color w:val="auto"/>
                      <w:kern w:val="2"/>
                      <w:sz w:val="21"/>
                      <w:szCs w:val="21"/>
                      <w:highlight w:val="none"/>
                      <w:u w:val="none"/>
                      <w:lang w:val="en-US" w:eastAsia="zh-CN" w:bidi="ar-SA"/>
                    </w:rPr>
                    <w:t>30</w:t>
                  </w:r>
                  <w:r>
                    <w:rPr>
                      <w:rFonts w:hint="default" w:ascii="Times New Roman" w:hAnsi="Times New Roman" w:eastAsia="宋体" w:cs="Times New Roman"/>
                      <w:b w:val="0"/>
                      <w:bCs/>
                      <w:color w:val="auto"/>
                      <w:kern w:val="2"/>
                      <w:sz w:val="21"/>
                      <w:szCs w:val="21"/>
                      <w:highlight w:val="none"/>
                      <w:u w:val="none"/>
                      <w:lang w:val="en-US" w:eastAsia="zh-CN" w:bidi="ar-SA"/>
                    </w:rPr>
                    <w:t>MWh</w:t>
                  </w:r>
                  <w:r>
                    <w:rPr>
                      <w:rFonts w:hint="eastAsia" w:ascii="Times New Roman" w:hAnsi="Times New Roman" w:cs="Times New Roman"/>
                      <w:b w:val="0"/>
                      <w:bCs/>
                      <w:color w:val="auto"/>
                      <w:kern w:val="2"/>
                      <w:sz w:val="21"/>
                      <w:szCs w:val="21"/>
                      <w:highlight w:val="none"/>
                      <w:u w:val="none"/>
                      <w:lang w:val="en-US" w:eastAsia="zh-CN" w:bidi="ar-SA"/>
                    </w:rPr>
                    <w:t>。</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574" w:type="dxa"/>
                  <w:vMerge w:val="continue"/>
                  <w:tcBorders>
                    <w:tl2br w:val="nil"/>
                    <w:tr2bl w:val="nil"/>
                  </w:tcBorders>
                  <w:vAlign w:val="center"/>
                </w:tcPr>
                <w:p>
                  <w:pPr>
                    <w:pStyle w:val="31"/>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cs="Times New Roman"/>
                      <w:b w:val="0"/>
                      <w:bCs/>
                      <w:color w:val="auto"/>
                      <w:sz w:val="21"/>
                      <w:szCs w:val="21"/>
                      <w:u w:val="none"/>
                      <w:lang w:val="en-US" w:eastAsia="zh-CN"/>
                    </w:rPr>
                  </w:pPr>
                </w:p>
              </w:tc>
              <w:tc>
                <w:tcPr>
                  <w:tcW w:w="553" w:type="dxa"/>
                  <w:vMerge w:val="continue"/>
                  <w:tcBorders>
                    <w:tl2br w:val="nil"/>
                    <w:tr2bl w:val="nil"/>
                  </w:tcBorders>
                  <w:vAlign w:val="center"/>
                </w:tcPr>
                <w:p>
                  <w:pPr>
                    <w:pStyle w:val="31"/>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cs="Times New Roman"/>
                      <w:b w:val="0"/>
                      <w:bCs/>
                      <w:color w:val="auto"/>
                      <w:sz w:val="21"/>
                      <w:szCs w:val="21"/>
                      <w:highlight w:val="none"/>
                      <w:u w:val="none"/>
                      <w:lang w:val="en-US" w:eastAsia="zh-CN"/>
                    </w:rPr>
                  </w:pPr>
                </w:p>
              </w:tc>
              <w:tc>
                <w:tcPr>
                  <w:tcW w:w="1172" w:type="dxa"/>
                  <w:tcBorders>
                    <w:tl2br w:val="nil"/>
                    <w:tr2bl w:val="nil"/>
                  </w:tcBorders>
                  <w:vAlign w:val="center"/>
                </w:tcPr>
                <w:p>
                  <w:pPr>
                    <w:pStyle w:val="31"/>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cs="Times New Roman"/>
                      <w:b w:val="0"/>
                      <w:bCs/>
                      <w:color w:val="auto"/>
                      <w:sz w:val="21"/>
                      <w:szCs w:val="21"/>
                      <w:highlight w:val="none"/>
                      <w:u w:val="none"/>
                      <w:lang w:val="en-US" w:eastAsia="zh-CN"/>
                    </w:rPr>
                  </w:pPr>
                  <w:r>
                    <w:rPr>
                      <w:rFonts w:hint="eastAsia" w:cs="Times New Roman"/>
                      <w:b w:val="0"/>
                      <w:bCs/>
                      <w:color w:val="auto"/>
                      <w:sz w:val="21"/>
                      <w:szCs w:val="21"/>
                      <w:highlight w:val="none"/>
                      <w:u w:val="none"/>
                      <w:lang w:val="en-US" w:eastAsia="zh-CN"/>
                    </w:rPr>
                    <w:t>设施</w:t>
                  </w:r>
                </w:p>
              </w:tc>
              <w:tc>
                <w:tcPr>
                  <w:tcW w:w="6407" w:type="dxa"/>
                  <w:tcBorders>
                    <w:tl2br w:val="nil"/>
                    <w:tr2bl w:val="nil"/>
                  </w:tcBorders>
                  <w:vAlign w:val="center"/>
                </w:tcPr>
                <w:p>
                  <w:pPr>
                    <w:pStyle w:val="21"/>
                    <w:keepNext w:val="0"/>
                    <w:keepLines w:val="0"/>
                    <w:pageBreakBefore w:val="0"/>
                    <w:widowControl w:val="0"/>
                    <w:kinsoku/>
                    <w:wordWrap/>
                    <w:overflowPunct/>
                    <w:topLinePunct w:val="0"/>
                    <w:autoSpaceDE/>
                    <w:autoSpaceDN/>
                    <w:bidi w:val="0"/>
                    <w:adjustRightInd/>
                    <w:snapToGrid/>
                    <w:spacing w:before="0" w:line="240" w:lineRule="auto"/>
                    <w:ind w:left="0" w:leftChars="0" w:firstLine="0" w:firstLineChars="0"/>
                    <w:textAlignment w:val="top"/>
                    <w:rPr>
                      <w:rFonts w:hint="eastAsia" w:ascii="Times New Roman" w:hAnsi="Times New Roman" w:cs="Times New Roman"/>
                      <w:b w:val="0"/>
                      <w:bCs/>
                      <w:color w:val="auto"/>
                      <w:kern w:val="2"/>
                      <w:sz w:val="21"/>
                      <w:szCs w:val="21"/>
                      <w:highlight w:val="none"/>
                      <w:u w:val="none"/>
                      <w:lang w:val="en-US" w:eastAsia="zh-CN" w:bidi="ar-SA"/>
                    </w:rPr>
                  </w:pPr>
                  <w:r>
                    <w:rPr>
                      <w:rFonts w:hint="default" w:ascii="Times New Roman" w:hAnsi="Times New Roman" w:eastAsia="宋体" w:cs="Times New Roman"/>
                      <w:b w:val="0"/>
                      <w:bCs/>
                      <w:color w:val="auto"/>
                      <w:kern w:val="2"/>
                      <w:sz w:val="21"/>
                      <w:szCs w:val="21"/>
                      <w:highlight w:val="none"/>
                      <w:u w:val="none"/>
                      <w:lang w:val="en-US" w:eastAsia="zh-CN" w:bidi="ar-SA"/>
                    </w:rPr>
                    <w:t>共设6</w:t>
                  </w:r>
                  <w:r>
                    <w:rPr>
                      <w:rFonts w:hint="eastAsia" w:ascii="Times New Roman" w:hAnsi="Times New Roman" w:eastAsia="宋体" w:cs="Times New Roman"/>
                      <w:b w:val="0"/>
                      <w:bCs/>
                      <w:color w:val="auto"/>
                      <w:kern w:val="2"/>
                      <w:sz w:val="21"/>
                      <w:szCs w:val="21"/>
                      <w:highlight w:val="none"/>
                      <w:u w:val="none"/>
                      <w:lang w:val="en-US" w:eastAsia="zh-CN" w:bidi="ar-SA"/>
                    </w:rPr>
                    <w:t>个容量为</w:t>
                  </w:r>
                  <w:r>
                    <w:rPr>
                      <w:rFonts w:hint="default" w:ascii="Times New Roman" w:hAnsi="Times New Roman" w:eastAsia="宋体" w:cs="Times New Roman"/>
                      <w:b w:val="0"/>
                      <w:bCs/>
                      <w:color w:val="auto"/>
                      <w:kern w:val="2"/>
                      <w:sz w:val="21"/>
                      <w:szCs w:val="21"/>
                      <w:highlight w:val="none"/>
                      <w:u w:val="none"/>
                      <w:lang w:val="en-US" w:eastAsia="zh-CN" w:bidi="ar-SA"/>
                    </w:rPr>
                    <w:t>2.5MW/5MWh</w:t>
                  </w:r>
                  <w:r>
                    <w:rPr>
                      <w:rFonts w:hint="eastAsia" w:ascii="Times New Roman" w:hAnsi="Times New Roman" w:eastAsia="宋体" w:cs="Times New Roman"/>
                      <w:b w:val="0"/>
                      <w:bCs/>
                      <w:color w:val="auto"/>
                      <w:kern w:val="2"/>
                      <w:sz w:val="21"/>
                      <w:szCs w:val="21"/>
                      <w:highlight w:val="none"/>
                      <w:u w:val="none"/>
                      <w:lang w:val="en-US" w:eastAsia="zh-CN" w:bidi="ar-SA"/>
                    </w:rPr>
                    <w:t>的储能单元，单个储能单元内部含</w:t>
                  </w:r>
                  <w:r>
                    <w:rPr>
                      <w:rFonts w:hint="default" w:ascii="Times New Roman" w:hAnsi="Times New Roman" w:eastAsia="宋体" w:cs="Times New Roman"/>
                      <w:b w:val="0"/>
                      <w:bCs/>
                      <w:color w:val="auto"/>
                      <w:kern w:val="2"/>
                      <w:sz w:val="21"/>
                      <w:szCs w:val="21"/>
                      <w:highlight w:val="none"/>
                      <w:u w:val="none"/>
                      <w:lang w:val="en-US" w:eastAsia="zh-CN" w:bidi="ar-SA"/>
                    </w:rPr>
                    <w:t>2</w:t>
                  </w:r>
                  <w:r>
                    <w:rPr>
                      <w:rFonts w:hint="eastAsia" w:ascii="Times New Roman" w:hAnsi="Times New Roman" w:eastAsia="宋体" w:cs="Times New Roman"/>
                      <w:b w:val="0"/>
                      <w:bCs/>
                      <w:color w:val="auto"/>
                      <w:kern w:val="2"/>
                      <w:sz w:val="21"/>
                      <w:szCs w:val="21"/>
                      <w:highlight w:val="none"/>
                      <w:u w:val="none"/>
                      <w:lang w:val="en-US" w:eastAsia="zh-CN" w:bidi="ar-SA"/>
                    </w:rPr>
                    <w:t>台单体容量为</w:t>
                  </w:r>
                  <w:r>
                    <w:rPr>
                      <w:rFonts w:hint="default" w:ascii="Times New Roman" w:hAnsi="Times New Roman" w:eastAsia="宋体" w:cs="Times New Roman"/>
                      <w:b w:val="0"/>
                      <w:bCs/>
                      <w:color w:val="auto"/>
                      <w:kern w:val="2"/>
                      <w:sz w:val="21"/>
                      <w:szCs w:val="21"/>
                      <w:highlight w:val="none"/>
                      <w:u w:val="none"/>
                      <w:lang w:val="en-US" w:eastAsia="zh-CN" w:bidi="ar-SA"/>
                    </w:rPr>
                    <w:t>2592kWh</w:t>
                  </w:r>
                  <w:r>
                    <w:rPr>
                      <w:rFonts w:hint="eastAsia" w:ascii="Times New Roman" w:hAnsi="Times New Roman" w:eastAsia="宋体" w:cs="Times New Roman"/>
                      <w:b w:val="0"/>
                      <w:bCs/>
                      <w:color w:val="auto"/>
                      <w:kern w:val="2"/>
                      <w:sz w:val="21"/>
                      <w:szCs w:val="21"/>
                      <w:highlight w:val="none"/>
                      <w:u w:val="none"/>
                      <w:lang w:val="en-US" w:eastAsia="zh-CN" w:bidi="ar-SA"/>
                    </w:rPr>
                    <w:t>磷酸铁锂电池柜和</w:t>
                  </w:r>
                  <w:r>
                    <w:rPr>
                      <w:rFonts w:hint="default" w:ascii="Times New Roman" w:hAnsi="Times New Roman" w:eastAsia="宋体" w:cs="Times New Roman"/>
                      <w:b w:val="0"/>
                      <w:bCs/>
                      <w:color w:val="auto"/>
                      <w:kern w:val="2"/>
                      <w:sz w:val="21"/>
                      <w:szCs w:val="21"/>
                      <w:highlight w:val="none"/>
                      <w:u w:val="none"/>
                      <w:lang w:val="en-US" w:eastAsia="zh-CN" w:bidi="ar-SA"/>
                    </w:rPr>
                    <w:t>1</w:t>
                  </w:r>
                  <w:r>
                    <w:rPr>
                      <w:rFonts w:hint="eastAsia" w:ascii="Times New Roman" w:hAnsi="Times New Roman" w:eastAsia="宋体" w:cs="Times New Roman"/>
                      <w:b w:val="0"/>
                      <w:bCs/>
                      <w:color w:val="auto"/>
                      <w:kern w:val="2"/>
                      <w:sz w:val="21"/>
                      <w:szCs w:val="21"/>
                      <w:highlight w:val="none"/>
                      <w:u w:val="none"/>
                      <w:lang w:val="en-US" w:eastAsia="zh-CN" w:bidi="ar-SA"/>
                    </w:rPr>
                    <w:t>台容量为</w:t>
                  </w:r>
                  <w:r>
                    <w:rPr>
                      <w:rFonts w:hint="default" w:ascii="Times New Roman" w:hAnsi="Times New Roman" w:eastAsia="宋体" w:cs="Times New Roman"/>
                      <w:b w:val="0"/>
                      <w:bCs/>
                      <w:color w:val="auto"/>
                      <w:kern w:val="2"/>
                      <w:sz w:val="21"/>
                      <w:szCs w:val="21"/>
                      <w:highlight w:val="none"/>
                      <w:u w:val="none"/>
                      <w:lang w:val="en-US" w:eastAsia="zh-CN" w:bidi="ar-SA"/>
                    </w:rPr>
                    <w:t>2500kW</w:t>
                  </w:r>
                  <w:r>
                    <w:rPr>
                      <w:rFonts w:hint="eastAsia" w:ascii="Times New Roman" w:hAnsi="Times New Roman" w:eastAsia="宋体" w:cs="Times New Roman"/>
                      <w:b w:val="0"/>
                      <w:bCs/>
                      <w:color w:val="auto"/>
                      <w:kern w:val="2"/>
                      <w:sz w:val="21"/>
                      <w:szCs w:val="21"/>
                      <w:highlight w:val="none"/>
                      <w:u w:val="none"/>
                      <w:lang w:val="en-US" w:eastAsia="zh-CN" w:bidi="ar-SA"/>
                    </w:rPr>
                    <w:t>的储能变流升压一体机</w:t>
                  </w:r>
                  <w:r>
                    <w:rPr>
                      <w:rFonts w:hint="eastAsia" w:ascii="Times New Roman" w:hAnsi="Times New Roman" w:cs="Times New Roman"/>
                      <w:b w:val="0"/>
                      <w:bCs/>
                      <w:color w:val="auto"/>
                      <w:kern w:val="2"/>
                      <w:sz w:val="21"/>
                      <w:szCs w:val="21"/>
                      <w:highlight w:val="none"/>
                      <w:u w:val="none"/>
                      <w:lang w:val="en-US" w:eastAsia="zh-CN" w:bidi="ar-SA"/>
                    </w:rPr>
                    <w:t>。</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574" w:type="dxa"/>
                  <w:vMerge w:val="continue"/>
                  <w:tcBorders>
                    <w:tl2br w:val="nil"/>
                    <w:tr2bl w:val="nil"/>
                  </w:tcBorders>
                  <w:vAlign w:val="center"/>
                </w:tcPr>
                <w:p>
                  <w:pPr>
                    <w:pStyle w:val="31"/>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cs="Times New Roman"/>
                      <w:b w:val="0"/>
                      <w:bCs/>
                      <w:color w:val="auto"/>
                      <w:sz w:val="21"/>
                      <w:szCs w:val="21"/>
                      <w:u w:val="none"/>
                      <w:lang w:val="en-US" w:eastAsia="zh-CN"/>
                    </w:rPr>
                  </w:pPr>
                </w:p>
              </w:tc>
              <w:tc>
                <w:tcPr>
                  <w:tcW w:w="553" w:type="dxa"/>
                  <w:vMerge w:val="continue"/>
                  <w:tcBorders>
                    <w:tl2br w:val="nil"/>
                    <w:tr2bl w:val="nil"/>
                  </w:tcBorders>
                  <w:vAlign w:val="center"/>
                </w:tcPr>
                <w:p>
                  <w:pPr>
                    <w:pStyle w:val="31"/>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cs="Times New Roman"/>
                      <w:b w:val="0"/>
                      <w:bCs/>
                      <w:color w:val="auto"/>
                      <w:sz w:val="21"/>
                      <w:szCs w:val="21"/>
                      <w:highlight w:val="none"/>
                      <w:u w:val="none"/>
                      <w:lang w:val="en-US" w:eastAsia="zh-CN"/>
                    </w:rPr>
                  </w:pPr>
                </w:p>
              </w:tc>
              <w:tc>
                <w:tcPr>
                  <w:tcW w:w="1172" w:type="dxa"/>
                  <w:tcBorders>
                    <w:tl2br w:val="nil"/>
                    <w:tr2bl w:val="nil"/>
                  </w:tcBorders>
                  <w:vAlign w:val="center"/>
                </w:tcPr>
                <w:p>
                  <w:pPr>
                    <w:pStyle w:val="31"/>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cs="Times New Roman"/>
                      <w:b w:val="0"/>
                      <w:bCs/>
                      <w:color w:val="auto"/>
                      <w:sz w:val="21"/>
                      <w:szCs w:val="21"/>
                      <w:highlight w:val="none"/>
                      <w:u w:val="none"/>
                      <w:lang w:val="en-US" w:eastAsia="zh-CN"/>
                    </w:rPr>
                  </w:pPr>
                  <w:r>
                    <w:rPr>
                      <w:rFonts w:hint="eastAsia" w:ascii="Times New Roman" w:hAnsi="Times New Roman" w:eastAsia="宋体" w:cs="Times New Roman"/>
                      <w:b w:val="0"/>
                      <w:bCs/>
                      <w:color w:val="auto"/>
                      <w:kern w:val="2"/>
                      <w:sz w:val="21"/>
                      <w:szCs w:val="21"/>
                      <w:highlight w:val="none"/>
                      <w:u w:val="none"/>
                      <w:lang w:val="en-US" w:eastAsia="zh-CN" w:bidi="ar-SA"/>
                    </w:rPr>
                    <w:t>变流</w:t>
                  </w:r>
                </w:p>
              </w:tc>
              <w:tc>
                <w:tcPr>
                  <w:tcW w:w="6407" w:type="dxa"/>
                  <w:tcBorders>
                    <w:tl2br w:val="nil"/>
                    <w:tr2bl w:val="nil"/>
                  </w:tcBorders>
                  <w:vAlign w:val="center"/>
                </w:tcPr>
                <w:p>
                  <w:pPr>
                    <w:pStyle w:val="21"/>
                    <w:keepNext w:val="0"/>
                    <w:keepLines w:val="0"/>
                    <w:pageBreakBefore w:val="0"/>
                    <w:widowControl w:val="0"/>
                    <w:kinsoku/>
                    <w:wordWrap/>
                    <w:overflowPunct/>
                    <w:topLinePunct w:val="0"/>
                    <w:autoSpaceDE/>
                    <w:autoSpaceDN/>
                    <w:bidi w:val="0"/>
                    <w:adjustRightInd/>
                    <w:snapToGrid/>
                    <w:spacing w:before="0" w:line="240" w:lineRule="auto"/>
                    <w:ind w:left="0" w:leftChars="0" w:firstLine="0" w:firstLineChars="0"/>
                    <w:textAlignment w:val="top"/>
                    <w:rPr>
                      <w:rFonts w:hint="default" w:ascii="Times New Roman" w:hAnsi="Times New Roman" w:eastAsia="宋体" w:cs="Times New Roman"/>
                      <w:b w:val="0"/>
                      <w:bCs/>
                      <w:color w:val="auto"/>
                      <w:kern w:val="2"/>
                      <w:sz w:val="21"/>
                      <w:szCs w:val="21"/>
                      <w:highlight w:val="none"/>
                      <w:u w:val="none"/>
                      <w:lang w:val="en-US" w:eastAsia="zh-CN" w:bidi="ar-SA"/>
                    </w:rPr>
                  </w:pPr>
                  <w:r>
                    <w:rPr>
                      <w:rFonts w:hint="eastAsia" w:ascii="Times New Roman" w:hAnsi="Times New Roman" w:eastAsia="宋体" w:cs="Times New Roman"/>
                      <w:b w:val="0"/>
                      <w:bCs/>
                      <w:color w:val="auto"/>
                      <w:kern w:val="2"/>
                      <w:sz w:val="21"/>
                      <w:szCs w:val="21"/>
                      <w:highlight w:val="none"/>
                      <w:u w:val="none"/>
                      <w:lang w:val="en-US" w:eastAsia="zh-CN" w:bidi="ar-SA"/>
                    </w:rPr>
                    <w:t>储能变流升压一体机</w:t>
                  </w:r>
                  <w:r>
                    <w:rPr>
                      <w:rFonts w:hint="eastAsia" w:ascii="Times New Roman" w:hAnsi="Times New Roman" w:cs="Times New Roman"/>
                      <w:b w:val="0"/>
                      <w:bCs/>
                      <w:color w:val="auto"/>
                      <w:kern w:val="2"/>
                      <w:sz w:val="21"/>
                      <w:szCs w:val="21"/>
                      <w:highlight w:val="none"/>
                      <w:u w:val="none"/>
                      <w:lang w:val="en-US" w:eastAsia="zh-CN" w:bidi="ar-SA"/>
                    </w:rPr>
                    <w:t>内含整流器及逆变器。风电机组所发电量需进行电量调控，减少并网电量时，35KV交流电降压至0.4KV交流电，经整流器变为1.5KV直流电存储在储能设施内;增加并网电量时，储能设施内1.5KV直流电经逆变器转变为0.4KV交流电，再经升压至35KV交流电，输送至</w:t>
                  </w:r>
                  <w:r>
                    <w:rPr>
                      <w:rFonts w:hint="default" w:ascii="Times New Roman" w:hAnsi="Times New Roman" w:eastAsia="宋体" w:cs="Times New Roman"/>
                      <w:b w:val="0"/>
                      <w:bCs/>
                      <w:color w:val="auto"/>
                      <w:sz w:val="21"/>
                      <w:szCs w:val="21"/>
                      <w:highlight w:val="none"/>
                      <w:u w:val="none"/>
                      <w:lang w:val="en-US" w:eastAsia="zh-CN"/>
                    </w:rPr>
                    <w:t>110kV</w:t>
                  </w:r>
                  <w:r>
                    <w:rPr>
                      <w:rFonts w:hint="eastAsia" w:ascii="Times New Roman" w:hAnsi="Times New Roman" w:eastAsia="宋体" w:cs="Times New Roman"/>
                      <w:b w:val="0"/>
                      <w:bCs/>
                      <w:color w:val="auto"/>
                      <w:sz w:val="21"/>
                      <w:szCs w:val="21"/>
                      <w:highlight w:val="none"/>
                      <w:u w:val="none"/>
                      <w:lang w:val="en-US" w:eastAsia="zh-CN"/>
                    </w:rPr>
                    <w:t>升压站</w:t>
                  </w:r>
                  <w:r>
                    <w:rPr>
                      <w:rFonts w:hint="eastAsia" w:ascii="Times New Roman" w:hAnsi="Times New Roman" w:cs="Times New Roman"/>
                      <w:b w:val="0"/>
                      <w:bCs/>
                      <w:color w:val="auto"/>
                      <w:sz w:val="21"/>
                      <w:szCs w:val="21"/>
                      <w:highlight w:val="none"/>
                      <w:u w:val="none"/>
                      <w:lang w:val="en-US" w:eastAsia="zh-CN"/>
                    </w:rPr>
                    <w:t>内主变。</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8" w:hRule="atLeast"/>
              </w:trPr>
              <w:tc>
                <w:tcPr>
                  <w:tcW w:w="574" w:type="dxa"/>
                  <w:tcBorders>
                    <w:tl2br w:val="nil"/>
                    <w:tr2bl w:val="nil"/>
                  </w:tcBorders>
                  <w:vAlign w:val="center"/>
                </w:tcPr>
                <w:p>
                  <w:pPr>
                    <w:pStyle w:val="31"/>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val="0"/>
                      <w:bCs/>
                      <w:color w:val="auto"/>
                      <w:sz w:val="21"/>
                      <w:szCs w:val="21"/>
                      <w:u w:val="none"/>
                      <w:lang w:val="en-US" w:eastAsia="zh-CN"/>
                    </w:rPr>
                  </w:pPr>
                  <w:r>
                    <w:rPr>
                      <w:rFonts w:hint="eastAsia" w:ascii="Times New Roman" w:hAnsi="Times New Roman" w:cs="Times New Roman"/>
                      <w:b w:val="0"/>
                      <w:bCs/>
                      <w:color w:val="auto"/>
                      <w:sz w:val="21"/>
                      <w:szCs w:val="21"/>
                      <w:u w:val="none"/>
                      <w:lang w:val="en-US" w:eastAsia="zh-CN"/>
                    </w:rPr>
                    <w:t>辅助工程</w:t>
                  </w:r>
                </w:p>
              </w:tc>
              <w:tc>
                <w:tcPr>
                  <w:tcW w:w="1725" w:type="dxa"/>
                  <w:gridSpan w:val="2"/>
                  <w:tcBorders>
                    <w:tl2br w:val="nil"/>
                    <w:tr2bl w:val="nil"/>
                  </w:tcBorders>
                  <w:vAlign w:val="center"/>
                </w:tcPr>
                <w:p>
                  <w:pPr>
                    <w:pStyle w:val="31"/>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b w:val="0"/>
                      <w:bCs/>
                      <w:kern w:val="2"/>
                      <w:sz w:val="24"/>
                      <w:szCs w:val="24"/>
                      <w:highlight w:val="none"/>
                      <w:u w:val="none"/>
                      <w:vertAlign w:val="baseline"/>
                      <w:lang w:val="en-US" w:eastAsia="zh-CN" w:bidi="ar-SA"/>
                    </w:rPr>
                  </w:pPr>
                  <w:r>
                    <w:rPr>
                      <w:rFonts w:hint="eastAsia" w:ascii="Times New Roman" w:hAnsi="Times New Roman" w:cs="Times New Roman"/>
                      <w:b w:val="0"/>
                      <w:bCs/>
                      <w:color w:val="auto"/>
                      <w:sz w:val="21"/>
                      <w:szCs w:val="21"/>
                      <w:highlight w:val="none"/>
                      <w:u w:val="none"/>
                      <w:lang w:val="en-US" w:eastAsia="zh-CN"/>
                    </w:rPr>
                    <w:t>附属管理</w:t>
                  </w:r>
                </w:p>
              </w:tc>
              <w:tc>
                <w:tcPr>
                  <w:tcW w:w="6407" w:type="dxa"/>
                  <w:tcBorders>
                    <w:tl2br w:val="nil"/>
                    <w:tr2bl w:val="nil"/>
                  </w:tcBorders>
                  <w:vAlign w:val="center"/>
                </w:tcPr>
                <w:p>
                  <w:pPr>
                    <w:pStyle w:val="31"/>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left"/>
                    <w:textAlignment w:val="auto"/>
                    <w:rPr>
                      <w:rFonts w:hint="default" w:ascii="Times New Roman" w:hAnsi="Times New Roman" w:eastAsia="宋体" w:cs="Times New Roman"/>
                      <w:b w:val="0"/>
                      <w:bCs/>
                      <w:kern w:val="2"/>
                      <w:sz w:val="24"/>
                      <w:szCs w:val="24"/>
                      <w:highlight w:val="none"/>
                      <w:u w:val="none"/>
                      <w:vertAlign w:val="baseline"/>
                      <w:lang w:val="en-US" w:eastAsia="zh-CN" w:bidi="ar-SA"/>
                    </w:rPr>
                  </w:pPr>
                  <w:r>
                    <w:rPr>
                      <w:rFonts w:hint="eastAsia" w:cs="Times New Roman"/>
                      <w:b w:val="0"/>
                      <w:bCs/>
                      <w:color w:val="auto"/>
                      <w:sz w:val="21"/>
                      <w:szCs w:val="21"/>
                      <w:highlight w:val="none"/>
                      <w:u w:val="none"/>
                      <w:lang w:val="en-US" w:eastAsia="zh-CN"/>
                    </w:rPr>
                    <w:t>升压站内</w:t>
                  </w:r>
                  <w:r>
                    <w:rPr>
                      <w:rFonts w:hint="eastAsia" w:ascii="Times New Roman" w:hAnsi="Times New Roman" w:cs="Times New Roman"/>
                      <w:b w:val="0"/>
                      <w:bCs/>
                      <w:color w:val="auto"/>
                      <w:sz w:val="21"/>
                      <w:szCs w:val="21"/>
                      <w:highlight w:val="none"/>
                      <w:u w:val="none"/>
                      <w:lang w:val="en-US" w:eastAsia="zh-CN"/>
                    </w:rPr>
                    <w:t>附属管理</w:t>
                  </w:r>
                  <w:r>
                    <w:rPr>
                      <w:rFonts w:hint="eastAsia" w:cs="Times New Roman"/>
                      <w:b w:val="0"/>
                      <w:bCs/>
                      <w:color w:val="auto"/>
                      <w:sz w:val="21"/>
                      <w:szCs w:val="21"/>
                      <w:highlight w:val="none"/>
                      <w:u w:val="none"/>
                      <w:lang w:val="en-US" w:eastAsia="zh-CN"/>
                    </w:rPr>
                    <w:t>用房</w:t>
                  </w:r>
                  <w:r>
                    <w:rPr>
                      <w:rFonts w:hint="eastAsia" w:ascii="Times New Roman" w:hAnsi="Times New Roman" w:cs="Times New Roman"/>
                      <w:b w:val="0"/>
                      <w:bCs/>
                      <w:color w:val="auto"/>
                      <w:sz w:val="21"/>
                      <w:szCs w:val="21"/>
                      <w:highlight w:val="none"/>
                      <w:u w:val="none"/>
                      <w:lang w:val="en-US" w:eastAsia="zh-CN"/>
                    </w:rPr>
                    <w:t>包括厨房、餐厅、办公室、值班室，备品备件室等</w:t>
                  </w:r>
                  <w:r>
                    <w:rPr>
                      <w:rFonts w:hint="eastAsia" w:cs="Times New Roman"/>
                      <w:b w:val="0"/>
                      <w:bCs/>
                      <w:color w:val="auto"/>
                      <w:sz w:val="21"/>
                      <w:szCs w:val="21"/>
                      <w:highlight w:val="none"/>
                      <w:u w:val="none"/>
                      <w:lang w:val="en-US" w:eastAsia="zh-CN"/>
                    </w:rPr>
                    <w:t>。</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574" w:type="dxa"/>
                  <w:vMerge w:val="restart"/>
                  <w:tcBorders>
                    <w:tl2br w:val="nil"/>
                    <w:tr2bl w:val="nil"/>
                  </w:tcBorders>
                  <w:vAlign w:val="center"/>
                </w:tcPr>
                <w:p>
                  <w:pPr>
                    <w:pStyle w:val="31"/>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val="0"/>
                      <w:bCs/>
                      <w:color w:val="auto"/>
                      <w:sz w:val="21"/>
                      <w:szCs w:val="21"/>
                      <w:u w:val="none"/>
                      <w:lang w:val="en-US" w:eastAsia="zh-CN"/>
                    </w:rPr>
                  </w:pPr>
                  <w:r>
                    <w:rPr>
                      <w:rFonts w:hint="eastAsia" w:ascii="Times New Roman" w:hAnsi="Times New Roman" w:cs="Times New Roman"/>
                      <w:b w:val="0"/>
                      <w:bCs/>
                      <w:color w:val="auto"/>
                      <w:sz w:val="21"/>
                      <w:szCs w:val="21"/>
                      <w:highlight w:val="none"/>
                      <w:u w:val="none"/>
                      <w:lang w:val="en-US" w:eastAsia="zh-CN"/>
                    </w:rPr>
                    <w:t>公用工程</w:t>
                  </w:r>
                </w:p>
              </w:tc>
              <w:tc>
                <w:tcPr>
                  <w:tcW w:w="1725" w:type="dxa"/>
                  <w:gridSpan w:val="2"/>
                  <w:tcBorders>
                    <w:tl2br w:val="nil"/>
                    <w:tr2bl w:val="nil"/>
                  </w:tcBorders>
                  <w:vAlign w:val="center"/>
                </w:tcPr>
                <w:p>
                  <w:pPr>
                    <w:snapToGrid w:val="0"/>
                    <w:spacing w:line="240" w:lineRule="auto"/>
                    <w:ind w:firstLine="0" w:firstLineChars="0"/>
                    <w:jc w:val="center"/>
                    <w:rPr>
                      <w:rFonts w:hint="default" w:ascii="Times New Roman" w:hAnsi="Times New Roman" w:cs="Times New Roman" w:eastAsiaTheme="minorEastAsia"/>
                      <w:b w:val="0"/>
                      <w:bCs/>
                      <w:color w:val="auto"/>
                      <w:kern w:val="2"/>
                      <w:sz w:val="21"/>
                      <w:szCs w:val="21"/>
                      <w:u w:val="none"/>
                      <w:lang w:val="en-US" w:eastAsia="zh-CN" w:bidi="ar-SA"/>
                    </w:rPr>
                  </w:pPr>
                  <w:r>
                    <w:rPr>
                      <w:rFonts w:hint="eastAsia" w:ascii="Times New Roman" w:hAnsi="Times New Roman" w:cs="Times New Roman"/>
                      <w:b w:val="0"/>
                      <w:bCs/>
                      <w:color w:val="auto"/>
                      <w:sz w:val="21"/>
                      <w:szCs w:val="21"/>
                      <w:u w:val="none"/>
                      <w:lang w:val="en-US" w:eastAsia="zh-CN"/>
                    </w:rPr>
                    <w:t>供水</w:t>
                  </w:r>
                </w:p>
              </w:tc>
              <w:tc>
                <w:tcPr>
                  <w:tcW w:w="6407" w:type="dxa"/>
                  <w:tcBorders>
                    <w:tl2br w:val="nil"/>
                    <w:tr2bl w:val="nil"/>
                  </w:tcBorders>
                  <w:vAlign w:val="center"/>
                </w:tcPr>
                <w:p>
                  <w:pPr>
                    <w:snapToGrid w:val="0"/>
                    <w:spacing w:line="240" w:lineRule="auto"/>
                    <w:ind w:firstLine="0" w:firstLineChars="0"/>
                    <w:jc w:val="left"/>
                    <w:rPr>
                      <w:rFonts w:hint="default" w:ascii="Times New Roman" w:hAnsi="Times New Roman" w:cs="Times New Roman" w:eastAsiaTheme="minorEastAsia"/>
                      <w:b w:val="0"/>
                      <w:bCs/>
                      <w:color w:val="auto"/>
                      <w:kern w:val="2"/>
                      <w:sz w:val="21"/>
                      <w:szCs w:val="21"/>
                      <w:u w:val="none"/>
                      <w:lang w:val="en-US" w:eastAsia="zh-CN" w:bidi="ar-SA"/>
                    </w:rPr>
                  </w:pPr>
                  <w:r>
                    <w:rPr>
                      <w:rFonts w:hint="default" w:ascii="Times New Roman" w:hAnsi="Times New Roman" w:cs="Times New Roman"/>
                      <w:b w:val="0"/>
                      <w:bCs/>
                      <w:color w:val="auto"/>
                      <w:sz w:val="21"/>
                      <w:szCs w:val="21"/>
                      <w:u w:val="none"/>
                      <w:lang w:val="en-US" w:eastAsia="zh-CN"/>
                    </w:rPr>
                    <w:t>从升压站场址附近的村庄引水</w:t>
                  </w:r>
                  <w:r>
                    <w:rPr>
                      <w:rFonts w:hint="eastAsia" w:cs="Times New Roman"/>
                      <w:b w:val="0"/>
                      <w:bCs/>
                      <w:color w:val="auto"/>
                      <w:sz w:val="21"/>
                      <w:szCs w:val="21"/>
                      <w:u w:val="none"/>
                      <w:lang w:val="en-US" w:eastAsia="zh-CN"/>
                    </w:rPr>
                    <w:t>，设地下蓄水池及地面供水泵房。</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574" w:type="dxa"/>
                  <w:vMerge w:val="continue"/>
                  <w:tcBorders>
                    <w:tl2br w:val="nil"/>
                    <w:tr2bl w:val="nil"/>
                  </w:tcBorders>
                  <w:vAlign w:val="center"/>
                </w:tcPr>
                <w:p>
                  <w:pPr>
                    <w:pStyle w:val="31"/>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val="0"/>
                      <w:bCs/>
                      <w:color w:val="auto"/>
                      <w:sz w:val="21"/>
                      <w:szCs w:val="21"/>
                      <w:u w:val="none"/>
                      <w:lang w:val="en-US" w:eastAsia="zh-CN"/>
                    </w:rPr>
                  </w:pPr>
                </w:p>
              </w:tc>
              <w:tc>
                <w:tcPr>
                  <w:tcW w:w="1725" w:type="dxa"/>
                  <w:gridSpan w:val="2"/>
                  <w:vMerge w:val="restart"/>
                  <w:tcBorders>
                    <w:tl2br w:val="nil"/>
                    <w:tr2bl w:val="nil"/>
                  </w:tcBorders>
                  <w:vAlign w:val="center"/>
                </w:tcPr>
                <w:p>
                  <w:pPr>
                    <w:snapToGrid w:val="0"/>
                    <w:spacing w:line="240" w:lineRule="auto"/>
                    <w:ind w:firstLine="0" w:firstLineChars="0"/>
                    <w:jc w:val="center"/>
                    <w:rPr>
                      <w:rFonts w:hint="default" w:ascii="Times New Roman" w:hAnsi="Times New Roman" w:cs="Times New Roman" w:eastAsiaTheme="minorEastAsia"/>
                      <w:b w:val="0"/>
                      <w:bCs/>
                      <w:color w:val="auto"/>
                      <w:kern w:val="2"/>
                      <w:sz w:val="21"/>
                      <w:szCs w:val="21"/>
                      <w:u w:val="none"/>
                      <w:lang w:val="en-US" w:eastAsia="zh-CN" w:bidi="ar-SA"/>
                    </w:rPr>
                  </w:pPr>
                  <w:r>
                    <w:rPr>
                      <w:rFonts w:hint="eastAsia" w:ascii="Times New Roman" w:hAnsi="Times New Roman" w:cs="Times New Roman"/>
                      <w:b w:val="0"/>
                      <w:bCs/>
                      <w:color w:val="auto"/>
                      <w:sz w:val="21"/>
                      <w:szCs w:val="21"/>
                      <w:u w:val="none"/>
                      <w:lang w:val="en-US" w:eastAsia="zh-CN"/>
                    </w:rPr>
                    <w:t>供电</w:t>
                  </w:r>
                </w:p>
              </w:tc>
              <w:tc>
                <w:tcPr>
                  <w:tcW w:w="6407" w:type="dxa"/>
                  <w:tcBorders>
                    <w:tl2br w:val="nil"/>
                    <w:tr2bl w:val="nil"/>
                  </w:tcBorders>
                  <w:vAlign w:val="center"/>
                </w:tcPr>
                <w:p>
                  <w:pPr>
                    <w:snapToGrid w:val="0"/>
                    <w:spacing w:line="240" w:lineRule="auto"/>
                    <w:ind w:firstLine="0" w:firstLineChars="0"/>
                    <w:jc w:val="left"/>
                    <w:rPr>
                      <w:rFonts w:hint="default" w:ascii="Times New Roman" w:hAnsi="Times New Roman" w:cs="Times New Roman" w:eastAsiaTheme="minorEastAsia"/>
                      <w:b w:val="0"/>
                      <w:bCs/>
                      <w:color w:val="auto"/>
                      <w:kern w:val="2"/>
                      <w:sz w:val="21"/>
                      <w:szCs w:val="21"/>
                      <w:u w:val="none"/>
                      <w:lang w:val="en-US" w:eastAsia="zh-CN" w:bidi="ar-SA"/>
                    </w:rPr>
                  </w:pPr>
                  <w:r>
                    <w:rPr>
                      <w:rFonts w:hint="default" w:ascii="Times New Roman" w:hAnsi="Times New Roman" w:cs="Times New Roman"/>
                      <w:b w:val="0"/>
                      <w:bCs/>
                      <w:color w:val="auto"/>
                      <w:sz w:val="21"/>
                      <w:szCs w:val="21"/>
                      <w:u w:val="none"/>
                      <w:lang w:val="en-US" w:eastAsia="zh-CN"/>
                    </w:rPr>
                    <w:t>施工用电从附近10kV农网接入。</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574" w:type="dxa"/>
                  <w:vMerge w:val="continue"/>
                  <w:tcBorders>
                    <w:tl2br w:val="nil"/>
                    <w:tr2bl w:val="nil"/>
                  </w:tcBorders>
                  <w:vAlign w:val="center"/>
                </w:tcPr>
                <w:p>
                  <w:pPr>
                    <w:pStyle w:val="31"/>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val="0"/>
                      <w:bCs/>
                      <w:color w:val="auto"/>
                      <w:sz w:val="21"/>
                      <w:szCs w:val="21"/>
                      <w:u w:val="none"/>
                      <w:lang w:val="en-US" w:eastAsia="zh-CN"/>
                    </w:rPr>
                  </w:pPr>
                </w:p>
              </w:tc>
              <w:tc>
                <w:tcPr>
                  <w:tcW w:w="1725" w:type="dxa"/>
                  <w:gridSpan w:val="2"/>
                  <w:vMerge w:val="continue"/>
                  <w:tcBorders>
                    <w:tl2br w:val="nil"/>
                    <w:tr2bl w:val="nil"/>
                  </w:tcBorders>
                  <w:vAlign w:val="center"/>
                </w:tcPr>
                <w:p>
                  <w:pPr>
                    <w:snapToGrid w:val="0"/>
                    <w:spacing w:line="240" w:lineRule="auto"/>
                    <w:ind w:firstLine="0" w:firstLineChars="0"/>
                    <w:jc w:val="center"/>
                    <w:rPr>
                      <w:rFonts w:hint="eastAsia" w:ascii="Times New Roman" w:hAnsi="Times New Roman" w:cs="Times New Roman"/>
                      <w:b w:val="0"/>
                      <w:bCs/>
                      <w:color w:val="auto"/>
                      <w:sz w:val="21"/>
                      <w:szCs w:val="21"/>
                      <w:u w:val="none"/>
                      <w:lang w:val="en-US" w:eastAsia="zh-CN"/>
                    </w:rPr>
                  </w:pPr>
                </w:p>
              </w:tc>
              <w:tc>
                <w:tcPr>
                  <w:tcW w:w="6407" w:type="dxa"/>
                  <w:tcBorders>
                    <w:tl2br w:val="nil"/>
                    <w:tr2bl w:val="nil"/>
                  </w:tcBorders>
                  <w:vAlign w:val="center"/>
                </w:tcPr>
                <w:p>
                  <w:pPr>
                    <w:snapToGrid w:val="0"/>
                    <w:spacing w:line="240" w:lineRule="auto"/>
                    <w:ind w:firstLine="0" w:firstLineChars="0"/>
                    <w:jc w:val="left"/>
                    <w:rPr>
                      <w:rFonts w:hint="default"/>
                      <w:b w:val="0"/>
                      <w:bCs/>
                      <w:u w:val="none"/>
                      <w:lang w:val="en-US" w:eastAsia="zh-CN"/>
                    </w:rPr>
                  </w:pPr>
                  <w:r>
                    <w:rPr>
                      <w:rFonts w:hint="default" w:ascii="Times New Roman" w:hAnsi="Times New Roman" w:cs="Times New Roman"/>
                      <w:b w:val="0"/>
                      <w:bCs/>
                      <w:color w:val="auto"/>
                      <w:sz w:val="21"/>
                      <w:szCs w:val="21"/>
                      <w:u w:val="none"/>
                      <w:lang w:val="en-US" w:eastAsia="zh-CN"/>
                    </w:rPr>
                    <w:t>站用电系统</w:t>
                  </w:r>
                  <w:r>
                    <w:rPr>
                      <w:rFonts w:hint="eastAsia" w:ascii="Times New Roman" w:hAnsi="Times New Roman" w:cs="Times New Roman"/>
                      <w:b w:val="0"/>
                      <w:bCs/>
                      <w:color w:val="auto"/>
                      <w:sz w:val="21"/>
                      <w:szCs w:val="21"/>
                      <w:u w:val="none"/>
                      <w:lang w:val="en-US" w:eastAsia="zh-CN"/>
                    </w:rPr>
                    <w:t>：</w:t>
                  </w:r>
                  <w:r>
                    <w:rPr>
                      <w:rFonts w:hint="default" w:ascii="Times New Roman" w:hAnsi="Times New Roman" w:cs="Times New Roman"/>
                      <w:b w:val="0"/>
                      <w:bCs/>
                      <w:color w:val="auto"/>
                      <w:sz w:val="21"/>
                      <w:szCs w:val="21"/>
                      <w:u w:val="none"/>
                      <w:lang w:val="en-US" w:eastAsia="zh-CN"/>
                    </w:rPr>
                    <w:t>采用0.4kV</w:t>
                  </w:r>
                  <w:r>
                    <w:rPr>
                      <w:rFonts w:hint="eastAsia" w:ascii="Times New Roman" w:hAnsi="Times New Roman" w:cs="Times New Roman"/>
                      <w:b w:val="0"/>
                      <w:bCs/>
                      <w:color w:val="auto"/>
                      <w:sz w:val="21"/>
                      <w:szCs w:val="21"/>
                      <w:u w:val="none"/>
                      <w:lang w:val="en-US" w:eastAsia="zh-CN"/>
                    </w:rPr>
                    <w:t>，双电源（本站</w:t>
                  </w:r>
                  <w:r>
                    <w:rPr>
                      <w:rFonts w:hint="default" w:ascii="Times New Roman" w:hAnsi="Times New Roman" w:cs="Times New Roman"/>
                      <w:b w:val="0"/>
                      <w:bCs/>
                      <w:color w:val="auto"/>
                      <w:sz w:val="21"/>
                      <w:szCs w:val="21"/>
                      <w:u w:val="none"/>
                      <w:lang w:val="en-US" w:eastAsia="zh-CN"/>
                    </w:rPr>
                    <w:t>35kV</w:t>
                  </w:r>
                  <w:r>
                    <w:rPr>
                      <w:rFonts w:hint="eastAsia" w:ascii="Times New Roman" w:hAnsi="Times New Roman" w:cs="Times New Roman"/>
                      <w:b w:val="0"/>
                      <w:bCs/>
                      <w:color w:val="auto"/>
                      <w:sz w:val="21"/>
                      <w:szCs w:val="21"/>
                      <w:u w:val="none"/>
                      <w:lang w:val="en-US" w:eastAsia="zh-CN"/>
                    </w:rPr>
                    <w:t>母线、</w:t>
                  </w:r>
                  <w:r>
                    <w:rPr>
                      <w:rFonts w:hint="default" w:ascii="Times New Roman" w:hAnsi="Times New Roman" w:cs="Times New Roman"/>
                      <w:b w:val="0"/>
                      <w:bCs/>
                      <w:color w:val="auto"/>
                      <w:sz w:val="21"/>
                      <w:szCs w:val="21"/>
                      <w:u w:val="none"/>
                      <w:lang w:val="en-US" w:eastAsia="zh-CN"/>
                    </w:rPr>
                    <w:t>10kV农网</w:t>
                  </w:r>
                  <w:r>
                    <w:rPr>
                      <w:rFonts w:hint="eastAsia" w:ascii="Times New Roman" w:hAnsi="Times New Roman" w:cs="Times New Roman"/>
                      <w:b w:val="0"/>
                      <w:bCs/>
                      <w:color w:val="auto"/>
                      <w:sz w:val="21"/>
                      <w:szCs w:val="21"/>
                      <w:u w:val="none"/>
                      <w:lang w:val="en-US" w:eastAsia="zh-CN"/>
                    </w:rPr>
                    <w:t>）供电方式。站用电采用单母线接线方式，两个电源设置自动切换装置。</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574" w:type="dxa"/>
                  <w:vMerge w:val="continue"/>
                  <w:tcBorders>
                    <w:tl2br w:val="nil"/>
                    <w:tr2bl w:val="nil"/>
                  </w:tcBorders>
                  <w:vAlign w:val="center"/>
                </w:tcPr>
                <w:p>
                  <w:pPr>
                    <w:pStyle w:val="31"/>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val="0"/>
                      <w:bCs/>
                      <w:color w:val="auto"/>
                      <w:sz w:val="21"/>
                      <w:szCs w:val="21"/>
                      <w:u w:val="none"/>
                      <w:lang w:val="en-US" w:eastAsia="zh-CN"/>
                    </w:rPr>
                  </w:pPr>
                </w:p>
              </w:tc>
              <w:tc>
                <w:tcPr>
                  <w:tcW w:w="1725" w:type="dxa"/>
                  <w:gridSpan w:val="2"/>
                  <w:vMerge w:val="continue"/>
                  <w:tcBorders>
                    <w:tl2br w:val="nil"/>
                    <w:tr2bl w:val="nil"/>
                  </w:tcBorders>
                  <w:vAlign w:val="center"/>
                </w:tcPr>
                <w:p>
                  <w:pPr>
                    <w:snapToGrid w:val="0"/>
                    <w:spacing w:line="240" w:lineRule="auto"/>
                    <w:ind w:firstLine="0" w:firstLineChars="0"/>
                    <w:jc w:val="center"/>
                    <w:rPr>
                      <w:rFonts w:hint="eastAsia" w:ascii="Times New Roman" w:hAnsi="Times New Roman" w:cs="Times New Roman"/>
                      <w:b w:val="0"/>
                      <w:bCs/>
                      <w:color w:val="auto"/>
                      <w:sz w:val="21"/>
                      <w:szCs w:val="21"/>
                      <w:u w:val="none"/>
                      <w:lang w:val="en-US" w:eastAsia="zh-CN"/>
                    </w:rPr>
                  </w:pPr>
                </w:p>
              </w:tc>
              <w:tc>
                <w:tcPr>
                  <w:tcW w:w="6407"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top"/>
                    <w:rPr>
                      <w:rFonts w:hint="default" w:ascii="Times New Roman" w:hAnsi="Times New Roman" w:cs="Times New Roman"/>
                      <w:b w:val="0"/>
                      <w:bCs/>
                      <w:color w:val="auto"/>
                      <w:sz w:val="21"/>
                      <w:szCs w:val="21"/>
                      <w:u w:val="none"/>
                      <w:lang w:val="en-US" w:eastAsia="zh-CN"/>
                    </w:rPr>
                  </w:pPr>
                  <w:r>
                    <w:rPr>
                      <w:rFonts w:hint="eastAsia" w:ascii="Times New Roman" w:hAnsi="Times New Roman" w:eastAsia="宋体" w:cs="Times New Roman"/>
                      <w:b w:val="0"/>
                      <w:bCs/>
                      <w:color w:val="auto"/>
                      <w:kern w:val="2"/>
                      <w:sz w:val="21"/>
                      <w:szCs w:val="21"/>
                      <w:highlight w:val="none"/>
                      <w:u w:val="none"/>
                      <w:lang w:val="en-US" w:eastAsia="zh-CN" w:bidi="ar-SA"/>
                    </w:rPr>
                    <w:t>直流电源：采用微机型智能高频开关电源直流系统，电压为</w:t>
                  </w:r>
                  <w:r>
                    <w:rPr>
                      <w:rFonts w:hint="default" w:ascii="Times New Roman" w:hAnsi="Times New Roman" w:eastAsia="宋体" w:cs="Times New Roman"/>
                      <w:b w:val="0"/>
                      <w:bCs/>
                      <w:color w:val="auto"/>
                      <w:kern w:val="2"/>
                      <w:sz w:val="21"/>
                      <w:szCs w:val="21"/>
                      <w:highlight w:val="none"/>
                      <w:u w:val="none"/>
                      <w:lang w:val="en-US" w:eastAsia="zh-CN" w:bidi="ar-SA"/>
                    </w:rPr>
                    <w:t>220V</w:t>
                  </w:r>
                  <w:r>
                    <w:rPr>
                      <w:rFonts w:hint="eastAsia" w:ascii="Times New Roman" w:hAnsi="Times New Roman" w:eastAsia="宋体" w:cs="Times New Roman"/>
                      <w:b w:val="0"/>
                      <w:bCs/>
                      <w:color w:val="auto"/>
                      <w:kern w:val="2"/>
                      <w:sz w:val="21"/>
                      <w:szCs w:val="21"/>
                      <w:highlight w:val="none"/>
                      <w:u w:val="none"/>
                      <w:lang w:val="en-US" w:eastAsia="zh-CN" w:bidi="ar-SA"/>
                    </w:rPr>
                    <w:t>，</w:t>
                  </w:r>
                  <w:r>
                    <w:rPr>
                      <w:rFonts w:hint="default" w:ascii="Times New Roman" w:hAnsi="Times New Roman" w:eastAsia="宋体" w:cs="Times New Roman"/>
                      <w:b w:val="0"/>
                      <w:bCs/>
                      <w:color w:val="auto"/>
                      <w:kern w:val="2"/>
                      <w:sz w:val="21"/>
                      <w:szCs w:val="21"/>
                      <w:highlight w:val="none"/>
                      <w:u w:val="none"/>
                      <w:lang w:val="en-US" w:eastAsia="zh-CN" w:bidi="ar-SA"/>
                    </w:rPr>
                    <w:t>设一组250AH</w:t>
                  </w:r>
                  <w:r>
                    <w:rPr>
                      <w:rFonts w:hint="eastAsia" w:ascii="Times New Roman" w:hAnsi="Times New Roman" w:eastAsia="宋体" w:cs="Times New Roman"/>
                      <w:b w:val="0"/>
                      <w:bCs/>
                      <w:color w:val="auto"/>
                      <w:kern w:val="2"/>
                      <w:sz w:val="21"/>
                      <w:szCs w:val="21"/>
                      <w:highlight w:val="none"/>
                      <w:u w:val="none"/>
                      <w:lang w:val="en-US" w:eastAsia="zh-CN" w:bidi="ar-SA"/>
                    </w:rPr>
                    <w:t>阀控式密封铅酸蓄电池，采用单母线接线。</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574" w:type="dxa"/>
                  <w:vMerge w:val="continue"/>
                  <w:tcBorders>
                    <w:tl2br w:val="nil"/>
                    <w:tr2bl w:val="nil"/>
                  </w:tcBorders>
                  <w:vAlign w:val="center"/>
                </w:tcPr>
                <w:p>
                  <w:pPr>
                    <w:pStyle w:val="31"/>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val="0"/>
                      <w:bCs/>
                      <w:color w:val="auto"/>
                      <w:sz w:val="21"/>
                      <w:szCs w:val="21"/>
                      <w:u w:val="none"/>
                      <w:lang w:val="en-US" w:eastAsia="zh-CN"/>
                    </w:rPr>
                  </w:pPr>
                </w:p>
              </w:tc>
              <w:tc>
                <w:tcPr>
                  <w:tcW w:w="1725" w:type="dxa"/>
                  <w:gridSpan w:val="2"/>
                  <w:tcBorders>
                    <w:tl2br w:val="nil"/>
                    <w:tr2bl w:val="nil"/>
                  </w:tcBorders>
                  <w:vAlign w:val="center"/>
                </w:tcPr>
                <w:p>
                  <w:pPr>
                    <w:snapToGrid w:val="0"/>
                    <w:spacing w:line="240" w:lineRule="auto"/>
                    <w:ind w:firstLine="0" w:firstLineChars="0"/>
                    <w:jc w:val="center"/>
                    <w:rPr>
                      <w:rFonts w:hint="default" w:ascii="Times New Roman" w:hAnsi="Times New Roman" w:cs="Times New Roman" w:eastAsiaTheme="minorEastAsia"/>
                      <w:b w:val="0"/>
                      <w:bCs/>
                      <w:color w:val="auto"/>
                      <w:kern w:val="2"/>
                      <w:sz w:val="21"/>
                      <w:szCs w:val="21"/>
                      <w:u w:val="none"/>
                      <w:lang w:val="en-US" w:eastAsia="zh-CN" w:bidi="ar-SA"/>
                    </w:rPr>
                  </w:pPr>
                  <w:r>
                    <w:rPr>
                      <w:rFonts w:hint="eastAsia" w:ascii="Times New Roman" w:hAnsi="Times New Roman" w:cs="Times New Roman"/>
                      <w:b w:val="0"/>
                      <w:bCs/>
                      <w:color w:val="auto"/>
                      <w:sz w:val="21"/>
                      <w:szCs w:val="21"/>
                      <w:u w:val="none"/>
                      <w:lang w:val="en-US" w:eastAsia="zh-CN"/>
                    </w:rPr>
                    <w:t>供暖</w:t>
                  </w:r>
                </w:p>
              </w:tc>
              <w:tc>
                <w:tcPr>
                  <w:tcW w:w="6407" w:type="dxa"/>
                  <w:tcBorders>
                    <w:tl2br w:val="nil"/>
                    <w:tr2bl w:val="nil"/>
                  </w:tcBorders>
                  <w:vAlign w:val="center"/>
                </w:tcPr>
                <w:p>
                  <w:pPr>
                    <w:snapToGrid w:val="0"/>
                    <w:spacing w:line="240" w:lineRule="auto"/>
                    <w:ind w:firstLine="0" w:firstLineChars="0"/>
                    <w:jc w:val="left"/>
                    <w:rPr>
                      <w:rFonts w:hint="default" w:ascii="Times New Roman" w:hAnsi="Times New Roman" w:cs="Times New Roman" w:eastAsiaTheme="minorEastAsia"/>
                      <w:b w:val="0"/>
                      <w:bCs/>
                      <w:color w:val="auto"/>
                      <w:kern w:val="2"/>
                      <w:sz w:val="21"/>
                      <w:szCs w:val="21"/>
                      <w:u w:val="none"/>
                      <w:lang w:val="en-US" w:eastAsia="zh-CN" w:bidi="ar-SA"/>
                    </w:rPr>
                  </w:pPr>
                  <w:r>
                    <w:rPr>
                      <w:rFonts w:hint="default" w:ascii="Times New Roman" w:hAnsi="Times New Roman" w:cs="Times New Roman"/>
                      <w:b w:val="0"/>
                      <w:bCs/>
                      <w:color w:val="auto"/>
                      <w:sz w:val="21"/>
                      <w:szCs w:val="21"/>
                      <w:u w:val="none"/>
                      <w:lang w:val="en-US" w:eastAsia="zh-CN"/>
                    </w:rPr>
                    <w:t>空调</w:t>
                  </w:r>
                  <w:r>
                    <w:rPr>
                      <w:rFonts w:hint="eastAsia" w:ascii="Times New Roman" w:hAnsi="Times New Roman" w:cs="Times New Roman"/>
                      <w:b w:val="0"/>
                      <w:bCs/>
                      <w:color w:val="auto"/>
                      <w:sz w:val="21"/>
                      <w:szCs w:val="21"/>
                      <w:u w:val="none"/>
                      <w:lang w:val="en-US" w:eastAsia="zh-CN"/>
                    </w:rPr>
                    <w:t>供暖</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574" w:type="dxa"/>
                  <w:vMerge w:val="continue"/>
                  <w:tcBorders>
                    <w:tl2br w:val="nil"/>
                    <w:tr2bl w:val="nil"/>
                  </w:tcBorders>
                  <w:vAlign w:val="center"/>
                </w:tcPr>
                <w:p>
                  <w:pPr>
                    <w:pStyle w:val="31"/>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val="0"/>
                      <w:bCs/>
                      <w:color w:val="auto"/>
                      <w:sz w:val="21"/>
                      <w:szCs w:val="21"/>
                      <w:u w:val="none"/>
                      <w:lang w:val="en-US" w:eastAsia="zh-CN"/>
                    </w:rPr>
                  </w:pPr>
                </w:p>
              </w:tc>
              <w:tc>
                <w:tcPr>
                  <w:tcW w:w="1725" w:type="dxa"/>
                  <w:gridSpan w:val="2"/>
                  <w:tcBorders>
                    <w:tl2br w:val="nil"/>
                    <w:tr2bl w:val="nil"/>
                  </w:tcBorders>
                  <w:vAlign w:val="center"/>
                </w:tcPr>
                <w:p>
                  <w:pPr>
                    <w:autoSpaceDE w:val="0"/>
                    <w:autoSpaceDN w:val="0"/>
                    <w:spacing w:line="240" w:lineRule="auto"/>
                    <w:ind w:firstLine="0" w:firstLineChars="0"/>
                    <w:jc w:val="center"/>
                    <w:rPr>
                      <w:rFonts w:hint="default" w:cs="Times New Roman"/>
                      <w:b w:val="0"/>
                      <w:bCs/>
                      <w:color w:val="auto"/>
                      <w:sz w:val="21"/>
                      <w:szCs w:val="21"/>
                      <w:highlight w:val="none"/>
                      <w:u w:val="none"/>
                      <w:lang w:val="en-US" w:eastAsia="zh-CN"/>
                    </w:rPr>
                  </w:pPr>
                  <w:r>
                    <w:rPr>
                      <w:rFonts w:hint="eastAsia" w:cs="Times New Roman"/>
                      <w:b w:val="0"/>
                      <w:bCs/>
                      <w:color w:val="auto"/>
                      <w:sz w:val="21"/>
                      <w:szCs w:val="21"/>
                      <w:highlight w:val="none"/>
                      <w:u w:val="none"/>
                      <w:lang w:val="en-US" w:eastAsia="zh-CN"/>
                    </w:rPr>
                    <w:t>消防</w:t>
                  </w:r>
                </w:p>
              </w:tc>
              <w:tc>
                <w:tcPr>
                  <w:tcW w:w="6407" w:type="dxa"/>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0" w:firstLineChars="0"/>
                    <w:jc w:val="left"/>
                    <w:textAlignment w:val="top"/>
                    <w:rPr>
                      <w:rFonts w:hint="default" w:cs="Times New Roman"/>
                      <w:b w:val="0"/>
                      <w:bCs/>
                      <w:color w:val="auto"/>
                      <w:sz w:val="21"/>
                      <w:szCs w:val="21"/>
                      <w:highlight w:val="none"/>
                      <w:u w:val="none"/>
                      <w:lang w:val="en-US" w:eastAsia="zh-CN"/>
                    </w:rPr>
                  </w:pPr>
                  <w:r>
                    <w:rPr>
                      <w:rFonts w:hint="eastAsia" w:ascii="Times New Roman" w:hAnsi="Times New Roman" w:cs="Times New Roman"/>
                      <w:b w:val="0"/>
                      <w:bCs/>
                      <w:color w:val="auto"/>
                      <w:sz w:val="21"/>
                      <w:szCs w:val="21"/>
                      <w:highlight w:val="none"/>
                      <w:u w:val="none"/>
                      <w:lang w:val="en-US" w:eastAsia="zh-CN"/>
                    </w:rPr>
                    <w:t>设</w:t>
                  </w:r>
                  <w:r>
                    <w:rPr>
                      <w:rFonts w:hint="default" w:ascii="Times New Roman" w:hAnsi="Times New Roman" w:cs="Times New Roman"/>
                      <w:b w:val="0"/>
                      <w:bCs/>
                      <w:color w:val="auto"/>
                      <w:sz w:val="21"/>
                      <w:szCs w:val="21"/>
                      <w:highlight w:val="none"/>
                      <w:u w:val="none"/>
                      <w:lang w:val="en-US" w:eastAsia="zh-CN"/>
                    </w:rPr>
                    <w:t>火灾自动报警系</w:t>
                  </w:r>
                  <w:r>
                    <w:rPr>
                      <w:rFonts w:hint="eastAsia" w:ascii="Times New Roman" w:hAnsi="Times New Roman" w:cs="Times New Roman"/>
                      <w:b w:val="0"/>
                      <w:bCs/>
                      <w:color w:val="auto"/>
                      <w:sz w:val="21"/>
                      <w:szCs w:val="21"/>
                      <w:highlight w:val="none"/>
                      <w:u w:val="none"/>
                      <w:lang w:val="en-US" w:eastAsia="zh-CN"/>
                    </w:rPr>
                    <w:t>统，</w:t>
                  </w:r>
                  <w:r>
                    <w:rPr>
                      <w:rFonts w:hint="eastAsia" w:cs="Times New Roman"/>
                      <w:b w:val="0"/>
                      <w:bCs/>
                      <w:color w:val="auto"/>
                      <w:sz w:val="21"/>
                      <w:szCs w:val="21"/>
                      <w:highlight w:val="none"/>
                      <w:u w:val="none"/>
                      <w:lang w:val="en-US" w:eastAsia="zh-CN"/>
                    </w:rPr>
                    <w:t>设</w:t>
                  </w:r>
                  <w:r>
                    <w:rPr>
                      <w:rFonts w:hint="eastAsia" w:ascii="Times New Roman" w:hAnsi="Times New Roman" w:cs="Times New Roman"/>
                      <w:b w:val="0"/>
                      <w:bCs/>
                      <w:color w:val="auto"/>
                      <w:sz w:val="21"/>
                      <w:szCs w:val="21"/>
                      <w:highlight w:val="none"/>
                      <w:u w:val="none"/>
                      <w:lang w:val="en-US" w:eastAsia="zh-CN"/>
                    </w:rPr>
                    <w:t>容积180m</w:t>
                  </w:r>
                  <w:r>
                    <w:rPr>
                      <w:rFonts w:hint="eastAsia" w:ascii="Times New Roman" w:hAnsi="Times New Roman" w:cs="Times New Roman"/>
                      <w:b w:val="0"/>
                      <w:bCs/>
                      <w:color w:val="auto"/>
                      <w:sz w:val="21"/>
                      <w:szCs w:val="21"/>
                      <w:highlight w:val="none"/>
                      <w:u w:val="none"/>
                      <w:vertAlign w:val="superscript"/>
                      <w:lang w:val="en-US" w:eastAsia="zh-CN"/>
                    </w:rPr>
                    <w:t>3</w:t>
                  </w:r>
                  <w:r>
                    <w:rPr>
                      <w:rFonts w:hint="eastAsia" w:ascii="Times New Roman" w:hAnsi="Times New Roman" w:cs="Times New Roman"/>
                      <w:b w:val="0"/>
                      <w:bCs/>
                      <w:color w:val="auto"/>
                      <w:sz w:val="21"/>
                      <w:szCs w:val="21"/>
                      <w:highlight w:val="none"/>
                      <w:u w:val="none"/>
                      <w:lang w:val="en-US" w:eastAsia="zh-CN"/>
                    </w:rPr>
                    <w:t>的消防水池1座，</w:t>
                  </w:r>
                  <w:r>
                    <w:rPr>
                      <w:rFonts w:hint="default" w:ascii="Times New Roman" w:hAnsi="Times New Roman" w:cs="Times New Roman"/>
                      <w:b w:val="0"/>
                      <w:bCs/>
                      <w:color w:val="auto"/>
                      <w:sz w:val="21"/>
                      <w:szCs w:val="21"/>
                      <w:highlight w:val="none"/>
                      <w:u w:val="none"/>
                      <w:lang w:val="en-US" w:eastAsia="zh-CN"/>
                    </w:rPr>
                    <w:t>消火栓</w:t>
                  </w:r>
                  <w:r>
                    <w:rPr>
                      <w:rFonts w:hint="eastAsia" w:ascii="Times New Roman" w:hAnsi="Times New Roman" w:cs="Times New Roman"/>
                      <w:b w:val="0"/>
                      <w:bCs/>
                      <w:color w:val="auto"/>
                      <w:sz w:val="21"/>
                      <w:szCs w:val="21"/>
                      <w:highlight w:val="none"/>
                      <w:u w:val="none"/>
                      <w:lang w:val="en-US" w:eastAsia="zh-CN"/>
                    </w:rPr>
                    <w:t>、灭火器若干，砂箱2个，消防铲、消防桶若干</w:t>
                  </w:r>
                  <w:r>
                    <w:rPr>
                      <w:rFonts w:hint="eastAsia" w:cs="Times New Roman"/>
                      <w:b w:val="0"/>
                      <w:bCs/>
                      <w:color w:val="auto"/>
                      <w:sz w:val="21"/>
                      <w:szCs w:val="21"/>
                      <w:highlight w:val="none"/>
                      <w:u w:val="none"/>
                      <w:lang w:val="en-US" w:eastAsia="zh-CN"/>
                    </w:rPr>
                    <w:t>。</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574" w:type="dxa"/>
                  <w:vMerge w:val="restart"/>
                  <w:tcBorders>
                    <w:tl2br w:val="nil"/>
                    <w:tr2bl w:val="nil"/>
                  </w:tcBorders>
                  <w:vAlign w:val="center"/>
                </w:tcPr>
                <w:p>
                  <w:pPr>
                    <w:pStyle w:val="31"/>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val="0"/>
                      <w:bCs/>
                      <w:color w:val="auto"/>
                      <w:sz w:val="21"/>
                      <w:szCs w:val="21"/>
                      <w:u w:val="none"/>
                      <w:lang w:val="en-US" w:eastAsia="zh-CN"/>
                    </w:rPr>
                  </w:pPr>
                  <w:r>
                    <w:rPr>
                      <w:rFonts w:hint="eastAsia" w:ascii="Times New Roman" w:hAnsi="Times New Roman" w:cs="Times New Roman"/>
                      <w:b w:val="0"/>
                      <w:bCs/>
                      <w:color w:val="auto"/>
                      <w:sz w:val="21"/>
                      <w:szCs w:val="21"/>
                      <w:u w:val="none"/>
                      <w:lang w:val="en-US" w:eastAsia="zh-CN"/>
                    </w:rPr>
                    <w:t>环保工程</w:t>
                  </w:r>
                </w:p>
              </w:tc>
              <w:tc>
                <w:tcPr>
                  <w:tcW w:w="553" w:type="dxa"/>
                  <w:vMerge w:val="restart"/>
                  <w:tcBorders>
                    <w:tl2br w:val="nil"/>
                    <w:tr2bl w:val="nil"/>
                  </w:tcBorders>
                  <w:vAlign w:val="center"/>
                </w:tcPr>
                <w:p>
                  <w:pPr>
                    <w:autoSpaceDE w:val="0"/>
                    <w:autoSpaceDN w:val="0"/>
                    <w:spacing w:line="240" w:lineRule="auto"/>
                    <w:ind w:firstLine="0" w:firstLineChars="0"/>
                    <w:jc w:val="center"/>
                    <w:rPr>
                      <w:rFonts w:hint="default" w:cs="Times New Roman"/>
                      <w:b w:val="0"/>
                      <w:bCs/>
                      <w:color w:val="auto"/>
                      <w:sz w:val="21"/>
                      <w:szCs w:val="21"/>
                      <w:highlight w:val="none"/>
                      <w:u w:val="none"/>
                      <w:lang w:val="en-US" w:eastAsia="zh-CN"/>
                    </w:rPr>
                  </w:pPr>
                  <w:r>
                    <w:rPr>
                      <w:rFonts w:hint="eastAsia" w:cs="Times New Roman"/>
                      <w:b w:val="0"/>
                      <w:bCs/>
                      <w:color w:val="auto"/>
                      <w:sz w:val="21"/>
                      <w:szCs w:val="21"/>
                      <w:highlight w:val="none"/>
                      <w:u w:val="none"/>
                      <w:lang w:val="en-US" w:eastAsia="zh-CN"/>
                    </w:rPr>
                    <w:t>废气治理</w:t>
                  </w:r>
                </w:p>
              </w:tc>
              <w:tc>
                <w:tcPr>
                  <w:tcW w:w="1172" w:type="dxa"/>
                  <w:tcBorders>
                    <w:tl2br w:val="nil"/>
                    <w:tr2bl w:val="nil"/>
                  </w:tcBorders>
                  <w:vAlign w:val="center"/>
                </w:tcPr>
                <w:p>
                  <w:pPr>
                    <w:autoSpaceDE w:val="0"/>
                    <w:autoSpaceDN w:val="0"/>
                    <w:spacing w:line="240" w:lineRule="auto"/>
                    <w:ind w:firstLine="0" w:firstLineChars="0"/>
                    <w:jc w:val="center"/>
                    <w:rPr>
                      <w:rFonts w:hint="eastAsia" w:cs="Times New Roman"/>
                      <w:b w:val="0"/>
                      <w:bCs/>
                      <w:color w:val="auto"/>
                      <w:sz w:val="21"/>
                      <w:szCs w:val="21"/>
                      <w:highlight w:val="none"/>
                      <w:u w:val="none"/>
                      <w:lang w:val="en-US" w:eastAsia="zh-CN"/>
                    </w:rPr>
                  </w:pPr>
                  <w:r>
                    <w:rPr>
                      <w:rFonts w:hint="eastAsia" w:cs="Times New Roman"/>
                      <w:b w:val="0"/>
                      <w:bCs/>
                      <w:color w:val="auto"/>
                      <w:sz w:val="21"/>
                      <w:szCs w:val="21"/>
                      <w:highlight w:val="none"/>
                      <w:u w:val="none"/>
                      <w:lang w:val="en-US" w:eastAsia="zh-CN"/>
                    </w:rPr>
                    <w:t>故障废气</w:t>
                  </w:r>
                </w:p>
              </w:tc>
              <w:tc>
                <w:tcPr>
                  <w:tcW w:w="6407" w:type="dxa"/>
                  <w:tcBorders>
                    <w:tl2br w:val="nil"/>
                    <w:tr2bl w:val="nil"/>
                  </w:tcBorders>
                  <w:vAlign w:val="center"/>
                </w:tcPr>
                <w:p>
                  <w:pPr>
                    <w:autoSpaceDE w:val="0"/>
                    <w:autoSpaceDN w:val="0"/>
                    <w:spacing w:line="240" w:lineRule="auto"/>
                    <w:ind w:firstLine="0" w:firstLineChars="0"/>
                    <w:jc w:val="left"/>
                    <w:rPr>
                      <w:rFonts w:hint="default" w:cs="Times New Roman"/>
                      <w:b w:val="0"/>
                      <w:bCs/>
                      <w:color w:val="auto"/>
                      <w:sz w:val="21"/>
                      <w:szCs w:val="21"/>
                      <w:highlight w:val="none"/>
                      <w:u w:val="none"/>
                      <w:lang w:val="en-US" w:eastAsia="zh-CN"/>
                    </w:rPr>
                  </w:pPr>
                  <w:r>
                    <w:rPr>
                      <w:rFonts w:hint="eastAsia" w:cs="Times New Roman"/>
                      <w:b w:val="0"/>
                      <w:bCs/>
                      <w:color w:val="auto"/>
                      <w:sz w:val="21"/>
                      <w:szCs w:val="21"/>
                      <w:highlight w:val="none"/>
                      <w:u w:val="none"/>
                      <w:lang w:val="en-US" w:eastAsia="zh-CN"/>
                    </w:rPr>
                    <w:t>设接地变压器、采用六氟化硫断路器，加强变压器运行状态检查，减少项目运行过程中高压电弧产生频次</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574" w:type="dxa"/>
                  <w:vMerge w:val="continue"/>
                  <w:tcBorders>
                    <w:tl2br w:val="nil"/>
                    <w:tr2bl w:val="nil"/>
                  </w:tcBorders>
                  <w:vAlign w:val="center"/>
                </w:tcPr>
                <w:p>
                  <w:pPr>
                    <w:pStyle w:val="31"/>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cs="Times New Roman"/>
                      <w:b w:val="0"/>
                      <w:bCs/>
                      <w:color w:val="auto"/>
                      <w:sz w:val="21"/>
                      <w:szCs w:val="21"/>
                      <w:u w:val="none"/>
                      <w:lang w:val="en-US" w:eastAsia="zh-CN"/>
                    </w:rPr>
                  </w:pPr>
                </w:p>
              </w:tc>
              <w:tc>
                <w:tcPr>
                  <w:tcW w:w="553" w:type="dxa"/>
                  <w:vMerge w:val="continue"/>
                  <w:tcBorders>
                    <w:tl2br w:val="nil"/>
                    <w:tr2bl w:val="nil"/>
                  </w:tcBorders>
                  <w:vAlign w:val="center"/>
                </w:tcPr>
                <w:p>
                  <w:pPr>
                    <w:autoSpaceDE w:val="0"/>
                    <w:autoSpaceDN w:val="0"/>
                    <w:spacing w:line="240" w:lineRule="auto"/>
                    <w:ind w:firstLine="0" w:firstLineChars="0"/>
                    <w:jc w:val="center"/>
                    <w:rPr>
                      <w:rFonts w:hint="eastAsia" w:cs="Times New Roman"/>
                      <w:b w:val="0"/>
                      <w:bCs/>
                      <w:color w:val="auto"/>
                      <w:sz w:val="21"/>
                      <w:szCs w:val="21"/>
                      <w:highlight w:val="none"/>
                      <w:u w:val="none"/>
                      <w:lang w:val="en-US" w:eastAsia="zh-CN"/>
                    </w:rPr>
                  </w:pPr>
                </w:p>
              </w:tc>
              <w:tc>
                <w:tcPr>
                  <w:tcW w:w="1172" w:type="dxa"/>
                  <w:tcBorders>
                    <w:tl2br w:val="nil"/>
                    <w:tr2bl w:val="nil"/>
                  </w:tcBorders>
                  <w:vAlign w:val="center"/>
                </w:tcPr>
                <w:p>
                  <w:pPr>
                    <w:autoSpaceDE w:val="0"/>
                    <w:autoSpaceDN w:val="0"/>
                    <w:spacing w:line="240" w:lineRule="auto"/>
                    <w:ind w:firstLine="0" w:firstLineChars="0"/>
                    <w:jc w:val="center"/>
                    <w:rPr>
                      <w:rFonts w:hint="eastAsia" w:cs="Times New Roman"/>
                      <w:b w:val="0"/>
                      <w:bCs/>
                      <w:color w:val="auto"/>
                      <w:sz w:val="21"/>
                      <w:szCs w:val="21"/>
                      <w:highlight w:val="none"/>
                      <w:u w:val="none"/>
                      <w:lang w:val="en-US" w:eastAsia="zh-CN"/>
                    </w:rPr>
                  </w:pPr>
                  <w:r>
                    <w:rPr>
                      <w:rFonts w:hint="eastAsia" w:cs="Times New Roman"/>
                      <w:b w:val="0"/>
                      <w:bCs/>
                      <w:color w:val="auto"/>
                      <w:sz w:val="21"/>
                      <w:szCs w:val="21"/>
                      <w:highlight w:val="none"/>
                      <w:u w:val="none"/>
                      <w:lang w:val="en-US" w:eastAsia="zh-CN"/>
                    </w:rPr>
                    <w:t>油烟</w:t>
                  </w:r>
                </w:p>
              </w:tc>
              <w:tc>
                <w:tcPr>
                  <w:tcW w:w="6407" w:type="dxa"/>
                  <w:tcBorders>
                    <w:tl2br w:val="nil"/>
                    <w:tr2bl w:val="nil"/>
                  </w:tcBorders>
                  <w:vAlign w:val="center"/>
                </w:tcPr>
                <w:p>
                  <w:pPr>
                    <w:autoSpaceDE w:val="0"/>
                    <w:autoSpaceDN w:val="0"/>
                    <w:spacing w:line="240" w:lineRule="auto"/>
                    <w:ind w:firstLine="0" w:firstLineChars="0"/>
                    <w:jc w:val="left"/>
                    <w:rPr>
                      <w:rFonts w:hint="eastAsia" w:cs="Times New Roman"/>
                      <w:b w:val="0"/>
                      <w:bCs/>
                      <w:color w:val="auto"/>
                      <w:sz w:val="21"/>
                      <w:szCs w:val="21"/>
                      <w:highlight w:val="none"/>
                      <w:u w:val="none"/>
                      <w:lang w:val="en-US" w:eastAsia="zh-CN"/>
                    </w:rPr>
                  </w:pPr>
                  <w:r>
                    <w:rPr>
                      <w:rFonts w:hint="eastAsia" w:cs="Times New Roman"/>
                      <w:b w:val="0"/>
                      <w:bCs/>
                      <w:color w:val="auto"/>
                      <w:sz w:val="21"/>
                      <w:szCs w:val="21"/>
                      <w:highlight w:val="none"/>
                      <w:u w:val="none"/>
                      <w:lang w:val="en-US" w:eastAsia="zh-CN"/>
                    </w:rPr>
                    <w:t>设油烟净化装置</w:t>
                  </w:r>
                  <w:r>
                    <w:rPr>
                      <w:rFonts w:hint="default" w:cs="Times New Roman"/>
                      <w:b w:val="0"/>
                      <w:bCs/>
                      <w:color w:val="auto"/>
                      <w:sz w:val="21"/>
                      <w:szCs w:val="21"/>
                      <w:highlight w:val="none"/>
                      <w:u w:val="none"/>
                      <w:lang w:val="en-US" w:eastAsia="zh-CN"/>
                    </w:rPr>
                    <w:t>1套，</w:t>
                  </w:r>
                  <w:r>
                    <w:rPr>
                      <w:rFonts w:hint="eastAsia" w:cs="Times New Roman"/>
                      <w:b w:val="0"/>
                      <w:bCs/>
                      <w:color w:val="auto"/>
                      <w:sz w:val="21"/>
                      <w:szCs w:val="21"/>
                      <w:highlight w:val="none"/>
                      <w:u w:val="none"/>
                      <w:lang w:val="en-US" w:eastAsia="zh-CN"/>
                    </w:rPr>
                    <w:t>食堂油烟经收集净化后经烟道引至楼顶排放。</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574" w:type="dxa"/>
                  <w:vMerge w:val="continue"/>
                  <w:tcBorders>
                    <w:tl2br w:val="nil"/>
                    <w:tr2bl w:val="nil"/>
                  </w:tcBorders>
                  <w:vAlign w:val="center"/>
                </w:tcPr>
                <w:p>
                  <w:pPr>
                    <w:pStyle w:val="31"/>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cs="Times New Roman"/>
                      <w:b w:val="0"/>
                      <w:bCs/>
                      <w:color w:val="auto"/>
                      <w:sz w:val="21"/>
                      <w:szCs w:val="21"/>
                      <w:u w:val="none"/>
                      <w:lang w:val="en-US" w:eastAsia="zh-CN"/>
                    </w:rPr>
                  </w:pPr>
                </w:p>
              </w:tc>
              <w:tc>
                <w:tcPr>
                  <w:tcW w:w="1725" w:type="dxa"/>
                  <w:gridSpan w:val="2"/>
                  <w:tcBorders>
                    <w:tl2br w:val="nil"/>
                    <w:tr2bl w:val="nil"/>
                  </w:tcBorders>
                  <w:vAlign w:val="center"/>
                </w:tcPr>
                <w:p>
                  <w:pPr>
                    <w:autoSpaceDE w:val="0"/>
                    <w:autoSpaceDN w:val="0"/>
                    <w:spacing w:line="240" w:lineRule="auto"/>
                    <w:ind w:firstLine="0" w:firstLineChars="0"/>
                    <w:jc w:val="center"/>
                    <w:rPr>
                      <w:rFonts w:hint="default" w:ascii="Times New Roman" w:hAnsi="Times New Roman" w:cs="Times New Roman" w:eastAsiaTheme="minorEastAsia"/>
                      <w:b w:val="0"/>
                      <w:bCs/>
                      <w:color w:val="auto"/>
                      <w:kern w:val="2"/>
                      <w:sz w:val="21"/>
                      <w:szCs w:val="21"/>
                      <w:highlight w:val="none"/>
                      <w:u w:val="none"/>
                      <w:lang w:val="en-US" w:eastAsia="zh-CN" w:bidi="ar-SA"/>
                    </w:rPr>
                  </w:pPr>
                  <w:r>
                    <w:rPr>
                      <w:rFonts w:hint="eastAsia" w:cs="Times New Roman"/>
                      <w:b w:val="0"/>
                      <w:bCs/>
                      <w:color w:val="auto"/>
                      <w:kern w:val="2"/>
                      <w:sz w:val="21"/>
                      <w:szCs w:val="21"/>
                      <w:highlight w:val="none"/>
                      <w:u w:val="none"/>
                      <w:lang w:val="en-US" w:eastAsia="zh-CN" w:bidi="ar-SA"/>
                    </w:rPr>
                    <w:t>废水治理</w:t>
                  </w:r>
                </w:p>
              </w:tc>
              <w:tc>
                <w:tcPr>
                  <w:tcW w:w="6407" w:type="dxa"/>
                  <w:tcBorders>
                    <w:tl2br w:val="nil"/>
                    <w:tr2bl w:val="nil"/>
                  </w:tcBorders>
                  <w:vAlign w:val="center"/>
                </w:tcPr>
                <w:p>
                  <w:pPr>
                    <w:snapToGrid w:val="0"/>
                    <w:spacing w:line="240" w:lineRule="auto"/>
                    <w:ind w:firstLine="0" w:firstLineChars="0"/>
                    <w:jc w:val="left"/>
                    <w:rPr>
                      <w:rFonts w:hint="default" w:ascii="Times New Roman" w:hAnsi="Times New Roman" w:cs="Times New Roman" w:eastAsiaTheme="minorEastAsia"/>
                      <w:b w:val="0"/>
                      <w:bCs/>
                      <w:color w:val="auto"/>
                      <w:kern w:val="2"/>
                      <w:sz w:val="21"/>
                      <w:szCs w:val="21"/>
                      <w:highlight w:val="none"/>
                      <w:u w:val="none"/>
                      <w:lang w:val="en-US" w:eastAsia="zh-CN" w:bidi="ar-SA"/>
                    </w:rPr>
                  </w:pPr>
                  <w:r>
                    <w:rPr>
                      <w:rFonts w:hint="eastAsia" w:cs="Times New Roman"/>
                      <w:b w:val="0"/>
                      <w:bCs/>
                      <w:color w:val="auto"/>
                      <w:sz w:val="21"/>
                      <w:szCs w:val="21"/>
                      <w:highlight w:val="none"/>
                      <w:u w:val="none"/>
                      <w:lang w:val="en-US" w:eastAsia="zh-CN"/>
                    </w:rPr>
                    <w:t>设</w:t>
                  </w:r>
                  <w:r>
                    <w:rPr>
                      <w:rFonts w:hint="default" w:ascii="Times New Roman" w:hAnsi="Times New Roman" w:cs="Times New Roman"/>
                      <w:b w:val="0"/>
                      <w:bCs/>
                      <w:color w:val="auto"/>
                      <w:sz w:val="21"/>
                      <w:szCs w:val="21"/>
                      <w:highlight w:val="none"/>
                      <w:u w:val="none"/>
                    </w:rPr>
                    <w:t>1</w:t>
                  </w:r>
                  <w:r>
                    <w:rPr>
                      <w:rFonts w:hint="default" w:ascii="Times New Roman" w:hAnsi="Times New Roman" w:cs="Times New Roman"/>
                      <w:b w:val="0"/>
                      <w:bCs/>
                      <w:color w:val="auto"/>
                      <w:sz w:val="21"/>
                      <w:szCs w:val="21"/>
                      <w:highlight w:val="none"/>
                      <w:u w:val="none"/>
                      <w:lang w:eastAsia="zh-CN"/>
                    </w:rPr>
                    <w:t>套</w:t>
                  </w:r>
                  <w:r>
                    <w:rPr>
                      <w:rFonts w:hint="eastAsia" w:cs="Times New Roman"/>
                      <w:b w:val="0"/>
                      <w:bCs/>
                      <w:color w:val="auto"/>
                      <w:sz w:val="21"/>
                      <w:szCs w:val="21"/>
                      <w:highlight w:val="none"/>
                      <w:u w:val="none"/>
                      <w:lang w:val="en-US" w:eastAsia="zh-CN"/>
                    </w:rPr>
                    <w:t>污水处理设备（</w:t>
                  </w:r>
                  <w:r>
                    <w:rPr>
                      <w:rFonts w:hint="default" w:ascii="Times New Roman" w:hAnsi="Times New Roman" w:cs="Times New Roman"/>
                      <w:b w:val="0"/>
                      <w:bCs/>
                      <w:color w:val="auto"/>
                      <w:sz w:val="21"/>
                      <w:szCs w:val="21"/>
                      <w:highlight w:val="none"/>
                      <w:u w:val="none"/>
                      <w:lang w:eastAsia="zh-CN"/>
                    </w:rPr>
                    <w:t>化粪池、</w:t>
                  </w:r>
                  <w:r>
                    <w:rPr>
                      <w:rFonts w:hint="eastAsia" w:cs="Times New Roman"/>
                      <w:b w:val="0"/>
                      <w:bCs/>
                      <w:color w:val="auto"/>
                      <w:sz w:val="21"/>
                      <w:szCs w:val="21"/>
                      <w:highlight w:val="none"/>
                      <w:u w:val="none"/>
                      <w:lang w:val="en-US" w:eastAsia="zh-CN"/>
                    </w:rPr>
                    <w:t>隔油池、</w:t>
                  </w:r>
                  <w:r>
                    <w:rPr>
                      <w:rFonts w:hint="default" w:ascii="Times New Roman" w:hAnsi="Times New Roman" w:cs="Times New Roman"/>
                      <w:b w:val="0"/>
                      <w:bCs/>
                      <w:color w:val="auto"/>
                      <w:sz w:val="21"/>
                      <w:szCs w:val="21"/>
                      <w:highlight w:val="none"/>
                      <w:u w:val="none"/>
                    </w:rPr>
                    <w:t>地埋式一体化污水处理设备</w:t>
                  </w:r>
                  <w:r>
                    <w:rPr>
                      <w:rFonts w:hint="eastAsia" w:cs="Times New Roman"/>
                      <w:b w:val="0"/>
                      <w:bCs/>
                      <w:color w:val="auto"/>
                      <w:sz w:val="21"/>
                      <w:szCs w:val="21"/>
                      <w:highlight w:val="none"/>
                      <w:u w:val="none"/>
                      <w:lang w:val="en-US" w:eastAsia="zh-CN"/>
                    </w:rPr>
                    <w:t>）</w:t>
                  </w:r>
                  <w:r>
                    <w:rPr>
                      <w:rFonts w:hint="default" w:ascii="Times New Roman" w:hAnsi="Times New Roman" w:cs="Times New Roman"/>
                      <w:b w:val="0"/>
                      <w:bCs/>
                      <w:color w:val="auto"/>
                      <w:sz w:val="21"/>
                      <w:szCs w:val="21"/>
                      <w:highlight w:val="none"/>
                      <w:u w:val="none"/>
                    </w:rPr>
                    <w:t>，</w:t>
                  </w:r>
                  <w:r>
                    <w:rPr>
                      <w:rFonts w:hint="eastAsia" w:cs="Times New Roman"/>
                      <w:b w:val="0"/>
                      <w:bCs/>
                      <w:color w:val="auto"/>
                      <w:sz w:val="21"/>
                      <w:szCs w:val="21"/>
                      <w:highlight w:val="none"/>
                      <w:u w:val="none"/>
                      <w:lang w:val="en-US" w:eastAsia="zh-CN"/>
                    </w:rPr>
                    <w:t>食堂废水经隔油处理，粪污水经化粪池处理后，与其他</w:t>
                  </w:r>
                  <w:r>
                    <w:rPr>
                      <w:rFonts w:hint="default" w:ascii="Times New Roman" w:hAnsi="Times New Roman" w:cs="Times New Roman"/>
                      <w:b w:val="0"/>
                      <w:bCs/>
                      <w:color w:val="auto"/>
                      <w:sz w:val="21"/>
                      <w:szCs w:val="21"/>
                      <w:highlight w:val="none"/>
                      <w:u w:val="none"/>
                    </w:rPr>
                    <w:t>生活污水</w:t>
                  </w:r>
                  <w:r>
                    <w:rPr>
                      <w:rFonts w:hint="eastAsia" w:cs="Times New Roman"/>
                      <w:b w:val="0"/>
                      <w:bCs/>
                      <w:color w:val="auto"/>
                      <w:sz w:val="21"/>
                      <w:szCs w:val="21"/>
                      <w:highlight w:val="none"/>
                      <w:u w:val="none"/>
                      <w:lang w:val="en-US" w:eastAsia="zh-CN"/>
                    </w:rPr>
                    <w:t>一起经污水处理设备</w:t>
                  </w:r>
                  <w:r>
                    <w:rPr>
                      <w:rFonts w:hint="default" w:ascii="Times New Roman" w:hAnsi="Times New Roman" w:cs="Times New Roman"/>
                      <w:b w:val="0"/>
                      <w:bCs/>
                      <w:color w:val="auto"/>
                      <w:sz w:val="21"/>
                      <w:szCs w:val="21"/>
                      <w:highlight w:val="none"/>
                      <w:u w:val="none"/>
                    </w:rPr>
                    <w:t>处理后回用于厂区绿化</w:t>
                  </w:r>
                  <w:r>
                    <w:rPr>
                      <w:rFonts w:hint="eastAsia" w:cs="Times New Roman"/>
                      <w:b w:val="0"/>
                      <w:bCs/>
                      <w:color w:val="auto"/>
                      <w:sz w:val="21"/>
                      <w:szCs w:val="21"/>
                      <w:highlight w:val="none"/>
                      <w:u w:val="none"/>
                      <w:lang w:val="en-US" w:eastAsia="zh-CN"/>
                    </w:rPr>
                    <w:t>及道路洒水。</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574" w:type="dxa"/>
                  <w:vMerge w:val="continue"/>
                  <w:tcBorders>
                    <w:tl2br w:val="nil"/>
                    <w:tr2bl w:val="nil"/>
                  </w:tcBorders>
                  <w:vAlign w:val="center"/>
                </w:tcPr>
                <w:p>
                  <w:pPr>
                    <w:pStyle w:val="31"/>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cs="Times New Roman"/>
                      <w:b w:val="0"/>
                      <w:bCs/>
                      <w:color w:val="auto"/>
                      <w:sz w:val="21"/>
                      <w:szCs w:val="21"/>
                      <w:u w:val="none"/>
                      <w:lang w:val="en-US" w:eastAsia="zh-CN"/>
                    </w:rPr>
                  </w:pPr>
                </w:p>
              </w:tc>
              <w:tc>
                <w:tcPr>
                  <w:tcW w:w="1725" w:type="dxa"/>
                  <w:gridSpan w:val="2"/>
                  <w:tcBorders>
                    <w:tl2br w:val="nil"/>
                    <w:tr2bl w:val="nil"/>
                  </w:tcBorders>
                  <w:vAlign w:val="center"/>
                </w:tcPr>
                <w:p>
                  <w:pPr>
                    <w:snapToGrid w:val="0"/>
                    <w:spacing w:line="240" w:lineRule="auto"/>
                    <w:ind w:firstLine="0" w:firstLineChars="0"/>
                    <w:jc w:val="center"/>
                    <w:rPr>
                      <w:rFonts w:hint="default" w:ascii="Times New Roman" w:hAnsi="Times New Roman" w:cs="Times New Roman" w:eastAsiaTheme="minorEastAsia"/>
                      <w:b w:val="0"/>
                      <w:bCs/>
                      <w:color w:val="auto"/>
                      <w:kern w:val="2"/>
                      <w:sz w:val="21"/>
                      <w:szCs w:val="21"/>
                      <w:u w:val="none"/>
                      <w:lang w:val="en-US" w:eastAsia="zh-CN" w:bidi="ar-SA"/>
                    </w:rPr>
                  </w:pPr>
                  <w:r>
                    <w:rPr>
                      <w:rFonts w:hint="eastAsia" w:cs="Times New Roman"/>
                      <w:b w:val="0"/>
                      <w:bCs/>
                      <w:color w:val="auto"/>
                      <w:kern w:val="2"/>
                      <w:sz w:val="21"/>
                      <w:szCs w:val="21"/>
                      <w:u w:val="none"/>
                      <w:lang w:val="en-US" w:eastAsia="zh-CN" w:bidi="ar-SA"/>
                    </w:rPr>
                    <w:t>固废</w:t>
                  </w:r>
                </w:p>
              </w:tc>
              <w:tc>
                <w:tcPr>
                  <w:tcW w:w="6407" w:type="dxa"/>
                  <w:tcBorders>
                    <w:tl2br w:val="nil"/>
                    <w:tr2bl w:val="nil"/>
                  </w:tcBorders>
                  <w:vAlign w:val="center"/>
                </w:tcPr>
                <w:p>
                  <w:pPr>
                    <w:snapToGrid w:val="0"/>
                    <w:spacing w:line="240" w:lineRule="auto"/>
                    <w:ind w:firstLine="0" w:firstLineChars="0"/>
                    <w:jc w:val="left"/>
                    <w:rPr>
                      <w:rFonts w:hint="default" w:ascii="Times New Roman" w:hAnsi="Times New Roman" w:cs="Times New Roman" w:eastAsiaTheme="minorEastAsia"/>
                      <w:b w:val="0"/>
                      <w:bCs/>
                      <w:color w:val="auto"/>
                      <w:kern w:val="2"/>
                      <w:sz w:val="21"/>
                      <w:szCs w:val="21"/>
                      <w:u w:val="none"/>
                      <w:lang w:val="en-US" w:eastAsia="zh-CN" w:bidi="ar-SA"/>
                    </w:rPr>
                  </w:pPr>
                  <w:r>
                    <w:rPr>
                      <w:rFonts w:hint="default" w:ascii="Times New Roman" w:hAnsi="Times New Roman" w:cs="Times New Roman"/>
                      <w:b w:val="0"/>
                      <w:bCs/>
                      <w:color w:val="auto"/>
                      <w:sz w:val="21"/>
                      <w:szCs w:val="21"/>
                      <w:highlight w:val="none"/>
                      <w:u w:val="none"/>
                      <w:lang w:val="en-US" w:eastAsia="zh-CN"/>
                    </w:rPr>
                    <w:t>设</w:t>
                  </w:r>
                  <w:r>
                    <w:rPr>
                      <w:rFonts w:hint="default" w:ascii="Times New Roman" w:hAnsi="Times New Roman" w:cs="Times New Roman"/>
                      <w:b w:val="0"/>
                      <w:bCs/>
                      <w:color w:val="auto"/>
                      <w:sz w:val="21"/>
                      <w:szCs w:val="21"/>
                      <w:u w:val="none"/>
                      <w:lang w:val="en-US" w:eastAsia="zh-CN"/>
                    </w:rPr>
                    <w:t>危废暂存间</w:t>
                  </w:r>
                  <w:r>
                    <w:rPr>
                      <w:rFonts w:hint="eastAsia" w:cs="Times New Roman"/>
                      <w:b w:val="0"/>
                      <w:bCs/>
                      <w:color w:val="auto"/>
                      <w:sz w:val="21"/>
                      <w:szCs w:val="21"/>
                      <w:u w:val="none"/>
                      <w:lang w:val="en-US" w:eastAsia="zh-CN"/>
                    </w:rPr>
                    <w:t>1座，</w:t>
                  </w:r>
                  <w:r>
                    <w:rPr>
                      <w:rFonts w:hint="default" w:ascii="Times New Roman" w:hAnsi="Times New Roman" w:cs="Times New Roman"/>
                      <w:b w:val="0"/>
                      <w:bCs/>
                      <w:color w:val="auto"/>
                      <w:sz w:val="21"/>
                      <w:szCs w:val="21"/>
                      <w:highlight w:val="none"/>
                      <w:u w:val="none"/>
                      <w:lang w:val="en-US" w:eastAsia="zh-CN"/>
                    </w:rPr>
                    <w:t>占地面积25m</w:t>
                  </w:r>
                  <w:r>
                    <w:rPr>
                      <w:rFonts w:hint="default" w:ascii="Times New Roman" w:hAnsi="Times New Roman" w:cs="Times New Roman"/>
                      <w:b w:val="0"/>
                      <w:bCs/>
                      <w:color w:val="auto"/>
                      <w:sz w:val="21"/>
                      <w:szCs w:val="21"/>
                      <w:highlight w:val="none"/>
                      <w:u w:val="none"/>
                      <w:vertAlign w:val="superscript"/>
                      <w:lang w:val="en-US" w:eastAsia="zh-CN"/>
                    </w:rPr>
                    <w:t>2</w:t>
                  </w:r>
                  <w:r>
                    <w:rPr>
                      <w:rFonts w:hint="default" w:ascii="Times New Roman" w:hAnsi="Times New Roman" w:cs="Times New Roman"/>
                      <w:b w:val="0"/>
                      <w:bCs/>
                      <w:color w:val="auto"/>
                      <w:sz w:val="21"/>
                      <w:szCs w:val="21"/>
                      <w:highlight w:val="none"/>
                      <w:u w:val="none"/>
                      <w:lang w:val="en-US" w:eastAsia="zh-CN"/>
                    </w:rPr>
                    <w:t>。</w:t>
                  </w:r>
                  <w:r>
                    <w:rPr>
                      <w:rFonts w:hint="eastAsia" w:cs="Times New Roman"/>
                      <w:b w:val="0"/>
                      <w:bCs/>
                      <w:color w:val="auto"/>
                      <w:sz w:val="21"/>
                      <w:szCs w:val="21"/>
                      <w:highlight w:val="none"/>
                      <w:u w:val="none"/>
                      <w:lang w:val="en-US" w:eastAsia="zh-CN"/>
                    </w:rPr>
                    <w:t>设垃圾桶若干。</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574" w:type="dxa"/>
                  <w:vMerge w:val="continue"/>
                  <w:tcBorders>
                    <w:tl2br w:val="nil"/>
                    <w:tr2bl w:val="nil"/>
                  </w:tcBorders>
                  <w:vAlign w:val="center"/>
                </w:tcPr>
                <w:p>
                  <w:pPr>
                    <w:pStyle w:val="31"/>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cs="Times New Roman"/>
                      <w:b w:val="0"/>
                      <w:bCs/>
                      <w:color w:val="auto"/>
                      <w:sz w:val="21"/>
                      <w:szCs w:val="21"/>
                      <w:u w:val="none"/>
                      <w:lang w:val="en-US" w:eastAsia="zh-CN"/>
                    </w:rPr>
                  </w:pPr>
                </w:p>
              </w:tc>
              <w:tc>
                <w:tcPr>
                  <w:tcW w:w="1725" w:type="dxa"/>
                  <w:gridSpan w:val="2"/>
                  <w:vMerge w:val="restart"/>
                  <w:tcBorders>
                    <w:tl2br w:val="nil"/>
                    <w:tr2bl w:val="nil"/>
                  </w:tcBorders>
                  <w:vAlign w:val="center"/>
                </w:tcPr>
                <w:p>
                  <w:pPr>
                    <w:autoSpaceDE w:val="0"/>
                    <w:autoSpaceDN w:val="0"/>
                    <w:spacing w:line="240" w:lineRule="auto"/>
                    <w:ind w:firstLine="0" w:firstLineChars="0"/>
                    <w:jc w:val="center"/>
                    <w:rPr>
                      <w:rFonts w:hint="default" w:ascii="Times New Roman" w:hAnsi="Times New Roman" w:cs="Times New Roman" w:eastAsiaTheme="minorEastAsia"/>
                      <w:b w:val="0"/>
                      <w:bCs/>
                      <w:color w:val="auto"/>
                      <w:kern w:val="2"/>
                      <w:sz w:val="21"/>
                      <w:szCs w:val="21"/>
                      <w:u w:val="none"/>
                      <w:lang w:val="en-US" w:eastAsia="zh-CN" w:bidi="ar-SA"/>
                    </w:rPr>
                  </w:pPr>
                  <w:r>
                    <w:rPr>
                      <w:rFonts w:hint="eastAsia" w:cs="Times New Roman"/>
                      <w:b w:val="0"/>
                      <w:bCs/>
                      <w:color w:val="auto"/>
                      <w:kern w:val="2"/>
                      <w:sz w:val="21"/>
                      <w:szCs w:val="21"/>
                      <w:u w:val="none"/>
                      <w:lang w:val="en-US" w:eastAsia="zh-CN" w:bidi="ar-SA"/>
                    </w:rPr>
                    <w:t>环境风险</w:t>
                  </w:r>
                </w:p>
              </w:tc>
              <w:tc>
                <w:tcPr>
                  <w:tcW w:w="6407" w:type="dxa"/>
                  <w:tcBorders>
                    <w:tl2br w:val="nil"/>
                    <w:tr2bl w:val="nil"/>
                  </w:tcBorders>
                  <w:vAlign w:val="center"/>
                </w:tcPr>
                <w:p>
                  <w:pPr>
                    <w:snapToGrid w:val="0"/>
                    <w:spacing w:line="240" w:lineRule="auto"/>
                    <w:ind w:firstLine="0" w:firstLineChars="0"/>
                    <w:jc w:val="left"/>
                    <w:rPr>
                      <w:rFonts w:hint="default" w:ascii="Times New Roman" w:hAnsi="Times New Roman" w:cs="Times New Roman" w:eastAsiaTheme="minorEastAsia"/>
                      <w:b w:val="0"/>
                      <w:bCs/>
                      <w:color w:val="auto"/>
                      <w:kern w:val="2"/>
                      <w:sz w:val="21"/>
                      <w:szCs w:val="21"/>
                      <w:u w:val="none"/>
                      <w:lang w:val="en-US" w:eastAsia="zh-CN" w:bidi="ar-SA"/>
                    </w:rPr>
                  </w:pPr>
                  <w:r>
                    <w:rPr>
                      <w:rFonts w:hint="default" w:ascii="Times New Roman" w:hAnsi="Times New Roman" w:cs="Times New Roman"/>
                      <w:b w:val="0"/>
                      <w:bCs/>
                      <w:color w:val="auto"/>
                      <w:sz w:val="21"/>
                      <w:szCs w:val="21"/>
                      <w:u w:val="none"/>
                    </w:rPr>
                    <w:t>事故油池1</w:t>
                  </w:r>
                  <w:r>
                    <w:rPr>
                      <w:rFonts w:hint="default" w:ascii="Times New Roman" w:hAnsi="Times New Roman" w:cs="Times New Roman"/>
                      <w:b w:val="0"/>
                      <w:bCs/>
                      <w:color w:val="auto"/>
                      <w:sz w:val="21"/>
                      <w:szCs w:val="21"/>
                      <w:highlight w:val="none"/>
                      <w:u w:val="none"/>
                    </w:rPr>
                    <w:t>座，设计有效容积为</w:t>
                  </w:r>
                  <w:r>
                    <w:rPr>
                      <w:rFonts w:hint="eastAsia" w:ascii="Times New Roman" w:hAnsi="Times New Roman" w:cs="Times New Roman"/>
                      <w:b w:val="0"/>
                      <w:bCs/>
                      <w:color w:val="auto"/>
                      <w:sz w:val="21"/>
                      <w:szCs w:val="21"/>
                      <w:highlight w:val="none"/>
                      <w:u w:val="none"/>
                      <w:lang w:val="en-US" w:eastAsia="zh-CN"/>
                    </w:rPr>
                    <w:t>30</w:t>
                  </w:r>
                  <w:r>
                    <w:rPr>
                      <w:rFonts w:hint="default" w:ascii="Times New Roman" w:hAnsi="Times New Roman" w:cs="Times New Roman"/>
                      <w:b w:val="0"/>
                      <w:bCs/>
                      <w:color w:val="auto"/>
                      <w:sz w:val="21"/>
                      <w:szCs w:val="21"/>
                      <w:highlight w:val="none"/>
                      <w:u w:val="none"/>
                    </w:rPr>
                    <w:t>m</w:t>
                  </w:r>
                  <w:r>
                    <w:rPr>
                      <w:rFonts w:hint="default" w:ascii="Times New Roman" w:hAnsi="Times New Roman" w:cs="Times New Roman"/>
                      <w:b w:val="0"/>
                      <w:bCs/>
                      <w:color w:val="auto"/>
                      <w:sz w:val="21"/>
                      <w:szCs w:val="21"/>
                      <w:highlight w:val="none"/>
                      <w:u w:val="none"/>
                      <w:vertAlign w:val="superscript"/>
                    </w:rPr>
                    <w:t>3</w:t>
                  </w:r>
                  <w:r>
                    <w:rPr>
                      <w:rFonts w:hint="default" w:ascii="Times New Roman" w:hAnsi="Times New Roman" w:cs="Times New Roman"/>
                      <w:b w:val="0"/>
                      <w:bCs/>
                      <w:color w:val="auto"/>
                      <w:sz w:val="21"/>
                      <w:szCs w:val="21"/>
                      <w:highlight w:val="none"/>
                      <w:u w:val="none"/>
                    </w:rPr>
                    <w:t>，收</w:t>
                  </w:r>
                  <w:r>
                    <w:rPr>
                      <w:rFonts w:hint="default" w:ascii="Times New Roman" w:hAnsi="Times New Roman" w:cs="Times New Roman"/>
                      <w:b w:val="0"/>
                      <w:bCs/>
                      <w:color w:val="auto"/>
                      <w:sz w:val="21"/>
                      <w:szCs w:val="21"/>
                      <w:u w:val="none"/>
                    </w:rPr>
                    <w:t>集主变事故时的事故排油</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574" w:type="dxa"/>
                  <w:vMerge w:val="continue"/>
                  <w:tcBorders>
                    <w:tl2br w:val="nil"/>
                    <w:tr2bl w:val="nil"/>
                  </w:tcBorders>
                  <w:vAlign w:val="center"/>
                </w:tcPr>
                <w:p>
                  <w:pPr>
                    <w:pStyle w:val="31"/>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 w:val="0"/>
                      <w:bCs/>
                      <w:highlight w:val="none"/>
                      <w:u w:val="none"/>
                      <w:vertAlign w:val="baseline"/>
                    </w:rPr>
                  </w:pPr>
                </w:p>
              </w:tc>
              <w:tc>
                <w:tcPr>
                  <w:tcW w:w="1725" w:type="dxa"/>
                  <w:gridSpan w:val="2"/>
                  <w:vMerge w:val="continue"/>
                  <w:tcBorders>
                    <w:tl2br w:val="nil"/>
                    <w:tr2bl w:val="nil"/>
                  </w:tcBorders>
                  <w:vAlign w:val="center"/>
                </w:tcPr>
                <w:p>
                  <w:pPr>
                    <w:snapToGrid w:val="0"/>
                    <w:spacing w:line="240" w:lineRule="auto"/>
                    <w:ind w:firstLine="0" w:firstLineChars="0"/>
                    <w:jc w:val="center"/>
                    <w:rPr>
                      <w:rFonts w:hint="default" w:ascii="Times New Roman" w:hAnsi="Times New Roman" w:cs="Times New Roman" w:eastAsiaTheme="minorEastAsia"/>
                      <w:b w:val="0"/>
                      <w:bCs/>
                      <w:color w:val="auto"/>
                      <w:kern w:val="2"/>
                      <w:sz w:val="21"/>
                      <w:szCs w:val="21"/>
                      <w:u w:val="none"/>
                      <w:lang w:val="en-US" w:eastAsia="zh-CN" w:bidi="ar-SA"/>
                    </w:rPr>
                  </w:pPr>
                </w:p>
              </w:tc>
              <w:tc>
                <w:tcPr>
                  <w:tcW w:w="6407" w:type="dxa"/>
                  <w:tcBorders>
                    <w:tl2br w:val="nil"/>
                    <w:tr2bl w:val="nil"/>
                  </w:tcBorders>
                  <w:vAlign w:val="center"/>
                </w:tcPr>
                <w:p>
                  <w:pPr>
                    <w:snapToGrid w:val="0"/>
                    <w:spacing w:line="240" w:lineRule="auto"/>
                    <w:ind w:firstLine="0" w:firstLineChars="0"/>
                    <w:jc w:val="left"/>
                    <w:rPr>
                      <w:rFonts w:hint="default" w:ascii="Times New Roman" w:hAnsi="Times New Roman" w:cs="Times New Roman" w:eastAsiaTheme="minorEastAsia"/>
                      <w:b w:val="0"/>
                      <w:bCs/>
                      <w:color w:val="auto"/>
                      <w:kern w:val="2"/>
                      <w:sz w:val="21"/>
                      <w:szCs w:val="21"/>
                      <w:u w:val="none"/>
                      <w:lang w:val="en-US" w:eastAsia="zh-CN" w:bidi="ar-SA"/>
                    </w:rPr>
                  </w:pPr>
                  <w:r>
                    <w:rPr>
                      <w:rFonts w:hint="eastAsia" w:ascii="Times New Roman" w:hAnsi="Times New Roman" w:cs="Times New Roman"/>
                      <w:b w:val="0"/>
                      <w:bCs/>
                      <w:color w:val="auto"/>
                      <w:sz w:val="21"/>
                      <w:szCs w:val="21"/>
                      <w:u w:val="none"/>
                      <w:lang w:val="en-US" w:eastAsia="zh-CN"/>
                    </w:rPr>
                    <w:t>设贮油</w:t>
                  </w:r>
                  <w:r>
                    <w:rPr>
                      <w:rFonts w:hint="eastAsia" w:cs="Times New Roman"/>
                      <w:b w:val="0"/>
                      <w:bCs/>
                      <w:color w:val="auto"/>
                      <w:sz w:val="21"/>
                      <w:szCs w:val="21"/>
                      <w:u w:val="none"/>
                      <w:lang w:val="en-US" w:eastAsia="zh-CN"/>
                    </w:rPr>
                    <w:t>坑</w:t>
                  </w:r>
                  <w:r>
                    <w:rPr>
                      <w:rFonts w:hint="default" w:ascii="Times New Roman" w:hAnsi="Times New Roman" w:cs="Times New Roman"/>
                      <w:b w:val="0"/>
                      <w:bCs/>
                      <w:color w:val="auto"/>
                      <w:sz w:val="21"/>
                      <w:szCs w:val="21"/>
                      <w:u w:val="none"/>
                    </w:rPr>
                    <w:t>1座，</w:t>
                  </w:r>
                  <w:r>
                    <w:rPr>
                      <w:rFonts w:hint="eastAsia" w:ascii="Times New Roman" w:hAnsi="Times New Roman" w:cs="Times New Roman"/>
                      <w:b w:val="0"/>
                      <w:bCs/>
                      <w:color w:val="auto"/>
                      <w:sz w:val="21"/>
                      <w:szCs w:val="21"/>
                      <w:u w:val="none"/>
                      <w:lang w:val="en-US" w:eastAsia="zh-CN"/>
                    </w:rPr>
                    <w:t>贮油</w:t>
                  </w:r>
                  <w:r>
                    <w:rPr>
                      <w:rFonts w:hint="eastAsia" w:cs="Times New Roman"/>
                      <w:b w:val="0"/>
                      <w:bCs/>
                      <w:color w:val="auto"/>
                      <w:sz w:val="21"/>
                      <w:szCs w:val="21"/>
                      <w:u w:val="none"/>
                      <w:lang w:val="en-US" w:eastAsia="zh-CN"/>
                    </w:rPr>
                    <w:t>坑内设</w:t>
                  </w:r>
                  <w:r>
                    <w:rPr>
                      <w:rFonts w:hint="eastAsia" w:ascii="Times New Roman" w:hAnsi="Times New Roman" w:cs="Times New Roman"/>
                      <w:b w:val="0"/>
                      <w:bCs/>
                      <w:color w:val="auto"/>
                      <w:sz w:val="21"/>
                      <w:szCs w:val="21"/>
                      <w:u w:val="none"/>
                      <w:lang w:val="en-US" w:eastAsia="zh-CN"/>
                    </w:rPr>
                    <w:t>贮油</w:t>
                  </w:r>
                  <w:r>
                    <w:rPr>
                      <w:rFonts w:hint="eastAsia" w:cs="Times New Roman"/>
                      <w:b w:val="0"/>
                      <w:bCs/>
                      <w:color w:val="auto"/>
                      <w:sz w:val="21"/>
                      <w:szCs w:val="21"/>
                      <w:u w:val="none"/>
                      <w:lang w:val="en-US" w:eastAsia="zh-CN"/>
                    </w:rPr>
                    <w:t>池，</w:t>
                  </w:r>
                  <w:r>
                    <w:rPr>
                      <w:rFonts w:hint="eastAsia" w:ascii="Times New Roman" w:hAnsi="Times New Roman" w:cs="Times New Roman"/>
                      <w:b w:val="0"/>
                      <w:bCs/>
                      <w:color w:val="auto"/>
                      <w:sz w:val="21"/>
                      <w:szCs w:val="21"/>
                      <w:u w:val="none"/>
                      <w:lang w:val="en-US" w:eastAsia="zh-CN"/>
                    </w:rPr>
                    <w:t>贮油</w:t>
                  </w:r>
                  <w:r>
                    <w:rPr>
                      <w:rFonts w:hint="eastAsia" w:cs="Times New Roman"/>
                      <w:b w:val="0"/>
                      <w:bCs/>
                      <w:color w:val="auto"/>
                      <w:sz w:val="21"/>
                      <w:szCs w:val="21"/>
                      <w:u w:val="none"/>
                      <w:lang w:val="en-US" w:eastAsia="zh-CN"/>
                    </w:rPr>
                    <w:t>池与主变密闭连接，池</w:t>
                  </w:r>
                  <w:r>
                    <w:rPr>
                      <w:rFonts w:hint="eastAsia" w:ascii="Times New Roman" w:hAnsi="Times New Roman" w:cs="Times New Roman"/>
                      <w:b w:val="0"/>
                      <w:bCs/>
                      <w:color w:val="auto"/>
                      <w:sz w:val="21"/>
                      <w:szCs w:val="21"/>
                      <w:u w:val="none"/>
                      <w:lang w:val="en-US" w:eastAsia="zh-CN"/>
                    </w:rPr>
                    <w:t>底设排油管连接至</w:t>
                  </w:r>
                  <w:r>
                    <w:rPr>
                      <w:rFonts w:hint="default" w:ascii="Times New Roman" w:hAnsi="Times New Roman" w:cs="Times New Roman"/>
                      <w:b w:val="0"/>
                      <w:bCs/>
                      <w:color w:val="auto"/>
                      <w:sz w:val="21"/>
                      <w:szCs w:val="21"/>
                      <w:u w:val="none"/>
                    </w:rPr>
                    <w:t>事故油池</w:t>
                  </w:r>
                </w:p>
              </w:tc>
            </w:tr>
          </w:tbl>
          <w:p>
            <w:pPr>
              <w:spacing w:line="360" w:lineRule="auto"/>
              <w:ind w:firstLine="0" w:firstLineChars="0"/>
              <w:jc w:val="left"/>
              <w:rPr>
                <w:rFonts w:hint="default" w:ascii="Times New Roman" w:hAnsi="Times New Roman" w:cs="Times New Roman"/>
                <w:b/>
                <w:color w:val="auto"/>
                <w:kern w:val="0"/>
                <w:szCs w:val="21"/>
              </w:rPr>
            </w:pPr>
            <w:r>
              <w:rPr>
                <w:rFonts w:hint="eastAsia" w:cs="Times New Roman"/>
                <w:b/>
                <w:color w:val="auto"/>
                <w:kern w:val="0"/>
                <w:szCs w:val="21"/>
                <w:lang w:val="en-US" w:eastAsia="zh-CN"/>
              </w:rPr>
              <w:t>3</w:t>
            </w:r>
            <w:r>
              <w:rPr>
                <w:rFonts w:hint="default" w:ascii="Times New Roman" w:hAnsi="Times New Roman" w:cs="Times New Roman"/>
                <w:b/>
                <w:color w:val="auto"/>
                <w:kern w:val="0"/>
                <w:szCs w:val="21"/>
              </w:rPr>
              <w:t>、升压站主要设备</w:t>
            </w:r>
          </w:p>
          <w:p>
            <w:pPr>
              <w:spacing w:line="360" w:lineRule="auto"/>
              <w:ind w:firstLine="480"/>
              <w:jc w:val="left"/>
              <w:rPr>
                <w:rFonts w:hint="eastAsia" w:cs="Times New Roman"/>
                <w:color w:val="auto"/>
                <w:lang w:eastAsia="zh-CN"/>
              </w:rPr>
            </w:pPr>
            <w:r>
              <w:rPr>
                <w:rFonts w:hint="eastAsia" w:ascii="Times New Roman" w:hAnsi="Times New Roman" w:cs="Times New Roman"/>
                <w:color w:val="auto"/>
              </w:rPr>
              <w:t>本项目的主要设备见下表</w:t>
            </w:r>
            <w:r>
              <w:rPr>
                <w:rFonts w:hint="eastAsia" w:cs="Times New Roman"/>
                <w:color w:val="auto"/>
                <w:lang w:eastAsia="zh-CN"/>
              </w:rPr>
              <w:t>。</w:t>
            </w:r>
          </w:p>
          <w:p>
            <w:pPr>
              <w:pStyle w:val="31"/>
              <w:ind w:firstLine="0"/>
              <w:rPr>
                <w:highlight w:val="none"/>
              </w:rPr>
            </w:pPr>
            <w:r>
              <w:rPr>
                <w:rFonts w:hint="eastAsia"/>
                <w:highlight w:val="none"/>
                <w:lang w:val="en-US" w:eastAsia="zh-CN"/>
              </w:rPr>
              <w:t>升压站</w:t>
            </w:r>
            <w:r>
              <w:rPr>
                <w:highlight w:val="none"/>
              </w:rPr>
              <w:t>主要</w:t>
            </w:r>
            <w:r>
              <w:rPr>
                <w:rFonts w:hint="eastAsia"/>
                <w:highlight w:val="none"/>
              </w:rPr>
              <w:t>设备一览表</w:t>
            </w:r>
          </w:p>
          <w:tbl>
            <w:tblPr>
              <w:tblStyle w:val="23"/>
              <w:tblW w:w="4998" w:type="pct"/>
              <w:tblInd w:w="0" w:type="dxa"/>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51" w:type="dxa"/>
                <w:bottom w:w="0" w:type="dxa"/>
                <w:right w:w="51" w:type="dxa"/>
              </w:tblCellMar>
            </w:tblPr>
            <w:tblGrid>
              <w:gridCol w:w="773"/>
              <w:gridCol w:w="1025"/>
              <w:gridCol w:w="647"/>
              <w:gridCol w:w="1146"/>
              <w:gridCol w:w="3600"/>
              <w:gridCol w:w="622"/>
              <w:gridCol w:w="895"/>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PrEx>
              <w:trPr>
                <w:trHeight w:val="397" w:hRule="atLeast"/>
              </w:trPr>
              <w:tc>
                <w:tcPr>
                  <w:tcW w:w="2061" w:type="pct"/>
                  <w:gridSpan w:val="4"/>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设备</w:t>
                  </w:r>
                  <w:r>
                    <w:rPr>
                      <w:rFonts w:hint="eastAsia" w:cs="Times New Roman"/>
                      <w:b w:val="0"/>
                      <w:bCs w:val="0"/>
                      <w:color w:val="000000"/>
                      <w:kern w:val="0"/>
                      <w:sz w:val="21"/>
                      <w:szCs w:val="21"/>
                      <w:u w:val="none"/>
                      <w:lang w:val="en-US" w:eastAsia="zh-CN" w:bidi="ar"/>
                    </w:rPr>
                    <w:t>名称</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cs="Times New Roman"/>
                      <w:b w:val="0"/>
                      <w:bCs w:val="0"/>
                      <w:color w:val="000000"/>
                      <w:kern w:val="0"/>
                      <w:sz w:val="21"/>
                      <w:szCs w:val="21"/>
                      <w:u w:val="none"/>
                      <w:lang w:val="en-US" w:eastAsia="zh-CN" w:bidi="ar"/>
                    </w:rPr>
                    <w:t>型号及参数</w:t>
                  </w:r>
                </w:p>
              </w:tc>
              <w:tc>
                <w:tcPr>
                  <w:tcW w:w="357" w:type="pct"/>
                  <w:tcBorders>
                    <w:tl2br w:val="nil"/>
                    <w:tr2bl w:val="nil"/>
                  </w:tcBorders>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r>
                    <w:rPr>
                      <w:rFonts w:hint="default" w:ascii="Times New Roman" w:hAnsi="Times New Roman" w:cs="Times New Roman" w:eastAsiaTheme="minorEastAsia"/>
                      <w:b w:val="0"/>
                      <w:bCs w:val="0"/>
                      <w:sz w:val="21"/>
                      <w:szCs w:val="21"/>
                      <w:u w:val="none"/>
                      <w:vertAlign w:val="baseline"/>
                      <w:lang w:val="en-US" w:eastAsia="zh-CN"/>
                    </w:rPr>
                    <w:t>单位</w:t>
                  </w:r>
                </w:p>
              </w:tc>
              <w:tc>
                <w:tcPr>
                  <w:tcW w:w="513" w:type="pct"/>
                  <w:tcBorders>
                    <w:tl2br w:val="nil"/>
                    <w:tr2bl w:val="nil"/>
                  </w:tcBorders>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r>
                    <w:rPr>
                      <w:rFonts w:hint="default" w:ascii="Times New Roman" w:hAnsi="Times New Roman" w:cs="Times New Roman" w:eastAsiaTheme="minorEastAsia"/>
                      <w:b w:val="0"/>
                      <w:bCs w:val="0"/>
                      <w:sz w:val="21"/>
                      <w:szCs w:val="21"/>
                      <w:u w:val="none"/>
                      <w:vertAlign w:val="baseline"/>
                      <w:lang w:val="en-US" w:eastAsia="zh-CN"/>
                    </w:rPr>
                    <w:t>数量</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443" w:type="pct"/>
                  <w:vMerge w:val="restar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sz w:val="21"/>
                      <w:szCs w:val="21"/>
                      <w:highlight w:val="none"/>
                      <w:u w:val="none"/>
                      <w:vertAlign w:val="baseline"/>
                      <w:lang w:val="en-US" w:eastAsia="zh-CN"/>
                    </w:rPr>
                  </w:pPr>
                  <w:r>
                    <w:rPr>
                      <w:rFonts w:hint="eastAsia" w:ascii="Times New Roman" w:hAnsi="Times New Roman" w:cs="Times New Roman"/>
                      <w:b w:val="0"/>
                      <w:bCs w:val="0"/>
                      <w:color w:val="auto"/>
                      <w:sz w:val="21"/>
                      <w:szCs w:val="21"/>
                      <w:highlight w:val="none"/>
                      <w:u w:val="none"/>
                      <w:lang w:val="en-US" w:eastAsia="zh-CN"/>
                    </w:rPr>
                    <w:t>升压</w:t>
                  </w:r>
                  <w:r>
                    <w:rPr>
                      <w:rFonts w:hint="eastAsia" w:cs="Times New Roman"/>
                      <w:b w:val="0"/>
                      <w:bCs w:val="0"/>
                      <w:color w:val="auto"/>
                      <w:sz w:val="21"/>
                      <w:szCs w:val="21"/>
                      <w:highlight w:val="none"/>
                      <w:u w:val="none"/>
                      <w:lang w:val="en-US" w:eastAsia="zh-CN"/>
                    </w:rPr>
                    <w:t>变电设备</w:t>
                  </w:r>
                </w:p>
              </w:tc>
              <w:tc>
                <w:tcPr>
                  <w:tcW w:w="588" w:type="pct"/>
                  <w:vMerge w:val="restar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highlight w:val="none"/>
                      <w:u w:val="none"/>
                      <w:lang w:val="en-US" w:eastAsia="zh-CN" w:bidi="ar"/>
                    </w:rPr>
                  </w:pPr>
                  <w:r>
                    <w:rPr>
                      <w:rFonts w:hint="default" w:ascii="Times New Roman" w:hAnsi="Times New Roman" w:cs="Times New Roman" w:eastAsiaTheme="minorEastAsia"/>
                      <w:b w:val="0"/>
                      <w:bCs w:val="0"/>
                      <w:color w:val="000000"/>
                      <w:kern w:val="0"/>
                      <w:sz w:val="21"/>
                      <w:szCs w:val="21"/>
                      <w:highlight w:val="none"/>
                      <w:u w:val="none"/>
                      <w:lang w:val="en-US" w:eastAsia="zh-CN" w:bidi="ar"/>
                    </w:rPr>
                    <w:t>主变压器系统</w:t>
                  </w: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highlight w:val="none"/>
                      <w:u w:val="none"/>
                      <w:lang w:val="en-US" w:eastAsia="zh-CN" w:bidi="ar"/>
                    </w:rPr>
                  </w:pPr>
                  <w:r>
                    <w:rPr>
                      <w:rFonts w:hint="default" w:ascii="Times New Roman" w:hAnsi="Times New Roman" w:cs="Times New Roman" w:eastAsiaTheme="minorEastAsia"/>
                      <w:b w:val="0"/>
                      <w:bCs w:val="0"/>
                      <w:color w:val="000000"/>
                      <w:kern w:val="0"/>
                      <w:sz w:val="21"/>
                      <w:szCs w:val="21"/>
                      <w:highlight w:val="none"/>
                      <w:u w:val="none"/>
                      <w:lang w:val="en-US" w:eastAsia="zh-CN" w:bidi="ar"/>
                    </w:rPr>
                    <w:t>主变压器</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left"/>
                    <w:textAlignment w:val="top"/>
                    <w:rPr>
                      <w:rFonts w:hint="default" w:ascii="Times New Roman" w:hAnsi="Times New Roman" w:cs="Times New Roman" w:eastAsiaTheme="minorEastAsia"/>
                      <w:b w:val="0"/>
                      <w:bCs w:val="0"/>
                      <w:color w:val="000000"/>
                      <w:kern w:val="0"/>
                      <w:sz w:val="21"/>
                      <w:szCs w:val="21"/>
                      <w:highlight w:val="none"/>
                      <w:u w:val="none"/>
                      <w:lang w:val="en-US" w:eastAsia="zh-CN" w:bidi="ar"/>
                    </w:rPr>
                  </w:pPr>
                  <w:r>
                    <w:rPr>
                      <w:rFonts w:hint="default" w:ascii="Times New Roman" w:hAnsi="Times New Roman" w:cs="Times New Roman" w:eastAsiaTheme="minorEastAsia"/>
                      <w:b w:val="0"/>
                      <w:bCs w:val="0"/>
                      <w:color w:val="000000"/>
                      <w:kern w:val="0"/>
                      <w:sz w:val="21"/>
                      <w:szCs w:val="21"/>
                      <w:highlight w:val="none"/>
                      <w:u w:val="none"/>
                      <w:lang w:val="en-US" w:eastAsia="zh-CN" w:bidi="ar"/>
                    </w:rPr>
                    <w:t>型号为SZ11-100000/110</w:t>
                  </w:r>
                  <w:r>
                    <w:rPr>
                      <w:rFonts w:hint="eastAsia" w:ascii="Times New Roman" w:hAnsi="Times New Roman" w:cs="Times New Roman" w:eastAsiaTheme="minorEastAsia"/>
                      <w:b w:val="0"/>
                      <w:bCs w:val="0"/>
                      <w:color w:val="000000"/>
                      <w:kern w:val="0"/>
                      <w:sz w:val="21"/>
                      <w:szCs w:val="21"/>
                      <w:highlight w:val="none"/>
                      <w:u w:val="none"/>
                      <w:lang w:val="en-US" w:eastAsia="zh-CN" w:bidi="ar"/>
                    </w:rPr>
                    <w:t>，</w:t>
                  </w:r>
                  <w:r>
                    <w:rPr>
                      <w:rFonts w:hint="default" w:ascii="Times New Roman" w:hAnsi="Times New Roman" w:cs="Times New Roman" w:eastAsiaTheme="minorEastAsia"/>
                      <w:b w:val="0"/>
                      <w:bCs w:val="0"/>
                      <w:color w:val="000000"/>
                      <w:kern w:val="0"/>
                      <w:sz w:val="21"/>
                      <w:szCs w:val="21"/>
                      <w:highlight w:val="none"/>
                      <w:u w:val="none"/>
                      <w:lang w:val="en-US" w:eastAsia="zh-CN" w:bidi="ar"/>
                    </w:rPr>
                    <w:t>型式</w:t>
                  </w:r>
                  <w:r>
                    <w:rPr>
                      <w:rFonts w:hint="eastAsia" w:cs="Times New Roman"/>
                      <w:b w:val="0"/>
                      <w:bCs w:val="0"/>
                      <w:color w:val="000000"/>
                      <w:kern w:val="0"/>
                      <w:sz w:val="21"/>
                      <w:szCs w:val="21"/>
                      <w:highlight w:val="none"/>
                      <w:u w:val="none"/>
                      <w:lang w:val="en-US" w:eastAsia="zh-CN" w:bidi="ar"/>
                    </w:rPr>
                    <w:t>为</w:t>
                  </w:r>
                  <w:r>
                    <w:rPr>
                      <w:rFonts w:hint="default" w:ascii="Times New Roman" w:hAnsi="Times New Roman" w:cs="Times New Roman" w:eastAsiaTheme="minorEastAsia"/>
                      <w:b w:val="0"/>
                      <w:bCs w:val="0"/>
                      <w:color w:val="000000"/>
                      <w:kern w:val="0"/>
                      <w:sz w:val="21"/>
                      <w:szCs w:val="21"/>
                      <w:highlight w:val="none"/>
                      <w:u w:val="none"/>
                      <w:lang w:val="en-US" w:eastAsia="zh-CN" w:bidi="ar"/>
                    </w:rPr>
                    <w:t>双绕组油浸式有载调压变压器</w:t>
                  </w:r>
                  <w:r>
                    <w:rPr>
                      <w:rFonts w:hint="eastAsia" w:cs="Times New Roman"/>
                      <w:b w:val="0"/>
                      <w:bCs w:val="0"/>
                      <w:color w:val="000000"/>
                      <w:kern w:val="0"/>
                      <w:sz w:val="21"/>
                      <w:szCs w:val="21"/>
                      <w:highlight w:val="none"/>
                      <w:u w:val="none"/>
                      <w:lang w:val="en-US" w:eastAsia="zh-CN" w:bidi="ar"/>
                    </w:rPr>
                    <w:t>，</w:t>
                  </w:r>
                  <w:r>
                    <w:rPr>
                      <w:rFonts w:hint="default" w:ascii="Times New Roman" w:hAnsi="Times New Roman" w:cs="Times New Roman" w:eastAsiaTheme="minorEastAsia"/>
                      <w:b w:val="0"/>
                      <w:bCs w:val="0"/>
                      <w:color w:val="000000"/>
                      <w:kern w:val="0"/>
                      <w:sz w:val="21"/>
                      <w:szCs w:val="21"/>
                      <w:highlight w:val="none"/>
                      <w:u w:val="none"/>
                      <w:lang w:val="en-US" w:eastAsia="zh-CN" w:bidi="ar"/>
                    </w:rPr>
                    <w:t>额定容量100000kVA（即100MVA）</w:t>
                  </w:r>
                  <w:r>
                    <w:rPr>
                      <w:rFonts w:hint="eastAsia" w:cs="Times New Roman"/>
                      <w:b w:val="0"/>
                      <w:bCs w:val="0"/>
                      <w:color w:val="000000"/>
                      <w:kern w:val="0"/>
                      <w:sz w:val="21"/>
                      <w:szCs w:val="21"/>
                      <w:highlight w:val="none"/>
                      <w:u w:val="none"/>
                      <w:lang w:val="en-US" w:eastAsia="zh-CN" w:bidi="ar"/>
                    </w:rPr>
                    <w:t>，</w:t>
                  </w:r>
                  <w:r>
                    <w:rPr>
                      <w:rFonts w:hint="default" w:ascii="Times New Roman" w:hAnsi="Times New Roman" w:cs="Times New Roman" w:eastAsiaTheme="minorEastAsia"/>
                      <w:b w:val="0"/>
                      <w:bCs w:val="0"/>
                      <w:color w:val="000000"/>
                      <w:kern w:val="0"/>
                      <w:sz w:val="21"/>
                      <w:szCs w:val="21"/>
                      <w:highlight w:val="none"/>
                      <w:u w:val="none"/>
                      <w:lang w:val="en-US" w:eastAsia="zh-CN" w:bidi="ar"/>
                    </w:rPr>
                    <w:t>相数3相</w:t>
                  </w:r>
                  <w:r>
                    <w:rPr>
                      <w:rFonts w:hint="eastAsia" w:cs="Times New Roman"/>
                      <w:b w:val="0"/>
                      <w:bCs w:val="0"/>
                      <w:color w:val="000000"/>
                      <w:kern w:val="0"/>
                      <w:sz w:val="21"/>
                      <w:szCs w:val="21"/>
                      <w:highlight w:val="none"/>
                      <w:u w:val="none"/>
                      <w:lang w:val="en-US" w:eastAsia="zh-CN" w:bidi="ar"/>
                    </w:rPr>
                    <w:t>，</w:t>
                  </w:r>
                  <w:r>
                    <w:rPr>
                      <w:rFonts w:hint="default" w:ascii="Times New Roman" w:hAnsi="Times New Roman" w:cs="Times New Roman" w:eastAsiaTheme="minorEastAsia"/>
                      <w:b w:val="0"/>
                      <w:bCs w:val="0"/>
                      <w:color w:val="000000"/>
                      <w:kern w:val="0"/>
                      <w:sz w:val="21"/>
                      <w:szCs w:val="21"/>
                      <w:highlight w:val="none"/>
                      <w:u w:val="none"/>
                      <w:lang w:val="en-US" w:eastAsia="zh-CN" w:bidi="ar"/>
                    </w:rPr>
                    <w:t>频率50Hz</w:t>
                  </w:r>
                  <w:r>
                    <w:rPr>
                      <w:rFonts w:hint="eastAsia" w:cs="Times New Roman"/>
                      <w:b w:val="0"/>
                      <w:bCs w:val="0"/>
                      <w:color w:val="000000"/>
                      <w:kern w:val="0"/>
                      <w:sz w:val="21"/>
                      <w:szCs w:val="21"/>
                      <w:highlight w:val="none"/>
                      <w:u w:val="none"/>
                      <w:lang w:val="en-US" w:eastAsia="zh-CN" w:bidi="ar"/>
                    </w:rPr>
                    <w:t>，</w:t>
                  </w:r>
                  <w:r>
                    <w:rPr>
                      <w:rFonts w:hint="eastAsia" w:ascii="Times New Roman" w:hAnsi="Times New Roman" w:cs="Times New Roman" w:eastAsiaTheme="minorEastAsia"/>
                      <w:b w:val="0"/>
                      <w:bCs w:val="0"/>
                      <w:color w:val="000000"/>
                      <w:kern w:val="0"/>
                      <w:sz w:val="21"/>
                      <w:szCs w:val="21"/>
                      <w:highlight w:val="none"/>
                      <w:u w:val="none"/>
                      <w:lang w:val="en-US" w:eastAsia="zh-CN" w:bidi="ar"/>
                    </w:rPr>
                    <w:t>电压比</w:t>
                  </w:r>
                  <w:r>
                    <w:rPr>
                      <w:rFonts w:hint="default" w:ascii="Times New Roman" w:hAnsi="Times New Roman" w:cs="Times New Roman" w:eastAsiaTheme="minorEastAsia"/>
                      <w:b w:val="0"/>
                      <w:bCs w:val="0"/>
                      <w:color w:val="000000"/>
                      <w:kern w:val="0"/>
                      <w:sz w:val="21"/>
                      <w:szCs w:val="21"/>
                      <w:highlight w:val="none"/>
                      <w:u w:val="none"/>
                      <w:lang w:val="en-US" w:eastAsia="zh-CN" w:bidi="ar"/>
                    </w:rPr>
                    <w:t>115±8×1.25%/37</w:t>
                  </w:r>
                  <w:r>
                    <w:rPr>
                      <w:rFonts w:hint="default" w:ascii="Times New Roman" w:hAnsi="Times New Roman" w:cs="Times New Roman"/>
                      <w:b w:val="0"/>
                      <w:bCs w:val="0"/>
                      <w:color w:val="auto"/>
                      <w:sz w:val="21"/>
                      <w:szCs w:val="21"/>
                      <w:highlight w:val="none"/>
                      <w:u w:val="none"/>
                      <w:lang w:val="en-US" w:eastAsia="zh-CN"/>
                    </w:rPr>
                    <w:t>kV</w:t>
                  </w:r>
                  <w:r>
                    <w:rPr>
                      <w:rFonts w:hint="eastAsia" w:ascii="Times New Roman" w:hAnsi="Times New Roman" w:cs="Times New Roman" w:eastAsiaTheme="minorEastAsia"/>
                      <w:b w:val="0"/>
                      <w:bCs w:val="0"/>
                      <w:color w:val="000000"/>
                      <w:kern w:val="0"/>
                      <w:sz w:val="21"/>
                      <w:szCs w:val="21"/>
                      <w:highlight w:val="none"/>
                      <w:u w:val="none"/>
                      <w:lang w:val="en-US" w:eastAsia="zh-CN" w:bidi="ar"/>
                    </w:rPr>
                    <w:t>，接线组别</w:t>
                  </w:r>
                  <w:r>
                    <w:rPr>
                      <w:rFonts w:hint="default" w:ascii="Times New Roman" w:hAnsi="Times New Roman" w:cs="Times New Roman" w:eastAsiaTheme="minorEastAsia"/>
                      <w:b w:val="0"/>
                      <w:bCs w:val="0"/>
                      <w:color w:val="000000"/>
                      <w:kern w:val="0"/>
                      <w:sz w:val="21"/>
                      <w:szCs w:val="21"/>
                      <w:highlight w:val="none"/>
                      <w:u w:val="none"/>
                      <w:lang w:val="en-US" w:eastAsia="zh-CN" w:bidi="ar"/>
                    </w:rPr>
                    <w:t>YN</w:t>
                  </w:r>
                  <w:r>
                    <w:rPr>
                      <w:rFonts w:hint="eastAsia" w:ascii="Times New Roman" w:hAnsi="Times New Roman" w:cs="Times New Roman" w:eastAsiaTheme="minorEastAsia"/>
                      <w:b w:val="0"/>
                      <w:bCs w:val="0"/>
                      <w:color w:val="000000"/>
                      <w:kern w:val="0"/>
                      <w:sz w:val="21"/>
                      <w:szCs w:val="21"/>
                      <w:highlight w:val="none"/>
                      <w:u w:val="none"/>
                      <w:lang w:val="en-US" w:eastAsia="zh-CN" w:bidi="ar"/>
                    </w:rPr>
                    <w:t>，</w:t>
                  </w:r>
                  <w:r>
                    <w:rPr>
                      <w:rFonts w:hint="default" w:ascii="Times New Roman" w:hAnsi="Times New Roman" w:cs="Times New Roman" w:eastAsiaTheme="minorEastAsia"/>
                      <w:b w:val="0"/>
                      <w:bCs w:val="0"/>
                      <w:color w:val="000000"/>
                      <w:kern w:val="0"/>
                      <w:sz w:val="21"/>
                      <w:szCs w:val="21"/>
                      <w:highlight w:val="none"/>
                      <w:u w:val="none"/>
                      <w:lang w:val="en-US" w:eastAsia="zh-CN" w:bidi="ar"/>
                    </w:rPr>
                    <w:t>d11</w:t>
                  </w:r>
                  <w:r>
                    <w:rPr>
                      <w:rFonts w:hint="eastAsia" w:ascii="Times New Roman" w:hAnsi="Times New Roman" w:cs="Times New Roman" w:eastAsiaTheme="minorEastAsia"/>
                      <w:b w:val="0"/>
                      <w:bCs w:val="0"/>
                      <w:color w:val="000000"/>
                      <w:kern w:val="0"/>
                      <w:sz w:val="21"/>
                      <w:szCs w:val="21"/>
                      <w:highlight w:val="none"/>
                      <w:u w:val="none"/>
                      <w:lang w:val="en-US" w:eastAsia="zh-CN" w:bidi="ar"/>
                    </w:rPr>
                    <w:t>，阻抗电压</w:t>
                  </w:r>
                  <w:r>
                    <w:rPr>
                      <w:rFonts w:hint="default" w:ascii="Times New Roman" w:hAnsi="Times New Roman" w:cs="Times New Roman" w:eastAsiaTheme="minorEastAsia"/>
                      <w:b w:val="0"/>
                      <w:bCs w:val="0"/>
                      <w:color w:val="000000"/>
                      <w:kern w:val="0"/>
                      <w:sz w:val="21"/>
                      <w:szCs w:val="21"/>
                      <w:highlight w:val="none"/>
                      <w:u w:val="none"/>
                      <w:lang w:val="en-US" w:eastAsia="zh-CN" w:bidi="ar"/>
                    </w:rPr>
                    <w:t>Uk=10.5%</w:t>
                  </w:r>
                  <w:r>
                    <w:rPr>
                      <w:rFonts w:hint="eastAsia" w:ascii="Times New Roman" w:hAnsi="Times New Roman" w:cs="Times New Roman" w:eastAsiaTheme="minorEastAsia"/>
                      <w:b w:val="0"/>
                      <w:bCs w:val="0"/>
                      <w:color w:val="000000"/>
                      <w:kern w:val="0"/>
                      <w:sz w:val="21"/>
                      <w:szCs w:val="21"/>
                      <w:highlight w:val="none"/>
                      <w:u w:val="none"/>
                      <w:lang w:val="en-US" w:eastAsia="zh-CN" w:bidi="ar"/>
                    </w:rPr>
                    <w:t>。</w:t>
                  </w:r>
                </w:p>
              </w:tc>
              <w:tc>
                <w:tcPr>
                  <w:tcW w:w="357" w:type="pct"/>
                  <w:tcBorders>
                    <w:tl2br w:val="nil"/>
                    <w:tr2bl w:val="nil"/>
                  </w:tcBorders>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sz w:val="21"/>
                      <w:szCs w:val="21"/>
                      <w:highlight w:val="none"/>
                      <w:u w:val="none"/>
                      <w:vertAlign w:val="baseline"/>
                      <w:lang w:val="en-US" w:eastAsia="zh-CN"/>
                    </w:rPr>
                  </w:pPr>
                  <w:r>
                    <w:rPr>
                      <w:rFonts w:hint="default" w:ascii="Times New Roman" w:hAnsi="Times New Roman" w:cs="Times New Roman" w:eastAsiaTheme="minorEastAsia"/>
                      <w:b w:val="0"/>
                      <w:bCs w:val="0"/>
                      <w:sz w:val="21"/>
                      <w:szCs w:val="21"/>
                      <w:highlight w:val="none"/>
                      <w:u w:val="none"/>
                      <w:vertAlign w:val="baseline"/>
                      <w:lang w:val="en-US" w:eastAsia="zh-CN"/>
                    </w:rPr>
                    <w:t>台</w:t>
                  </w:r>
                </w:p>
              </w:tc>
              <w:tc>
                <w:tcPr>
                  <w:tcW w:w="513" w:type="pct"/>
                  <w:tcBorders>
                    <w:tl2br w:val="nil"/>
                    <w:tr2bl w:val="nil"/>
                  </w:tcBorders>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sz w:val="21"/>
                      <w:szCs w:val="21"/>
                      <w:highlight w:val="none"/>
                      <w:u w:val="none"/>
                      <w:vertAlign w:val="baseline"/>
                      <w:lang w:val="en-US" w:eastAsia="zh-CN"/>
                    </w:rPr>
                  </w:pPr>
                  <w:r>
                    <w:rPr>
                      <w:rFonts w:hint="default" w:ascii="Times New Roman" w:hAnsi="Times New Roman" w:cs="Times New Roman" w:eastAsiaTheme="minorEastAsia"/>
                      <w:b w:val="0"/>
                      <w:bCs w:val="0"/>
                      <w:sz w:val="21"/>
                      <w:szCs w:val="21"/>
                      <w:highlight w:val="none"/>
                      <w:u w:val="none"/>
                      <w:vertAlign w:val="baseline"/>
                      <w:lang w:val="en-US" w:eastAsia="zh-CN"/>
                    </w:rPr>
                    <w:t>1</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443"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b w:val="0"/>
                      <w:bCs w:val="0"/>
                      <w:color w:val="auto"/>
                      <w:sz w:val="21"/>
                      <w:szCs w:val="21"/>
                      <w:highlight w:val="none"/>
                      <w:u w:val="none"/>
                      <w:lang w:val="en-US" w:eastAsia="zh-CN"/>
                    </w:rPr>
                  </w:pPr>
                </w:p>
              </w:tc>
              <w:tc>
                <w:tcPr>
                  <w:tcW w:w="588"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highlight w:val="none"/>
                      <w:u w:val="none"/>
                      <w:lang w:val="en-US" w:eastAsia="zh-CN" w:bidi="ar"/>
                    </w:rPr>
                  </w:pPr>
                </w:p>
              </w:tc>
              <w:tc>
                <w:tcPr>
                  <w:tcW w:w="371" w:type="pct"/>
                  <w:vMerge w:val="restar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highlight w:val="none"/>
                      <w:u w:val="none"/>
                      <w:lang w:val="en-US" w:eastAsia="zh-CN" w:bidi="ar"/>
                    </w:rPr>
                  </w:pPr>
                  <w:r>
                    <w:rPr>
                      <w:rFonts w:hint="default" w:ascii="Times New Roman" w:hAnsi="Times New Roman" w:cs="Times New Roman" w:eastAsiaTheme="minorEastAsia"/>
                      <w:b w:val="0"/>
                      <w:bCs w:val="0"/>
                      <w:color w:val="000000"/>
                      <w:kern w:val="0"/>
                      <w:sz w:val="21"/>
                      <w:szCs w:val="21"/>
                      <w:highlight w:val="none"/>
                      <w:u w:val="none"/>
                      <w:lang w:val="en-US" w:eastAsia="zh-CN" w:bidi="ar"/>
                    </w:rPr>
                    <w:t>中性点成套装置</w:t>
                  </w:r>
                </w:p>
              </w:tc>
              <w:tc>
                <w:tcPr>
                  <w:tcW w:w="658"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highlight w:val="none"/>
                      <w:u w:val="none"/>
                      <w:lang w:val="en-US" w:eastAsia="zh-CN" w:bidi="ar"/>
                    </w:rPr>
                  </w:pPr>
                  <w:r>
                    <w:rPr>
                      <w:rFonts w:hint="default" w:ascii="Times New Roman" w:hAnsi="Times New Roman" w:cs="Times New Roman" w:eastAsiaTheme="minorEastAsia"/>
                      <w:b w:val="0"/>
                      <w:bCs w:val="0"/>
                      <w:color w:val="000000"/>
                      <w:kern w:val="0"/>
                      <w:sz w:val="21"/>
                      <w:szCs w:val="21"/>
                      <w:highlight w:val="none"/>
                      <w:u w:val="none"/>
                      <w:lang w:val="en-US" w:eastAsia="zh-CN" w:bidi="ar"/>
                    </w:rPr>
                    <w:t>避雷器</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highlight w:val="none"/>
                      <w:u w:val="none"/>
                      <w:lang w:val="en-US" w:eastAsia="zh-CN" w:bidi="ar"/>
                    </w:rPr>
                  </w:pPr>
                  <w:r>
                    <w:rPr>
                      <w:rFonts w:hint="default" w:ascii="Times New Roman" w:hAnsi="Times New Roman" w:cs="Times New Roman" w:eastAsiaTheme="minorEastAsia"/>
                      <w:b w:val="0"/>
                      <w:bCs w:val="0"/>
                      <w:color w:val="000000"/>
                      <w:kern w:val="0"/>
                      <w:sz w:val="21"/>
                      <w:szCs w:val="21"/>
                      <w:highlight w:val="none"/>
                      <w:u w:val="none"/>
                      <w:lang w:val="en-US" w:eastAsia="zh-CN" w:bidi="ar"/>
                    </w:rPr>
                    <w:t>Y1.5W-72/186</w:t>
                  </w:r>
                </w:p>
              </w:tc>
              <w:tc>
                <w:tcPr>
                  <w:tcW w:w="357" w:type="pct"/>
                  <w:vMerge w:val="restar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kern w:val="2"/>
                      <w:sz w:val="21"/>
                      <w:szCs w:val="21"/>
                      <w:highlight w:val="none"/>
                      <w:u w:val="none"/>
                      <w:vertAlign w:val="baseline"/>
                      <w:lang w:val="en-US" w:eastAsia="zh-CN" w:bidi="ar-SA"/>
                    </w:rPr>
                  </w:pPr>
                  <w:r>
                    <w:rPr>
                      <w:rFonts w:hint="default" w:ascii="Times New Roman" w:hAnsi="Times New Roman" w:cs="Times New Roman" w:eastAsiaTheme="minorEastAsia"/>
                      <w:b w:val="0"/>
                      <w:bCs w:val="0"/>
                      <w:color w:val="000000"/>
                      <w:kern w:val="0"/>
                      <w:sz w:val="21"/>
                      <w:szCs w:val="21"/>
                      <w:u w:val="none"/>
                      <w:lang w:val="en-US" w:eastAsia="zh-CN" w:bidi="ar"/>
                    </w:rPr>
                    <w:t>套</w:t>
                  </w:r>
                </w:p>
              </w:tc>
              <w:tc>
                <w:tcPr>
                  <w:tcW w:w="513" w:type="pct"/>
                  <w:vMerge w:val="restar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kern w:val="2"/>
                      <w:sz w:val="21"/>
                      <w:szCs w:val="21"/>
                      <w:highlight w:val="none"/>
                      <w:u w:val="none"/>
                      <w:vertAlign w:val="baseline"/>
                      <w:lang w:val="en-US" w:eastAsia="zh-CN" w:bidi="ar-SA"/>
                    </w:rPr>
                  </w:pPr>
                  <w:r>
                    <w:rPr>
                      <w:rFonts w:hint="default" w:ascii="Times New Roman" w:hAnsi="Times New Roman" w:cs="Times New Roman" w:eastAsiaTheme="minorEastAsia"/>
                      <w:b w:val="0"/>
                      <w:bCs w:val="0"/>
                      <w:color w:val="000000"/>
                      <w:kern w:val="0"/>
                      <w:sz w:val="21"/>
                      <w:szCs w:val="21"/>
                      <w:u w:val="none"/>
                      <w:lang w:val="en-US" w:eastAsia="zh-CN" w:bidi="ar"/>
                    </w:rPr>
                    <w:t>1</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443"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b w:val="0"/>
                      <w:bCs w:val="0"/>
                      <w:color w:val="auto"/>
                      <w:sz w:val="21"/>
                      <w:szCs w:val="21"/>
                      <w:highlight w:val="none"/>
                      <w:u w:val="none"/>
                      <w:lang w:val="en-US" w:eastAsia="zh-CN"/>
                    </w:rPr>
                  </w:pPr>
                </w:p>
              </w:tc>
              <w:tc>
                <w:tcPr>
                  <w:tcW w:w="588"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highlight w:val="none"/>
                      <w:u w:val="none"/>
                      <w:lang w:val="en-US" w:eastAsia="zh-CN" w:bidi="ar"/>
                    </w:rPr>
                  </w:pPr>
                </w:p>
              </w:tc>
              <w:tc>
                <w:tcPr>
                  <w:tcW w:w="371"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highlight w:val="none"/>
                      <w:u w:val="none"/>
                      <w:lang w:val="en-US" w:eastAsia="zh-CN" w:bidi="ar"/>
                    </w:rPr>
                  </w:pPr>
                </w:p>
              </w:tc>
              <w:tc>
                <w:tcPr>
                  <w:tcW w:w="658"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highlight w:val="none"/>
                      <w:u w:val="none"/>
                      <w:lang w:val="en-US" w:eastAsia="zh-CN" w:bidi="ar"/>
                    </w:rPr>
                  </w:pPr>
                  <w:r>
                    <w:rPr>
                      <w:rFonts w:hint="default" w:ascii="Times New Roman" w:hAnsi="Times New Roman" w:cs="Times New Roman" w:eastAsiaTheme="minorEastAsia"/>
                      <w:b w:val="0"/>
                      <w:bCs w:val="0"/>
                      <w:color w:val="000000"/>
                      <w:kern w:val="0"/>
                      <w:sz w:val="21"/>
                      <w:szCs w:val="21"/>
                      <w:highlight w:val="none"/>
                      <w:u w:val="none"/>
                      <w:lang w:val="en-US" w:eastAsia="zh-CN" w:bidi="ar"/>
                    </w:rPr>
                    <w:t>隔离开关</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highlight w:val="none"/>
                      <w:u w:val="none"/>
                      <w:lang w:val="en-US" w:eastAsia="zh-CN" w:bidi="ar"/>
                    </w:rPr>
                  </w:pPr>
                  <w:r>
                    <w:rPr>
                      <w:rFonts w:hint="default" w:ascii="Times New Roman" w:hAnsi="Times New Roman" w:cs="Times New Roman" w:eastAsiaTheme="minorEastAsia"/>
                      <w:b w:val="0"/>
                      <w:bCs w:val="0"/>
                      <w:color w:val="000000"/>
                      <w:kern w:val="0"/>
                      <w:sz w:val="21"/>
                      <w:szCs w:val="21"/>
                      <w:highlight w:val="none"/>
                      <w:u w:val="none"/>
                      <w:lang w:val="en-US" w:eastAsia="zh-CN" w:bidi="ar"/>
                    </w:rPr>
                    <w:t>GW13-72.5/630A</w:t>
                  </w:r>
                </w:p>
              </w:tc>
              <w:tc>
                <w:tcPr>
                  <w:tcW w:w="357"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p>
              </w:tc>
              <w:tc>
                <w:tcPr>
                  <w:tcW w:w="513"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443"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b w:val="0"/>
                      <w:bCs w:val="0"/>
                      <w:color w:val="auto"/>
                      <w:sz w:val="21"/>
                      <w:szCs w:val="21"/>
                      <w:highlight w:val="none"/>
                      <w:u w:val="none"/>
                      <w:lang w:val="en-US" w:eastAsia="zh-CN"/>
                    </w:rPr>
                  </w:pPr>
                </w:p>
              </w:tc>
              <w:tc>
                <w:tcPr>
                  <w:tcW w:w="588"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highlight w:val="none"/>
                      <w:u w:val="none"/>
                      <w:lang w:val="en-US" w:eastAsia="zh-CN" w:bidi="ar"/>
                    </w:rPr>
                  </w:pPr>
                </w:p>
              </w:tc>
              <w:tc>
                <w:tcPr>
                  <w:tcW w:w="371"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highlight w:val="none"/>
                      <w:u w:val="none"/>
                      <w:lang w:val="en-US" w:eastAsia="zh-CN" w:bidi="ar"/>
                    </w:rPr>
                  </w:pPr>
                </w:p>
              </w:tc>
              <w:tc>
                <w:tcPr>
                  <w:tcW w:w="658"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highlight w:val="none"/>
                      <w:u w:val="none"/>
                      <w:lang w:val="en-US" w:eastAsia="zh-CN" w:bidi="ar"/>
                    </w:rPr>
                  </w:pPr>
                  <w:r>
                    <w:rPr>
                      <w:rFonts w:hint="default" w:ascii="Times New Roman" w:hAnsi="Times New Roman" w:cs="Times New Roman" w:eastAsiaTheme="minorEastAsia"/>
                      <w:b w:val="0"/>
                      <w:bCs w:val="0"/>
                      <w:color w:val="000000"/>
                      <w:kern w:val="0"/>
                      <w:sz w:val="21"/>
                      <w:szCs w:val="21"/>
                      <w:highlight w:val="none"/>
                      <w:u w:val="none"/>
                      <w:lang w:val="en-US" w:eastAsia="zh-CN" w:bidi="ar"/>
                    </w:rPr>
                    <w:t>保护间隙</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highlight w:val="none"/>
                      <w:u w:val="none"/>
                      <w:lang w:val="en-US" w:eastAsia="zh-CN" w:bidi="ar"/>
                    </w:rPr>
                  </w:pPr>
                  <w:r>
                    <w:rPr>
                      <w:rFonts w:hint="default" w:ascii="Times New Roman" w:hAnsi="Times New Roman" w:cs="Times New Roman" w:eastAsiaTheme="minorEastAsia"/>
                      <w:b w:val="0"/>
                      <w:bCs w:val="0"/>
                      <w:color w:val="000000"/>
                      <w:kern w:val="0"/>
                      <w:sz w:val="21"/>
                      <w:szCs w:val="21"/>
                      <w:highlight w:val="none"/>
                      <w:u w:val="none"/>
                      <w:lang w:val="en-US" w:eastAsia="zh-CN" w:bidi="ar"/>
                    </w:rPr>
                    <w:t>90～135mm可</w:t>
                  </w:r>
                  <w:r>
                    <w:rPr>
                      <w:rFonts w:hint="eastAsia" w:ascii="Times New Roman" w:hAnsi="Times New Roman" w:cs="Times New Roman" w:eastAsiaTheme="minorEastAsia"/>
                      <w:b w:val="0"/>
                      <w:bCs w:val="0"/>
                      <w:color w:val="000000"/>
                      <w:kern w:val="0"/>
                      <w:sz w:val="21"/>
                      <w:szCs w:val="21"/>
                      <w:highlight w:val="none"/>
                      <w:u w:val="none"/>
                      <w:lang w:val="en-US" w:eastAsia="zh-CN" w:bidi="ar"/>
                    </w:rPr>
                    <w:t>调</w:t>
                  </w:r>
                </w:p>
              </w:tc>
              <w:tc>
                <w:tcPr>
                  <w:tcW w:w="357"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p>
              </w:tc>
              <w:tc>
                <w:tcPr>
                  <w:tcW w:w="513"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443"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b w:val="0"/>
                      <w:bCs w:val="0"/>
                      <w:color w:val="auto"/>
                      <w:sz w:val="21"/>
                      <w:szCs w:val="21"/>
                      <w:highlight w:val="none"/>
                      <w:u w:val="none"/>
                      <w:lang w:val="en-US" w:eastAsia="zh-CN"/>
                    </w:rPr>
                  </w:pPr>
                </w:p>
              </w:tc>
              <w:tc>
                <w:tcPr>
                  <w:tcW w:w="588"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highlight w:val="none"/>
                      <w:u w:val="none"/>
                      <w:lang w:val="en-US" w:eastAsia="zh-CN" w:bidi="ar"/>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主变端子箱</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ZXW-2/3</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个</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1</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443"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b w:val="0"/>
                      <w:bCs w:val="0"/>
                      <w:color w:val="auto"/>
                      <w:sz w:val="21"/>
                      <w:szCs w:val="21"/>
                      <w:highlight w:val="none"/>
                      <w:u w:val="none"/>
                      <w:lang w:val="en-US" w:eastAsia="zh-CN"/>
                    </w:rPr>
                  </w:pPr>
                </w:p>
              </w:tc>
              <w:tc>
                <w:tcPr>
                  <w:tcW w:w="588"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highlight w:val="none"/>
                      <w:u w:val="none"/>
                      <w:lang w:val="en-US" w:eastAsia="zh-CN" w:bidi="ar"/>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110kV支柱绝缘子</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ZSW24-126/8</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只</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3</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443"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b w:val="0"/>
                      <w:bCs w:val="0"/>
                      <w:color w:val="auto"/>
                      <w:sz w:val="21"/>
                      <w:szCs w:val="21"/>
                      <w:highlight w:val="none"/>
                      <w:u w:val="none"/>
                      <w:lang w:val="en-US" w:eastAsia="zh-CN"/>
                    </w:rPr>
                  </w:pPr>
                </w:p>
              </w:tc>
              <w:tc>
                <w:tcPr>
                  <w:tcW w:w="588"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highlight w:val="none"/>
                      <w:u w:val="none"/>
                      <w:lang w:val="en-US" w:eastAsia="zh-CN" w:bidi="ar"/>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35kV避雷器</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YH5WZ-51/134</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只</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3</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443"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b w:val="0"/>
                      <w:bCs w:val="0"/>
                      <w:color w:val="auto"/>
                      <w:sz w:val="21"/>
                      <w:szCs w:val="21"/>
                      <w:highlight w:val="none"/>
                      <w:u w:val="none"/>
                      <w:lang w:val="en-US" w:eastAsia="zh-CN"/>
                    </w:rPr>
                  </w:pPr>
                </w:p>
              </w:tc>
              <w:tc>
                <w:tcPr>
                  <w:tcW w:w="588"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highlight w:val="none"/>
                      <w:u w:val="none"/>
                      <w:lang w:val="en-US" w:eastAsia="zh-CN" w:bidi="ar"/>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钢芯铝绞线</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LGJ-400/25</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米</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45</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443"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b w:val="0"/>
                      <w:bCs w:val="0"/>
                      <w:color w:val="auto"/>
                      <w:sz w:val="21"/>
                      <w:szCs w:val="21"/>
                      <w:highlight w:val="none"/>
                      <w:u w:val="none"/>
                      <w:lang w:val="en-US" w:eastAsia="zh-CN"/>
                    </w:rPr>
                  </w:pPr>
                </w:p>
              </w:tc>
              <w:tc>
                <w:tcPr>
                  <w:tcW w:w="588"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highlight w:val="none"/>
                      <w:u w:val="none"/>
                      <w:lang w:val="en-US" w:eastAsia="zh-CN" w:bidi="ar"/>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全绝缘母线</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40.5kV，2500A</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三相米</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20</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443"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b w:val="0"/>
                      <w:bCs w:val="0"/>
                      <w:color w:val="auto"/>
                      <w:sz w:val="21"/>
                      <w:szCs w:val="21"/>
                      <w:highlight w:val="none"/>
                      <w:u w:val="none"/>
                      <w:lang w:val="en-US" w:eastAsia="zh-CN"/>
                    </w:rPr>
                  </w:pPr>
                </w:p>
              </w:tc>
              <w:tc>
                <w:tcPr>
                  <w:tcW w:w="588"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highlight w:val="none"/>
                      <w:u w:val="none"/>
                      <w:lang w:val="en-US" w:eastAsia="zh-CN" w:bidi="ar"/>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铜铝过渡设备线夹</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SYG-400/25</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套</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3</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443"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b w:val="0"/>
                      <w:bCs w:val="0"/>
                      <w:color w:val="auto"/>
                      <w:sz w:val="21"/>
                      <w:szCs w:val="21"/>
                      <w:highlight w:val="none"/>
                      <w:u w:val="none"/>
                      <w:lang w:val="en-US" w:eastAsia="zh-CN"/>
                    </w:rPr>
                  </w:pPr>
                </w:p>
              </w:tc>
              <w:tc>
                <w:tcPr>
                  <w:tcW w:w="588"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highlight w:val="none"/>
                      <w:u w:val="none"/>
                      <w:lang w:val="en-US" w:eastAsia="zh-CN" w:bidi="ar"/>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软母线固定金具</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MDG-5</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套</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ascii="Times New Roman" w:hAnsi="Times New Roman" w:cs="Times New Roman" w:eastAsiaTheme="minorEastAsia"/>
                      <w:b w:val="0"/>
                      <w:bCs w:val="0"/>
                      <w:color w:val="000000"/>
                      <w:kern w:val="0"/>
                      <w:sz w:val="21"/>
                      <w:szCs w:val="21"/>
                      <w:u w:val="none"/>
                      <w:lang w:val="en-US" w:eastAsia="zh-CN" w:bidi="ar"/>
                    </w:rPr>
                    <w:t>3</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443"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588" w:type="pct"/>
                  <w:vMerge w:val="restar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110kV配电装置</w:t>
                  </w: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110kV</w:t>
                  </w:r>
                  <w:r>
                    <w:rPr>
                      <w:rFonts w:hint="eastAsia" w:ascii="Times New Roman" w:hAnsi="Times New Roman" w:cs="Times New Roman" w:eastAsiaTheme="minorEastAsia"/>
                      <w:b w:val="0"/>
                      <w:bCs w:val="0"/>
                      <w:color w:val="000000"/>
                      <w:kern w:val="0"/>
                      <w:sz w:val="21"/>
                      <w:szCs w:val="21"/>
                      <w:u w:val="none"/>
                      <w:lang w:val="en-US" w:eastAsia="zh-CN" w:bidi="ar"/>
                    </w:rPr>
                    <w:t xml:space="preserve"> </w:t>
                  </w:r>
                  <w:r>
                    <w:rPr>
                      <w:rFonts w:hint="default" w:ascii="Times New Roman" w:hAnsi="Times New Roman" w:cs="Times New Roman" w:eastAsiaTheme="minorEastAsia"/>
                      <w:b w:val="0"/>
                      <w:bCs w:val="0"/>
                      <w:color w:val="000000"/>
                      <w:kern w:val="0"/>
                      <w:sz w:val="21"/>
                      <w:szCs w:val="21"/>
                      <w:u w:val="none"/>
                      <w:lang w:val="en-US" w:eastAsia="zh-CN" w:bidi="ar"/>
                    </w:rPr>
                    <w:t>GIS</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left"/>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126kV，2000A，40kA（3s），100kA</w:t>
                  </w:r>
                </w:p>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left"/>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含1组断路器；2组三工位隔离接地；1组接地开关；1组快速接地开关、2组电流互感器、2组套管</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r>
                    <w:rPr>
                      <w:rFonts w:hint="eastAsia" w:cs="Times New Roman"/>
                      <w:b w:val="0"/>
                      <w:bCs w:val="0"/>
                      <w:sz w:val="21"/>
                      <w:szCs w:val="21"/>
                      <w:u w:val="none"/>
                      <w:vertAlign w:val="baseline"/>
                      <w:lang w:val="en-US" w:eastAsia="zh-CN"/>
                    </w:rPr>
                    <w:t>间隔</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r>
                    <w:rPr>
                      <w:rFonts w:hint="eastAsia" w:cs="Times New Roman"/>
                      <w:b w:val="0"/>
                      <w:bCs w:val="0"/>
                      <w:sz w:val="21"/>
                      <w:szCs w:val="21"/>
                      <w:u w:val="none"/>
                      <w:vertAlign w:val="baseline"/>
                      <w:lang w:val="en-US" w:eastAsia="zh-CN"/>
                    </w:rPr>
                    <w:t>1</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443"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588"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110kV电压互感器</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kern w:val="2"/>
                      <w:sz w:val="21"/>
                      <w:szCs w:val="21"/>
                      <w:u w:val="none"/>
                      <w:vertAlign w:val="baseline"/>
                      <w:lang w:val="en-US" w:eastAsia="zh-CN" w:bidi="ar-SA"/>
                    </w:rPr>
                  </w:pPr>
                  <w:r>
                    <w:rPr>
                      <w:rFonts w:hint="default" w:ascii="Times New Roman" w:hAnsi="Times New Roman" w:cs="Times New Roman" w:eastAsiaTheme="minorEastAsia"/>
                      <w:b w:val="0"/>
                      <w:bCs w:val="0"/>
                      <w:color w:val="000000"/>
                      <w:kern w:val="0"/>
                      <w:sz w:val="21"/>
                      <w:szCs w:val="21"/>
                      <w:u w:val="none"/>
                      <w:lang w:val="en-US" w:eastAsia="zh-CN" w:bidi="ar"/>
                    </w:rPr>
                    <w:t>TYD110/√3-0.02H</w:t>
                  </w:r>
                </w:p>
              </w:tc>
              <w:tc>
                <w:tcPr>
                  <w:tcW w:w="357" w:type="pct"/>
                  <w:tcBorders>
                    <w:tl2br w:val="nil"/>
                    <w:tr2bl w:val="nil"/>
                  </w:tcBorders>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eastAsia" w:ascii="Times New Roman" w:hAnsi="Times New Roman" w:cs="Times New Roman" w:eastAsiaTheme="minorEastAsia"/>
                      <w:b w:val="0"/>
                      <w:bCs w:val="0"/>
                      <w:kern w:val="2"/>
                      <w:sz w:val="21"/>
                      <w:szCs w:val="21"/>
                      <w:u w:val="none"/>
                      <w:vertAlign w:val="baseline"/>
                      <w:lang w:val="en-US" w:eastAsia="zh-CN" w:bidi="ar-SA"/>
                    </w:rPr>
                  </w:pPr>
                  <w:r>
                    <w:rPr>
                      <w:rFonts w:hint="default" w:ascii="Times New Roman" w:hAnsi="Times New Roman" w:cs="Times New Roman" w:eastAsiaTheme="minorEastAsia"/>
                      <w:b w:val="0"/>
                      <w:bCs w:val="0"/>
                      <w:color w:val="000000"/>
                      <w:kern w:val="0"/>
                      <w:sz w:val="21"/>
                      <w:szCs w:val="21"/>
                      <w:u w:val="none"/>
                      <w:lang w:val="en-US" w:eastAsia="zh-CN" w:bidi="ar"/>
                    </w:rPr>
                    <w:t>台</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top"/>
                    <w:rPr>
                      <w:rFonts w:hint="eastAsia" w:ascii="Times New Roman" w:hAnsi="Times New Roman" w:cs="Times New Roman" w:eastAsiaTheme="minorEastAsia"/>
                      <w:b w:val="0"/>
                      <w:bCs w:val="0"/>
                      <w:kern w:val="2"/>
                      <w:sz w:val="21"/>
                      <w:szCs w:val="21"/>
                      <w:u w:val="none"/>
                      <w:vertAlign w:val="baseline"/>
                      <w:lang w:val="en-US" w:eastAsia="zh-CN" w:bidi="ar-SA"/>
                    </w:rPr>
                  </w:pPr>
                  <w:r>
                    <w:rPr>
                      <w:rFonts w:hint="default" w:ascii="Times New Roman" w:hAnsi="Times New Roman" w:cs="Times New Roman" w:eastAsiaTheme="minorEastAsia"/>
                      <w:b w:val="0"/>
                      <w:bCs w:val="0"/>
                      <w:color w:val="000000"/>
                      <w:kern w:val="0"/>
                      <w:sz w:val="21"/>
                      <w:szCs w:val="21"/>
                      <w:u w:val="none"/>
                      <w:lang w:val="en-US" w:eastAsia="zh-CN" w:bidi="ar"/>
                    </w:rPr>
                    <w:t>3</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443"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588"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110kV避雷器</w:t>
                  </w:r>
                </w:p>
              </w:tc>
              <w:tc>
                <w:tcPr>
                  <w:tcW w:w="2067" w:type="pct"/>
                  <w:tcBorders>
                    <w:tl2br w:val="nil"/>
                    <w:tr2bl w:val="nil"/>
                  </w:tcBorders>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kern w:val="2"/>
                      <w:sz w:val="21"/>
                      <w:szCs w:val="21"/>
                      <w:u w:val="none"/>
                      <w:vertAlign w:val="baseline"/>
                      <w:lang w:val="en-US" w:eastAsia="zh-CN" w:bidi="ar-SA"/>
                    </w:rPr>
                  </w:pPr>
                  <w:r>
                    <w:rPr>
                      <w:rFonts w:hint="eastAsia" w:cs="Times New Roman"/>
                      <w:b w:val="0"/>
                      <w:bCs w:val="0"/>
                      <w:color w:val="000000"/>
                      <w:kern w:val="0"/>
                      <w:sz w:val="21"/>
                      <w:szCs w:val="21"/>
                      <w:u w:val="none"/>
                      <w:lang w:val="en-US" w:eastAsia="zh-CN" w:bidi="ar"/>
                    </w:rPr>
                    <w:t>HY10W-</w:t>
                  </w:r>
                  <w:r>
                    <w:rPr>
                      <w:rFonts w:hint="default" w:ascii="Times New Roman" w:hAnsi="Times New Roman" w:cs="Times New Roman" w:eastAsiaTheme="minorEastAsia"/>
                      <w:b w:val="0"/>
                      <w:bCs w:val="0"/>
                      <w:color w:val="000000"/>
                      <w:kern w:val="0"/>
                      <w:sz w:val="21"/>
                      <w:szCs w:val="21"/>
                      <w:u w:val="none"/>
                      <w:lang w:val="en-US" w:eastAsia="zh-CN" w:bidi="ar"/>
                    </w:rPr>
                    <w:t>108/281</w:t>
                  </w:r>
                </w:p>
              </w:tc>
              <w:tc>
                <w:tcPr>
                  <w:tcW w:w="357" w:type="pct"/>
                  <w:tcBorders>
                    <w:tl2br w:val="nil"/>
                    <w:tr2bl w:val="nil"/>
                  </w:tcBorders>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eastAsia" w:ascii="Times New Roman" w:hAnsi="Times New Roman" w:cs="Times New Roman" w:eastAsiaTheme="minorEastAsia"/>
                      <w:b w:val="0"/>
                      <w:bCs w:val="0"/>
                      <w:kern w:val="2"/>
                      <w:sz w:val="21"/>
                      <w:szCs w:val="21"/>
                      <w:u w:val="none"/>
                      <w:vertAlign w:val="baseline"/>
                      <w:lang w:val="en-US" w:eastAsia="zh-CN" w:bidi="ar-SA"/>
                    </w:rPr>
                  </w:pPr>
                  <w:r>
                    <w:rPr>
                      <w:rFonts w:hint="default" w:ascii="Times New Roman" w:hAnsi="Times New Roman" w:cs="Times New Roman" w:eastAsiaTheme="minorEastAsia"/>
                      <w:b w:val="0"/>
                      <w:bCs w:val="0"/>
                      <w:color w:val="000000"/>
                      <w:kern w:val="0"/>
                      <w:sz w:val="21"/>
                      <w:szCs w:val="21"/>
                      <w:u w:val="none"/>
                      <w:lang w:val="en-US" w:eastAsia="zh-CN" w:bidi="ar"/>
                    </w:rPr>
                    <w:t>台</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top"/>
                    <w:rPr>
                      <w:rFonts w:hint="eastAsia" w:ascii="Times New Roman" w:hAnsi="Times New Roman" w:cs="Times New Roman" w:eastAsiaTheme="minorEastAsia"/>
                      <w:b w:val="0"/>
                      <w:bCs w:val="0"/>
                      <w:kern w:val="2"/>
                      <w:sz w:val="21"/>
                      <w:szCs w:val="21"/>
                      <w:u w:val="none"/>
                      <w:vertAlign w:val="baseline"/>
                      <w:lang w:val="en-US" w:eastAsia="zh-CN" w:bidi="ar-SA"/>
                    </w:rPr>
                  </w:pPr>
                  <w:r>
                    <w:rPr>
                      <w:rFonts w:hint="default" w:ascii="Times New Roman" w:hAnsi="Times New Roman" w:cs="Times New Roman" w:eastAsiaTheme="minorEastAsia"/>
                      <w:b w:val="0"/>
                      <w:bCs w:val="0"/>
                      <w:color w:val="000000"/>
                      <w:kern w:val="0"/>
                      <w:sz w:val="21"/>
                      <w:szCs w:val="21"/>
                      <w:u w:val="none"/>
                      <w:lang w:val="en-US" w:eastAsia="zh-CN" w:bidi="ar"/>
                    </w:rPr>
                    <w:t>3</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443" w:type="pct"/>
                  <w:vMerge w:val="continue"/>
                  <w:tcBorders>
                    <w:tl2br w:val="nil"/>
                    <w:tr2bl w:val="nil"/>
                  </w:tcBorders>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588" w:type="pct"/>
                  <w:vMerge w:val="continue"/>
                  <w:tcBorders>
                    <w:tl2br w:val="nil"/>
                    <w:tr2bl w:val="nil"/>
                  </w:tcBorders>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户外动力检修箱</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ascii="Times New Roman" w:hAnsi="Times New Roman" w:cs="Times New Roman" w:eastAsiaTheme="minorEastAsia"/>
                      <w:b w:val="0"/>
                      <w:bCs w:val="0"/>
                      <w:color w:val="000000"/>
                      <w:kern w:val="0"/>
                      <w:sz w:val="21"/>
                      <w:szCs w:val="21"/>
                      <w:u w:val="none"/>
                      <w:lang w:val="en-US" w:eastAsia="zh-CN" w:bidi="ar"/>
                    </w:rPr>
                    <w:t>/</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台</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1</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443" w:type="pct"/>
                  <w:vMerge w:val="continue"/>
                  <w:tcBorders>
                    <w:tl2br w:val="nil"/>
                    <w:tr2bl w:val="nil"/>
                  </w:tcBorders>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588" w:type="pct"/>
                  <w:vMerge w:val="continue"/>
                  <w:tcBorders>
                    <w:tl2br w:val="nil"/>
                    <w:tr2bl w:val="nil"/>
                  </w:tcBorders>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钢芯铝绞线</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LGJ-400/25</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米</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ascii="Times New Roman" w:hAnsi="Times New Roman" w:cs="Times New Roman" w:eastAsiaTheme="minorEastAsia"/>
                      <w:b w:val="0"/>
                      <w:bCs w:val="0"/>
                      <w:color w:val="000000"/>
                      <w:kern w:val="0"/>
                      <w:sz w:val="21"/>
                      <w:szCs w:val="21"/>
                      <w:u w:val="none"/>
                      <w:lang w:val="en-US" w:eastAsia="zh-CN" w:bidi="ar"/>
                    </w:rPr>
                    <w:t>60</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443" w:type="pct"/>
                  <w:vMerge w:val="continue"/>
                  <w:tcBorders>
                    <w:tl2br w:val="nil"/>
                    <w:tr2bl w:val="nil"/>
                  </w:tcBorders>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588" w:type="pct"/>
                  <w:vMerge w:val="continue"/>
                  <w:tcBorders>
                    <w:tl2br w:val="nil"/>
                    <w:tr2bl w:val="nil"/>
                  </w:tcBorders>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T型线夹</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TY-400/25</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套</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6</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443" w:type="pct"/>
                  <w:vMerge w:val="continue"/>
                  <w:tcBorders>
                    <w:tl2br w:val="nil"/>
                    <w:tr2bl w:val="nil"/>
                  </w:tcBorders>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588" w:type="pct"/>
                  <w:vMerge w:val="continue"/>
                  <w:tcBorders>
                    <w:tl2br w:val="nil"/>
                    <w:tr2bl w:val="nil"/>
                  </w:tcBorders>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设备线夹</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SY-400/25</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套</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15</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443"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588" w:type="pct"/>
                  <w:vMerge w:val="restar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35kV配电装置</w:t>
                  </w: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35kV手车式主变进线开关柜</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 xml:space="preserve">40.5kV </w:t>
                  </w:r>
                  <w:r>
                    <w:rPr>
                      <w:rFonts w:hint="eastAsia" w:cs="Times New Roman"/>
                      <w:b w:val="0"/>
                      <w:bCs w:val="0"/>
                      <w:color w:val="000000"/>
                      <w:kern w:val="0"/>
                      <w:sz w:val="21"/>
                      <w:szCs w:val="21"/>
                      <w:u w:val="none"/>
                      <w:lang w:val="en-US" w:eastAsia="zh-CN" w:bidi="ar"/>
                    </w:rPr>
                    <w:t xml:space="preserve"> </w:t>
                  </w:r>
                  <w:r>
                    <w:rPr>
                      <w:rFonts w:hint="default" w:ascii="Times New Roman" w:hAnsi="Times New Roman" w:cs="Times New Roman" w:eastAsiaTheme="minorEastAsia"/>
                      <w:b w:val="0"/>
                      <w:bCs w:val="0"/>
                      <w:color w:val="000000"/>
                      <w:kern w:val="0"/>
                      <w:sz w:val="21"/>
                      <w:szCs w:val="21"/>
                      <w:u w:val="none"/>
                      <w:lang w:val="en-US" w:eastAsia="zh-CN" w:bidi="ar"/>
                    </w:rPr>
                    <w:t>2500A、31.5 kA（4s）</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面</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1</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443"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588"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35kV手车式风电进线开关柜</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 xml:space="preserve">40.5kV </w:t>
                  </w:r>
                  <w:r>
                    <w:rPr>
                      <w:rFonts w:hint="eastAsia" w:cs="Times New Roman"/>
                      <w:b w:val="0"/>
                      <w:bCs w:val="0"/>
                      <w:color w:val="000000"/>
                      <w:kern w:val="0"/>
                      <w:sz w:val="21"/>
                      <w:szCs w:val="21"/>
                      <w:u w:val="none"/>
                      <w:lang w:val="en-US" w:eastAsia="zh-CN" w:bidi="ar"/>
                    </w:rPr>
                    <w:t xml:space="preserve"> </w:t>
                  </w:r>
                  <w:r>
                    <w:rPr>
                      <w:rFonts w:hint="default" w:ascii="Times New Roman" w:hAnsi="Times New Roman" w:cs="Times New Roman" w:eastAsiaTheme="minorEastAsia"/>
                      <w:b w:val="0"/>
                      <w:bCs w:val="0"/>
                      <w:color w:val="000000"/>
                      <w:kern w:val="0"/>
                      <w:sz w:val="21"/>
                      <w:szCs w:val="21"/>
                      <w:u w:val="none"/>
                      <w:lang w:val="en-US" w:eastAsia="zh-CN" w:bidi="ar"/>
                    </w:rPr>
                    <w:t>1250A、31.5 kA（4s）</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面</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ascii="Times New Roman" w:hAnsi="Times New Roman" w:cs="Times New Roman" w:eastAsiaTheme="minorEastAsia"/>
                      <w:b w:val="0"/>
                      <w:bCs w:val="0"/>
                      <w:color w:val="000000"/>
                      <w:kern w:val="0"/>
                      <w:sz w:val="21"/>
                      <w:szCs w:val="21"/>
                      <w:u w:val="none"/>
                      <w:lang w:val="en-US" w:eastAsia="zh-CN" w:bidi="ar"/>
                    </w:rPr>
                    <w:t>4（4</w:t>
                  </w:r>
                  <w:r>
                    <w:rPr>
                      <w:rFonts w:hint="default" w:ascii="Times New Roman" w:hAnsi="Times New Roman" w:cs="Times New Roman" w:eastAsiaTheme="minorEastAsia"/>
                      <w:b w:val="0"/>
                      <w:bCs w:val="0"/>
                      <w:color w:val="000000"/>
                      <w:kern w:val="0"/>
                      <w:sz w:val="21"/>
                      <w:szCs w:val="21"/>
                      <w:u w:val="none"/>
                      <w:lang w:val="en-US" w:eastAsia="zh-CN" w:bidi="ar"/>
                    </w:rPr>
                    <w:t>回集电线路</w:t>
                  </w:r>
                  <w:r>
                    <w:rPr>
                      <w:rFonts w:hint="eastAsia" w:ascii="Times New Roman" w:hAnsi="Times New Roman" w:cs="Times New Roman" w:eastAsiaTheme="minorEastAsia"/>
                      <w:b w:val="0"/>
                      <w:bCs w:val="0"/>
                      <w:color w:val="000000"/>
                      <w:kern w:val="0"/>
                      <w:sz w:val="21"/>
                      <w:szCs w:val="21"/>
                      <w:u w:val="none"/>
                      <w:lang w:val="en-US" w:eastAsia="zh-CN" w:bidi="ar"/>
                    </w:rPr>
                    <w:t>）</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443" w:type="pct"/>
                  <w:vMerge w:val="continue"/>
                  <w:tcBorders>
                    <w:tl2br w:val="nil"/>
                    <w:tr2bl w:val="nil"/>
                  </w:tcBorders>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588" w:type="pct"/>
                  <w:vMerge w:val="continue"/>
                  <w:tcBorders>
                    <w:tl2br w:val="nil"/>
                    <w:tr2bl w:val="nil"/>
                  </w:tcBorders>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35kV手车式储能出线开关柜</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40.5kV 1250A、31.5 kA（4s）</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面</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1</w:t>
                  </w:r>
                  <w:r>
                    <w:rPr>
                      <w:rFonts w:hint="eastAsia" w:ascii="Times New Roman" w:hAnsi="Times New Roman" w:cs="Times New Roman" w:eastAsiaTheme="minorEastAsia"/>
                      <w:b w:val="0"/>
                      <w:bCs w:val="0"/>
                      <w:color w:val="000000"/>
                      <w:kern w:val="0"/>
                      <w:sz w:val="21"/>
                      <w:szCs w:val="21"/>
                      <w:u w:val="none"/>
                      <w:lang w:val="en-US" w:eastAsia="zh-CN" w:bidi="ar"/>
                    </w:rPr>
                    <w:t>（</w:t>
                  </w:r>
                  <w:r>
                    <w:rPr>
                      <w:rFonts w:hint="default" w:ascii="Times New Roman" w:hAnsi="Times New Roman" w:cs="Times New Roman" w:eastAsiaTheme="minorEastAsia"/>
                      <w:b w:val="0"/>
                      <w:bCs w:val="0"/>
                      <w:color w:val="000000"/>
                      <w:kern w:val="0"/>
                      <w:sz w:val="21"/>
                      <w:szCs w:val="21"/>
                      <w:u w:val="none"/>
                      <w:lang w:val="en-US" w:eastAsia="zh-CN" w:bidi="ar"/>
                    </w:rPr>
                    <w:t>至储能系统</w:t>
                  </w:r>
                  <w:r>
                    <w:rPr>
                      <w:rFonts w:hint="eastAsia" w:ascii="Times New Roman" w:hAnsi="Times New Roman" w:cs="Times New Roman" w:eastAsiaTheme="minorEastAsia"/>
                      <w:b w:val="0"/>
                      <w:bCs w:val="0"/>
                      <w:color w:val="000000"/>
                      <w:kern w:val="0"/>
                      <w:sz w:val="21"/>
                      <w:szCs w:val="21"/>
                      <w:u w:val="none"/>
                      <w:lang w:val="en-US" w:eastAsia="zh-CN" w:bidi="ar"/>
                    </w:rPr>
                    <w:t>）</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443" w:type="pct"/>
                  <w:vMerge w:val="continue"/>
                  <w:tcBorders>
                    <w:tl2br w:val="nil"/>
                    <w:tr2bl w:val="nil"/>
                  </w:tcBorders>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588" w:type="pct"/>
                  <w:vMerge w:val="continue"/>
                  <w:tcBorders>
                    <w:tl2br w:val="nil"/>
                    <w:tr2bl w:val="nil"/>
                  </w:tcBorders>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35kV手车式接地变开关柜</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40.5kV 1250A、31.5 kA（4s）</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 xml:space="preserve">面 </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1</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443" w:type="pct"/>
                  <w:vMerge w:val="continue"/>
                  <w:tcBorders>
                    <w:tl2br w:val="nil"/>
                    <w:tr2bl w:val="nil"/>
                  </w:tcBorders>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588" w:type="pct"/>
                  <w:vMerge w:val="continue"/>
                  <w:tcBorders>
                    <w:tl2br w:val="nil"/>
                    <w:tr2bl w:val="nil"/>
                  </w:tcBorders>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35kV手车式无功补偿开关柜</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40.5kV 1250A、31.5 kA（4s）</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面</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1</w:t>
                  </w:r>
                  <w:r>
                    <w:rPr>
                      <w:rFonts w:hint="eastAsia" w:ascii="Times New Roman" w:hAnsi="Times New Roman" w:cs="Times New Roman" w:eastAsiaTheme="minorEastAsia"/>
                      <w:b w:val="0"/>
                      <w:bCs w:val="0"/>
                      <w:color w:val="000000"/>
                      <w:kern w:val="0"/>
                      <w:sz w:val="21"/>
                      <w:szCs w:val="21"/>
                      <w:u w:val="none"/>
                      <w:lang w:val="en-US" w:eastAsia="zh-CN" w:bidi="ar"/>
                    </w:rPr>
                    <w:t>（</w:t>
                  </w:r>
                  <w:r>
                    <w:rPr>
                      <w:rFonts w:hint="default" w:ascii="Times New Roman" w:hAnsi="Times New Roman" w:cs="Times New Roman" w:eastAsiaTheme="minorEastAsia"/>
                      <w:b w:val="0"/>
                      <w:bCs w:val="0"/>
                      <w:color w:val="000000"/>
                      <w:kern w:val="0"/>
                      <w:sz w:val="21"/>
                      <w:szCs w:val="21"/>
                      <w:u w:val="none"/>
                      <w:lang w:val="en-US" w:eastAsia="zh-CN" w:bidi="ar"/>
                    </w:rPr>
                    <w:t>六氟化硫断路器</w:t>
                  </w:r>
                  <w:r>
                    <w:rPr>
                      <w:rFonts w:hint="eastAsia" w:ascii="Times New Roman" w:hAnsi="Times New Roman" w:cs="Times New Roman" w:eastAsiaTheme="minorEastAsia"/>
                      <w:b w:val="0"/>
                      <w:bCs w:val="0"/>
                      <w:color w:val="000000"/>
                      <w:kern w:val="0"/>
                      <w:sz w:val="21"/>
                      <w:szCs w:val="21"/>
                      <w:u w:val="none"/>
                      <w:lang w:val="en-US" w:eastAsia="zh-CN" w:bidi="ar"/>
                    </w:rPr>
                    <w:t>）</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443" w:type="pct"/>
                  <w:vMerge w:val="continue"/>
                  <w:tcBorders>
                    <w:tl2br w:val="nil"/>
                    <w:tr2bl w:val="nil"/>
                  </w:tcBorders>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588" w:type="pct"/>
                  <w:vMerge w:val="continue"/>
                  <w:tcBorders>
                    <w:tl2br w:val="nil"/>
                    <w:tr2bl w:val="nil"/>
                  </w:tcBorders>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35kV手车式PT柜</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 xml:space="preserve">35/√3/0.1/√3/0.1/√3/0.1 kV ， 0.2/0.5(3P)/3P   50/50/100VA </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面</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1</w:t>
                  </w:r>
                  <w:r>
                    <w:rPr>
                      <w:rFonts w:hint="eastAsia" w:ascii="Times New Roman" w:hAnsi="Times New Roman" w:cs="Times New Roman" w:eastAsiaTheme="minorEastAsia"/>
                      <w:b w:val="0"/>
                      <w:bCs w:val="0"/>
                      <w:color w:val="000000"/>
                      <w:kern w:val="0"/>
                      <w:sz w:val="21"/>
                      <w:szCs w:val="21"/>
                      <w:u w:val="none"/>
                      <w:lang w:val="en-US" w:eastAsia="zh-CN" w:bidi="ar"/>
                    </w:rPr>
                    <w:t>（</w:t>
                  </w:r>
                  <w:r>
                    <w:rPr>
                      <w:rFonts w:hint="default" w:ascii="Times New Roman" w:hAnsi="Times New Roman" w:cs="Times New Roman" w:eastAsiaTheme="minorEastAsia"/>
                      <w:b w:val="0"/>
                      <w:bCs w:val="0"/>
                      <w:color w:val="000000"/>
                      <w:kern w:val="0"/>
                      <w:sz w:val="21"/>
                      <w:szCs w:val="21"/>
                      <w:u w:val="none"/>
                      <w:lang w:val="en-US" w:eastAsia="zh-CN" w:bidi="ar"/>
                    </w:rPr>
                    <w:t>配一次消谐装置</w:t>
                  </w:r>
                  <w:r>
                    <w:rPr>
                      <w:rFonts w:hint="eastAsia" w:ascii="Times New Roman" w:hAnsi="Times New Roman" w:cs="Times New Roman" w:eastAsiaTheme="minorEastAsia"/>
                      <w:b w:val="0"/>
                      <w:bCs w:val="0"/>
                      <w:color w:val="000000"/>
                      <w:kern w:val="0"/>
                      <w:sz w:val="21"/>
                      <w:szCs w:val="21"/>
                      <w:u w:val="none"/>
                      <w:lang w:val="en-US" w:eastAsia="zh-CN" w:bidi="ar"/>
                    </w:rPr>
                    <w:t>）</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443" w:type="pct"/>
                  <w:vMerge w:val="continue"/>
                  <w:tcBorders>
                    <w:tl2br w:val="nil"/>
                    <w:tr2bl w:val="nil"/>
                  </w:tcBorders>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588" w:type="pct"/>
                  <w:vMerge w:val="continue"/>
                  <w:tcBorders>
                    <w:tl2br w:val="nil"/>
                    <w:tr2bl w:val="nil"/>
                  </w:tcBorders>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35kV接地变、小电阻成套装置</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接地变兼站用 DKSC-800/37-315/0.4 35kV 接地电阻 200A，107Ω</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套</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1</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443" w:type="pct"/>
                  <w:vMerge w:val="continue"/>
                  <w:tcBorders>
                    <w:tl2br w:val="nil"/>
                    <w:tr2bl w:val="nil"/>
                  </w:tcBorders>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588" w:type="pct"/>
                  <w:vMerge w:val="continue"/>
                  <w:tcBorders>
                    <w:tl2br w:val="nil"/>
                    <w:tr2bl w:val="nil"/>
                  </w:tcBorders>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35kV动态无功补偿装置</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-24 ~ +24Mvar 连续可调</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套</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1</w:t>
                  </w:r>
                  <w:r>
                    <w:rPr>
                      <w:rFonts w:hint="eastAsia" w:ascii="Times New Roman" w:hAnsi="Times New Roman" w:cs="Times New Roman" w:eastAsiaTheme="minorEastAsia"/>
                      <w:b w:val="0"/>
                      <w:bCs w:val="0"/>
                      <w:color w:val="000000"/>
                      <w:kern w:val="0"/>
                      <w:sz w:val="21"/>
                      <w:szCs w:val="21"/>
                      <w:u w:val="none"/>
                      <w:lang w:val="en-US" w:eastAsia="zh-CN" w:bidi="ar"/>
                    </w:rPr>
                    <w:t>（</w:t>
                  </w:r>
                  <w:r>
                    <w:rPr>
                      <w:rFonts w:hint="default" w:ascii="Times New Roman" w:hAnsi="Times New Roman" w:cs="Times New Roman" w:eastAsiaTheme="minorEastAsia"/>
                      <w:b w:val="0"/>
                      <w:bCs w:val="0"/>
                      <w:color w:val="000000"/>
                      <w:kern w:val="0"/>
                      <w:sz w:val="21"/>
                      <w:szCs w:val="21"/>
                      <w:u w:val="none"/>
                      <w:lang w:val="en-US" w:eastAsia="zh-CN" w:bidi="ar"/>
                    </w:rPr>
                    <w:t>预装式</w:t>
                  </w:r>
                  <w:r>
                    <w:rPr>
                      <w:rFonts w:hint="eastAsia" w:ascii="Times New Roman" w:hAnsi="Times New Roman" w:cs="Times New Roman" w:eastAsiaTheme="minorEastAsia"/>
                      <w:b w:val="0"/>
                      <w:bCs w:val="0"/>
                      <w:color w:val="000000"/>
                      <w:kern w:val="0"/>
                      <w:sz w:val="21"/>
                      <w:szCs w:val="21"/>
                      <w:u w:val="none"/>
                      <w:lang w:val="en-US" w:eastAsia="zh-CN" w:bidi="ar"/>
                    </w:rPr>
                    <w:t>）</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443" w:type="pct"/>
                  <w:vMerge w:val="continue"/>
                  <w:tcBorders>
                    <w:tl2br w:val="nil"/>
                    <w:tr2bl w:val="nil"/>
                  </w:tcBorders>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588" w:type="pct"/>
                  <w:vMerge w:val="restar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站用电系统</w:t>
                  </w: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10kV站用变</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315kVA 10/0.4kV 干式箱变</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台</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1</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443" w:type="pct"/>
                  <w:vMerge w:val="continue"/>
                  <w:tcBorders>
                    <w:tl2br w:val="nil"/>
                    <w:tr2bl w:val="nil"/>
                  </w:tcBorders>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588"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0.4kV站用电柜</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1面进线，4面出线</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面</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ascii="Times New Roman" w:hAnsi="Times New Roman" w:cs="Times New Roman" w:eastAsiaTheme="minorEastAsia"/>
                      <w:b w:val="0"/>
                      <w:bCs w:val="0"/>
                      <w:color w:val="000000"/>
                      <w:kern w:val="0"/>
                      <w:sz w:val="21"/>
                      <w:szCs w:val="21"/>
                      <w:u w:val="none"/>
                      <w:lang w:val="en-US" w:eastAsia="zh-CN" w:bidi="ar"/>
                    </w:rPr>
                    <w:t>5</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443" w:type="pct"/>
                  <w:vMerge w:val="continue"/>
                  <w:tcBorders>
                    <w:tl2br w:val="nil"/>
                    <w:tr2bl w:val="nil"/>
                  </w:tcBorders>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588" w:type="pct"/>
                  <w:vMerge w:val="restar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防雷接地</w:t>
                  </w: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接地扁钢</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-60x6 热镀锌</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吨</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10.25</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443"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588"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钢管接地极</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ascii="宋体" w:hAnsi="宋体" w:eastAsia="宋体" w:cs="宋体"/>
                      <w:b w:val="0"/>
                      <w:bCs w:val="0"/>
                      <w:color w:val="000000"/>
                      <w:kern w:val="0"/>
                      <w:sz w:val="21"/>
                      <w:szCs w:val="21"/>
                      <w:u w:val="none"/>
                      <w:lang w:val="en-US" w:eastAsia="zh-CN" w:bidi="ar"/>
                    </w:rPr>
                    <w:t>φ</w:t>
                  </w:r>
                  <w:r>
                    <w:rPr>
                      <w:rFonts w:hint="default" w:ascii="Times New Roman" w:hAnsi="Times New Roman" w:cs="Times New Roman" w:eastAsiaTheme="minorEastAsia"/>
                      <w:b w:val="0"/>
                      <w:bCs w:val="0"/>
                      <w:color w:val="000000"/>
                      <w:kern w:val="0"/>
                      <w:sz w:val="21"/>
                      <w:szCs w:val="21"/>
                      <w:u w:val="none"/>
                      <w:lang w:val="en-US" w:eastAsia="zh-CN" w:bidi="ar"/>
                    </w:rPr>
                    <w:t>50，L=2500mm 热镀锌</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吨</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2.52</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443"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588"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离子接地极</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Rv=0.05ρ</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套</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60</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443"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588"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物理降阻剂</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r>
                    <w:rPr>
                      <w:rFonts w:hint="eastAsia" w:ascii="Times New Roman" w:hAnsi="Times New Roman" w:cs="Times New Roman" w:eastAsiaTheme="minorEastAsia"/>
                      <w:b w:val="0"/>
                      <w:bCs w:val="0"/>
                      <w:color w:val="000000"/>
                      <w:kern w:val="0"/>
                      <w:sz w:val="21"/>
                      <w:szCs w:val="21"/>
                      <w:u w:val="none"/>
                      <w:lang w:val="en-US" w:eastAsia="zh-CN" w:bidi="ar"/>
                    </w:rPr>
                    <w:t>/</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吨</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30</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443"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588"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等电位铜排</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-25x4</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米</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500</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8" w:hRule="atLeast"/>
              </w:trPr>
              <w:tc>
                <w:tcPr>
                  <w:tcW w:w="443"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588"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铜绞线</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50mm</w:t>
                  </w:r>
                  <w:r>
                    <w:rPr>
                      <w:rFonts w:hint="default" w:ascii="Times New Roman" w:hAnsi="Times New Roman" w:cs="Times New Roman" w:eastAsiaTheme="minorEastAsia"/>
                      <w:b w:val="0"/>
                      <w:bCs w:val="0"/>
                      <w:color w:val="000000"/>
                      <w:kern w:val="0"/>
                      <w:sz w:val="21"/>
                      <w:szCs w:val="21"/>
                      <w:u w:val="none"/>
                      <w:vertAlign w:val="superscript"/>
                      <w:lang w:val="en-US" w:eastAsia="zh-CN" w:bidi="ar"/>
                    </w:rPr>
                    <w:t>2</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米</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160</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8" w:hRule="atLeast"/>
              </w:trPr>
              <w:tc>
                <w:tcPr>
                  <w:tcW w:w="443"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588"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构架避雷针</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30米</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ascii="Times New Roman" w:hAnsi="Times New Roman" w:cs="Times New Roman" w:eastAsiaTheme="minorEastAsia"/>
                      <w:b w:val="0"/>
                      <w:bCs w:val="0"/>
                      <w:color w:val="000000"/>
                      <w:kern w:val="0"/>
                      <w:sz w:val="21"/>
                      <w:szCs w:val="21"/>
                      <w:u w:val="none"/>
                      <w:lang w:val="en-US" w:eastAsia="zh-CN" w:bidi="ar"/>
                    </w:rPr>
                    <w:t>座</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ascii="Times New Roman" w:hAnsi="Times New Roman" w:cs="Times New Roman" w:eastAsiaTheme="minorEastAsia"/>
                      <w:b w:val="0"/>
                      <w:bCs w:val="0"/>
                      <w:color w:val="000000"/>
                      <w:kern w:val="0"/>
                      <w:sz w:val="21"/>
                      <w:szCs w:val="21"/>
                      <w:u w:val="none"/>
                      <w:lang w:val="en-US" w:eastAsia="zh-CN" w:bidi="ar"/>
                    </w:rPr>
                    <w:t>1</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8" w:hRule="atLeast"/>
              </w:trPr>
              <w:tc>
                <w:tcPr>
                  <w:tcW w:w="443"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588" w:type="pct"/>
                  <w:vMerge w:val="restar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电缆、防火材料及其他</w:t>
                  </w: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35kV高压电缆</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YJY23-26/35，3x240</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米</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120</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8" w:hRule="atLeast"/>
              </w:trPr>
              <w:tc>
                <w:tcPr>
                  <w:tcW w:w="443"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588"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ascii="宋体" w:hAnsi="宋体" w:eastAsia="宋体" w:cs="宋体"/>
                      <w:b w:val="0"/>
                      <w:bCs w:val="0"/>
                      <w:sz w:val="24"/>
                      <w:szCs w:val="24"/>
                      <w:u w:val="none"/>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35 kV 高压电缆头</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配套 YJY23-26/35，3x240</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套</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4</w:t>
                  </w:r>
                  <w:r>
                    <w:rPr>
                      <w:rFonts w:hint="eastAsia" w:cs="Times New Roman"/>
                      <w:b w:val="0"/>
                      <w:bCs w:val="0"/>
                      <w:color w:val="000000"/>
                      <w:kern w:val="0"/>
                      <w:sz w:val="21"/>
                      <w:szCs w:val="21"/>
                      <w:u w:val="none"/>
                      <w:lang w:val="en-US" w:eastAsia="zh-CN" w:bidi="ar"/>
                    </w:rPr>
                    <w:t>（</w:t>
                  </w:r>
                  <w:r>
                    <w:rPr>
                      <w:rFonts w:hint="default" w:ascii="Times New Roman" w:hAnsi="Times New Roman" w:cs="Times New Roman" w:eastAsiaTheme="minorEastAsia"/>
                      <w:b w:val="0"/>
                      <w:bCs w:val="0"/>
                      <w:color w:val="000000"/>
                      <w:kern w:val="0"/>
                      <w:sz w:val="21"/>
                      <w:szCs w:val="21"/>
                      <w:u w:val="none"/>
                      <w:lang w:val="en-US" w:eastAsia="zh-CN" w:bidi="ar"/>
                    </w:rPr>
                    <w:t>户内、户外各2套</w:t>
                  </w:r>
                  <w:r>
                    <w:rPr>
                      <w:rFonts w:hint="eastAsia" w:cs="Times New Roman"/>
                      <w:b w:val="0"/>
                      <w:bCs w:val="0"/>
                      <w:color w:val="000000"/>
                      <w:kern w:val="0"/>
                      <w:sz w:val="21"/>
                      <w:szCs w:val="21"/>
                      <w:u w:val="none"/>
                      <w:lang w:val="en-US" w:eastAsia="zh-CN" w:bidi="ar"/>
                    </w:rPr>
                    <w:t>）</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8" w:hRule="atLeast"/>
              </w:trPr>
              <w:tc>
                <w:tcPr>
                  <w:tcW w:w="443"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588"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ascii="宋体" w:hAnsi="宋体" w:eastAsia="宋体" w:cs="宋体"/>
                      <w:b w:val="0"/>
                      <w:bCs w:val="0"/>
                      <w:sz w:val="24"/>
                      <w:szCs w:val="24"/>
                      <w:u w:val="none"/>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35kV高压电缆</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YJY23-26/35，3x95</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米</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50</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8" w:hRule="atLeast"/>
              </w:trPr>
              <w:tc>
                <w:tcPr>
                  <w:tcW w:w="443"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588"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35kV高压电缆头</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配套 YJY23-26/35，3x95</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套</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2</w:t>
                  </w:r>
                  <w:r>
                    <w:rPr>
                      <w:rFonts w:hint="eastAsia" w:cs="Times New Roman"/>
                      <w:b w:val="0"/>
                      <w:bCs w:val="0"/>
                      <w:color w:val="000000"/>
                      <w:kern w:val="0"/>
                      <w:sz w:val="21"/>
                      <w:szCs w:val="21"/>
                      <w:u w:val="none"/>
                      <w:lang w:val="en-US" w:eastAsia="zh-CN" w:bidi="ar"/>
                    </w:rPr>
                    <w:t>（</w:t>
                  </w:r>
                  <w:r>
                    <w:rPr>
                      <w:rFonts w:hint="default" w:ascii="Times New Roman" w:hAnsi="Times New Roman" w:cs="Times New Roman" w:eastAsiaTheme="minorEastAsia"/>
                      <w:b w:val="0"/>
                      <w:bCs w:val="0"/>
                      <w:color w:val="000000"/>
                      <w:kern w:val="0"/>
                      <w:sz w:val="21"/>
                      <w:szCs w:val="21"/>
                      <w:u w:val="none"/>
                      <w:lang w:val="en-US" w:eastAsia="zh-CN" w:bidi="ar"/>
                    </w:rPr>
                    <w:t>户内</w:t>
                  </w:r>
                  <w:r>
                    <w:rPr>
                      <w:rFonts w:hint="eastAsia" w:cs="Times New Roman"/>
                      <w:b w:val="0"/>
                      <w:bCs w:val="0"/>
                      <w:color w:val="000000"/>
                      <w:kern w:val="0"/>
                      <w:sz w:val="21"/>
                      <w:szCs w:val="21"/>
                      <w:u w:val="none"/>
                      <w:lang w:val="en-US" w:eastAsia="zh-CN" w:bidi="ar"/>
                    </w:rPr>
                    <w:t>）</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8" w:hRule="atLeast"/>
              </w:trPr>
              <w:tc>
                <w:tcPr>
                  <w:tcW w:w="443"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588"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低压动力电缆</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ZC-YJY23-0.6/1 kV，各种型号</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米</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4000</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8" w:hRule="atLeast"/>
              </w:trPr>
              <w:tc>
                <w:tcPr>
                  <w:tcW w:w="443"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588"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电缆护管</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DN50～DN150</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吨</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3</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8" w:hRule="atLeast"/>
              </w:trPr>
              <w:tc>
                <w:tcPr>
                  <w:tcW w:w="443"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588"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电缆支架</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角钢 E 型支架</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吨</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2</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8" w:hRule="atLeast"/>
              </w:trPr>
              <w:tc>
                <w:tcPr>
                  <w:tcW w:w="443"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588"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电缆护管</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∅50,热镀锌钢管</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米</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150</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8" w:hRule="atLeast"/>
              </w:trPr>
              <w:tc>
                <w:tcPr>
                  <w:tcW w:w="443"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588"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电缆槽盒</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1200x300mm</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米</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230</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8" w:hRule="atLeast"/>
              </w:trPr>
              <w:tc>
                <w:tcPr>
                  <w:tcW w:w="443"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588"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阻火包</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r>
                    <w:rPr>
                      <w:rFonts w:hint="eastAsia" w:ascii="Times New Roman" w:hAnsi="Times New Roman" w:cs="Times New Roman" w:eastAsiaTheme="minorEastAsia"/>
                      <w:b w:val="0"/>
                      <w:bCs w:val="0"/>
                      <w:color w:val="000000"/>
                      <w:kern w:val="0"/>
                      <w:sz w:val="21"/>
                      <w:szCs w:val="21"/>
                      <w:u w:val="none"/>
                      <w:lang w:val="en-US" w:eastAsia="zh-CN" w:bidi="ar"/>
                    </w:rPr>
                    <w:t>/</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ascii="Times New Roman" w:hAnsi="Times New Roman" w:cs="Times New Roman" w:eastAsiaTheme="minorEastAsia"/>
                      <w:b w:val="0"/>
                      <w:bCs w:val="0"/>
                      <w:color w:val="000000"/>
                      <w:kern w:val="0"/>
                      <w:sz w:val="21"/>
                      <w:szCs w:val="21"/>
                      <w:u w:val="none"/>
                      <w:lang w:val="en-US" w:eastAsia="zh-CN" w:bidi="ar"/>
                    </w:rPr>
                    <w:t>1.4</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8" w:hRule="atLeast"/>
              </w:trPr>
              <w:tc>
                <w:tcPr>
                  <w:tcW w:w="443"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588"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有机防火堵料</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DFD-IIIY</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3</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8" w:hRule="atLeast"/>
              </w:trPr>
              <w:tc>
                <w:tcPr>
                  <w:tcW w:w="443"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588"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无机防火堵料</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SFD-IIIW</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ascii="Times New Roman" w:hAnsi="Times New Roman" w:cs="Times New Roman" w:eastAsiaTheme="minorEastAsia"/>
                      <w:b w:val="0"/>
                      <w:bCs w:val="0"/>
                      <w:color w:val="000000"/>
                      <w:kern w:val="0"/>
                      <w:sz w:val="21"/>
                      <w:szCs w:val="21"/>
                      <w:u w:val="none"/>
                      <w:lang w:val="en-US" w:eastAsia="zh-CN" w:bidi="ar"/>
                    </w:rPr>
                    <w:t>1.5</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8" w:hRule="atLeast"/>
              </w:trPr>
              <w:tc>
                <w:tcPr>
                  <w:tcW w:w="443"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588"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防火涂料</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G60-3</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吨</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ascii="Times New Roman" w:hAnsi="Times New Roman" w:cs="Times New Roman" w:eastAsiaTheme="minorEastAsia"/>
                      <w:b w:val="0"/>
                      <w:bCs w:val="0"/>
                      <w:color w:val="000000"/>
                      <w:kern w:val="0"/>
                      <w:sz w:val="21"/>
                      <w:szCs w:val="21"/>
                      <w:u w:val="none"/>
                      <w:lang w:val="en-US" w:eastAsia="zh-CN" w:bidi="ar"/>
                    </w:rPr>
                    <w:t>0.8</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8" w:hRule="atLeast"/>
              </w:trPr>
              <w:tc>
                <w:tcPr>
                  <w:tcW w:w="443"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588"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角钢</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50x5</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米</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ascii="Times New Roman" w:hAnsi="Times New Roman" w:cs="Times New Roman" w:eastAsiaTheme="minorEastAsia"/>
                      <w:b w:val="0"/>
                      <w:bCs w:val="0"/>
                      <w:color w:val="000000"/>
                      <w:kern w:val="0"/>
                      <w:sz w:val="21"/>
                      <w:szCs w:val="21"/>
                      <w:u w:val="none"/>
                      <w:lang w:val="en-US" w:eastAsia="zh-CN" w:bidi="ar"/>
                    </w:rPr>
                    <w:t>300</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8" w:hRule="atLeast"/>
              </w:trPr>
              <w:tc>
                <w:tcPr>
                  <w:tcW w:w="443"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588"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槽钢</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8#</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米</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30</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443"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588"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槽钢</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10#</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米</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ascii="Times New Roman" w:hAnsi="Times New Roman" w:cs="Times New Roman" w:eastAsiaTheme="minorEastAsia"/>
                      <w:b w:val="0"/>
                      <w:bCs w:val="0"/>
                      <w:color w:val="000000"/>
                      <w:kern w:val="0"/>
                      <w:sz w:val="21"/>
                      <w:szCs w:val="21"/>
                      <w:u w:val="none"/>
                      <w:lang w:val="en-US" w:eastAsia="zh-CN" w:bidi="ar"/>
                    </w:rPr>
                    <w:t>5</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1032" w:type="pct"/>
                  <w:gridSpan w:val="2"/>
                  <w:vMerge w:val="restar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ascii="Times New Roman" w:hAnsi="Times New Roman" w:cs="Times New Roman" w:eastAsiaTheme="minorEastAsia"/>
                      <w:b w:val="0"/>
                      <w:bCs w:val="0"/>
                      <w:color w:val="000000"/>
                      <w:kern w:val="0"/>
                      <w:sz w:val="21"/>
                      <w:szCs w:val="21"/>
                      <w:u w:val="none"/>
                      <w:lang w:val="en-US" w:eastAsia="zh-CN" w:bidi="ar"/>
                    </w:rPr>
                    <w:t>其他设备及安装工程</w:t>
                  </w: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ascii="Times New Roman" w:hAnsi="Times New Roman" w:cs="Times New Roman" w:eastAsiaTheme="minorEastAsia"/>
                      <w:b w:val="0"/>
                      <w:bCs w:val="0"/>
                      <w:color w:val="000000"/>
                      <w:kern w:val="0"/>
                      <w:sz w:val="21"/>
                      <w:szCs w:val="21"/>
                      <w:u w:val="none"/>
                      <w:lang w:val="en-US" w:eastAsia="zh-CN" w:bidi="ar"/>
                    </w:rPr>
                    <w:t>35kV 预制舱体</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ascii="Times New Roman" w:hAnsi="Times New Roman" w:cs="Times New Roman" w:eastAsiaTheme="minorEastAsia"/>
                      <w:b w:val="0"/>
                      <w:bCs w:val="0"/>
                      <w:color w:val="000000"/>
                      <w:kern w:val="0"/>
                      <w:sz w:val="21"/>
                      <w:szCs w:val="21"/>
                      <w:u w:val="none"/>
                      <w:lang w:val="en-US" w:eastAsia="zh-CN" w:bidi="ar"/>
                    </w:rPr>
                    <w:t>（25400×6500×3400</w:t>
                  </w:r>
                  <w:r>
                    <w:rPr>
                      <w:rFonts w:hint="eastAsia" w:cs="Times New Roman"/>
                      <w:b w:val="0"/>
                      <w:bCs w:val="0"/>
                      <w:color w:val="000000"/>
                      <w:kern w:val="0"/>
                      <w:sz w:val="21"/>
                      <w:szCs w:val="21"/>
                      <w:u w:val="none"/>
                      <w:lang w:val="en-US" w:eastAsia="zh-CN" w:bidi="ar"/>
                    </w:rPr>
                    <w:t>）</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ascii="Times New Roman" w:hAnsi="Times New Roman" w:cs="Times New Roman" w:eastAsiaTheme="minorEastAsia"/>
                      <w:b w:val="0"/>
                      <w:bCs w:val="0"/>
                      <w:color w:val="000000"/>
                      <w:kern w:val="0"/>
                      <w:sz w:val="21"/>
                      <w:szCs w:val="21"/>
                      <w:u w:val="none"/>
                      <w:lang w:val="en-US" w:eastAsia="zh-CN" w:bidi="ar"/>
                    </w:rPr>
                    <w:t>套</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r>
                    <w:rPr>
                      <w:rFonts w:hint="eastAsia" w:ascii="Times New Roman" w:hAnsi="Times New Roman" w:cs="Times New Roman" w:eastAsiaTheme="minorEastAsia"/>
                      <w:b w:val="0"/>
                      <w:bCs w:val="0"/>
                      <w:color w:val="000000"/>
                      <w:kern w:val="0"/>
                      <w:sz w:val="21"/>
                      <w:szCs w:val="21"/>
                      <w:u w:val="none"/>
                      <w:lang w:val="en-US" w:eastAsia="zh-CN" w:bidi="ar"/>
                    </w:rPr>
                    <w:t>1</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1032" w:type="pct"/>
                  <w:gridSpan w:val="2"/>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ascii="Times New Roman" w:hAnsi="Times New Roman" w:cs="Times New Roman" w:eastAsiaTheme="minorEastAsia"/>
                      <w:b w:val="0"/>
                      <w:bCs w:val="0"/>
                      <w:color w:val="000000"/>
                      <w:kern w:val="0"/>
                      <w:sz w:val="21"/>
                      <w:szCs w:val="21"/>
                      <w:u w:val="none"/>
                      <w:lang w:val="en-US" w:eastAsia="zh-CN" w:bidi="ar"/>
                    </w:rPr>
                    <w:t>电子设备预制舱体</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ascii="Times New Roman" w:hAnsi="Times New Roman" w:cs="Times New Roman" w:eastAsiaTheme="minorEastAsia"/>
                      <w:b w:val="0"/>
                      <w:bCs w:val="0"/>
                      <w:color w:val="000000"/>
                      <w:kern w:val="0"/>
                      <w:sz w:val="21"/>
                      <w:szCs w:val="21"/>
                      <w:u w:val="none"/>
                      <w:lang w:val="en-US" w:eastAsia="zh-CN" w:bidi="ar"/>
                    </w:rPr>
                    <w:t>（16300×6500×3400</w:t>
                  </w:r>
                  <w:r>
                    <w:rPr>
                      <w:rFonts w:hint="eastAsia" w:cs="Times New Roman"/>
                      <w:b w:val="0"/>
                      <w:bCs w:val="0"/>
                      <w:color w:val="000000"/>
                      <w:kern w:val="0"/>
                      <w:sz w:val="21"/>
                      <w:szCs w:val="21"/>
                      <w:u w:val="none"/>
                      <w:lang w:val="en-US" w:eastAsia="zh-CN" w:bidi="ar"/>
                    </w:rPr>
                    <w:t>）</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ascii="Times New Roman" w:hAnsi="Times New Roman" w:cs="Times New Roman" w:eastAsiaTheme="minorEastAsia"/>
                      <w:b w:val="0"/>
                      <w:bCs w:val="0"/>
                      <w:color w:val="000000"/>
                      <w:kern w:val="0"/>
                      <w:sz w:val="21"/>
                      <w:szCs w:val="21"/>
                      <w:u w:val="none"/>
                      <w:lang w:val="en-US" w:eastAsia="zh-CN" w:bidi="ar"/>
                    </w:rPr>
                    <w:t>套</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ascii="Times New Roman" w:hAnsi="Times New Roman" w:cs="Times New Roman" w:eastAsiaTheme="minorEastAsia"/>
                      <w:b w:val="0"/>
                      <w:bCs w:val="0"/>
                      <w:color w:val="000000"/>
                      <w:kern w:val="0"/>
                      <w:sz w:val="21"/>
                      <w:szCs w:val="21"/>
                      <w:u w:val="none"/>
                      <w:lang w:val="en-US" w:eastAsia="zh-CN" w:bidi="ar"/>
                    </w:rPr>
                    <w:t>1</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1032" w:type="pct"/>
                  <w:gridSpan w:val="2"/>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r>
                    <w:rPr>
                      <w:rFonts w:hint="eastAsia" w:ascii="Times New Roman" w:hAnsi="Times New Roman" w:cs="Times New Roman" w:eastAsiaTheme="minorEastAsia"/>
                      <w:b w:val="0"/>
                      <w:bCs w:val="0"/>
                      <w:color w:val="000000"/>
                      <w:kern w:val="0"/>
                      <w:sz w:val="21"/>
                      <w:szCs w:val="21"/>
                      <w:u w:val="none"/>
                      <w:lang w:val="en-US" w:eastAsia="zh-CN" w:bidi="ar"/>
                    </w:rPr>
                    <w:t xml:space="preserve">生活预制舱体 </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r>
                    <w:rPr>
                      <w:rFonts w:hint="eastAsia" w:ascii="Times New Roman" w:hAnsi="Times New Roman" w:cs="Times New Roman" w:eastAsiaTheme="minorEastAsia"/>
                      <w:b w:val="0"/>
                      <w:bCs w:val="0"/>
                      <w:color w:val="000000"/>
                      <w:kern w:val="0"/>
                      <w:sz w:val="21"/>
                      <w:szCs w:val="21"/>
                      <w:u w:val="none"/>
                      <w:lang w:val="en-US" w:eastAsia="zh-CN" w:bidi="ar"/>
                    </w:rPr>
                    <w:t>（33200×3500×3400</w:t>
                  </w:r>
                  <w:r>
                    <w:rPr>
                      <w:rFonts w:hint="eastAsia" w:cs="Times New Roman"/>
                      <w:b w:val="0"/>
                      <w:bCs w:val="0"/>
                      <w:color w:val="000000"/>
                      <w:kern w:val="0"/>
                      <w:sz w:val="21"/>
                      <w:szCs w:val="21"/>
                      <w:u w:val="none"/>
                      <w:lang w:val="en-US" w:eastAsia="zh-CN" w:bidi="ar"/>
                    </w:rPr>
                    <w:t>）</w:t>
                  </w:r>
                  <w:r>
                    <w:rPr>
                      <w:rFonts w:hint="eastAsia" w:ascii="Times New Roman" w:hAnsi="Times New Roman" w:cs="Times New Roman" w:eastAsiaTheme="minorEastAsia"/>
                      <w:b w:val="0"/>
                      <w:bCs w:val="0"/>
                      <w:color w:val="000000"/>
                      <w:kern w:val="0"/>
                      <w:sz w:val="21"/>
                      <w:szCs w:val="21"/>
                      <w:u w:val="none"/>
                      <w:lang w:val="en-US" w:eastAsia="zh-CN" w:bidi="ar"/>
                    </w:rPr>
                    <w:t xml:space="preserve"> </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ascii="Times New Roman" w:hAnsi="Times New Roman" w:cs="Times New Roman" w:eastAsiaTheme="minorEastAsia"/>
                      <w:b w:val="0"/>
                      <w:bCs w:val="0"/>
                      <w:color w:val="000000"/>
                      <w:kern w:val="0"/>
                      <w:sz w:val="21"/>
                      <w:szCs w:val="21"/>
                      <w:u w:val="none"/>
                      <w:lang w:val="en-US" w:eastAsia="zh-CN" w:bidi="ar"/>
                    </w:rPr>
                    <w:t>套</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ascii="Times New Roman" w:hAnsi="Times New Roman" w:cs="Times New Roman" w:eastAsiaTheme="minorEastAsia"/>
                      <w:b w:val="0"/>
                      <w:bCs w:val="0"/>
                      <w:color w:val="000000"/>
                      <w:kern w:val="0"/>
                      <w:sz w:val="21"/>
                      <w:szCs w:val="21"/>
                      <w:u w:val="none"/>
                      <w:lang w:val="en-US" w:eastAsia="zh-CN" w:bidi="ar"/>
                    </w:rPr>
                    <w:t>1</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1032" w:type="pct"/>
                  <w:gridSpan w:val="2"/>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r>
                    <w:rPr>
                      <w:rFonts w:hint="eastAsia" w:ascii="Times New Roman" w:hAnsi="Times New Roman" w:cs="Times New Roman" w:eastAsiaTheme="minorEastAsia"/>
                      <w:b w:val="0"/>
                      <w:bCs w:val="0"/>
                      <w:color w:val="000000"/>
                      <w:kern w:val="0"/>
                      <w:sz w:val="21"/>
                      <w:szCs w:val="21"/>
                      <w:u w:val="none"/>
                      <w:lang w:val="en-US" w:eastAsia="zh-CN" w:bidi="ar"/>
                    </w:rPr>
                    <w:t>采暖通风及空调系统</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cs="Times New Roman"/>
                      <w:b w:val="0"/>
                      <w:bCs w:val="0"/>
                      <w:color w:val="000000"/>
                      <w:kern w:val="0"/>
                      <w:sz w:val="21"/>
                      <w:szCs w:val="21"/>
                      <w:u w:val="none"/>
                      <w:lang w:val="en-US" w:eastAsia="zh-CN" w:bidi="ar"/>
                    </w:rPr>
                    <w:t>/</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ascii="Times New Roman" w:hAnsi="Times New Roman" w:cs="Times New Roman" w:eastAsiaTheme="minorEastAsia"/>
                      <w:b w:val="0"/>
                      <w:bCs w:val="0"/>
                      <w:color w:val="000000"/>
                      <w:kern w:val="0"/>
                      <w:sz w:val="21"/>
                      <w:szCs w:val="21"/>
                      <w:u w:val="none"/>
                      <w:lang w:val="en-US" w:eastAsia="zh-CN" w:bidi="ar"/>
                    </w:rPr>
                    <w:t>项</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ascii="Times New Roman" w:hAnsi="Times New Roman" w:cs="Times New Roman" w:eastAsiaTheme="minorEastAsia"/>
                      <w:b w:val="0"/>
                      <w:bCs w:val="0"/>
                      <w:color w:val="000000"/>
                      <w:kern w:val="0"/>
                      <w:sz w:val="21"/>
                      <w:szCs w:val="21"/>
                      <w:u w:val="none"/>
                      <w:lang w:val="en-US" w:eastAsia="zh-CN" w:bidi="ar"/>
                    </w:rPr>
                    <w:t>1</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1032" w:type="pct"/>
                  <w:gridSpan w:val="2"/>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ascii="Times New Roman" w:hAnsi="Times New Roman" w:cs="Times New Roman" w:eastAsiaTheme="minorEastAsia"/>
                      <w:b w:val="0"/>
                      <w:bCs w:val="0"/>
                      <w:color w:val="000000"/>
                      <w:kern w:val="0"/>
                      <w:sz w:val="21"/>
                      <w:szCs w:val="21"/>
                      <w:u w:val="none"/>
                      <w:lang w:val="en-US" w:eastAsia="zh-CN" w:bidi="ar"/>
                    </w:rPr>
                    <w:t>动力照明系统</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cs="Times New Roman"/>
                      <w:b w:val="0"/>
                      <w:bCs w:val="0"/>
                      <w:color w:val="000000"/>
                      <w:kern w:val="0"/>
                      <w:sz w:val="21"/>
                      <w:szCs w:val="21"/>
                      <w:u w:val="none"/>
                      <w:lang w:val="en-US" w:eastAsia="zh-CN" w:bidi="ar"/>
                    </w:rPr>
                    <w:t>/</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ascii="Times New Roman" w:hAnsi="Times New Roman" w:cs="Times New Roman" w:eastAsiaTheme="minorEastAsia"/>
                      <w:b w:val="0"/>
                      <w:bCs w:val="0"/>
                      <w:color w:val="000000"/>
                      <w:kern w:val="0"/>
                      <w:sz w:val="21"/>
                      <w:szCs w:val="21"/>
                      <w:u w:val="none"/>
                      <w:lang w:val="en-US" w:eastAsia="zh-CN" w:bidi="ar"/>
                    </w:rPr>
                    <w:t>项</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ascii="Times New Roman" w:hAnsi="Times New Roman" w:cs="Times New Roman" w:eastAsiaTheme="minorEastAsia"/>
                      <w:b w:val="0"/>
                      <w:bCs w:val="0"/>
                      <w:color w:val="000000"/>
                      <w:kern w:val="0"/>
                      <w:sz w:val="21"/>
                      <w:szCs w:val="21"/>
                      <w:u w:val="none"/>
                      <w:lang w:val="en-US" w:eastAsia="zh-CN" w:bidi="ar"/>
                    </w:rPr>
                    <w:t>1</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1032" w:type="pct"/>
                  <w:gridSpan w:val="2"/>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ascii="Times New Roman" w:hAnsi="Times New Roman" w:cs="Times New Roman" w:eastAsiaTheme="minorEastAsia"/>
                      <w:b w:val="0"/>
                      <w:bCs w:val="0"/>
                      <w:color w:val="000000"/>
                      <w:kern w:val="0"/>
                      <w:sz w:val="21"/>
                      <w:szCs w:val="21"/>
                      <w:u w:val="none"/>
                      <w:lang w:val="en-US" w:eastAsia="zh-CN" w:bidi="ar"/>
                    </w:rPr>
                    <w:t xml:space="preserve">消防及给排水系统 </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ascii="Times New Roman" w:hAnsi="Times New Roman" w:cs="Times New Roman" w:eastAsiaTheme="minorEastAsia"/>
                      <w:b w:val="0"/>
                      <w:bCs w:val="0"/>
                      <w:color w:val="000000"/>
                      <w:kern w:val="0"/>
                      <w:sz w:val="21"/>
                      <w:szCs w:val="21"/>
                      <w:u w:val="none"/>
                      <w:lang w:val="en-US" w:eastAsia="zh-CN" w:bidi="ar"/>
                    </w:rPr>
                    <w:t>变频生活泵</w:t>
                  </w:r>
                  <w:r>
                    <w:rPr>
                      <w:rFonts w:hint="default" w:ascii="Times New Roman" w:hAnsi="Times New Roman" w:cs="Times New Roman"/>
                      <w:b w:val="0"/>
                      <w:bCs w:val="0"/>
                      <w:color w:val="auto"/>
                      <w:sz w:val="21"/>
                      <w:szCs w:val="21"/>
                      <w:highlight w:val="none"/>
                      <w:u w:val="none"/>
                      <w:lang w:val="en-US" w:eastAsia="zh-CN"/>
                    </w:rPr>
                    <w:t>Q=</w:t>
                  </w:r>
                  <w:r>
                    <w:rPr>
                      <w:rFonts w:hint="eastAsia" w:ascii="Times New Roman" w:hAnsi="Times New Roman" w:cs="Times New Roman"/>
                      <w:b w:val="0"/>
                      <w:bCs w:val="0"/>
                      <w:color w:val="auto"/>
                      <w:sz w:val="21"/>
                      <w:szCs w:val="21"/>
                      <w:highlight w:val="none"/>
                      <w:u w:val="none"/>
                      <w:lang w:val="en-US" w:eastAsia="zh-CN"/>
                    </w:rPr>
                    <w:t>5</w:t>
                  </w:r>
                  <w:r>
                    <w:rPr>
                      <w:rFonts w:hint="default" w:ascii="Times New Roman" w:hAnsi="Times New Roman" w:cs="Times New Roman"/>
                      <w:b w:val="0"/>
                      <w:bCs w:val="0"/>
                      <w:color w:val="auto"/>
                      <w:sz w:val="21"/>
                      <w:szCs w:val="21"/>
                      <w:highlight w:val="none"/>
                      <w:u w:val="none"/>
                      <w:lang w:val="en-US" w:eastAsia="zh-CN"/>
                    </w:rPr>
                    <w:t>m</w:t>
                  </w:r>
                  <w:r>
                    <w:rPr>
                      <w:rFonts w:hint="default" w:ascii="Times New Roman" w:hAnsi="Times New Roman" w:cs="Times New Roman"/>
                      <w:b w:val="0"/>
                      <w:bCs w:val="0"/>
                      <w:color w:val="auto"/>
                      <w:sz w:val="21"/>
                      <w:szCs w:val="21"/>
                      <w:highlight w:val="none"/>
                      <w:u w:val="none"/>
                      <w:vertAlign w:val="superscript"/>
                      <w:lang w:val="en-US" w:eastAsia="zh-CN"/>
                    </w:rPr>
                    <w:t>3</w:t>
                  </w:r>
                  <w:r>
                    <w:rPr>
                      <w:rFonts w:hint="default" w:ascii="Times New Roman" w:hAnsi="Times New Roman" w:cs="Times New Roman"/>
                      <w:b w:val="0"/>
                      <w:bCs w:val="0"/>
                      <w:color w:val="auto"/>
                      <w:sz w:val="21"/>
                      <w:szCs w:val="21"/>
                      <w:highlight w:val="none"/>
                      <w:u w:val="none"/>
                      <w:lang w:val="en-US" w:eastAsia="zh-CN"/>
                    </w:rPr>
                    <w:t>/h</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ascii="Times New Roman" w:hAnsi="Times New Roman" w:cs="Times New Roman" w:eastAsiaTheme="minorEastAsia"/>
                      <w:b w:val="0"/>
                      <w:bCs w:val="0"/>
                      <w:color w:val="000000"/>
                      <w:kern w:val="0"/>
                      <w:sz w:val="21"/>
                      <w:szCs w:val="21"/>
                      <w:u w:val="none"/>
                      <w:lang w:val="en-US" w:eastAsia="zh-CN" w:bidi="ar"/>
                    </w:rPr>
                    <w:t>项</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ascii="Times New Roman" w:hAnsi="Times New Roman" w:cs="Times New Roman" w:eastAsiaTheme="minorEastAsia"/>
                      <w:b w:val="0"/>
                      <w:bCs w:val="0"/>
                      <w:color w:val="000000"/>
                      <w:kern w:val="0"/>
                      <w:sz w:val="21"/>
                      <w:szCs w:val="21"/>
                      <w:u w:val="none"/>
                      <w:lang w:val="en-US" w:eastAsia="zh-CN" w:bidi="ar"/>
                    </w:rPr>
                    <w:t>1</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1032" w:type="pct"/>
                  <w:gridSpan w:val="2"/>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r>
                    <w:rPr>
                      <w:rFonts w:hint="eastAsia" w:ascii="Times New Roman" w:hAnsi="Times New Roman" w:cs="Times New Roman" w:eastAsiaTheme="minorEastAsia"/>
                      <w:b w:val="0"/>
                      <w:bCs w:val="0"/>
                      <w:color w:val="000000"/>
                      <w:kern w:val="0"/>
                      <w:sz w:val="21"/>
                      <w:szCs w:val="21"/>
                      <w:u w:val="none"/>
                      <w:lang w:val="en-US" w:eastAsia="zh-CN" w:bidi="ar"/>
                    </w:rPr>
                    <w:t>生产车辆</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cs="Times New Roman"/>
                      <w:b w:val="0"/>
                      <w:bCs w:val="0"/>
                      <w:color w:val="000000"/>
                      <w:kern w:val="0"/>
                      <w:sz w:val="21"/>
                      <w:szCs w:val="21"/>
                      <w:u w:val="none"/>
                      <w:lang w:val="en-US" w:eastAsia="zh-CN" w:bidi="ar"/>
                    </w:rPr>
                    <w:t>/</w:t>
                  </w:r>
                </w:p>
              </w:tc>
              <w:tc>
                <w:tcPr>
                  <w:tcW w:w="35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ascii="Times New Roman" w:hAnsi="Times New Roman" w:cs="Times New Roman" w:eastAsiaTheme="minorEastAsia"/>
                      <w:b w:val="0"/>
                      <w:bCs w:val="0"/>
                      <w:color w:val="000000"/>
                      <w:kern w:val="0"/>
                      <w:sz w:val="21"/>
                      <w:szCs w:val="21"/>
                      <w:u w:val="none"/>
                      <w:lang w:val="en-US" w:eastAsia="zh-CN" w:bidi="ar"/>
                    </w:rPr>
                    <w:t>项</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ascii="Times New Roman" w:hAnsi="Times New Roman" w:cs="Times New Roman" w:eastAsiaTheme="minorEastAsia"/>
                      <w:b w:val="0"/>
                      <w:bCs w:val="0"/>
                      <w:color w:val="000000"/>
                      <w:kern w:val="0"/>
                      <w:sz w:val="21"/>
                      <w:szCs w:val="21"/>
                      <w:u w:val="none"/>
                      <w:lang w:val="en-US" w:eastAsia="zh-CN" w:bidi="ar"/>
                    </w:rPr>
                    <w:t>1</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443" w:type="pct"/>
                  <w:vMerge w:val="restar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sz w:val="21"/>
                      <w:szCs w:val="21"/>
                      <w:highlight w:val="none"/>
                      <w:u w:val="none"/>
                      <w:vertAlign w:val="baseline"/>
                      <w:lang w:val="en-US" w:eastAsia="zh-CN"/>
                    </w:rPr>
                  </w:pPr>
                  <w:r>
                    <w:rPr>
                      <w:rFonts w:hint="eastAsia" w:ascii="Times New Roman" w:hAnsi="Times New Roman" w:cs="Times New Roman"/>
                      <w:b w:val="0"/>
                      <w:bCs w:val="0"/>
                      <w:color w:val="auto"/>
                      <w:sz w:val="21"/>
                      <w:szCs w:val="21"/>
                      <w:highlight w:val="none"/>
                      <w:u w:val="none"/>
                      <w:lang w:val="en-US" w:eastAsia="zh-CN"/>
                    </w:rPr>
                    <w:t>储能电站</w:t>
                  </w:r>
                </w:p>
              </w:tc>
              <w:tc>
                <w:tcPr>
                  <w:tcW w:w="588"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ascii="Times New Roman" w:hAnsi="Times New Roman" w:cs="Times New Roman" w:eastAsiaTheme="minorEastAsia"/>
                      <w:b w:val="0"/>
                      <w:bCs w:val="0"/>
                      <w:color w:val="000000"/>
                      <w:kern w:val="0"/>
                      <w:sz w:val="21"/>
                      <w:szCs w:val="21"/>
                      <w:u w:val="none"/>
                      <w:lang w:val="en-US" w:eastAsia="zh-CN" w:bidi="ar"/>
                    </w:rPr>
                    <w:t>储能设备</w:t>
                  </w:r>
                </w:p>
              </w:tc>
              <w:tc>
                <w:tcPr>
                  <w:tcW w:w="1029" w:type="pct"/>
                  <w:gridSpan w:val="2"/>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r>
                    <w:rPr>
                      <w:rFonts w:hint="eastAsia" w:ascii="Times New Roman" w:hAnsi="Times New Roman" w:cs="Times New Roman" w:eastAsiaTheme="minorEastAsia"/>
                      <w:b w:val="0"/>
                      <w:bCs w:val="0"/>
                      <w:color w:val="000000"/>
                      <w:kern w:val="0"/>
                      <w:sz w:val="21"/>
                      <w:szCs w:val="21"/>
                      <w:u w:val="none"/>
                      <w:lang w:val="en-US" w:eastAsia="zh-CN" w:bidi="ar"/>
                    </w:rPr>
                    <w:t>磷酸铁锂电池柜</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left"/>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容量为2592kWh</w:t>
                  </w:r>
                  <w:r>
                    <w:rPr>
                      <w:rFonts w:hint="eastAsia" w:ascii="Times New Roman" w:hAnsi="Times New Roman" w:cs="Times New Roman" w:eastAsiaTheme="minorEastAsia"/>
                      <w:b w:val="0"/>
                      <w:bCs w:val="0"/>
                      <w:color w:val="000000"/>
                      <w:kern w:val="0"/>
                      <w:sz w:val="21"/>
                      <w:szCs w:val="21"/>
                      <w:u w:val="none"/>
                      <w:lang w:val="en-US" w:eastAsia="zh-CN" w:bidi="ar"/>
                    </w:rPr>
                    <w:t>，由</w:t>
                  </w:r>
                  <w:r>
                    <w:rPr>
                      <w:rFonts w:hint="eastAsia" w:cs="Times New Roman"/>
                      <w:b w:val="0"/>
                      <w:bCs w:val="0"/>
                      <w:color w:val="000000"/>
                      <w:kern w:val="0"/>
                      <w:sz w:val="21"/>
                      <w:szCs w:val="21"/>
                      <w:u w:val="none"/>
                      <w:lang w:val="en-US" w:eastAsia="zh-CN" w:bidi="ar"/>
                    </w:rPr>
                    <w:t>6480个</w:t>
                  </w:r>
                  <w:r>
                    <w:rPr>
                      <w:rFonts w:hint="default" w:ascii="Times New Roman" w:hAnsi="Times New Roman" w:cs="Times New Roman" w:eastAsiaTheme="minorEastAsia"/>
                      <w:b w:val="0"/>
                      <w:bCs w:val="0"/>
                      <w:color w:val="000000"/>
                      <w:kern w:val="0"/>
                      <w:sz w:val="21"/>
                      <w:szCs w:val="21"/>
                      <w:u w:val="none"/>
                      <w:lang w:val="en-US" w:eastAsia="zh-CN" w:bidi="ar"/>
                    </w:rPr>
                    <w:t>130Ah</w:t>
                  </w:r>
                  <w:r>
                    <w:rPr>
                      <w:rFonts w:hint="eastAsia" w:ascii="Times New Roman" w:hAnsi="Times New Roman" w:cs="Times New Roman" w:eastAsiaTheme="minorEastAsia"/>
                      <w:b w:val="0"/>
                      <w:bCs w:val="0"/>
                      <w:color w:val="000000"/>
                      <w:kern w:val="0"/>
                      <w:sz w:val="21"/>
                      <w:szCs w:val="21"/>
                      <w:u w:val="none"/>
                      <w:lang w:val="en-US" w:eastAsia="zh-CN" w:bidi="ar"/>
                    </w:rPr>
                    <w:t>，</w:t>
                  </w:r>
                  <w:r>
                    <w:rPr>
                      <w:rFonts w:hint="default" w:ascii="Times New Roman" w:hAnsi="Times New Roman" w:cs="Times New Roman" w:eastAsiaTheme="minorEastAsia"/>
                      <w:b w:val="0"/>
                      <w:bCs w:val="0"/>
                      <w:color w:val="000000"/>
                      <w:kern w:val="0"/>
                      <w:sz w:val="21"/>
                      <w:szCs w:val="21"/>
                      <w:u w:val="none"/>
                      <w:lang w:val="en-US" w:eastAsia="zh-CN" w:bidi="ar"/>
                    </w:rPr>
                    <w:t>LFP</w:t>
                  </w:r>
                  <w:r>
                    <w:rPr>
                      <w:rFonts w:hint="eastAsia" w:ascii="Times New Roman" w:hAnsi="Times New Roman" w:cs="Times New Roman" w:eastAsiaTheme="minorEastAsia"/>
                      <w:b w:val="0"/>
                      <w:bCs w:val="0"/>
                      <w:color w:val="000000"/>
                      <w:kern w:val="0"/>
                      <w:sz w:val="21"/>
                      <w:szCs w:val="21"/>
                      <w:u w:val="none"/>
                      <w:lang w:val="en-US" w:eastAsia="zh-CN" w:bidi="ar"/>
                    </w:rPr>
                    <w:t>储能电池</w:t>
                  </w:r>
                  <w:r>
                    <w:rPr>
                      <w:rFonts w:hint="eastAsia" w:cs="Times New Roman"/>
                      <w:b w:val="0"/>
                      <w:bCs w:val="0"/>
                      <w:color w:val="000000"/>
                      <w:kern w:val="0"/>
                      <w:sz w:val="21"/>
                      <w:szCs w:val="21"/>
                      <w:u w:val="none"/>
                      <w:lang w:val="en-US" w:eastAsia="zh-CN" w:bidi="ar"/>
                    </w:rPr>
                    <w:t>组成</w:t>
                  </w:r>
                </w:p>
              </w:tc>
              <w:tc>
                <w:tcPr>
                  <w:tcW w:w="357" w:type="pct"/>
                  <w:tcBorders>
                    <w:tl2br w:val="nil"/>
                    <w:tr2bl w:val="nil"/>
                  </w:tcBorders>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cs="Times New Roman"/>
                      <w:b w:val="0"/>
                      <w:bCs w:val="0"/>
                      <w:color w:val="000000"/>
                      <w:kern w:val="0"/>
                      <w:sz w:val="21"/>
                      <w:szCs w:val="21"/>
                      <w:u w:val="none"/>
                      <w:lang w:val="en-US" w:eastAsia="zh-CN" w:bidi="ar"/>
                    </w:rPr>
                    <w:t>台</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cs="Times New Roman"/>
                      <w:b w:val="0"/>
                      <w:bCs w:val="0"/>
                      <w:color w:val="000000"/>
                      <w:kern w:val="0"/>
                      <w:sz w:val="21"/>
                      <w:szCs w:val="21"/>
                      <w:u w:val="none"/>
                      <w:lang w:val="en-US" w:eastAsia="zh-CN" w:bidi="ar"/>
                    </w:rPr>
                    <w:t>12</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443"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588" w:type="pct"/>
                  <w:vMerge w:val="restar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ascii="Times New Roman" w:hAnsi="Times New Roman" w:cs="Times New Roman" w:eastAsiaTheme="minorEastAsia"/>
                      <w:b w:val="0"/>
                      <w:bCs w:val="0"/>
                      <w:color w:val="000000"/>
                      <w:kern w:val="0"/>
                      <w:sz w:val="21"/>
                      <w:szCs w:val="21"/>
                      <w:u w:val="none"/>
                      <w:lang w:val="en-US" w:eastAsia="zh-CN" w:bidi="ar"/>
                    </w:rPr>
                    <w:t>变流及变配电设备</w:t>
                  </w:r>
                </w:p>
              </w:tc>
              <w:tc>
                <w:tcPr>
                  <w:tcW w:w="1029" w:type="pct"/>
                  <w:gridSpan w:val="2"/>
                  <w:vMerge w:val="restar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ascii="Times New Roman" w:hAnsi="Times New Roman" w:cs="Times New Roman" w:eastAsiaTheme="minorEastAsia"/>
                      <w:b w:val="0"/>
                      <w:bCs w:val="0"/>
                      <w:color w:val="000000"/>
                      <w:kern w:val="0"/>
                      <w:sz w:val="21"/>
                      <w:szCs w:val="21"/>
                      <w:u w:val="none"/>
                      <w:lang w:val="en-US" w:eastAsia="zh-CN" w:bidi="ar"/>
                    </w:rPr>
                    <w:t>储能变流升压一体机</w:t>
                  </w: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ascii="Times New Roman" w:hAnsi="Times New Roman" w:cs="Times New Roman" w:eastAsiaTheme="minorEastAsia"/>
                      <w:b w:val="0"/>
                      <w:bCs w:val="0"/>
                      <w:color w:val="000000"/>
                      <w:kern w:val="0"/>
                      <w:sz w:val="21"/>
                      <w:szCs w:val="21"/>
                      <w:u w:val="none"/>
                      <w:lang w:val="en-US" w:eastAsia="zh-CN" w:bidi="ar"/>
                    </w:rPr>
                    <w:t xml:space="preserve"> </w:t>
                  </w:r>
                  <w:r>
                    <w:rPr>
                      <w:rFonts w:hint="default" w:ascii="Times New Roman" w:hAnsi="Times New Roman" w:cs="Times New Roman" w:eastAsiaTheme="minorEastAsia"/>
                      <w:b w:val="0"/>
                      <w:bCs w:val="0"/>
                      <w:color w:val="000000"/>
                      <w:kern w:val="0"/>
                      <w:sz w:val="21"/>
                      <w:szCs w:val="21"/>
                      <w:u w:val="none"/>
                      <w:lang w:val="en-US" w:eastAsia="zh-CN" w:bidi="ar"/>
                    </w:rPr>
                    <w:t xml:space="preserve">BCS2500K-TH </w:t>
                  </w:r>
                </w:p>
              </w:tc>
              <w:tc>
                <w:tcPr>
                  <w:tcW w:w="357" w:type="pct"/>
                  <w:tcBorders>
                    <w:tl2br w:val="nil"/>
                    <w:tr2bl w:val="nil"/>
                  </w:tcBorders>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default" w:ascii="Times New Roman" w:hAnsi="Times New Roman" w:cs="Times New Roman" w:eastAsiaTheme="minorEastAsia"/>
                      <w:b w:val="0"/>
                      <w:bCs w:val="0"/>
                      <w:color w:val="000000"/>
                      <w:kern w:val="0"/>
                      <w:sz w:val="21"/>
                      <w:szCs w:val="21"/>
                      <w:u w:val="none"/>
                      <w:lang w:val="en-US" w:eastAsia="zh-CN" w:bidi="ar"/>
                    </w:rPr>
                    <w:t>套</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cs="Times New Roman"/>
                      <w:b w:val="0"/>
                      <w:bCs w:val="0"/>
                      <w:color w:val="000000"/>
                      <w:kern w:val="0"/>
                      <w:sz w:val="21"/>
                      <w:szCs w:val="21"/>
                      <w:u w:val="none"/>
                      <w:lang w:val="en-US" w:eastAsia="zh-CN" w:bidi="ar"/>
                    </w:rPr>
                    <w:t>6</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443"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588"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p>
              </w:tc>
              <w:tc>
                <w:tcPr>
                  <w:tcW w:w="1029" w:type="pct"/>
                  <w:gridSpan w:val="2"/>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cs="Times New Roman"/>
                      <w:b w:val="0"/>
                      <w:bCs w:val="0"/>
                      <w:color w:val="000000"/>
                      <w:kern w:val="0"/>
                      <w:sz w:val="21"/>
                      <w:szCs w:val="21"/>
                      <w:u w:val="none"/>
                      <w:lang w:val="en-US" w:eastAsia="zh-CN" w:bidi="ar"/>
                    </w:rPr>
                    <w:t>整流器</w:t>
                  </w:r>
                </w:p>
              </w:tc>
              <w:tc>
                <w:tcPr>
                  <w:tcW w:w="357" w:type="pct"/>
                  <w:tcBorders>
                    <w:tl2br w:val="nil"/>
                    <w:tr2bl w:val="nil"/>
                  </w:tcBorders>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cs="Times New Roman"/>
                      <w:b w:val="0"/>
                      <w:bCs w:val="0"/>
                      <w:color w:val="000000"/>
                      <w:kern w:val="0"/>
                      <w:sz w:val="21"/>
                      <w:szCs w:val="21"/>
                      <w:u w:val="none"/>
                      <w:lang w:val="en-US" w:eastAsia="zh-CN" w:bidi="ar"/>
                    </w:rPr>
                    <w:t>台</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r>
                    <w:rPr>
                      <w:rFonts w:hint="eastAsia" w:cs="Times New Roman"/>
                      <w:b w:val="0"/>
                      <w:bCs w:val="0"/>
                      <w:color w:val="000000"/>
                      <w:kern w:val="0"/>
                      <w:sz w:val="21"/>
                      <w:szCs w:val="21"/>
                      <w:u w:val="none"/>
                      <w:lang w:val="en-US" w:eastAsia="zh-CN" w:bidi="ar"/>
                    </w:rPr>
                    <w:t>6</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443"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sz w:val="21"/>
                      <w:szCs w:val="21"/>
                      <w:u w:val="none"/>
                      <w:vertAlign w:val="baseline"/>
                      <w:lang w:val="en-US" w:eastAsia="zh-CN"/>
                    </w:rPr>
                  </w:pPr>
                </w:p>
              </w:tc>
              <w:tc>
                <w:tcPr>
                  <w:tcW w:w="588" w:type="pct"/>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p>
              </w:tc>
              <w:tc>
                <w:tcPr>
                  <w:tcW w:w="1029" w:type="pct"/>
                  <w:gridSpan w:val="2"/>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p>
              </w:tc>
              <w:tc>
                <w:tcPr>
                  <w:tcW w:w="2067"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cs="Times New Roman"/>
                      <w:b w:val="0"/>
                      <w:bCs w:val="0"/>
                      <w:color w:val="000000"/>
                      <w:kern w:val="0"/>
                      <w:sz w:val="21"/>
                      <w:szCs w:val="21"/>
                      <w:u w:val="none"/>
                      <w:lang w:val="en-US" w:eastAsia="zh-CN" w:bidi="ar"/>
                    </w:rPr>
                    <w:t>逆变器</w:t>
                  </w:r>
                </w:p>
              </w:tc>
              <w:tc>
                <w:tcPr>
                  <w:tcW w:w="357" w:type="pct"/>
                  <w:tcBorders>
                    <w:tl2br w:val="nil"/>
                    <w:tr2bl w:val="nil"/>
                  </w:tcBorders>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color w:val="000000"/>
                      <w:kern w:val="0"/>
                      <w:sz w:val="21"/>
                      <w:szCs w:val="21"/>
                      <w:u w:val="none"/>
                      <w:lang w:val="en-US" w:eastAsia="zh-CN" w:bidi="ar"/>
                    </w:rPr>
                  </w:pPr>
                  <w:r>
                    <w:rPr>
                      <w:rFonts w:hint="eastAsia" w:cs="Times New Roman"/>
                      <w:b w:val="0"/>
                      <w:bCs w:val="0"/>
                      <w:color w:val="000000"/>
                      <w:kern w:val="0"/>
                      <w:sz w:val="21"/>
                      <w:szCs w:val="21"/>
                      <w:u w:val="none"/>
                      <w:lang w:val="en-US" w:eastAsia="zh-CN" w:bidi="ar"/>
                    </w:rPr>
                    <w:t>台</w:t>
                  </w:r>
                </w:p>
              </w:tc>
              <w:tc>
                <w:tcPr>
                  <w:tcW w:w="51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top"/>
                    <w:rPr>
                      <w:rFonts w:hint="eastAsia" w:ascii="Times New Roman" w:hAnsi="Times New Roman" w:cs="Times New Roman" w:eastAsiaTheme="minorEastAsia"/>
                      <w:b w:val="0"/>
                      <w:bCs w:val="0"/>
                      <w:color w:val="000000"/>
                      <w:kern w:val="0"/>
                      <w:sz w:val="21"/>
                      <w:szCs w:val="21"/>
                      <w:u w:val="none"/>
                      <w:lang w:val="en-US" w:eastAsia="zh-CN" w:bidi="ar"/>
                    </w:rPr>
                  </w:pPr>
                  <w:r>
                    <w:rPr>
                      <w:rFonts w:hint="eastAsia" w:cs="Times New Roman"/>
                      <w:b w:val="0"/>
                      <w:bCs w:val="0"/>
                      <w:color w:val="000000"/>
                      <w:kern w:val="0"/>
                      <w:sz w:val="21"/>
                      <w:szCs w:val="21"/>
                      <w:u w:val="none"/>
                      <w:lang w:val="en-US" w:eastAsia="zh-CN" w:bidi="ar"/>
                    </w:rPr>
                    <w:t>6</w:t>
                  </w:r>
                </w:p>
              </w:tc>
            </w:tr>
          </w:tbl>
          <w:p>
            <w:pPr>
              <w:spacing w:line="360" w:lineRule="auto"/>
              <w:ind w:firstLine="0" w:firstLineChars="0"/>
              <w:jc w:val="left"/>
              <w:rPr>
                <w:rFonts w:hint="default" w:ascii="Times New Roman" w:hAnsi="Times New Roman" w:cs="Times New Roman"/>
                <w:b/>
                <w:bCs/>
                <w:color w:val="auto"/>
                <w:lang w:val="en-US" w:eastAsia="zh-CN"/>
              </w:rPr>
            </w:pPr>
            <w:r>
              <w:rPr>
                <w:rFonts w:hint="eastAsia" w:cs="Times New Roman"/>
                <w:b/>
                <w:bCs/>
                <w:color w:val="auto"/>
                <w:lang w:val="en-US" w:eastAsia="zh-CN"/>
              </w:rPr>
              <w:t>4</w:t>
            </w:r>
            <w:r>
              <w:rPr>
                <w:rFonts w:hint="default" w:ascii="Times New Roman" w:hAnsi="Times New Roman" w:cs="Times New Roman"/>
                <w:b/>
                <w:bCs/>
                <w:color w:val="auto"/>
                <w:lang w:val="en-US" w:eastAsia="zh-CN"/>
              </w:rPr>
              <w:t>、项目占地</w:t>
            </w:r>
          </w:p>
          <w:p>
            <w:pPr>
              <w:spacing w:line="360" w:lineRule="auto"/>
              <w:ind w:firstLine="480"/>
              <w:jc w:val="left"/>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本项目110kV升压站占地为永久占地，</w:t>
            </w:r>
            <w:r>
              <w:rPr>
                <w:rFonts w:hint="eastAsia" w:cs="Times New Roman"/>
                <w:color w:val="auto"/>
                <w:highlight w:val="none"/>
                <w:lang w:val="en-US" w:eastAsia="zh-CN"/>
              </w:rPr>
              <w:t>围墙内</w:t>
            </w:r>
            <w:r>
              <w:rPr>
                <w:rFonts w:hint="default" w:ascii="Times New Roman" w:hAnsi="Times New Roman" w:cs="Times New Roman"/>
                <w:color w:val="auto"/>
                <w:highlight w:val="none"/>
                <w:lang w:val="en-US" w:eastAsia="zh-CN"/>
              </w:rPr>
              <w:t>占地面积</w:t>
            </w:r>
            <w:r>
              <w:rPr>
                <w:rFonts w:hint="eastAsia" w:cs="Times New Roman"/>
                <w:color w:val="auto"/>
                <w:highlight w:val="none"/>
                <w:lang w:val="en-US" w:eastAsia="zh-CN"/>
              </w:rPr>
              <w:t>6162</w:t>
            </w:r>
            <w:r>
              <w:rPr>
                <w:rFonts w:hint="default" w:ascii="Times New Roman" w:hAnsi="Times New Roman" w:cs="Times New Roman"/>
                <w:color w:val="auto"/>
                <w:highlight w:val="none"/>
                <w:lang w:val="en-US" w:eastAsia="zh-CN"/>
              </w:rPr>
              <w:t>m</w:t>
            </w:r>
            <w:r>
              <w:rPr>
                <w:rFonts w:hint="default" w:ascii="Times New Roman" w:hAnsi="Times New Roman" w:cs="Times New Roman"/>
                <w:color w:val="auto"/>
                <w:highlight w:val="none"/>
                <w:vertAlign w:val="superscript"/>
                <w:lang w:val="en-US" w:eastAsia="zh-CN"/>
              </w:rPr>
              <w:t>2</w:t>
            </w:r>
            <w:r>
              <w:rPr>
                <w:rFonts w:hint="default" w:ascii="Times New Roman" w:hAnsi="Times New Roman" w:cs="Times New Roman"/>
                <w:color w:val="auto"/>
                <w:highlight w:val="none"/>
                <w:lang w:val="en-US" w:eastAsia="zh-CN"/>
              </w:rPr>
              <w:t>。</w:t>
            </w:r>
          </w:p>
          <w:p>
            <w:pPr>
              <w:spacing w:line="360" w:lineRule="auto"/>
              <w:ind w:firstLine="480"/>
              <w:jc w:val="left"/>
              <w:rPr>
                <w:rFonts w:hint="default" w:ascii="Times New Roman" w:hAnsi="Times New Roman" w:cs="Times New Roman"/>
                <w:color w:val="auto"/>
                <w:highlight w:val="none"/>
                <w:lang w:val="en-US" w:eastAsia="zh-CN"/>
              </w:rPr>
            </w:pPr>
            <w:r>
              <w:rPr>
                <w:rFonts w:hint="eastAsia" w:ascii="Times New Roman" w:hAnsi="Times New Roman" w:cs="Times New Roman"/>
                <w:color w:val="auto"/>
                <w:highlight w:val="none"/>
                <w:lang w:val="en-US" w:eastAsia="zh-CN"/>
              </w:rPr>
              <w:t>拟建升压站占地类型目前为林地。</w:t>
            </w:r>
            <w:r>
              <w:rPr>
                <w:rFonts w:hint="default" w:ascii="Times New Roman" w:hAnsi="Times New Roman" w:cs="Times New Roman"/>
                <w:color w:val="auto"/>
                <w:highlight w:val="none"/>
                <w:lang w:val="en-US" w:eastAsia="zh-CN"/>
              </w:rPr>
              <w:t>根据济源产城融合示范区林业局出具的项目选址意见，本项目不涉及林地禁建区域。</w:t>
            </w:r>
          </w:p>
          <w:p>
            <w:pPr>
              <w:spacing w:line="360" w:lineRule="auto"/>
              <w:ind w:firstLine="480"/>
              <w:jc w:val="left"/>
              <w:rPr>
                <w:rFonts w:hint="default" w:ascii="Times New Roman" w:hAnsi="Times New Roman" w:cs="Times New Roman"/>
                <w:highlight w:val="none"/>
                <w:lang w:val="en-US" w:eastAsia="zh-CN"/>
              </w:rPr>
            </w:pPr>
            <w:r>
              <w:rPr>
                <w:rFonts w:hint="default" w:ascii="Times New Roman" w:hAnsi="Times New Roman" w:cs="Times New Roman"/>
                <w:color w:val="auto"/>
                <w:highlight w:val="none"/>
                <w:lang w:val="en-US" w:eastAsia="zh-CN"/>
              </w:rPr>
              <w:t>本项目已取得济源产城融合示范区自然资源和规划局用地预审和选址意见，项目用地符合国家用地政策。</w:t>
            </w:r>
          </w:p>
          <w:p>
            <w:pPr>
              <w:spacing w:line="360" w:lineRule="auto"/>
              <w:ind w:firstLine="0" w:firstLineChars="0"/>
              <w:jc w:val="left"/>
              <w:rPr>
                <w:rFonts w:hint="default" w:ascii="Times New Roman" w:hAnsi="Times New Roman" w:cs="Times New Roman" w:eastAsiaTheme="minorEastAsia"/>
                <w:color w:val="auto"/>
                <w:lang w:val="en-US" w:eastAsia="zh-CN"/>
              </w:rPr>
            </w:pPr>
            <w:r>
              <w:rPr>
                <w:rFonts w:hint="eastAsia" w:cs="Times New Roman"/>
                <w:b/>
                <w:bCs/>
                <w:color w:val="auto"/>
                <w:lang w:val="en-US" w:eastAsia="zh-CN"/>
              </w:rPr>
              <w:t>5</w:t>
            </w:r>
            <w:r>
              <w:rPr>
                <w:rFonts w:hint="default" w:ascii="Times New Roman" w:hAnsi="Times New Roman" w:cs="Times New Roman"/>
                <w:b/>
                <w:bCs/>
                <w:color w:val="auto"/>
              </w:rPr>
              <w:t>、</w:t>
            </w:r>
            <w:r>
              <w:rPr>
                <w:rFonts w:hint="default" w:ascii="Times New Roman" w:hAnsi="Times New Roman" w:cs="Times New Roman"/>
                <w:b/>
                <w:bCs/>
                <w:color w:val="auto"/>
                <w:kern w:val="0"/>
                <w:szCs w:val="21"/>
                <w:lang w:val="en-US" w:eastAsia="zh-CN"/>
              </w:rPr>
              <w:t>公用工程</w:t>
            </w:r>
          </w:p>
          <w:p>
            <w:pPr>
              <w:spacing w:line="360" w:lineRule="auto"/>
              <w:ind w:firstLine="480"/>
              <w:jc w:val="left"/>
              <w:rPr>
                <w:rFonts w:hint="default" w:ascii="Times New Roman" w:hAnsi="Times New Roman" w:cs="Times New Roman" w:eastAsiaTheme="minorEastAsia"/>
                <w:color w:val="auto"/>
                <w:lang w:val="en-US" w:eastAsia="zh-CN"/>
              </w:rPr>
            </w:pPr>
            <w:r>
              <w:rPr>
                <w:rFonts w:hint="default" w:ascii="Times New Roman" w:hAnsi="Times New Roman" w:cs="Times New Roman"/>
                <w:color w:val="auto"/>
                <w:lang w:eastAsia="zh-CN"/>
              </w:rPr>
              <w:t>（</w:t>
            </w:r>
            <w:r>
              <w:rPr>
                <w:rFonts w:hint="default" w:ascii="Times New Roman" w:hAnsi="Times New Roman" w:cs="Times New Roman"/>
                <w:color w:val="auto"/>
                <w:lang w:val="en-US" w:eastAsia="zh-CN"/>
              </w:rPr>
              <w:t>1</w:t>
            </w:r>
            <w:r>
              <w:rPr>
                <w:rFonts w:hint="default" w:ascii="Times New Roman" w:hAnsi="Times New Roman" w:cs="Times New Roman"/>
                <w:color w:val="auto"/>
                <w:lang w:eastAsia="zh-CN"/>
              </w:rPr>
              <w:t>）</w:t>
            </w:r>
            <w:r>
              <w:rPr>
                <w:rFonts w:hint="default" w:ascii="Times New Roman" w:hAnsi="Times New Roman" w:cs="Times New Roman"/>
                <w:color w:val="auto"/>
                <w:lang w:val="en-US" w:eastAsia="zh-CN"/>
              </w:rPr>
              <w:t>供水</w:t>
            </w:r>
          </w:p>
          <w:p>
            <w:pPr>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从升压站场址附近的村庄</w:t>
            </w:r>
            <w:r>
              <w:rPr>
                <w:rFonts w:hint="eastAsia" w:cs="Times New Roman"/>
                <w:color w:val="auto"/>
                <w:highlight w:val="none"/>
                <w:lang w:val="en-US" w:eastAsia="zh-CN"/>
              </w:rPr>
              <w:t>拉</w:t>
            </w:r>
            <w:r>
              <w:rPr>
                <w:rFonts w:hint="default" w:ascii="Times New Roman" w:hAnsi="Times New Roman" w:cs="Times New Roman"/>
                <w:color w:val="auto"/>
                <w:highlight w:val="none"/>
                <w:lang w:val="en-US" w:eastAsia="zh-CN"/>
              </w:rPr>
              <w:t>水，</w:t>
            </w:r>
            <w:r>
              <w:rPr>
                <w:rFonts w:hint="eastAsia" w:cs="Times New Roman"/>
                <w:color w:val="auto"/>
                <w:highlight w:val="none"/>
                <w:lang w:val="en-US" w:eastAsia="zh-CN"/>
              </w:rPr>
              <w:t>站</w:t>
            </w:r>
            <w:r>
              <w:rPr>
                <w:rFonts w:hint="default" w:ascii="Times New Roman" w:hAnsi="Times New Roman" w:cs="Times New Roman"/>
                <w:color w:val="auto"/>
                <w:highlight w:val="none"/>
                <w:lang w:val="en-US" w:eastAsia="zh-CN"/>
              </w:rPr>
              <w:t>内修建</w:t>
            </w:r>
            <w:r>
              <w:rPr>
                <w:rFonts w:hint="eastAsia" w:cs="Times New Roman"/>
                <w:color w:val="auto"/>
                <w:highlight w:val="none"/>
                <w:lang w:val="en-US" w:eastAsia="zh-CN"/>
              </w:rPr>
              <w:t>地埋式</w:t>
            </w:r>
            <w:r>
              <w:rPr>
                <w:rFonts w:hint="default" w:ascii="Times New Roman" w:hAnsi="Times New Roman" w:cs="Times New Roman"/>
                <w:color w:val="auto"/>
                <w:highlight w:val="none"/>
                <w:lang w:val="en-US" w:eastAsia="zh-CN"/>
              </w:rPr>
              <w:t>蓄水池一座，蓄水池大小10×10×5m。</w:t>
            </w:r>
          </w:p>
          <w:p>
            <w:pPr>
              <w:spacing w:line="360" w:lineRule="auto"/>
              <w:ind w:firstLine="480"/>
              <w:jc w:val="left"/>
              <w:rPr>
                <w:rFonts w:hint="default" w:ascii="Times New Roman" w:hAnsi="Times New Roman" w:cs="Times New Roman" w:eastAsiaTheme="minorEastAsia"/>
                <w:color w:val="auto"/>
                <w:highlight w:val="none"/>
                <w:lang w:val="en-US" w:eastAsia="zh-CN"/>
              </w:rPr>
            </w:pP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lang w:val="en-US" w:eastAsia="zh-CN"/>
              </w:rPr>
              <w:t>2</w:t>
            </w: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lang w:val="en-US" w:eastAsia="zh-CN"/>
              </w:rPr>
              <w:t>排水</w:t>
            </w:r>
          </w:p>
          <w:p>
            <w:pPr>
              <w:ind w:firstLine="480"/>
              <w:rPr>
                <w:color w:val="auto"/>
                <w:szCs w:val="21"/>
                <w:highlight w:val="none"/>
              </w:rPr>
            </w:pPr>
            <w:r>
              <w:rPr>
                <w:color w:val="auto"/>
                <w:szCs w:val="21"/>
                <w:highlight w:val="none"/>
              </w:rPr>
              <w:t>本项目升压站站区排水系统采用雨、污分流制排放系统。</w:t>
            </w:r>
          </w:p>
          <w:p>
            <w:pPr>
              <w:ind w:firstLine="480"/>
              <w:rPr>
                <w:rFonts w:hint="default" w:ascii="Times New Roman" w:hAnsi="Times New Roman" w:cs="Times New Roman"/>
                <w:color w:val="auto"/>
                <w:highlight w:val="none"/>
                <w:lang w:val="en-US" w:eastAsia="zh-CN"/>
              </w:rPr>
            </w:pPr>
            <w:r>
              <w:rPr>
                <w:color w:val="auto"/>
                <w:szCs w:val="21"/>
                <w:highlight w:val="none"/>
              </w:rPr>
              <w:t>本工程升压站所在位置地势较高，站区内雨水经雨水管网汇流后自然排出，排至升压站外河沟。</w:t>
            </w:r>
          </w:p>
          <w:p>
            <w:pPr>
              <w:ind w:firstLine="480"/>
              <w:rPr>
                <w:rFonts w:hint="default" w:ascii="Times New Roman" w:hAnsi="Times New Roman" w:cs="Times New Roman"/>
                <w:color w:val="auto"/>
                <w:lang w:val="en-US" w:eastAsia="zh-CN"/>
              </w:rPr>
            </w:pPr>
            <w:r>
              <w:rPr>
                <w:rFonts w:hint="default" w:ascii="Times New Roman" w:hAnsi="Times New Roman" w:cs="Times New Roman"/>
                <w:color w:val="auto"/>
                <w:lang w:val="en-US" w:eastAsia="zh-CN"/>
              </w:rPr>
              <w:t>升压站内生活污水经隔油池、化粪池处理后流至生活污水一体化处理设备，</w:t>
            </w:r>
            <w:r>
              <w:rPr>
                <w:rFonts w:hint="eastAsia" w:ascii="Times New Roman" w:hAnsi="Times New Roman" w:cs="Times New Roman"/>
                <w:color w:val="auto"/>
                <w:lang w:val="en-US" w:eastAsia="zh-CN"/>
              </w:rPr>
              <w:t>经处理后</w:t>
            </w:r>
            <w:r>
              <w:rPr>
                <w:rFonts w:hint="default" w:ascii="Times New Roman" w:hAnsi="Times New Roman" w:cs="Times New Roman"/>
                <w:color w:val="auto"/>
                <w:lang w:val="en-US" w:eastAsia="zh-CN"/>
              </w:rPr>
              <w:t>用于站内绿化和道路</w:t>
            </w:r>
            <w:r>
              <w:rPr>
                <w:rFonts w:hint="eastAsia" w:cs="Times New Roman"/>
                <w:color w:val="auto"/>
                <w:lang w:val="en-US" w:eastAsia="zh-CN"/>
              </w:rPr>
              <w:t>洒水</w:t>
            </w:r>
            <w:r>
              <w:rPr>
                <w:rFonts w:hint="default" w:ascii="Times New Roman" w:hAnsi="Times New Roman" w:cs="Times New Roman"/>
                <w:color w:val="auto"/>
                <w:lang w:val="en-US" w:eastAsia="zh-CN"/>
              </w:rPr>
              <w:t>。</w:t>
            </w:r>
          </w:p>
          <w:p>
            <w:pPr>
              <w:spacing w:line="360" w:lineRule="auto"/>
              <w:ind w:firstLine="480"/>
              <w:jc w:val="left"/>
              <w:rPr>
                <w:rFonts w:hint="default" w:ascii="Times New Roman" w:hAnsi="Times New Roman" w:cs="Times New Roman" w:eastAsiaTheme="minorEastAsia"/>
                <w:color w:val="auto"/>
                <w:lang w:val="en-US" w:eastAsia="zh-CN"/>
              </w:rPr>
            </w:pPr>
            <w:r>
              <w:rPr>
                <w:rFonts w:hint="default" w:ascii="Times New Roman" w:hAnsi="Times New Roman" w:cs="Times New Roman"/>
                <w:color w:val="auto"/>
                <w:lang w:eastAsia="zh-CN"/>
              </w:rPr>
              <w:t>（</w:t>
            </w:r>
            <w:r>
              <w:rPr>
                <w:rFonts w:hint="default" w:ascii="Times New Roman" w:hAnsi="Times New Roman" w:cs="Times New Roman"/>
                <w:color w:val="auto"/>
                <w:lang w:val="en-US" w:eastAsia="zh-CN"/>
              </w:rPr>
              <w:t>3</w:t>
            </w:r>
            <w:r>
              <w:rPr>
                <w:rFonts w:hint="default" w:ascii="Times New Roman" w:hAnsi="Times New Roman" w:cs="Times New Roman"/>
                <w:color w:val="auto"/>
                <w:lang w:eastAsia="zh-CN"/>
              </w:rPr>
              <w:t>）</w:t>
            </w:r>
            <w:r>
              <w:rPr>
                <w:rFonts w:hint="default" w:ascii="Times New Roman" w:hAnsi="Times New Roman" w:cs="Times New Roman"/>
                <w:color w:val="auto"/>
                <w:lang w:val="en-US" w:eastAsia="zh-CN"/>
              </w:rPr>
              <w:t>供电</w:t>
            </w:r>
          </w:p>
          <w:p>
            <w:pPr>
              <w:ind w:firstLine="480"/>
              <w:rPr>
                <w:rFonts w:hint="default" w:ascii="Times New Roman" w:hAnsi="Times New Roman" w:cs="Times New Roman"/>
                <w:highlight w:val="red"/>
              </w:rPr>
            </w:pPr>
            <w:r>
              <w:rPr>
                <w:rFonts w:hint="default" w:ascii="Times New Roman" w:hAnsi="Times New Roman" w:cs="Times New Roman"/>
                <w:color w:val="auto"/>
                <w:lang w:val="en-US" w:eastAsia="zh-CN"/>
              </w:rPr>
              <w:t>施工用电从附近10kV农网接入。</w:t>
            </w:r>
          </w:p>
          <w:p>
            <w:pPr>
              <w:ind w:firstLine="480"/>
              <w:rPr>
                <w:rFonts w:hint="default" w:ascii="Times New Roman" w:hAnsi="Times New Roman" w:cs="Times New Roman"/>
                <w:color w:val="auto"/>
                <w:lang w:val="en-US" w:eastAsia="zh-CN"/>
              </w:rPr>
            </w:pPr>
            <w:r>
              <w:rPr>
                <w:rFonts w:hint="default" w:ascii="Times New Roman" w:hAnsi="Times New Roman" w:cs="Times New Roman"/>
                <w:color w:val="auto"/>
                <w:lang w:val="en-US" w:eastAsia="zh-CN"/>
              </w:rPr>
              <w:t>站用电系统</w:t>
            </w:r>
            <w:r>
              <w:rPr>
                <w:rFonts w:hint="eastAsia" w:cs="Times New Roman"/>
                <w:color w:val="auto"/>
                <w:lang w:val="en-US" w:eastAsia="zh-CN"/>
              </w:rPr>
              <w:t>：</w:t>
            </w:r>
            <w:r>
              <w:rPr>
                <w:rFonts w:hint="default" w:ascii="Times New Roman" w:hAnsi="Times New Roman" w:cs="Times New Roman"/>
                <w:color w:val="auto"/>
                <w:lang w:val="en-US" w:eastAsia="zh-CN"/>
              </w:rPr>
              <w:t>采用0.4kV</w:t>
            </w:r>
            <w:r>
              <w:rPr>
                <w:rFonts w:hint="eastAsia" w:ascii="Times New Roman" w:hAnsi="Times New Roman" w:cs="Times New Roman"/>
                <w:color w:val="auto"/>
                <w:lang w:val="en-US" w:eastAsia="zh-CN"/>
              </w:rPr>
              <w:t>，双电源供电方式：一回电源取自本站</w:t>
            </w:r>
            <w:r>
              <w:rPr>
                <w:rFonts w:hint="default" w:ascii="Times New Roman" w:hAnsi="Times New Roman" w:cs="Times New Roman"/>
                <w:color w:val="auto"/>
                <w:lang w:val="en-US" w:eastAsia="zh-CN"/>
              </w:rPr>
              <w:t>35kV</w:t>
            </w:r>
            <w:r>
              <w:rPr>
                <w:rFonts w:hint="eastAsia" w:ascii="Times New Roman" w:hAnsi="Times New Roman" w:cs="Times New Roman"/>
                <w:color w:val="auto"/>
                <w:lang w:val="en-US" w:eastAsia="zh-CN"/>
              </w:rPr>
              <w:t>母线经过一台站用变压器（接地变压器）降压至</w:t>
            </w:r>
            <w:r>
              <w:rPr>
                <w:rFonts w:hint="default" w:ascii="Times New Roman" w:hAnsi="Times New Roman" w:cs="Times New Roman"/>
                <w:color w:val="auto"/>
                <w:lang w:val="en-US" w:eastAsia="zh-CN"/>
              </w:rPr>
              <w:t>0.4kV</w:t>
            </w:r>
            <w:r>
              <w:rPr>
                <w:rFonts w:hint="eastAsia" w:ascii="Times New Roman" w:hAnsi="Times New Roman" w:cs="Times New Roman"/>
                <w:color w:val="auto"/>
                <w:lang w:val="en-US" w:eastAsia="zh-CN"/>
              </w:rPr>
              <w:t>，另一回电源由</w:t>
            </w:r>
            <w:r>
              <w:rPr>
                <w:rFonts w:hint="default" w:ascii="Times New Roman" w:hAnsi="Times New Roman" w:cs="Times New Roman"/>
                <w:color w:val="auto"/>
                <w:lang w:val="en-US" w:eastAsia="zh-CN"/>
              </w:rPr>
              <w:t>10kV</w:t>
            </w:r>
            <w:r>
              <w:rPr>
                <w:rFonts w:hint="eastAsia" w:ascii="Times New Roman" w:hAnsi="Times New Roman" w:cs="Times New Roman"/>
                <w:color w:val="auto"/>
                <w:lang w:val="en-US" w:eastAsia="zh-CN"/>
              </w:rPr>
              <w:t>外来电源经过一台备用变压器降压至</w:t>
            </w:r>
            <w:r>
              <w:rPr>
                <w:rFonts w:hint="default" w:ascii="Times New Roman" w:hAnsi="Times New Roman" w:cs="Times New Roman"/>
                <w:color w:val="auto"/>
                <w:lang w:val="en-US" w:eastAsia="zh-CN"/>
              </w:rPr>
              <w:t>0.4kV</w:t>
            </w:r>
            <w:r>
              <w:rPr>
                <w:rFonts w:hint="eastAsia" w:ascii="Times New Roman" w:hAnsi="Times New Roman" w:cs="Times New Roman"/>
                <w:color w:val="auto"/>
                <w:lang w:val="en-US" w:eastAsia="zh-CN"/>
              </w:rPr>
              <w:t>。站用电采用单母线接线方式，两个电源设置自动切换装置。</w:t>
            </w:r>
          </w:p>
          <w:p>
            <w:pPr>
              <w:ind w:firstLine="480"/>
              <w:rPr>
                <w:rFonts w:hint="default" w:ascii="Times New Roman" w:hAnsi="Times New Roman" w:cs="Times New Roman"/>
                <w:b w:val="0"/>
                <w:bCs w:val="0"/>
                <w:color w:val="auto"/>
                <w:u w:val="none"/>
                <w:lang w:val="en-US" w:eastAsia="zh-CN"/>
              </w:rPr>
            </w:pPr>
            <w:r>
              <w:rPr>
                <w:rFonts w:hint="eastAsia" w:ascii="Times New Roman" w:hAnsi="Times New Roman" w:cs="Times New Roman"/>
                <w:b w:val="0"/>
                <w:bCs w:val="0"/>
                <w:color w:val="auto"/>
                <w:u w:val="none"/>
                <w:lang w:val="en-US" w:eastAsia="zh-CN"/>
              </w:rPr>
              <w:t>直流电源：</w:t>
            </w:r>
            <w:r>
              <w:rPr>
                <w:rFonts w:hint="default" w:ascii="Times New Roman" w:hAnsi="Times New Roman" w:cs="Times New Roman"/>
                <w:b w:val="0"/>
                <w:bCs w:val="0"/>
                <w:color w:val="auto"/>
                <w:u w:val="none"/>
                <w:lang w:val="en-US" w:eastAsia="zh-CN"/>
              </w:rPr>
              <w:t>为保证直流负荷可靠供电，设一组250AH</w:t>
            </w:r>
            <w:r>
              <w:rPr>
                <w:rFonts w:hint="eastAsia" w:ascii="Times New Roman" w:hAnsi="Times New Roman" w:cs="Times New Roman"/>
                <w:b w:val="0"/>
                <w:bCs w:val="0"/>
                <w:color w:val="auto"/>
                <w:u w:val="none"/>
                <w:lang w:val="en-US" w:eastAsia="zh-CN"/>
              </w:rPr>
              <w:t>阀控式密封铅酸蓄电池，直流系统采用单母线接线，直流系统电压为</w:t>
            </w:r>
            <w:r>
              <w:rPr>
                <w:rFonts w:hint="default" w:ascii="Times New Roman" w:hAnsi="Times New Roman" w:cs="Times New Roman"/>
                <w:b w:val="0"/>
                <w:bCs w:val="0"/>
                <w:color w:val="auto"/>
                <w:u w:val="none"/>
                <w:lang w:val="en-US" w:eastAsia="zh-CN"/>
              </w:rPr>
              <w:t>220V</w:t>
            </w:r>
            <w:r>
              <w:rPr>
                <w:rFonts w:hint="eastAsia" w:ascii="Times New Roman" w:hAnsi="Times New Roman" w:cs="Times New Roman"/>
                <w:b w:val="0"/>
                <w:bCs w:val="0"/>
                <w:color w:val="auto"/>
                <w:u w:val="none"/>
                <w:lang w:val="en-US" w:eastAsia="zh-CN"/>
              </w:rPr>
              <w:t xml:space="preserve">。为适应少人值班要求，采用微机型智能高频开关电源直流系统，可通过 </w:t>
            </w:r>
            <w:r>
              <w:rPr>
                <w:rFonts w:hint="default" w:ascii="Times New Roman" w:hAnsi="Times New Roman" w:cs="Times New Roman"/>
                <w:b w:val="0"/>
                <w:bCs w:val="0"/>
                <w:color w:val="auto"/>
                <w:u w:val="none"/>
                <w:lang w:val="en-US" w:eastAsia="zh-CN"/>
              </w:rPr>
              <w:t xml:space="preserve">RS485/232 </w:t>
            </w:r>
            <w:r>
              <w:rPr>
                <w:rFonts w:hint="eastAsia" w:ascii="Times New Roman" w:hAnsi="Times New Roman" w:cs="Times New Roman"/>
                <w:b w:val="0"/>
                <w:bCs w:val="0"/>
                <w:color w:val="auto"/>
                <w:u w:val="none"/>
                <w:lang w:val="en-US" w:eastAsia="zh-CN"/>
              </w:rPr>
              <w:t>接口作为一智能设备纳入变电所综合自动化系统中并实现相应的四遥功能。直流系统（包括蓄电池）拟由</w:t>
            </w:r>
            <w:r>
              <w:rPr>
                <w:rFonts w:hint="default" w:ascii="Times New Roman" w:hAnsi="Times New Roman" w:cs="Times New Roman"/>
                <w:b w:val="0"/>
                <w:bCs w:val="0"/>
                <w:color w:val="auto"/>
                <w:u w:val="none"/>
                <w:lang w:val="en-US" w:eastAsia="zh-CN"/>
              </w:rPr>
              <w:t>4</w:t>
            </w:r>
            <w:r>
              <w:rPr>
                <w:rFonts w:hint="eastAsia" w:ascii="Times New Roman" w:hAnsi="Times New Roman" w:cs="Times New Roman"/>
                <w:b w:val="0"/>
                <w:bCs w:val="0"/>
                <w:color w:val="auto"/>
                <w:u w:val="none"/>
                <w:lang w:val="en-US" w:eastAsia="zh-CN"/>
              </w:rPr>
              <w:t>面屏柜组成，其中充电柜和出线柜各</w:t>
            </w:r>
            <w:r>
              <w:rPr>
                <w:rFonts w:hint="default" w:ascii="Times New Roman" w:hAnsi="Times New Roman" w:cs="Times New Roman"/>
                <w:b w:val="0"/>
                <w:bCs w:val="0"/>
                <w:color w:val="auto"/>
                <w:u w:val="none"/>
                <w:lang w:val="en-US" w:eastAsia="zh-CN"/>
              </w:rPr>
              <w:t>1</w:t>
            </w:r>
            <w:r>
              <w:rPr>
                <w:rFonts w:hint="eastAsia" w:ascii="Times New Roman" w:hAnsi="Times New Roman" w:cs="Times New Roman"/>
                <w:b w:val="0"/>
                <w:bCs w:val="0"/>
                <w:color w:val="auto"/>
                <w:u w:val="none"/>
                <w:lang w:val="en-US" w:eastAsia="zh-CN"/>
              </w:rPr>
              <w:t>面，蓄电池柜</w:t>
            </w:r>
            <w:r>
              <w:rPr>
                <w:rFonts w:hint="default" w:ascii="Times New Roman" w:hAnsi="Times New Roman" w:cs="Times New Roman"/>
                <w:b w:val="0"/>
                <w:bCs w:val="0"/>
                <w:color w:val="auto"/>
                <w:u w:val="none"/>
                <w:lang w:val="en-US" w:eastAsia="zh-CN"/>
              </w:rPr>
              <w:t>2</w:t>
            </w:r>
            <w:r>
              <w:rPr>
                <w:rFonts w:hint="eastAsia" w:ascii="Times New Roman" w:hAnsi="Times New Roman" w:cs="Times New Roman"/>
                <w:b w:val="0"/>
                <w:bCs w:val="0"/>
                <w:color w:val="auto"/>
                <w:u w:val="none"/>
                <w:lang w:val="en-US" w:eastAsia="zh-CN"/>
              </w:rPr>
              <w:t>面。</w:t>
            </w:r>
          </w:p>
          <w:p>
            <w:pPr>
              <w:ind w:firstLine="480"/>
              <w:rPr>
                <w:rFonts w:hint="default" w:ascii="Times New Roman" w:hAnsi="Times New Roman" w:cs="Times New Roman"/>
                <w:b w:val="0"/>
                <w:bCs w:val="0"/>
                <w:color w:val="auto"/>
                <w:u w:val="none"/>
                <w:lang w:val="en-US" w:eastAsia="zh-CN"/>
              </w:rPr>
            </w:pPr>
            <w:r>
              <w:rPr>
                <w:rFonts w:hint="default" w:ascii="Times New Roman" w:hAnsi="Times New Roman" w:cs="Times New Roman"/>
                <w:b w:val="0"/>
                <w:bCs w:val="0"/>
                <w:color w:val="auto"/>
                <w:u w:val="none"/>
                <w:lang w:val="en-US" w:eastAsia="zh-CN"/>
              </w:rPr>
              <w:t>本</w:t>
            </w:r>
            <w:r>
              <w:rPr>
                <w:rFonts w:hint="eastAsia" w:ascii="Times New Roman" w:hAnsi="Times New Roman" w:cs="Times New Roman"/>
                <w:b w:val="0"/>
                <w:bCs w:val="0"/>
                <w:color w:val="auto"/>
                <w:u w:val="none"/>
                <w:lang w:val="en-US" w:eastAsia="zh-CN"/>
              </w:rPr>
              <w:t>项目</w:t>
            </w:r>
            <w:r>
              <w:rPr>
                <w:rFonts w:hint="default" w:ascii="Times New Roman" w:hAnsi="Times New Roman" w:cs="Times New Roman"/>
                <w:b w:val="0"/>
                <w:bCs w:val="0"/>
                <w:color w:val="auto"/>
                <w:u w:val="none"/>
                <w:lang w:val="en-US" w:eastAsia="zh-CN"/>
              </w:rPr>
              <w:t>主要厂用负荷为SVG</w:t>
            </w:r>
            <w:r>
              <w:rPr>
                <w:rFonts w:hint="eastAsia" w:ascii="Times New Roman" w:hAnsi="Times New Roman" w:cs="Times New Roman"/>
                <w:b w:val="0"/>
                <w:bCs w:val="0"/>
                <w:color w:val="auto"/>
                <w:u w:val="none"/>
                <w:lang w:val="en-US" w:eastAsia="zh-CN"/>
              </w:rPr>
              <w:t>电源、</w:t>
            </w:r>
            <w:r>
              <w:rPr>
                <w:rFonts w:hint="default" w:ascii="Times New Roman" w:hAnsi="Times New Roman" w:cs="Times New Roman"/>
                <w:b w:val="0"/>
                <w:bCs w:val="0"/>
                <w:color w:val="auto"/>
                <w:u w:val="none"/>
                <w:lang w:val="en-US" w:eastAsia="zh-CN"/>
              </w:rPr>
              <w:t>GIS</w:t>
            </w:r>
            <w:r>
              <w:rPr>
                <w:rFonts w:hint="eastAsia" w:ascii="Times New Roman" w:hAnsi="Times New Roman" w:cs="Times New Roman"/>
                <w:b w:val="0"/>
                <w:bCs w:val="0"/>
                <w:color w:val="auto"/>
                <w:u w:val="none"/>
                <w:lang w:val="en-US" w:eastAsia="zh-CN"/>
              </w:rPr>
              <w:t>汇控柜电源、</w:t>
            </w:r>
            <w:r>
              <w:rPr>
                <w:rFonts w:hint="default" w:ascii="Times New Roman" w:hAnsi="Times New Roman" w:cs="Times New Roman"/>
                <w:b w:val="0"/>
                <w:bCs w:val="0"/>
                <w:color w:val="auto"/>
                <w:u w:val="none"/>
                <w:lang w:val="en-US" w:eastAsia="zh-CN"/>
              </w:rPr>
              <w:t>35kV</w:t>
            </w:r>
            <w:r>
              <w:rPr>
                <w:rFonts w:hint="eastAsia" w:ascii="Times New Roman" w:hAnsi="Times New Roman" w:cs="Times New Roman"/>
                <w:b w:val="0"/>
                <w:bCs w:val="0"/>
                <w:color w:val="auto"/>
                <w:u w:val="none"/>
                <w:lang w:val="en-US" w:eastAsia="zh-CN"/>
              </w:rPr>
              <w:t>保护测控柜电</w:t>
            </w:r>
            <w:r>
              <w:rPr>
                <w:rFonts w:hint="default" w:ascii="Times New Roman" w:hAnsi="Times New Roman" w:cs="Times New Roman"/>
                <w:b w:val="0"/>
                <w:bCs w:val="0"/>
                <w:color w:val="auto"/>
                <w:u w:val="none"/>
                <w:lang w:val="en-US" w:eastAsia="zh-CN"/>
              </w:rPr>
              <w:t>源、直流系统充电屏、UPS</w:t>
            </w:r>
            <w:r>
              <w:rPr>
                <w:rFonts w:hint="eastAsia" w:ascii="Times New Roman" w:hAnsi="Times New Roman" w:cs="Times New Roman"/>
                <w:b w:val="0"/>
                <w:bCs w:val="0"/>
                <w:color w:val="auto"/>
                <w:u w:val="none"/>
                <w:lang w:val="en-US" w:eastAsia="zh-CN"/>
              </w:rPr>
              <w:t>电源、通信电源、工业电视、消防监控、照明、空调及轴流风机等设备电源。直流电源主要供给</w:t>
            </w:r>
            <w:r>
              <w:rPr>
                <w:rFonts w:hint="default" w:ascii="Times New Roman" w:hAnsi="Times New Roman" w:cs="Times New Roman"/>
                <w:b w:val="0"/>
                <w:bCs w:val="0"/>
                <w:color w:val="auto"/>
                <w:u w:val="none"/>
                <w:lang w:val="en-US" w:eastAsia="zh-CN"/>
              </w:rPr>
              <w:t>UPS</w:t>
            </w:r>
            <w:r>
              <w:rPr>
                <w:rFonts w:hint="eastAsia" w:ascii="Times New Roman" w:hAnsi="Times New Roman" w:cs="Times New Roman"/>
                <w:b w:val="0"/>
                <w:bCs w:val="0"/>
                <w:color w:val="auto"/>
                <w:u w:val="none"/>
                <w:lang w:val="en-US" w:eastAsia="zh-CN"/>
              </w:rPr>
              <w:t>电源、通信设备、事故照明、断路器跳闸、线路保护装置、电表等。其他由</w:t>
            </w:r>
            <w:r>
              <w:rPr>
                <w:rFonts w:hint="default" w:ascii="Times New Roman" w:hAnsi="Times New Roman" w:cs="Times New Roman"/>
                <w:b w:val="0"/>
                <w:bCs w:val="0"/>
                <w:color w:val="auto"/>
                <w:u w:val="none"/>
                <w:lang w:val="en-US" w:eastAsia="zh-CN"/>
              </w:rPr>
              <w:t>站用电系统供</w:t>
            </w:r>
            <w:r>
              <w:rPr>
                <w:rFonts w:hint="eastAsia" w:ascii="Times New Roman" w:hAnsi="Times New Roman" w:cs="Times New Roman"/>
                <w:b w:val="0"/>
                <w:bCs w:val="0"/>
                <w:color w:val="auto"/>
                <w:u w:val="none"/>
                <w:lang w:val="en-US" w:eastAsia="zh-CN"/>
              </w:rPr>
              <w:t>电。</w:t>
            </w:r>
          </w:p>
          <w:p>
            <w:pPr>
              <w:spacing w:line="360" w:lineRule="auto"/>
              <w:ind w:firstLine="480"/>
              <w:jc w:val="left"/>
              <w:rPr>
                <w:rFonts w:hint="default" w:ascii="Times New Roman" w:hAnsi="Times New Roman" w:cs="Times New Roman"/>
                <w:color w:val="auto"/>
                <w:lang w:eastAsia="zh-CN"/>
              </w:rPr>
            </w:pPr>
            <w:r>
              <w:rPr>
                <w:rFonts w:hint="default" w:ascii="Times New Roman" w:hAnsi="Times New Roman" w:cs="Times New Roman"/>
                <w:color w:val="auto"/>
                <w:lang w:val="en-US" w:eastAsia="zh-CN"/>
              </w:rPr>
              <w:t>（4）采暖</w:t>
            </w:r>
          </w:p>
          <w:p>
            <w:pPr>
              <w:ind w:firstLine="480"/>
              <w:rPr>
                <w:rFonts w:hint="default" w:ascii="Times New Roman" w:hAnsi="Times New Roman" w:cs="Times New Roman"/>
                <w:color w:val="auto"/>
                <w:lang w:val="en-US" w:eastAsia="zh-CN"/>
              </w:rPr>
            </w:pPr>
            <w:r>
              <w:rPr>
                <w:rFonts w:hint="default" w:ascii="Times New Roman" w:hAnsi="Times New Roman" w:cs="Times New Roman"/>
                <w:color w:val="auto"/>
                <w:lang w:val="en-US" w:eastAsia="zh-CN"/>
              </w:rPr>
              <w:t>升压站内采暖系统采用柜式空调或壁挂式空调</w:t>
            </w:r>
            <w:r>
              <w:rPr>
                <w:rFonts w:hint="eastAsia" w:ascii="Times New Roman" w:hAnsi="Times New Roman" w:cs="Times New Roman"/>
                <w:color w:val="auto"/>
                <w:lang w:val="en-US" w:eastAsia="zh-CN"/>
              </w:rPr>
              <w:t>。</w:t>
            </w:r>
          </w:p>
          <w:p>
            <w:pPr>
              <w:spacing w:line="360" w:lineRule="auto"/>
              <w:ind w:firstLine="0" w:firstLineChars="0"/>
              <w:jc w:val="left"/>
              <w:rPr>
                <w:rFonts w:hint="default" w:ascii="Times New Roman" w:hAnsi="Times New Roman" w:cs="Times New Roman"/>
                <w:color w:val="auto"/>
              </w:rPr>
            </w:pPr>
            <w:r>
              <w:rPr>
                <w:rFonts w:hint="eastAsia" w:cs="Times New Roman"/>
                <w:b/>
                <w:bCs/>
                <w:color w:val="auto"/>
                <w:lang w:val="en-US" w:eastAsia="zh-CN"/>
              </w:rPr>
              <w:t>6</w:t>
            </w:r>
            <w:r>
              <w:rPr>
                <w:rFonts w:hint="default" w:ascii="Times New Roman" w:hAnsi="Times New Roman" w:cs="Times New Roman"/>
                <w:b/>
                <w:bCs/>
                <w:color w:val="auto"/>
              </w:rPr>
              <w:t>、</w:t>
            </w:r>
            <w:r>
              <w:rPr>
                <w:rFonts w:hint="default" w:ascii="Times New Roman" w:hAnsi="Times New Roman" w:cs="Times New Roman"/>
                <w:b/>
                <w:bCs/>
                <w:color w:val="auto"/>
                <w:kern w:val="0"/>
                <w:szCs w:val="21"/>
              </w:rPr>
              <w:t>工作制</w:t>
            </w:r>
            <w:r>
              <w:rPr>
                <w:rFonts w:hint="default" w:ascii="Times New Roman" w:hAnsi="Times New Roman" w:cs="Times New Roman"/>
                <w:b/>
                <w:color w:val="auto"/>
                <w:kern w:val="0"/>
                <w:szCs w:val="21"/>
              </w:rPr>
              <w:t>度和劳动定员</w:t>
            </w:r>
          </w:p>
          <w:p>
            <w:pPr>
              <w:pStyle w:val="75"/>
              <w:ind w:firstLine="480"/>
              <w:rPr>
                <w:rFonts w:hint="eastAsia"/>
                <w:highlight w:val="none"/>
              </w:rPr>
            </w:pPr>
            <w:r>
              <w:rPr>
                <w:highlight w:val="none"/>
              </w:rPr>
              <w:t>项目劳动定员</w:t>
            </w:r>
            <w:r>
              <w:rPr>
                <w:rFonts w:hint="eastAsia"/>
                <w:highlight w:val="none"/>
              </w:rPr>
              <w:t>15</w:t>
            </w:r>
            <w:r>
              <w:rPr>
                <w:highlight w:val="none"/>
              </w:rPr>
              <w:t>人。</w:t>
            </w:r>
            <w:r>
              <w:rPr>
                <w:rFonts w:hint="eastAsia"/>
                <w:highlight w:val="none"/>
              </w:rPr>
              <w:t>厂区</w:t>
            </w:r>
            <w:r>
              <w:rPr>
                <w:rFonts w:hint="eastAsia"/>
                <w:highlight w:val="none"/>
                <w:lang w:val="en-US" w:eastAsia="zh-CN"/>
              </w:rPr>
              <w:t>设</w:t>
            </w:r>
            <w:r>
              <w:rPr>
                <w:rFonts w:hint="eastAsia"/>
                <w:highlight w:val="none"/>
              </w:rPr>
              <w:t>食宿。</w:t>
            </w:r>
          </w:p>
          <w:p>
            <w:pPr>
              <w:pStyle w:val="75"/>
              <w:ind w:firstLine="480"/>
              <w:rPr>
                <w:highlight w:val="none"/>
              </w:rPr>
            </w:pPr>
            <w:r>
              <w:rPr>
                <w:highlight w:val="none"/>
              </w:rPr>
              <w:t>项目</w:t>
            </w:r>
            <w:r>
              <w:rPr>
                <w:rFonts w:hint="eastAsia"/>
                <w:highlight w:val="none"/>
              </w:rPr>
              <w:t>工作制度：</w:t>
            </w:r>
            <w:r>
              <w:rPr>
                <w:highlight w:val="none"/>
              </w:rPr>
              <w:t>年工作</w:t>
            </w:r>
            <w:r>
              <w:rPr>
                <w:rFonts w:hint="eastAsia"/>
                <w:highlight w:val="none"/>
              </w:rPr>
              <w:t>3</w:t>
            </w:r>
            <w:r>
              <w:rPr>
                <w:rFonts w:hint="eastAsia"/>
                <w:highlight w:val="none"/>
                <w:lang w:val="en-US" w:eastAsia="zh-CN"/>
              </w:rPr>
              <w:t>65</w:t>
            </w:r>
            <w:r>
              <w:rPr>
                <w:highlight w:val="none"/>
              </w:rPr>
              <w:t>天</w:t>
            </w:r>
            <w:r>
              <w:rPr>
                <w:rFonts w:hint="eastAsia"/>
                <w:highlight w:val="none"/>
              </w:rPr>
              <w:t>，</w:t>
            </w:r>
            <w:r>
              <w:rPr>
                <w:highlight w:val="none"/>
              </w:rPr>
              <w:t>每天工作</w:t>
            </w:r>
            <w:r>
              <w:rPr>
                <w:rFonts w:hint="eastAsia"/>
                <w:highlight w:val="none"/>
              </w:rPr>
              <w:t>8</w:t>
            </w:r>
            <w:r>
              <w:rPr>
                <w:highlight w:val="none"/>
              </w:rPr>
              <w:t>小时（</w:t>
            </w:r>
            <w:r>
              <w:rPr>
                <w:rFonts w:hint="eastAsia"/>
                <w:highlight w:val="none"/>
              </w:rPr>
              <w:t>一</w:t>
            </w:r>
            <w:r>
              <w:rPr>
                <w:highlight w:val="none"/>
              </w:rPr>
              <w:t>班制）。</w:t>
            </w:r>
          </w:p>
          <w:p>
            <w:pPr>
              <w:pStyle w:val="75"/>
              <w:ind w:firstLine="480"/>
              <w:rPr>
                <w:rFonts w:hint="default" w:ascii="Times New Roman" w:hAnsi="Times New Roman" w:cs="Times New Roman"/>
                <w:color w:val="0000FF"/>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07" w:hRule="atLeast"/>
          <w:jc w:val="center"/>
        </w:trPr>
        <w:tc>
          <w:tcPr>
            <w:tcW w:w="814" w:type="dxa"/>
            <w:vAlign w:val="center"/>
          </w:tcPr>
          <w:p>
            <w:pPr>
              <w:adjustRightInd w:val="0"/>
              <w:snapToGrid w:val="0"/>
              <w:spacing w:line="240" w:lineRule="auto"/>
              <w:ind w:firstLine="0" w:firstLineChars="0"/>
              <w:jc w:val="center"/>
              <w:rPr>
                <w:rFonts w:hint="default" w:ascii="Times New Roman" w:hAnsi="Times New Roman" w:cs="Times New Roman"/>
                <w:color w:val="0000FF"/>
                <w:kern w:val="0"/>
                <w:szCs w:val="21"/>
              </w:rPr>
            </w:pPr>
            <w:r>
              <w:rPr>
                <w:rFonts w:hint="default" w:ascii="Times New Roman" w:hAnsi="Times New Roman" w:cs="Times New Roman"/>
                <w:color w:val="auto"/>
                <w:kern w:val="0"/>
                <w:szCs w:val="21"/>
              </w:rPr>
              <w:t>总平面及现场布置</w:t>
            </w:r>
          </w:p>
        </w:tc>
        <w:tc>
          <w:tcPr>
            <w:tcW w:w="8927" w:type="dxa"/>
          </w:tcPr>
          <w:p>
            <w:pPr>
              <w:spacing w:line="360" w:lineRule="auto"/>
              <w:ind w:firstLine="0" w:firstLineChars="0"/>
              <w:jc w:val="left"/>
              <w:rPr>
                <w:rFonts w:hint="default" w:ascii="Times New Roman" w:hAnsi="Times New Roman" w:cs="Times New Roman"/>
                <w:b/>
                <w:color w:val="auto"/>
                <w:kern w:val="0"/>
                <w:szCs w:val="21"/>
              </w:rPr>
            </w:pPr>
            <w:r>
              <w:rPr>
                <w:rFonts w:hint="default" w:ascii="Times New Roman" w:hAnsi="Times New Roman" w:cs="Times New Roman"/>
                <w:b/>
                <w:color w:val="auto"/>
                <w:kern w:val="0"/>
                <w:szCs w:val="21"/>
              </w:rPr>
              <w:t>1、升压站布置</w:t>
            </w:r>
          </w:p>
          <w:p>
            <w:pPr>
              <w:pStyle w:val="21"/>
              <w:snapToGrid/>
              <w:spacing w:before="0" w:line="520" w:lineRule="exact"/>
              <w:ind w:firstLine="480"/>
              <w:rPr>
                <w:rFonts w:hint="default" w:ascii="Times New Roman" w:hAnsi="Times New Roman" w:cs="Times New Roman"/>
                <w:b w:val="0"/>
                <w:bCs w:val="0"/>
                <w:color w:val="auto"/>
                <w:highlight w:val="none"/>
                <w:u w:val="none"/>
                <w:lang w:val="en-US" w:eastAsia="zh-CN"/>
              </w:rPr>
            </w:pPr>
            <w:r>
              <w:rPr>
                <w:rFonts w:hint="default" w:ascii="Times New Roman" w:hAnsi="Times New Roman" w:cs="Times New Roman"/>
                <w:b w:val="0"/>
                <w:bCs w:val="0"/>
                <w:color w:val="auto"/>
                <w:highlight w:val="none"/>
                <w:u w:val="none"/>
                <w:lang w:val="en-US" w:eastAsia="zh-CN"/>
              </w:rPr>
              <w:t>110kV升压站围墙内占地面积约</w:t>
            </w:r>
            <w:r>
              <w:rPr>
                <w:rFonts w:hint="eastAsia" w:ascii="Times New Roman" w:hAnsi="Times New Roman" w:cs="Times New Roman"/>
                <w:b w:val="0"/>
                <w:bCs w:val="0"/>
                <w:color w:val="auto"/>
                <w:highlight w:val="none"/>
                <w:u w:val="none"/>
                <w:lang w:val="en-US" w:eastAsia="zh-CN"/>
              </w:rPr>
              <w:t>6162</w:t>
            </w:r>
            <w:r>
              <w:rPr>
                <w:rFonts w:hint="default" w:ascii="Times New Roman" w:hAnsi="Times New Roman" w:cs="Times New Roman"/>
                <w:b w:val="0"/>
                <w:bCs w:val="0"/>
                <w:color w:val="auto"/>
                <w:highlight w:val="none"/>
                <w:u w:val="none"/>
                <w:lang w:val="en-US" w:eastAsia="zh-CN"/>
              </w:rPr>
              <w:t>m</w:t>
            </w:r>
            <w:r>
              <w:rPr>
                <w:rFonts w:hint="default" w:ascii="Times New Roman" w:hAnsi="Times New Roman" w:cs="Times New Roman"/>
                <w:b w:val="0"/>
                <w:bCs w:val="0"/>
                <w:color w:val="auto"/>
                <w:highlight w:val="none"/>
                <w:u w:val="none"/>
                <w:vertAlign w:val="superscript"/>
                <w:lang w:val="en-US" w:eastAsia="zh-CN"/>
              </w:rPr>
              <w:t>2</w:t>
            </w:r>
            <w:r>
              <w:rPr>
                <w:rFonts w:hint="eastAsia" w:ascii="Times New Roman" w:hAnsi="Times New Roman" w:cs="Times New Roman"/>
                <w:b w:val="0"/>
                <w:bCs w:val="0"/>
                <w:color w:val="auto"/>
                <w:highlight w:val="none"/>
                <w:u w:val="none"/>
                <w:lang w:val="en-US" w:eastAsia="zh-CN"/>
              </w:rPr>
              <w:t>。场地围墙采用实体砖砌围墙结合铁艺镂空围墙方式。升压变电设备位于站内西侧，储能电站位于站内东侧。</w:t>
            </w:r>
            <w:r>
              <w:rPr>
                <w:rFonts w:hint="default" w:ascii="Times New Roman" w:hAnsi="Times New Roman" w:eastAsia="宋体" w:cs="Times New Roman"/>
                <w:b w:val="0"/>
                <w:bCs w:val="0"/>
                <w:color w:val="auto"/>
                <w:highlight w:val="none"/>
                <w:u w:val="none"/>
                <w:lang w:val="en-US" w:eastAsia="zh-CN"/>
              </w:rPr>
              <w:t>110kV配电装置、35kV</w:t>
            </w:r>
            <w:r>
              <w:rPr>
                <w:rFonts w:hint="eastAsia" w:ascii="Times New Roman" w:hAnsi="Times New Roman" w:eastAsia="宋体" w:cs="Times New Roman"/>
                <w:b w:val="0"/>
                <w:bCs w:val="0"/>
                <w:color w:val="auto"/>
                <w:highlight w:val="none"/>
                <w:u w:val="none"/>
                <w:lang w:val="en-US" w:eastAsia="zh-CN"/>
              </w:rPr>
              <w:t>及</w:t>
            </w:r>
            <w:r>
              <w:rPr>
                <w:rFonts w:hint="default" w:ascii="Times New Roman" w:hAnsi="Times New Roman" w:eastAsia="宋体" w:cs="Times New Roman"/>
                <w:b w:val="0"/>
                <w:bCs w:val="0"/>
                <w:color w:val="auto"/>
                <w:highlight w:val="none"/>
                <w:u w:val="none"/>
                <w:lang w:val="en-US" w:eastAsia="zh-CN"/>
              </w:rPr>
              <w:t>0.4kV</w:t>
            </w:r>
            <w:r>
              <w:rPr>
                <w:rFonts w:hint="eastAsia" w:ascii="Times New Roman" w:hAnsi="Times New Roman" w:eastAsia="宋体" w:cs="Times New Roman"/>
                <w:b w:val="0"/>
                <w:bCs w:val="0"/>
                <w:color w:val="auto"/>
                <w:highlight w:val="none"/>
                <w:u w:val="none"/>
                <w:lang w:val="en-US" w:eastAsia="zh-CN"/>
              </w:rPr>
              <w:t>开关柜、电子设备间、</w:t>
            </w:r>
            <w:r>
              <w:rPr>
                <w:rFonts w:hint="default" w:ascii="Times New Roman" w:hAnsi="Times New Roman" w:eastAsia="宋体" w:cs="Times New Roman"/>
                <w:b w:val="0"/>
                <w:bCs w:val="0"/>
                <w:color w:val="auto"/>
                <w:highlight w:val="none"/>
                <w:u w:val="none"/>
                <w:lang w:val="en-US" w:eastAsia="zh-CN"/>
              </w:rPr>
              <w:t>S</w:t>
            </w:r>
            <w:r>
              <w:rPr>
                <w:rFonts w:hint="default" w:ascii="Times New Roman" w:hAnsi="Times New Roman" w:eastAsia="宋体" w:cs="Times New Roman"/>
                <w:b w:val="0"/>
                <w:bCs w:val="0"/>
                <w:color w:val="auto"/>
                <w:kern w:val="2"/>
                <w:sz w:val="24"/>
                <w:szCs w:val="24"/>
                <w:highlight w:val="none"/>
                <w:u w:val="none"/>
                <w:lang w:val="en-US" w:eastAsia="zh-CN" w:bidi="ar-SA"/>
              </w:rPr>
              <w:t>VG</w:t>
            </w:r>
            <w:r>
              <w:rPr>
                <w:rFonts w:hint="eastAsia" w:ascii="Times New Roman" w:hAnsi="Times New Roman" w:eastAsia="宋体" w:cs="Times New Roman"/>
                <w:b w:val="0"/>
                <w:bCs w:val="0"/>
                <w:color w:val="auto"/>
                <w:kern w:val="2"/>
                <w:sz w:val="24"/>
                <w:szCs w:val="24"/>
                <w:highlight w:val="none"/>
                <w:u w:val="none"/>
                <w:lang w:val="en-US" w:eastAsia="zh-CN" w:bidi="ar-SA"/>
              </w:rPr>
              <w:t>无功补偿装置</w:t>
            </w:r>
            <w:r>
              <w:rPr>
                <w:rFonts w:hint="eastAsia" w:ascii="Times New Roman" w:hAnsi="Times New Roman" w:eastAsia="宋体" w:cs="Times New Roman"/>
                <w:b w:val="0"/>
                <w:bCs w:val="0"/>
                <w:color w:val="auto"/>
                <w:highlight w:val="none"/>
                <w:u w:val="none"/>
                <w:lang w:val="en-US" w:eastAsia="zh-CN"/>
              </w:rPr>
              <w:t>等均采用预制舱布置，主变及无功补偿降压变采用户外布置。</w:t>
            </w:r>
            <w:r>
              <w:rPr>
                <w:rFonts w:hint="eastAsia" w:ascii="Times New Roman" w:hAnsi="Times New Roman" w:cs="Times New Roman"/>
                <w:b w:val="0"/>
                <w:bCs w:val="0"/>
                <w:color w:val="auto"/>
                <w:highlight w:val="none"/>
                <w:u w:val="none"/>
                <w:lang w:val="en-US" w:eastAsia="zh-CN"/>
              </w:rPr>
              <w:t>站内东侧</w:t>
            </w:r>
            <w:r>
              <w:rPr>
                <w:rFonts w:hint="default" w:ascii="Times New Roman" w:hAnsi="Times New Roman" w:cs="Times New Roman"/>
                <w:b w:val="0"/>
                <w:bCs w:val="0"/>
                <w:color w:val="auto"/>
                <w:highlight w:val="none"/>
                <w:u w:val="none"/>
                <w:lang w:val="en-US" w:eastAsia="zh-CN"/>
              </w:rPr>
              <w:t>由北向南布置</w:t>
            </w:r>
            <w:r>
              <w:rPr>
                <w:rFonts w:hint="eastAsia" w:ascii="Times New Roman" w:hAnsi="Times New Roman" w:cs="Times New Roman"/>
                <w:b w:val="0"/>
                <w:bCs w:val="0"/>
                <w:color w:val="auto"/>
                <w:highlight w:val="none"/>
                <w:u w:val="none"/>
                <w:lang w:val="en-US" w:eastAsia="zh-CN"/>
              </w:rPr>
              <w:t>办公区、</w:t>
            </w:r>
            <w:r>
              <w:rPr>
                <w:rFonts w:hint="default" w:ascii="Times New Roman" w:hAnsi="Times New Roman" w:eastAsia="宋体" w:cs="Times New Roman"/>
                <w:b w:val="0"/>
                <w:bCs w:val="0"/>
                <w:color w:val="auto"/>
                <w:highlight w:val="none"/>
                <w:u w:val="none"/>
                <w:lang w:val="en-US" w:eastAsia="zh-CN"/>
              </w:rPr>
              <w:t>配电装置</w:t>
            </w:r>
            <w:r>
              <w:rPr>
                <w:rFonts w:hint="eastAsia" w:ascii="Times New Roman" w:hAnsi="Times New Roman" w:eastAsia="宋体" w:cs="Times New Roman"/>
                <w:b w:val="0"/>
                <w:bCs w:val="0"/>
                <w:color w:val="auto"/>
                <w:highlight w:val="none"/>
                <w:u w:val="none"/>
                <w:lang w:val="en-US" w:eastAsia="zh-CN"/>
              </w:rPr>
              <w:t>等的预制舱、</w:t>
            </w:r>
            <w:r>
              <w:rPr>
                <w:rFonts w:hint="eastAsia" w:ascii="Times New Roman" w:hAnsi="Times New Roman" w:cs="Times New Roman"/>
                <w:b w:val="0"/>
                <w:bCs w:val="0"/>
                <w:color w:val="auto"/>
                <w:highlight w:val="none"/>
                <w:u w:val="none"/>
                <w:lang w:val="en-US" w:eastAsia="zh-CN"/>
              </w:rPr>
              <w:t>主变及无功补偿装置区、事故油池、危废间等。</w:t>
            </w:r>
            <w:r>
              <w:rPr>
                <w:rFonts w:hint="default" w:ascii="Times New Roman" w:hAnsi="Times New Roman" w:eastAsia="宋体" w:cs="Times New Roman"/>
                <w:b w:val="0"/>
                <w:bCs w:val="0"/>
                <w:color w:val="auto"/>
                <w:highlight w:val="none"/>
                <w:u w:val="none"/>
                <w:lang w:val="en-US" w:eastAsia="zh-CN"/>
              </w:rPr>
              <w:t>配电装置</w:t>
            </w:r>
            <w:r>
              <w:rPr>
                <w:rFonts w:hint="eastAsia" w:ascii="Times New Roman" w:hAnsi="Times New Roman" w:eastAsia="宋体" w:cs="Times New Roman"/>
                <w:b w:val="0"/>
                <w:bCs w:val="0"/>
                <w:color w:val="auto"/>
                <w:highlight w:val="none"/>
                <w:u w:val="none"/>
                <w:lang w:val="en-US" w:eastAsia="zh-CN"/>
              </w:rPr>
              <w:t>等的预制舱分为两层，一层为</w:t>
            </w:r>
            <w:r>
              <w:rPr>
                <w:rFonts w:hint="default" w:ascii="Times New Roman" w:hAnsi="Times New Roman" w:eastAsia="宋体" w:cs="Times New Roman"/>
                <w:b w:val="0"/>
                <w:bCs w:val="0"/>
                <w:color w:val="auto"/>
                <w:highlight w:val="none"/>
                <w:u w:val="none"/>
                <w:lang w:val="en-US" w:eastAsia="zh-CN"/>
              </w:rPr>
              <w:t>110kV配电装置、35kV</w:t>
            </w:r>
            <w:r>
              <w:rPr>
                <w:rFonts w:hint="eastAsia" w:ascii="Times New Roman" w:hAnsi="Times New Roman" w:eastAsia="宋体" w:cs="Times New Roman"/>
                <w:b w:val="0"/>
                <w:bCs w:val="0"/>
                <w:color w:val="auto"/>
                <w:highlight w:val="none"/>
                <w:u w:val="none"/>
                <w:lang w:val="en-US" w:eastAsia="zh-CN"/>
              </w:rPr>
              <w:t>及</w:t>
            </w:r>
            <w:r>
              <w:rPr>
                <w:rFonts w:hint="default" w:ascii="Times New Roman" w:hAnsi="Times New Roman" w:eastAsia="宋体" w:cs="Times New Roman"/>
                <w:b w:val="0"/>
                <w:bCs w:val="0"/>
                <w:color w:val="auto"/>
                <w:highlight w:val="none"/>
                <w:u w:val="none"/>
                <w:lang w:val="en-US" w:eastAsia="zh-CN"/>
              </w:rPr>
              <w:t>0.4kV</w:t>
            </w:r>
            <w:r>
              <w:rPr>
                <w:rFonts w:hint="eastAsia" w:ascii="Times New Roman" w:hAnsi="Times New Roman" w:eastAsia="宋体" w:cs="Times New Roman"/>
                <w:b w:val="0"/>
                <w:bCs w:val="0"/>
                <w:color w:val="auto"/>
                <w:highlight w:val="none"/>
                <w:u w:val="none"/>
                <w:lang w:val="en-US" w:eastAsia="zh-CN"/>
              </w:rPr>
              <w:t>开关柜，二层为</w:t>
            </w:r>
            <w:r>
              <w:rPr>
                <w:rFonts w:hint="default" w:ascii="Times New Roman" w:hAnsi="Times New Roman" w:eastAsia="宋体" w:cs="Times New Roman"/>
                <w:b w:val="0"/>
                <w:bCs w:val="0"/>
                <w:color w:val="auto"/>
                <w:highlight w:val="none"/>
                <w:u w:val="none"/>
                <w:lang w:val="en-US" w:eastAsia="zh-CN"/>
              </w:rPr>
              <w:t>电子设备间</w:t>
            </w:r>
            <w:r>
              <w:rPr>
                <w:rFonts w:hint="eastAsia" w:ascii="Times New Roman" w:hAnsi="Times New Roman" w:eastAsia="宋体" w:cs="Times New Roman"/>
                <w:b w:val="0"/>
                <w:bCs w:val="0"/>
                <w:color w:val="auto"/>
                <w:highlight w:val="none"/>
                <w:u w:val="none"/>
                <w:lang w:val="en-US" w:eastAsia="zh-CN"/>
              </w:rPr>
              <w:t>及中控室。</w:t>
            </w:r>
          </w:p>
          <w:p>
            <w:pPr>
              <w:pStyle w:val="21"/>
              <w:snapToGrid/>
              <w:spacing w:before="0" w:line="520" w:lineRule="exact"/>
              <w:ind w:firstLine="480"/>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升压站</w:t>
            </w:r>
            <w:r>
              <w:rPr>
                <w:rFonts w:hint="eastAsia" w:ascii="Times New Roman" w:hAnsi="Times New Roman" w:cs="Times New Roman"/>
                <w:color w:val="auto"/>
                <w:highlight w:val="none"/>
                <w:lang w:val="en-US" w:eastAsia="zh-CN"/>
              </w:rPr>
              <w:t>进站大门设置在西</w:t>
            </w:r>
            <w:r>
              <w:rPr>
                <w:rFonts w:hint="default" w:ascii="Times New Roman" w:hAnsi="Times New Roman" w:cs="Times New Roman"/>
                <w:color w:val="auto"/>
                <w:highlight w:val="none"/>
                <w:lang w:val="en-US" w:eastAsia="zh-CN"/>
              </w:rPr>
              <w:t>围墙</w:t>
            </w:r>
            <w:r>
              <w:rPr>
                <w:rFonts w:hint="eastAsia" w:ascii="Times New Roman" w:hAnsi="Times New Roman" w:cs="Times New Roman"/>
                <w:color w:val="auto"/>
                <w:highlight w:val="none"/>
                <w:lang w:val="en-US" w:eastAsia="zh-CN"/>
              </w:rPr>
              <w:t>北部，大门采用</w:t>
            </w:r>
            <w:r>
              <w:rPr>
                <w:rFonts w:hint="default" w:ascii="Times New Roman" w:hAnsi="Times New Roman" w:cs="Times New Roman"/>
                <w:color w:val="auto"/>
                <w:highlight w:val="none"/>
                <w:lang w:val="en-US" w:eastAsia="zh-CN"/>
              </w:rPr>
              <w:t>6m</w:t>
            </w:r>
            <w:r>
              <w:rPr>
                <w:rFonts w:hint="eastAsia" w:ascii="Times New Roman" w:hAnsi="Times New Roman" w:cs="Times New Roman"/>
                <w:color w:val="auto"/>
                <w:highlight w:val="none"/>
                <w:lang w:val="en-US" w:eastAsia="zh-CN"/>
              </w:rPr>
              <w:t>宽电动伸缩门，以满足消防及设备运输要求。</w:t>
            </w:r>
            <w:r>
              <w:rPr>
                <w:rFonts w:hint="default" w:ascii="Times New Roman" w:hAnsi="Times New Roman" w:cs="Times New Roman"/>
                <w:color w:val="auto"/>
                <w:highlight w:val="none"/>
                <w:lang w:val="en-US" w:eastAsia="zh-CN"/>
              </w:rPr>
              <w:t>站内设置环形道路，路宽4.0m</w:t>
            </w:r>
            <w:r>
              <w:rPr>
                <w:rFonts w:hint="eastAsia" w:ascii="Times New Roman" w:hAnsi="Times New Roman" w:cs="Times New Roman"/>
                <w:color w:val="auto"/>
                <w:highlight w:val="none"/>
                <w:lang w:val="en-US" w:eastAsia="zh-CN"/>
              </w:rPr>
              <w:t>，与进站道路相接。</w:t>
            </w:r>
          </w:p>
          <w:p>
            <w:pPr>
              <w:pStyle w:val="21"/>
              <w:snapToGrid/>
              <w:spacing w:before="0" w:line="520" w:lineRule="exact"/>
              <w:ind w:firstLine="480"/>
              <w:rPr>
                <w:rFonts w:hint="default" w:ascii="Times New Roman" w:hAnsi="Times New Roman" w:cs="Times New Roman"/>
                <w:color w:val="auto"/>
                <w:highlight w:val="none"/>
                <w:lang w:val="en-US" w:eastAsia="zh-CN"/>
              </w:rPr>
            </w:pPr>
            <w:r>
              <w:rPr>
                <w:rFonts w:hint="eastAsia" w:ascii="Times New Roman" w:hAnsi="Times New Roman" w:cs="Times New Roman"/>
                <w:color w:val="auto"/>
                <w:highlight w:val="none"/>
                <w:lang w:val="en-US" w:eastAsia="zh-CN"/>
              </w:rPr>
              <w:t>绿化系统规划充分考虑功能及观景要求，绿化品种以常绿为主，户外电器设备范围内铺设碎石，办公区周围以草坪、灌木、乔木相结合的方式绿化。</w:t>
            </w:r>
          </w:p>
          <w:p>
            <w:pPr>
              <w:spacing w:line="360" w:lineRule="auto"/>
              <w:ind w:firstLine="0" w:firstLineChars="0"/>
              <w:jc w:val="left"/>
              <w:rPr>
                <w:rFonts w:hint="default" w:ascii="Times New Roman" w:hAnsi="Times New Roman" w:cs="Times New Roman"/>
                <w:b/>
                <w:color w:val="auto"/>
                <w:kern w:val="0"/>
                <w:szCs w:val="21"/>
                <w:highlight w:val="none"/>
              </w:rPr>
            </w:pPr>
            <w:r>
              <w:rPr>
                <w:rFonts w:hint="default" w:ascii="Times New Roman" w:hAnsi="Times New Roman" w:cs="Times New Roman"/>
                <w:b/>
                <w:color w:val="auto"/>
                <w:kern w:val="0"/>
                <w:szCs w:val="21"/>
                <w:highlight w:val="none"/>
              </w:rPr>
              <w:t>2、施工布置</w:t>
            </w:r>
          </w:p>
          <w:p>
            <w:pPr>
              <w:pStyle w:val="21"/>
              <w:snapToGrid/>
              <w:spacing w:before="0" w:line="520" w:lineRule="exact"/>
              <w:ind w:firstLine="480"/>
              <w:rPr>
                <w:rFonts w:hint="default" w:ascii="Times New Roman" w:hAnsi="Times New Roman" w:eastAsia="宋体" w:cs="Times New Roman"/>
                <w:color w:val="auto"/>
                <w:highlight w:val="none"/>
                <w:lang w:val="en-US" w:eastAsia="zh-CN"/>
              </w:rPr>
            </w:pPr>
            <w:r>
              <w:rPr>
                <w:rFonts w:hint="eastAsia" w:ascii="Times New Roman" w:hAnsi="Times New Roman" w:cs="Times New Roman"/>
                <w:color w:val="auto"/>
                <w:highlight w:val="none"/>
                <w:lang w:val="en-US" w:eastAsia="zh-CN"/>
              </w:rPr>
              <w:t>升压站施工直接在拟建场址进行，不另设施工场地。</w:t>
            </w:r>
          </w:p>
          <w:p>
            <w:pPr>
              <w:pStyle w:val="21"/>
              <w:snapToGrid/>
              <w:spacing w:before="0" w:line="520" w:lineRule="exact"/>
              <w:ind w:firstLine="480"/>
              <w:rPr>
                <w:rFonts w:hint="eastAsia" w:ascii="Times New Roman" w:hAnsi="Times New Roman" w:cs="Times New Roman"/>
                <w:color w:val="auto"/>
                <w:highlight w:val="none"/>
                <w:lang w:val="en-US" w:eastAsia="zh-CN"/>
              </w:rPr>
            </w:pPr>
          </w:p>
          <w:p>
            <w:pPr>
              <w:pStyle w:val="21"/>
              <w:snapToGrid/>
              <w:spacing w:before="0" w:line="520" w:lineRule="exact"/>
              <w:ind w:firstLine="480"/>
              <w:rPr>
                <w:rFonts w:hint="default" w:ascii="Times New Roman" w:hAnsi="Times New Roman" w:cs="Times New Roman"/>
                <w:color w:val="auto"/>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63" w:hRule="atLeast"/>
          <w:jc w:val="center"/>
        </w:trPr>
        <w:tc>
          <w:tcPr>
            <w:tcW w:w="814" w:type="dxa"/>
            <w:vAlign w:val="center"/>
          </w:tcPr>
          <w:p>
            <w:pPr>
              <w:adjustRightInd w:val="0"/>
              <w:snapToGrid w:val="0"/>
              <w:spacing w:line="240" w:lineRule="auto"/>
              <w:ind w:firstLine="0" w:firstLineChars="0"/>
              <w:jc w:val="center"/>
              <w:rPr>
                <w:rFonts w:hint="default" w:ascii="Times New Roman" w:hAnsi="Times New Roman" w:cs="Times New Roman"/>
                <w:color w:val="0000FF"/>
                <w:kern w:val="0"/>
                <w:szCs w:val="21"/>
              </w:rPr>
            </w:pPr>
            <w:r>
              <w:rPr>
                <w:rFonts w:hint="default" w:ascii="Times New Roman" w:hAnsi="Times New Roman" w:cs="Times New Roman"/>
                <w:color w:val="auto"/>
                <w:kern w:val="0"/>
                <w:szCs w:val="21"/>
              </w:rPr>
              <w:t>施工方案</w:t>
            </w:r>
          </w:p>
        </w:tc>
        <w:tc>
          <w:tcPr>
            <w:tcW w:w="8927" w:type="dxa"/>
            <w:tcBorders>
              <w:right w:val="single" w:color="auto" w:sz="4" w:space="0"/>
            </w:tcBorders>
          </w:tcPr>
          <w:p>
            <w:pPr>
              <w:ind w:firstLine="0" w:firstLineChars="0"/>
              <w:rPr>
                <w:rFonts w:hint="default" w:ascii="Times New Roman" w:hAnsi="Times New Roman" w:cs="Times New Roman" w:eastAsiaTheme="minorEastAsia"/>
                <w:b/>
                <w:bCs/>
                <w:color w:val="auto"/>
                <w:highlight w:val="none"/>
                <w:lang w:eastAsia="zh-CN"/>
              </w:rPr>
            </w:pPr>
            <w:r>
              <w:rPr>
                <w:rFonts w:hint="default" w:ascii="Times New Roman" w:hAnsi="Times New Roman" w:cs="Times New Roman"/>
                <w:b/>
                <w:bCs/>
                <w:color w:val="auto"/>
                <w:highlight w:val="none"/>
              </w:rPr>
              <w:t>1、升压站施工</w:t>
            </w:r>
            <w:r>
              <w:rPr>
                <w:rFonts w:hint="default" w:ascii="Times New Roman" w:hAnsi="Times New Roman" w:cs="Times New Roman"/>
                <w:b/>
                <w:bCs/>
                <w:color w:val="auto"/>
                <w:highlight w:val="none"/>
                <w:lang w:val="en-US" w:eastAsia="zh-CN"/>
              </w:rPr>
              <w:t>方法</w:t>
            </w:r>
          </w:p>
          <w:p>
            <w:pPr>
              <w:ind w:firstLine="480"/>
              <w:rPr>
                <w:rFonts w:hint="default" w:ascii="Times New Roman" w:hAnsi="Times New Roman" w:cs="Times New Roman"/>
                <w:color w:val="auto"/>
                <w:lang w:val="en-US" w:eastAsia="zh-CN"/>
              </w:rPr>
            </w:pPr>
            <w:r>
              <w:rPr>
                <w:rFonts w:hint="eastAsia" w:cs="Times New Roman"/>
                <w:color w:val="auto"/>
                <w:highlight w:val="none"/>
                <w:lang w:val="en-US" w:eastAsia="zh-CN"/>
              </w:rPr>
              <w:t>本项目</w:t>
            </w:r>
            <w:r>
              <w:rPr>
                <w:rFonts w:hint="eastAsia" w:ascii="Times New Roman" w:hAnsi="Times New Roman" w:cs="Times New Roman"/>
                <w:color w:val="auto"/>
                <w:highlight w:val="none"/>
                <w:lang w:val="en-US" w:eastAsia="zh-CN"/>
              </w:rPr>
              <w:t>升压站</w:t>
            </w:r>
            <w:r>
              <w:rPr>
                <w:rFonts w:hint="eastAsia" w:cs="Times New Roman"/>
                <w:color w:val="auto"/>
                <w:highlight w:val="none"/>
                <w:lang w:val="en-US" w:eastAsia="zh-CN"/>
              </w:rPr>
              <w:t>为</w:t>
            </w:r>
            <w:r>
              <w:rPr>
                <w:rFonts w:hint="default" w:ascii="Times New Roman" w:hAnsi="Times New Roman" w:cs="Times New Roman"/>
                <w:color w:val="auto"/>
                <w:highlight w:val="none"/>
                <w:lang w:val="en-US" w:eastAsia="zh-CN"/>
              </w:rPr>
              <w:t>预制舱</w:t>
            </w:r>
            <w:r>
              <w:rPr>
                <w:rFonts w:hint="eastAsia" w:ascii="Times New Roman" w:hAnsi="Times New Roman" w:cs="Times New Roman"/>
                <w:color w:val="auto"/>
                <w:highlight w:val="none"/>
                <w:lang w:val="en-US" w:eastAsia="zh-CN"/>
              </w:rPr>
              <w:t>升压站</w:t>
            </w:r>
            <w:r>
              <w:rPr>
                <w:rFonts w:hint="eastAsia" w:cs="Times New Roman"/>
                <w:color w:val="auto"/>
                <w:highlight w:val="none"/>
                <w:lang w:val="en-US" w:eastAsia="zh-CN"/>
              </w:rPr>
              <w:t>，建设模式为</w:t>
            </w:r>
            <w:r>
              <w:rPr>
                <w:rFonts w:hint="default" w:ascii="Times New Roman" w:hAnsi="Times New Roman" w:cs="Times New Roman"/>
                <w:color w:val="auto"/>
                <w:highlight w:val="none"/>
                <w:lang w:val="en-US" w:eastAsia="zh-CN"/>
              </w:rPr>
              <w:t>工厂化生产，运至现场即可使用</w:t>
            </w:r>
            <w:r>
              <w:rPr>
                <w:rFonts w:hint="eastAsia" w:ascii="Times New Roman" w:hAnsi="Times New Roman" w:cs="Times New Roman"/>
                <w:color w:val="auto"/>
                <w:highlight w:val="none"/>
                <w:lang w:val="en-US" w:eastAsia="zh-CN"/>
              </w:rPr>
              <w:t>，不涉及现场土建。</w:t>
            </w:r>
            <w:r>
              <w:rPr>
                <w:rFonts w:hint="eastAsia" w:cs="Times New Roman"/>
                <w:color w:val="auto"/>
                <w:highlight w:val="none"/>
                <w:lang w:val="en-US" w:eastAsia="zh-CN"/>
              </w:rPr>
              <w:t>站区施工仅围墙、水池、</w:t>
            </w:r>
            <w:r>
              <w:rPr>
                <w:rFonts w:hint="default" w:ascii="Times New Roman" w:hAnsi="Times New Roman" w:cs="Times New Roman"/>
                <w:color w:val="auto"/>
                <w:lang w:val="en-US" w:eastAsia="zh-CN"/>
              </w:rPr>
              <w:t>少量电缆</w:t>
            </w:r>
            <w:r>
              <w:rPr>
                <w:rFonts w:hint="eastAsia" w:cs="Times New Roman"/>
                <w:color w:val="auto"/>
                <w:lang w:val="en-US" w:eastAsia="zh-CN"/>
              </w:rPr>
              <w:t>及</w:t>
            </w:r>
            <w:r>
              <w:rPr>
                <w:rFonts w:hint="default" w:ascii="Times New Roman" w:hAnsi="Times New Roman" w:cs="Times New Roman"/>
                <w:color w:val="auto"/>
                <w:lang w:val="en-US" w:eastAsia="zh-CN"/>
              </w:rPr>
              <w:t>管道连接</w:t>
            </w:r>
            <w:r>
              <w:rPr>
                <w:rFonts w:hint="eastAsia" w:ascii="Times New Roman" w:hAnsi="Times New Roman" w:cs="Times New Roman"/>
                <w:color w:val="auto"/>
                <w:lang w:val="en-US" w:eastAsia="zh-CN"/>
              </w:rPr>
              <w:t>现场施工，设备安装。</w:t>
            </w:r>
          </w:p>
          <w:p>
            <w:pPr>
              <w:ind w:firstLine="480"/>
              <w:rPr>
                <w:rFonts w:hint="default" w:ascii="Times New Roman" w:hAnsi="Times New Roman" w:cs="Times New Roman"/>
                <w:color w:val="auto"/>
                <w:highlight w:val="magenta"/>
                <w:lang w:val="en-US" w:eastAsia="zh-CN"/>
              </w:rPr>
            </w:pPr>
            <w:r>
              <w:rPr>
                <w:rFonts w:hint="eastAsia" w:ascii="Times New Roman" w:hAnsi="Times New Roman" w:cs="Times New Roman"/>
                <w:color w:val="auto"/>
                <w:highlight w:val="none"/>
                <w:lang w:val="en-US" w:eastAsia="zh-CN"/>
              </w:rPr>
              <w:t>升压站</w:t>
            </w:r>
            <w:r>
              <w:rPr>
                <w:rFonts w:hint="default" w:ascii="Times New Roman" w:hAnsi="Times New Roman" w:cs="Times New Roman"/>
                <w:color w:val="auto"/>
                <w:highlight w:val="none"/>
                <w:lang w:val="en-US" w:eastAsia="zh-CN"/>
              </w:rPr>
              <w:t>施工顺序为：</w:t>
            </w:r>
          </w:p>
          <w:p>
            <w:pPr>
              <w:ind w:firstLine="480"/>
              <w:rPr>
                <w:rFonts w:hint="default" w:ascii="Times New Roman" w:hAnsi="Times New Roman" w:cs="Times New Roman"/>
                <w:color w:val="auto"/>
              </w:rPr>
            </w:pPr>
            <w:r>
              <w:rPr>
                <w:rFonts w:hint="default" w:ascii="Times New Roman" w:hAnsi="Times New Roman" w:cs="Times New Roman"/>
                <w:color w:val="auto"/>
                <w:lang w:val="en-US" w:eastAsia="zh-CN"/>
              </w:rPr>
              <w:t>施工准备―基础开挖―基础混凝土浇筑―墙体砌筑―室内外装修及给排水系统施工―电气设备就位安装调试。</w:t>
            </w:r>
          </w:p>
          <w:p>
            <w:pPr>
              <w:ind w:firstLine="0" w:firstLineChars="0"/>
              <w:rPr>
                <w:rFonts w:hint="default" w:ascii="Times New Roman" w:hAnsi="Times New Roman" w:cs="Times New Roman"/>
                <w:b/>
                <w:bCs/>
                <w:color w:val="auto"/>
              </w:rPr>
            </w:pPr>
            <w:r>
              <w:rPr>
                <w:rFonts w:hint="default" w:ascii="Times New Roman" w:hAnsi="Times New Roman" w:cs="Times New Roman"/>
                <w:b/>
                <w:bCs/>
                <w:color w:val="auto"/>
              </w:rPr>
              <w:t>2、施工组织</w:t>
            </w:r>
          </w:p>
          <w:p>
            <w:pPr>
              <w:ind w:firstLine="480"/>
              <w:rPr>
                <w:rFonts w:hint="default" w:ascii="Times New Roman" w:hAnsi="Times New Roman" w:cs="Times New Roman"/>
                <w:color w:val="auto"/>
              </w:rPr>
            </w:pPr>
            <w:r>
              <w:rPr>
                <w:rFonts w:hint="default" w:ascii="Times New Roman" w:hAnsi="Times New Roman" w:cs="Times New Roman"/>
                <w:color w:val="auto"/>
              </w:rPr>
              <w:t>（1）交通条件</w:t>
            </w:r>
          </w:p>
          <w:p>
            <w:pPr>
              <w:ind w:firstLine="480"/>
              <w:rPr>
                <w:rFonts w:hint="default" w:ascii="Times New Roman" w:hAnsi="Times New Roman" w:cs="Times New Roman" w:eastAsiaTheme="minorEastAsia"/>
                <w:color w:val="auto"/>
                <w:lang w:val="en-US" w:eastAsia="zh-CN"/>
              </w:rPr>
            </w:pPr>
            <w:r>
              <w:rPr>
                <w:rFonts w:hint="default" w:ascii="Times New Roman" w:hAnsi="Times New Roman" w:cs="Times New Roman"/>
                <w:color w:val="auto"/>
              </w:rPr>
              <w:t>本项目为“</w:t>
            </w:r>
            <w:r>
              <w:rPr>
                <w:rFonts w:hint="default" w:ascii="Times New Roman" w:hAnsi="Times New Roman" w:cs="Times New Roman"/>
                <w:color w:val="auto"/>
                <w:lang w:eastAsia="zh-CN"/>
              </w:rPr>
              <w:t>济源大岭四期100MW风电场项目</w:t>
            </w:r>
            <w:r>
              <w:rPr>
                <w:rFonts w:hint="default" w:ascii="Times New Roman" w:hAnsi="Times New Roman" w:cs="Times New Roman"/>
                <w:color w:val="auto"/>
              </w:rPr>
              <w:t>”的配套工程</w:t>
            </w:r>
            <w:r>
              <w:rPr>
                <w:rFonts w:hint="default" w:ascii="Times New Roman" w:hAnsi="Times New Roman" w:cs="Times New Roman"/>
                <w:color w:val="auto"/>
                <w:lang w:eastAsia="zh-CN"/>
              </w:rPr>
              <w:t>。</w:t>
            </w:r>
            <w:r>
              <w:rPr>
                <w:rFonts w:hint="default" w:ascii="Times New Roman" w:hAnsi="Times New Roman" w:cs="Times New Roman"/>
                <w:color w:val="auto"/>
                <w:lang w:val="en-US" w:eastAsia="zh-CN"/>
              </w:rPr>
              <w:t>济源大岭四期100MW风电场项目场区范围大，风机布置分散，场区分为西区、东区两个场区。</w:t>
            </w:r>
            <w:r>
              <w:rPr>
                <w:rFonts w:hint="default" w:ascii="Times New Roman" w:hAnsi="Times New Roman" w:cs="Times New Roman"/>
                <w:color w:val="auto"/>
              </w:rPr>
              <w:t>本项目</w:t>
            </w:r>
            <w:r>
              <w:rPr>
                <w:rFonts w:hint="default" w:ascii="Times New Roman" w:hAnsi="Times New Roman" w:cs="Times New Roman"/>
                <w:color w:val="auto"/>
                <w:lang w:val="en-US" w:eastAsia="zh-CN"/>
              </w:rPr>
              <w:t>邻近东区，位于东区北侧，进场道路同东区，路线如下：</w:t>
            </w:r>
          </w:p>
          <w:p>
            <w:pPr>
              <w:ind w:firstLine="480"/>
              <w:rPr>
                <w:rFonts w:hint="default" w:ascii="Times New Roman" w:hAnsi="Times New Roman" w:cs="Times New Roman"/>
                <w:color w:val="auto"/>
                <w:lang w:val="en-US" w:eastAsia="zh-CN"/>
              </w:rPr>
            </w:pPr>
            <w:r>
              <w:rPr>
                <w:rFonts w:hint="default" w:ascii="Times New Roman" w:hAnsi="Times New Roman" w:cs="Times New Roman"/>
                <w:color w:val="auto"/>
                <w:lang w:val="en-US" w:eastAsia="zh-CN"/>
              </w:rPr>
              <w:t>通过全国高速公路网干线荷宝高速G3511，由王屋山收费站下高速，经X010县道并入G327国道至X008县道、Y057乡道、X001县道再经村村通公路到达东区。</w:t>
            </w:r>
          </w:p>
          <w:p>
            <w:pPr>
              <w:ind w:firstLine="480"/>
              <w:rPr>
                <w:rFonts w:hint="default" w:ascii="Times New Roman" w:hAnsi="Times New Roman" w:cs="Times New Roman"/>
                <w:color w:val="auto"/>
                <w:lang w:val="en-US" w:eastAsia="zh-CN"/>
              </w:rPr>
            </w:pPr>
            <w:r>
              <w:rPr>
                <w:rFonts w:hint="default" w:ascii="Times New Roman" w:hAnsi="Times New Roman" w:cs="Times New Roman"/>
                <w:color w:val="auto"/>
                <w:lang w:val="en-US" w:eastAsia="zh-CN"/>
              </w:rPr>
              <w:t>项目需在现有村村通道路的基础上新建约520m进场道路至升压站拟建位置。</w:t>
            </w:r>
          </w:p>
          <w:p>
            <w:pPr>
              <w:ind w:firstLine="480"/>
              <w:rPr>
                <w:rFonts w:hint="default" w:ascii="Times New Roman" w:hAnsi="Times New Roman" w:cs="Times New Roman"/>
                <w:color w:val="auto"/>
              </w:rPr>
            </w:pPr>
            <w:r>
              <w:rPr>
                <w:rFonts w:hint="default" w:ascii="Times New Roman" w:hAnsi="Times New Roman" w:cs="Times New Roman"/>
                <w:color w:val="auto"/>
              </w:rPr>
              <w:t>（2）施工建筑材料来源</w:t>
            </w:r>
          </w:p>
          <w:p>
            <w:pPr>
              <w:ind w:firstLine="480"/>
              <w:rPr>
                <w:rFonts w:hint="default" w:ascii="Times New Roman" w:hAnsi="Times New Roman" w:cs="Times New Roman" w:eastAsiaTheme="minorEastAsia"/>
                <w:color w:val="auto"/>
                <w:lang w:val="en-US" w:eastAsia="zh-CN"/>
              </w:rPr>
            </w:pPr>
            <w:r>
              <w:rPr>
                <w:rFonts w:hint="default" w:ascii="Times New Roman" w:hAnsi="Times New Roman" w:cs="Times New Roman"/>
                <w:color w:val="auto"/>
              </w:rPr>
              <w:t>本项目</w:t>
            </w:r>
            <w:r>
              <w:rPr>
                <w:rFonts w:hint="default" w:ascii="Times New Roman" w:hAnsi="Times New Roman" w:cs="Times New Roman"/>
                <w:color w:val="auto"/>
                <w:lang w:val="en-US" w:eastAsia="zh-CN"/>
              </w:rPr>
              <w:t>所需</w:t>
            </w:r>
            <w:r>
              <w:rPr>
                <w:rFonts w:hint="default" w:ascii="Times New Roman" w:hAnsi="Times New Roman" w:cs="Times New Roman"/>
                <w:color w:val="auto"/>
              </w:rPr>
              <w:t>砌石料、砂石骨料、水泥等</w:t>
            </w:r>
            <w:r>
              <w:rPr>
                <w:rFonts w:hint="default" w:ascii="Times New Roman" w:hAnsi="Times New Roman" w:cs="Times New Roman"/>
                <w:color w:val="auto"/>
                <w:lang w:val="en-US" w:eastAsia="zh-CN"/>
              </w:rPr>
              <w:t>就近购买。</w:t>
            </w:r>
          </w:p>
          <w:p>
            <w:pPr>
              <w:ind w:firstLine="480"/>
              <w:rPr>
                <w:rFonts w:hint="default" w:ascii="Times New Roman" w:hAnsi="Times New Roman" w:cs="Times New Roman"/>
                <w:color w:val="auto"/>
              </w:rPr>
            </w:pPr>
            <w:r>
              <w:rPr>
                <w:rFonts w:hint="default" w:ascii="Times New Roman" w:hAnsi="Times New Roman" w:cs="Times New Roman"/>
                <w:color w:val="auto"/>
              </w:rPr>
              <w:t>（3）施工用水</w:t>
            </w:r>
          </w:p>
          <w:p>
            <w:pPr>
              <w:ind w:firstLine="480"/>
              <w:rPr>
                <w:rFonts w:hint="default" w:ascii="Times New Roman" w:hAnsi="Times New Roman" w:cs="Times New Roman"/>
                <w:color w:val="0000FF"/>
              </w:rPr>
            </w:pPr>
            <w:r>
              <w:rPr>
                <w:rFonts w:hint="default" w:ascii="Times New Roman" w:hAnsi="Times New Roman" w:cs="Times New Roman"/>
                <w:color w:val="auto"/>
              </w:rPr>
              <w:t>本工程施工用水由建筑施工用水、施工机械用水、生活用水和消防用水等组成，施工期生产</w:t>
            </w:r>
            <w:r>
              <w:rPr>
                <w:rFonts w:hint="default" w:ascii="Times New Roman" w:hAnsi="Times New Roman" w:cs="Times New Roman"/>
                <w:color w:val="auto"/>
                <w:lang w:eastAsia="zh-CN"/>
              </w:rPr>
              <w:t>、</w:t>
            </w:r>
            <w:r>
              <w:rPr>
                <w:rFonts w:hint="default" w:ascii="Times New Roman" w:hAnsi="Times New Roman" w:cs="Times New Roman"/>
                <w:color w:val="auto"/>
                <w:lang w:val="en-US" w:eastAsia="zh-CN"/>
              </w:rPr>
              <w:t>生活</w:t>
            </w:r>
            <w:r>
              <w:rPr>
                <w:rFonts w:hint="default" w:ascii="Times New Roman" w:hAnsi="Times New Roman" w:cs="Times New Roman"/>
                <w:color w:val="auto"/>
              </w:rPr>
              <w:t>用水采用</w:t>
            </w:r>
            <w:r>
              <w:rPr>
                <w:rFonts w:hint="default" w:ascii="Times New Roman" w:hAnsi="Times New Roman" w:cs="Times New Roman"/>
                <w:color w:val="auto"/>
                <w:lang w:val="en-US" w:eastAsia="zh-CN"/>
              </w:rPr>
              <w:t>从升压站场址附近的村庄引水。</w:t>
            </w:r>
          </w:p>
          <w:p>
            <w:pPr>
              <w:ind w:firstLine="480"/>
              <w:rPr>
                <w:rFonts w:hint="default" w:ascii="Times New Roman" w:hAnsi="Times New Roman" w:cs="Times New Roman"/>
                <w:color w:val="auto"/>
              </w:rPr>
            </w:pPr>
            <w:r>
              <w:rPr>
                <w:rFonts w:hint="default" w:ascii="Times New Roman" w:hAnsi="Times New Roman" w:cs="Times New Roman"/>
                <w:color w:val="auto"/>
              </w:rPr>
              <w:t>（4）施工用电</w:t>
            </w:r>
          </w:p>
          <w:p>
            <w:pPr>
              <w:ind w:firstLine="480"/>
              <w:rPr>
                <w:rFonts w:hint="default" w:ascii="Times New Roman" w:hAnsi="Times New Roman" w:cs="Times New Roman"/>
                <w:color w:val="auto"/>
              </w:rPr>
            </w:pPr>
            <w:r>
              <w:rPr>
                <w:rFonts w:hint="default" w:ascii="Times New Roman" w:hAnsi="Times New Roman" w:cs="Times New Roman"/>
                <w:color w:val="auto"/>
                <w:lang w:val="en-US" w:eastAsia="zh-CN"/>
              </w:rPr>
              <w:t>施工用电从附近10kV农网接入。</w:t>
            </w:r>
          </w:p>
          <w:p>
            <w:pPr>
              <w:ind w:firstLine="0" w:firstLineChars="0"/>
              <w:rPr>
                <w:rFonts w:hint="default" w:ascii="Times New Roman" w:hAnsi="Times New Roman" w:cs="Times New Roman"/>
                <w:b/>
                <w:bCs/>
                <w:color w:val="auto"/>
              </w:rPr>
            </w:pPr>
            <w:r>
              <w:rPr>
                <w:rFonts w:hint="default" w:ascii="Times New Roman" w:hAnsi="Times New Roman" w:cs="Times New Roman"/>
                <w:b/>
                <w:bCs/>
                <w:color w:val="auto"/>
              </w:rPr>
              <w:t>3、施工工期及施工人数</w:t>
            </w:r>
          </w:p>
          <w:p>
            <w:pPr>
              <w:ind w:firstLine="480"/>
              <w:rPr>
                <w:rFonts w:hint="default" w:ascii="Times New Roman" w:hAnsi="Times New Roman" w:cs="Times New Roman"/>
                <w:color w:val="auto"/>
              </w:rPr>
            </w:pPr>
            <w:r>
              <w:rPr>
                <w:rFonts w:hint="default" w:ascii="Times New Roman" w:hAnsi="Times New Roman" w:cs="Times New Roman"/>
                <w:color w:val="auto"/>
              </w:rPr>
              <w:t>升压站施工工期</w:t>
            </w:r>
            <w:r>
              <w:rPr>
                <w:rFonts w:hint="default" w:ascii="Times New Roman" w:hAnsi="Times New Roman" w:cs="Times New Roman"/>
                <w:color w:val="auto"/>
                <w:lang w:val="en-US" w:eastAsia="zh-CN"/>
              </w:rPr>
              <w:t>6</w:t>
            </w:r>
            <w:r>
              <w:rPr>
                <w:rFonts w:hint="default" w:ascii="Times New Roman" w:hAnsi="Times New Roman" w:cs="Times New Roman"/>
                <w:color w:val="auto"/>
              </w:rPr>
              <w:t>个月；施工人数20人。</w:t>
            </w:r>
          </w:p>
          <w:p>
            <w:pPr>
              <w:ind w:firstLine="480"/>
              <w:rPr>
                <w:rFonts w:hint="default" w:ascii="Times New Roman" w:hAnsi="Times New Roman" w:cs="Times New Roman"/>
                <w:color w:val="0000FF"/>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43" w:hRule="atLeast"/>
          <w:jc w:val="center"/>
        </w:trPr>
        <w:tc>
          <w:tcPr>
            <w:tcW w:w="814" w:type="dxa"/>
            <w:vAlign w:val="center"/>
          </w:tcPr>
          <w:p>
            <w:pPr>
              <w:adjustRightInd w:val="0"/>
              <w:snapToGrid w:val="0"/>
              <w:spacing w:line="240" w:lineRule="auto"/>
              <w:ind w:firstLine="0" w:firstLineChars="0"/>
              <w:jc w:val="center"/>
              <w:rPr>
                <w:rFonts w:hint="default" w:ascii="Times New Roman" w:hAnsi="Times New Roman" w:cs="Times New Roman"/>
                <w:color w:val="0000FF"/>
                <w:kern w:val="0"/>
                <w:szCs w:val="21"/>
              </w:rPr>
            </w:pPr>
            <w:r>
              <w:rPr>
                <w:rFonts w:hint="default" w:ascii="Times New Roman" w:hAnsi="Times New Roman" w:cs="Times New Roman"/>
                <w:color w:val="auto"/>
                <w:kern w:val="0"/>
                <w:szCs w:val="21"/>
              </w:rPr>
              <w:t>其他</w:t>
            </w:r>
          </w:p>
        </w:tc>
        <w:tc>
          <w:tcPr>
            <w:tcW w:w="8927" w:type="dxa"/>
            <w:vAlign w:val="center"/>
          </w:tcPr>
          <w:p>
            <w:pPr>
              <w:adjustRightInd w:val="0"/>
              <w:snapToGrid w:val="0"/>
              <w:spacing w:line="240" w:lineRule="auto"/>
              <w:ind w:firstLine="480"/>
              <w:jc w:val="left"/>
              <w:rPr>
                <w:rFonts w:hint="default" w:ascii="Times New Roman" w:hAnsi="Times New Roman" w:cs="Times New Roman"/>
                <w:color w:val="0000FF"/>
                <w:kern w:val="0"/>
                <w:szCs w:val="21"/>
              </w:rPr>
            </w:pPr>
            <w:r>
              <w:rPr>
                <w:rFonts w:hint="default" w:ascii="Times New Roman" w:hAnsi="Times New Roman" w:cs="Times New Roman"/>
                <w:color w:val="auto"/>
              </w:rPr>
              <w:t>无</w:t>
            </w:r>
          </w:p>
        </w:tc>
      </w:tr>
    </w:tbl>
    <w:p>
      <w:pPr>
        <w:bidi w:val="0"/>
        <w:rPr>
          <w:rFonts w:hint="default"/>
        </w:rPr>
        <w:sectPr>
          <w:footerReference r:id="rId8" w:type="default"/>
          <w:pgSz w:w="11906" w:h="16838"/>
          <w:pgMar w:top="1418" w:right="1134" w:bottom="1247" w:left="1247" w:header="851" w:footer="283" w:gutter="0"/>
          <w:pgBorders>
            <w:top w:val="none" w:sz="0" w:space="0"/>
            <w:left w:val="none" w:sz="0" w:space="0"/>
            <w:bottom w:val="none" w:sz="0" w:space="0"/>
            <w:right w:val="none" w:sz="0" w:space="0"/>
          </w:pgBorders>
          <w:pgNumType w:fmt="decimal"/>
          <w:cols w:space="425" w:num="1"/>
          <w:docGrid w:type="lines" w:linePitch="326" w:charSpace="0"/>
        </w:sectPr>
      </w:pPr>
      <w:bookmarkStart w:id="2" w:name="_Toc69745419"/>
    </w:p>
    <w:p>
      <w:pPr>
        <w:pStyle w:val="6"/>
        <w:ind w:firstLine="0" w:firstLineChars="0"/>
        <w:jc w:val="center"/>
        <w:rPr>
          <w:rFonts w:hint="default" w:ascii="Times New Roman" w:hAnsi="Times New Roman" w:cs="Times New Roman"/>
          <w:color w:val="auto"/>
          <w:sz w:val="28"/>
        </w:rPr>
      </w:pPr>
      <w:r>
        <w:rPr>
          <w:rFonts w:hint="default" w:ascii="Times New Roman" w:hAnsi="Times New Roman" w:cs="Times New Roman"/>
          <w:color w:val="auto"/>
          <w:sz w:val="28"/>
        </w:rPr>
        <w:t>三、生态环境现状、保护目标及评价标准</w:t>
      </w:r>
      <w:bookmarkEnd w:id="2"/>
    </w:p>
    <w:tbl>
      <w:tblPr>
        <w:tblStyle w:val="22"/>
        <w:tblW w:w="5000" w:type="pct"/>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93"/>
        <w:gridCol w:w="8948"/>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01" w:hRule="atLeast"/>
          <w:jc w:val="center"/>
        </w:trPr>
        <w:tc>
          <w:tcPr>
            <w:tcW w:w="407" w:type="pct"/>
            <w:vAlign w:val="center"/>
          </w:tcPr>
          <w:p>
            <w:pPr>
              <w:adjustRightInd w:val="0"/>
              <w:snapToGrid w:val="0"/>
              <w:spacing w:line="240" w:lineRule="auto"/>
              <w:ind w:firstLine="0" w:firstLineChars="0"/>
              <w:jc w:val="center"/>
              <w:rPr>
                <w:rFonts w:hint="default" w:ascii="Times New Roman" w:hAnsi="Times New Roman" w:cs="Times New Roman"/>
                <w:color w:val="0000FF"/>
                <w:kern w:val="0"/>
                <w:szCs w:val="21"/>
              </w:rPr>
            </w:pPr>
            <w:r>
              <w:rPr>
                <w:rFonts w:hint="default" w:ascii="Times New Roman" w:hAnsi="Times New Roman" w:cs="Times New Roman"/>
                <w:color w:val="auto"/>
                <w:kern w:val="0"/>
                <w:szCs w:val="21"/>
              </w:rPr>
              <w:t>生态环境现状</w:t>
            </w:r>
          </w:p>
        </w:tc>
        <w:tc>
          <w:tcPr>
            <w:tcW w:w="4592" w:type="pct"/>
            <w:vAlign w:val="center"/>
          </w:tcPr>
          <w:p>
            <w:pPr>
              <w:keepNext w:val="0"/>
              <w:keepLines w:val="0"/>
              <w:pageBreakBefore w:val="0"/>
              <w:kinsoku/>
              <w:wordWrap/>
              <w:overflowPunct/>
              <w:topLinePunct w:val="0"/>
              <w:autoSpaceDE/>
              <w:autoSpaceDN/>
              <w:bidi w:val="0"/>
              <w:adjustRightInd w:val="0"/>
              <w:snapToGrid w:val="0"/>
              <w:ind w:firstLine="0" w:firstLineChars="0"/>
              <w:textAlignment w:val="top"/>
              <w:rPr>
                <w:rFonts w:hint="default" w:ascii="Times New Roman" w:hAnsi="Times New Roman" w:cs="Times New Roman"/>
                <w:b/>
                <w:bCs/>
                <w:color w:val="auto"/>
              </w:rPr>
            </w:pPr>
            <w:r>
              <w:rPr>
                <w:rFonts w:hint="default" w:ascii="Times New Roman" w:hAnsi="Times New Roman" w:cs="Times New Roman"/>
                <w:b/>
                <w:bCs/>
                <w:color w:val="auto"/>
              </w:rPr>
              <w:t>1、生态环境</w:t>
            </w:r>
          </w:p>
          <w:p>
            <w:pPr>
              <w:keepNext w:val="0"/>
              <w:keepLines w:val="0"/>
              <w:pageBreakBefore w:val="0"/>
              <w:kinsoku/>
              <w:wordWrap/>
              <w:overflowPunct/>
              <w:topLinePunct w:val="0"/>
              <w:autoSpaceDE/>
              <w:autoSpaceDN/>
              <w:bidi w:val="0"/>
              <w:adjustRightInd w:val="0"/>
              <w:snapToGrid w:val="0"/>
              <w:ind w:firstLine="480"/>
              <w:textAlignment w:val="top"/>
              <w:rPr>
                <w:rFonts w:hint="default" w:ascii="Times New Roman" w:hAnsi="Times New Roman" w:cs="Times New Roman"/>
                <w:b/>
                <w:bCs/>
                <w:color w:val="auto"/>
              </w:rPr>
            </w:pPr>
            <w:r>
              <w:rPr>
                <w:rFonts w:hint="default" w:ascii="Times New Roman" w:hAnsi="Times New Roman" w:cs="Times New Roman"/>
                <w:color w:val="auto"/>
              </w:rPr>
              <w:t>根据现场调查，本项目区域生态系统以农业生态系统为主，主要种植小麦、玉米、花生等，生态环境良好，不涉及特殊生态敏感区（自然保护区、世界文化和自然遗产地）、重要生态敏感区（风景名胜区、森林公园、地质公园、重要湿地、原始天然林、珍稀濒危野生动植物天然集中分布区、重要水生生物的自然产卵场及索饵场、越冬场和洄游通道、天然渔场）。</w:t>
            </w:r>
          </w:p>
          <w:p>
            <w:pPr>
              <w:keepNext w:val="0"/>
              <w:keepLines w:val="0"/>
              <w:pageBreakBefore w:val="0"/>
              <w:kinsoku/>
              <w:wordWrap/>
              <w:overflowPunct/>
              <w:topLinePunct w:val="0"/>
              <w:autoSpaceDE/>
              <w:autoSpaceDN/>
              <w:bidi w:val="0"/>
              <w:adjustRightInd w:val="0"/>
              <w:snapToGrid w:val="0"/>
              <w:ind w:firstLine="0" w:firstLineChars="0"/>
              <w:textAlignment w:val="top"/>
              <w:rPr>
                <w:rFonts w:hint="default" w:ascii="Times New Roman" w:hAnsi="Times New Roman" w:cs="Times New Roman"/>
                <w:b/>
                <w:bCs/>
                <w:color w:val="auto"/>
              </w:rPr>
            </w:pPr>
            <w:r>
              <w:rPr>
                <w:rFonts w:hint="default" w:ascii="Times New Roman" w:hAnsi="Times New Roman" w:cs="Times New Roman"/>
                <w:b/>
                <w:bCs/>
                <w:color w:val="auto"/>
              </w:rPr>
              <w:t>2、大气环境</w:t>
            </w:r>
          </w:p>
          <w:p>
            <w:pPr>
              <w:keepNext w:val="0"/>
              <w:keepLines w:val="0"/>
              <w:pageBreakBefore w:val="0"/>
              <w:kinsoku/>
              <w:wordWrap/>
              <w:overflowPunct/>
              <w:topLinePunct w:val="0"/>
              <w:autoSpaceDE/>
              <w:autoSpaceDN/>
              <w:bidi w:val="0"/>
              <w:adjustRightInd w:val="0"/>
              <w:snapToGrid w:val="0"/>
              <w:ind w:firstLine="480"/>
              <w:textAlignment w:val="top"/>
              <w:rPr>
                <w:rFonts w:hint="default" w:ascii="Times New Roman" w:hAnsi="Times New Roman" w:cs="Times New Roman"/>
                <w:color w:val="auto"/>
              </w:rPr>
            </w:pPr>
            <w:r>
              <w:rPr>
                <w:rFonts w:hint="default" w:ascii="Times New Roman" w:hAnsi="Times New Roman" w:cs="Times New Roman"/>
                <w:color w:val="auto"/>
              </w:rPr>
              <w:t>本项目所在区域属环境空气质量二类功能区，环境空气质量执行《环境空气质量标准》（GB3096-2012）</w:t>
            </w:r>
            <w:r>
              <w:rPr>
                <w:rFonts w:hint="default" w:ascii="Times New Roman" w:hAnsi="Times New Roman" w:cs="Times New Roman"/>
                <w:sz w:val="24"/>
                <w:lang w:eastAsia="zh-CN"/>
              </w:rPr>
              <w:t>及修改单</w:t>
            </w:r>
            <w:r>
              <w:rPr>
                <w:rFonts w:hint="default" w:ascii="Times New Roman" w:hAnsi="Times New Roman" w:cs="Times New Roman"/>
                <w:color w:val="auto"/>
              </w:rPr>
              <w:t>中二级标准。</w:t>
            </w:r>
          </w:p>
          <w:p>
            <w:pPr>
              <w:keepNext w:val="0"/>
              <w:keepLines w:val="0"/>
              <w:pageBreakBefore w:val="0"/>
              <w:widowControl/>
              <w:suppressLineNumbers w:val="0"/>
              <w:kinsoku/>
              <w:wordWrap/>
              <w:overflowPunct/>
              <w:topLinePunct w:val="0"/>
              <w:autoSpaceDE/>
              <w:autoSpaceDN/>
              <w:bidi w:val="0"/>
              <w:adjustRightInd w:val="0"/>
              <w:snapToGrid w:val="0"/>
              <w:jc w:val="left"/>
              <w:textAlignment w:val="top"/>
            </w:pPr>
            <w:r>
              <w:rPr>
                <w:rFonts w:hint="eastAsia" w:ascii="宋体" w:hAnsi="宋体" w:eastAsia="宋体" w:cs="宋体"/>
                <w:color w:val="000000"/>
                <w:kern w:val="0"/>
                <w:sz w:val="24"/>
                <w:szCs w:val="24"/>
                <w:lang w:val="en-US" w:eastAsia="zh-CN" w:bidi="ar"/>
              </w:rPr>
              <w:t>根据济源产城融合示范区生态环境局公布的《济源产城融合示范区</w:t>
            </w:r>
            <w:r>
              <w:rPr>
                <w:rFonts w:hint="default" w:ascii="Times New Roman" w:hAnsi="Times New Roman" w:eastAsia="宋体" w:cs="Times New Roman"/>
                <w:color w:val="000000"/>
                <w:kern w:val="0"/>
                <w:sz w:val="24"/>
                <w:szCs w:val="24"/>
                <w:lang w:val="en-US" w:eastAsia="zh-CN" w:bidi="ar"/>
              </w:rPr>
              <w:t>2021</w:t>
            </w:r>
            <w:r>
              <w:rPr>
                <w:rFonts w:hint="eastAsia" w:ascii="宋体" w:hAnsi="宋体" w:eastAsia="宋体" w:cs="宋体"/>
                <w:color w:val="000000"/>
                <w:kern w:val="0"/>
                <w:sz w:val="24"/>
                <w:szCs w:val="24"/>
                <w:lang w:val="en-US" w:eastAsia="zh-CN" w:bidi="ar"/>
              </w:rPr>
              <w:t>年生态环境状况公报》，</w:t>
            </w:r>
            <w:r>
              <w:rPr>
                <w:rFonts w:hint="default" w:ascii="Times New Roman" w:hAnsi="Times New Roman" w:eastAsia="宋体" w:cs="Times New Roman"/>
                <w:color w:val="000000"/>
                <w:kern w:val="0"/>
                <w:sz w:val="24"/>
                <w:szCs w:val="24"/>
                <w:lang w:val="en-US" w:eastAsia="zh-CN" w:bidi="ar"/>
              </w:rPr>
              <w:t>2021</w:t>
            </w:r>
            <w:r>
              <w:rPr>
                <w:rFonts w:hint="eastAsia" w:ascii="宋体" w:hAnsi="宋体" w:eastAsia="宋体" w:cs="宋体"/>
                <w:color w:val="000000"/>
                <w:kern w:val="0"/>
                <w:sz w:val="24"/>
                <w:szCs w:val="24"/>
                <w:lang w:val="en-US" w:eastAsia="zh-CN" w:bidi="ar"/>
              </w:rPr>
              <w:t>年区域空气质量现状见下表。</w:t>
            </w:r>
          </w:p>
          <w:p>
            <w:pPr>
              <w:pStyle w:val="69"/>
              <w:keepNext w:val="0"/>
              <w:keepLines w:val="0"/>
              <w:pageBreakBefore w:val="0"/>
              <w:widowControl w:val="0"/>
              <w:kinsoku/>
              <w:wordWrap/>
              <w:overflowPunct/>
              <w:topLinePunct w:val="0"/>
              <w:autoSpaceDE/>
              <w:autoSpaceDN/>
              <w:bidi w:val="0"/>
              <w:spacing w:line="520" w:lineRule="exact"/>
              <w:textAlignment w:val="auto"/>
              <w:rPr>
                <w:rFonts w:hint="default" w:ascii="Times New Roman" w:hAnsi="Times New Roman" w:cs="Times New Roman"/>
                <w:color w:val="auto"/>
                <w:spacing w:val="-2"/>
                <w:sz w:val="24"/>
              </w:rPr>
            </w:pPr>
            <w:r>
              <w:rPr>
                <w:rFonts w:hint="default" w:ascii="Times New Roman" w:hAnsi="Times New Roman" w:cs="Times New Roman"/>
                <w:color w:val="auto"/>
                <w:spacing w:val="-2"/>
                <w:sz w:val="24"/>
              </w:rPr>
              <w:t xml:space="preserve">  202</w:t>
            </w:r>
            <w:r>
              <w:rPr>
                <w:rFonts w:hint="eastAsia" w:cs="Times New Roman"/>
                <w:color w:val="auto"/>
                <w:spacing w:val="-2"/>
                <w:sz w:val="24"/>
                <w:lang w:val="en-US" w:eastAsia="zh-CN"/>
              </w:rPr>
              <w:t>1</w:t>
            </w:r>
            <w:r>
              <w:rPr>
                <w:rFonts w:hint="default" w:ascii="Times New Roman" w:hAnsi="Times New Roman" w:cs="Times New Roman"/>
                <w:color w:val="auto"/>
                <w:spacing w:val="-2"/>
                <w:sz w:val="24"/>
              </w:rPr>
              <w:t>年济源市区域空气质量现状评价表</w:t>
            </w:r>
          </w:p>
          <w:tbl>
            <w:tblPr>
              <w:tblStyle w:val="22"/>
              <w:tblW w:w="5000" w:type="pct"/>
              <w:jc w:val="center"/>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080"/>
              <w:gridCol w:w="3372"/>
              <w:gridCol w:w="1199"/>
              <w:gridCol w:w="1237"/>
              <w:gridCol w:w="1125"/>
              <w:gridCol w:w="719"/>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18"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b w:val="0"/>
                      <w:bCs w:val="0"/>
                      <w:sz w:val="21"/>
                      <w:szCs w:val="21"/>
                    </w:rPr>
                  </w:pPr>
                  <w:r>
                    <w:rPr>
                      <w:rFonts w:hint="default" w:ascii="Times New Roman" w:hAnsi="Times New Roman" w:cs="Times New Roman"/>
                      <w:b w:val="0"/>
                      <w:bCs w:val="0"/>
                      <w:sz w:val="21"/>
                      <w:szCs w:val="21"/>
                    </w:rPr>
                    <w:t>污染物</w:t>
                  </w:r>
                </w:p>
              </w:tc>
              <w:tc>
                <w:tcPr>
                  <w:tcW w:w="1930"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b w:val="0"/>
                      <w:bCs w:val="0"/>
                      <w:sz w:val="21"/>
                      <w:szCs w:val="21"/>
                    </w:rPr>
                  </w:pPr>
                  <w:r>
                    <w:rPr>
                      <w:rFonts w:hint="default" w:ascii="Times New Roman" w:hAnsi="Times New Roman" w:cs="Times New Roman"/>
                      <w:b w:val="0"/>
                      <w:bCs w:val="0"/>
                      <w:sz w:val="21"/>
                      <w:szCs w:val="21"/>
                    </w:rPr>
                    <w:t>评价指标</w:t>
                  </w:r>
                </w:p>
              </w:tc>
              <w:tc>
                <w:tcPr>
                  <w:tcW w:w="686"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b w:val="0"/>
                      <w:bCs w:val="0"/>
                      <w:sz w:val="21"/>
                      <w:szCs w:val="21"/>
                    </w:rPr>
                  </w:pPr>
                  <w:r>
                    <w:rPr>
                      <w:rFonts w:hint="default" w:ascii="Times New Roman" w:hAnsi="Times New Roman" w:cs="Times New Roman"/>
                      <w:b w:val="0"/>
                      <w:bCs w:val="0"/>
                      <w:sz w:val="21"/>
                      <w:szCs w:val="21"/>
                    </w:rPr>
                    <w:t>现状浓度</w:t>
                  </w:r>
                </w:p>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b w:val="0"/>
                      <w:bCs w:val="0"/>
                      <w:sz w:val="21"/>
                      <w:szCs w:val="21"/>
                    </w:rPr>
                  </w:pPr>
                  <w:r>
                    <w:rPr>
                      <w:rFonts w:hint="default" w:ascii="Times New Roman" w:hAnsi="Times New Roman" w:cs="Times New Roman"/>
                      <w:b w:val="0"/>
                      <w:bCs w:val="0"/>
                      <w:sz w:val="21"/>
                      <w:szCs w:val="21"/>
                    </w:rPr>
                    <w:t>（ug/m</w:t>
                  </w:r>
                  <w:r>
                    <w:rPr>
                      <w:rFonts w:hint="default" w:ascii="Times New Roman" w:hAnsi="Times New Roman" w:cs="Times New Roman"/>
                      <w:b w:val="0"/>
                      <w:bCs w:val="0"/>
                      <w:sz w:val="21"/>
                      <w:szCs w:val="21"/>
                      <w:vertAlign w:val="superscript"/>
                    </w:rPr>
                    <w:t>3</w:t>
                  </w:r>
                  <w:r>
                    <w:rPr>
                      <w:rFonts w:hint="default" w:ascii="Times New Roman" w:hAnsi="Times New Roman" w:cs="Times New Roman"/>
                      <w:b w:val="0"/>
                      <w:bCs w:val="0"/>
                      <w:sz w:val="21"/>
                      <w:szCs w:val="21"/>
                    </w:rPr>
                    <w:t>）</w:t>
                  </w:r>
                </w:p>
              </w:tc>
              <w:tc>
                <w:tcPr>
                  <w:tcW w:w="708"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b w:val="0"/>
                      <w:bCs w:val="0"/>
                      <w:sz w:val="21"/>
                      <w:szCs w:val="21"/>
                    </w:rPr>
                  </w:pPr>
                  <w:r>
                    <w:rPr>
                      <w:rFonts w:hint="default" w:ascii="Times New Roman" w:hAnsi="Times New Roman" w:cs="Times New Roman"/>
                      <w:b w:val="0"/>
                      <w:bCs w:val="0"/>
                      <w:sz w:val="21"/>
                      <w:szCs w:val="21"/>
                    </w:rPr>
                    <w:t>标准值</w:t>
                  </w:r>
                </w:p>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b w:val="0"/>
                      <w:bCs w:val="0"/>
                      <w:sz w:val="21"/>
                      <w:szCs w:val="21"/>
                    </w:rPr>
                  </w:pPr>
                  <w:r>
                    <w:rPr>
                      <w:rFonts w:hint="default" w:ascii="Times New Roman" w:hAnsi="Times New Roman" w:cs="Times New Roman"/>
                      <w:b w:val="0"/>
                      <w:bCs w:val="0"/>
                      <w:sz w:val="21"/>
                      <w:szCs w:val="21"/>
                    </w:rPr>
                    <w:t>（ug/m</w:t>
                  </w:r>
                  <w:r>
                    <w:rPr>
                      <w:rFonts w:hint="default" w:ascii="Times New Roman" w:hAnsi="Times New Roman" w:cs="Times New Roman"/>
                      <w:b w:val="0"/>
                      <w:bCs w:val="0"/>
                      <w:sz w:val="21"/>
                      <w:szCs w:val="21"/>
                      <w:vertAlign w:val="superscript"/>
                    </w:rPr>
                    <w:t>3</w:t>
                  </w:r>
                  <w:r>
                    <w:rPr>
                      <w:rFonts w:hint="default" w:ascii="Times New Roman" w:hAnsi="Times New Roman" w:cs="Times New Roman"/>
                      <w:b w:val="0"/>
                      <w:bCs w:val="0"/>
                      <w:sz w:val="21"/>
                      <w:szCs w:val="21"/>
                    </w:rPr>
                    <w:t>）</w:t>
                  </w:r>
                </w:p>
              </w:tc>
              <w:tc>
                <w:tcPr>
                  <w:tcW w:w="644"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b w:val="0"/>
                      <w:bCs w:val="0"/>
                      <w:sz w:val="21"/>
                      <w:szCs w:val="21"/>
                    </w:rPr>
                  </w:pPr>
                  <w:r>
                    <w:rPr>
                      <w:rFonts w:hint="default" w:ascii="Times New Roman" w:hAnsi="Times New Roman" w:cs="Times New Roman"/>
                      <w:b w:val="0"/>
                      <w:bCs w:val="0"/>
                      <w:sz w:val="21"/>
                      <w:szCs w:val="21"/>
                    </w:rPr>
                    <w:t>占标率</w:t>
                  </w:r>
                </w:p>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b w:val="0"/>
                      <w:bCs w:val="0"/>
                      <w:sz w:val="21"/>
                      <w:szCs w:val="21"/>
                    </w:rPr>
                  </w:pPr>
                  <w:r>
                    <w:rPr>
                      <w:rFonts w:hint="default" w:ascii="Times New Roman" w:hAnsi="Times New Roman" w:cs="Times New Roman"/>
                      <w:b w:val="0"/>
                      <w:bCs w:val="0"/>
                      <w:sz w:val="21"/>
                      <w:szCs w:val="21"/>
                    </w:rPr>
                    <w:t>（%）</w:t>
                  </w:r>
                </w:p>
              </w:tc>
              <w:tc>
                <w:tcPr>
                  <w:tcW w:w="411"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b w:val="0"/>
                      <w:bCs w:val="0"/>
                      <w:sz w:val="21"/>
                      <w:szCs w:val="21"/>
                    </w:rPr>
                  </w:pPr>
                  <w:r>
                    <w:rPr>
                      <w:rFonts w:hint="default" w:ascii="Times New Roman" w:hAnsi="Times New Roman" w:cs="Times New Roman"/>
                      <w:b w:val="0"/>
                      <w:bCs w:val="0"/>
                      <w:sz w:val="21"/>
                      <w:szCs w:val="21"/>
                    </w:rPr>
                    <w:t>达标情况</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18"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b w:val="0"/>
                      <w:bCs w:val="0"/>
                      <w:sz w:val="21"/>
                      <w:szCs w:val="21"/>
                    </w:rPr>
                  </w:pPr>
                  <w:r>
                    <w:rPr>
                      <w:rFonts w:hint="default" w:ascii="Times New Roman" w:hAnsi="Times New Roman" w:cs="Times New Roman"/>
                      <w:b w:val="0"/>
                      <w:bCs w:val="0"/>
                      <w:sz w:val="21"/>
                      <w:szCs w:val="21"/>
                    </w:rPr>
                    <w:t>SO</w:t>
                  </w:r>
                  <w:r>
                    <w:rPr>
                      <w:rFonts w:hint="default" w:ascii="Times New Roman" w:hAnsi="Times New Roman" w:cs="Times New Roman"/>
                      <w:b w:val="0"/>
                      <w:bCs w:val="0"/>
                      <w:sz w:val="21"/>
                      <w:szCs w:val="21"/>
                      <w:vertAlign w:val="subscript"/>
                    </w:rPr>
                    <w:t>2</w:t>
                  </w:r>
                </w:p>
              </w:tc>
              <w:tc>
                <w:tcPr>
                  <w:tcW w:w="1930"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b w:val="0"/>
                      <w:bCs w:val="0"/>
                      <w:sz w:val="21"/>
                      <w:szCs w:val="21"/>
                    </w:rPr>
                  </w:pPr>
                  <w:r>
                    <w:rPr>
                      <w:rFonts w:hint="default" w:ascii="Times New Roman" w:hAnsi="Times New Roman" w:cs="Times New Roman"/>
                      <w:b w:val="0"/>
                      <w:bCs w:val="0"/>
                      <w:sz w:val="21"/>
                      <w:szCs w:val="21"/>
                    </w:rPr>
                    <w:t>年平均质量浓度值</w:t>
                  </w:r>
                </w:p>
              </w:tc>
              <w:tc>
                <w:tcPr>
                  <w:tcW w:w="686"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top"/>
                    <w:rPr>
                      <w:rFonts w:hint="eastAsia" w:ascii="Times New Roman" w:hAnsi="Times New Roman" w:cs="Times New Roman" w:eastAsiaTheme="minorEastAsia"/>
                      <w:b w:val="0"/>
                      <w:bCs w:val="0"/>
                      <w:sz w:val="21"/>
                      <w:szCs w:val="21"/>
                      <w:lang w:eastAsia="zh-CN"/>
                    </w:rPr>
                  </w:pPr>
                  <w:r>
                    <w:rPr>
                      <w:rFonts w:hint="default" w:ascii="Times New Roman" w:hAnsi="Times New Roman" w:cs="Times New Roman"/>
                      <w:b w:val="0"/>
                      <w:bCs w:val="0"/>
                      <w:color w:val="000000"/>
                      <w:kern w:val="0"/>
                      <w:sz w:val="21"/>
                      <w:szCs w:val="21"/>
                      <w:lang w:bidi="ar"/>
                    </w:rPr>
                    <w:t>1</w:t>
                  </w:r>
                  <w:r>
                    <w:rPr>
                      <w:rFonts w:hint="eastAsia" w:cs="Times New Roman"/>
                      <w:b w:val="0"/>
                      <w:bCs w:val="0"/>
                      <w:color w:val="000000"/>
                      <w:kern w:val="0"/>
                      <w:sz w:val="21"/>
                      <w:szCs w:val="21"/>
                      <w:lang w:val="en-US" w:eastAsia="zh-CN" w:bidi="ar"/>
                    </w:rPr>
                    <w:t>1</w:t>
                  </w:r>
                </w:p>
              </w:tc>
              <w:tc>
                <w:tcPr>
                  <w:tcW w:w="708"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b w:val="0"/>
                      <w:bCs w:val="0"/>
                      <w:sz w:val="21"/>
                      <w:szCs w:val="21"/>
                    </w:rPr>
                  </w:pPr>
                  <w:r>
                    <w:rPr>
                      <w:rFonts w:hint="default" w:ascii="Times New Roman" w:hAnsi="Times New Roman" w:cs="Times New Roman"/>
                      <w:b w:val="0"/>
                      <w:bCs w:val="0"/>
                      <w:color w:val="000000"/>
                      <w:kern w:val="0"/>
                      <w:sz w:val="21"/>
                      <w:szCs w:val="21"/>
                      <w:lang w:bidi="ar"/>
                    </w:rPr>
                    <w:t>60</w:t>
                  </w:r>
                </w:p>
              </w:tc>
              <w:tc>
                <w:tcPr>
                  <w:tcW w:w="644"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sz w:val="21"/>
                      <w:szCs w:val="21"/>
                      <w:lang w:val="en-US" w:eastAsia="zh-CN"/>
                    </w:rPr>
                  </w:pPr>
                  <w:r>
                    <w:rPr>
                      <w:rFonts w:hint="eastAsia" w:cs="Times New Roman"/>
                      <w:b w:val="0"/>
                      <w:bCs w:val="0"/>
                      <w:color w:val="000000"/>
                      <w:kern w:val="0"/>
                      <w:sz w:val="21"/>
                      <w:szCs w:val="21"/>
                      <w:lang w:val="en-US" w:eastAsia="zh-CN" w:bidi="ar"/>
                    </w:rPr>
                    <w:t>18.33</w:t>
                  </w:r>
                </w:p>
              </w:tc>
              <w:tc>
                <w:tcPr>
                  <w:tcW w:w="411"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b w:val="0"/>
                      <w:bCs w:val="0"/>
                      <w:sz w:val="21"/>
                      <w:szCs w:val="21"/>
                    </w:rPr>
                  </w:pPr>
                  <w:r>
                    <w:rPr>
                      <w:rFonts w:hint="default" w:ascii="Times New Roman" w:hAnsi="Times New Roman" w:cs="Times New Roman"/>
                      <w:b w:val="0"/>
                      <w:bCs w:val="0"/>
                      <w:color w:val="000000"/>
                      <w:kern w:val="0"/>
                      <w:sz w:val="21"/>
                      <w:szCs w:val="21"/>
                      <w:lang w:bidi="ar"/>
                    </w:rPr>
                    <w:t>达标</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18"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b w:val="0"/>
                      <w:bCs w:val="0"/>
                      <w:sz w:val="21"/>
                      <w:szCs w:val="21"/>
                    </w:rPr>
                  </w:pPr>
                  <w:r>
                    <w:rPr>
                      <w:rFonts w:hint="default" w:ascii="Times New Roman" w:hAnsi="Times New Roman" w:cs="Times New Roman"/>
                      <w:b w:val="0"/>
                      <w:bCs w:val="0"/>
                      <w:sz w:val="21"/>
                      <w:szCs w:val="21"/>
                    </w:rPr>
                    <w:t>NO</w:t>
                  </w:r>
                  <w:r>
                    <w:rPr>
                      <w:rFonts w:hint="default" w:ascii="Times New Roman" w:hAnsi="Times New Roman" w:cs="Times New Roman"/>
                      <w:b w:val="0"/>
                      <w:bCs w:val="0"/>
                      <w:sz w:val="21"/>
                      <w:szCs w:val="21"/>
                      <w:vertAlign w:val="subscript"/>
                    </w:rPr>
                    <w:t>2</w:t>
                  </w:r>
                </w:p>
              </w:tc>
              <w:tc>
                <w:tcPr>
                  <w:tcW w:w="1930"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b w:val="0"/>
                      <w:bCs w:val="0"/>
                      <w:sz w:val="21"/>
                      <w:szCs w:val="21"/>
                    </w:rPr>
                  </w:pPr>
                  <w:r>
                    <w:rPr>
                      <w:rFonts w:hint="default" w:ascii="Times New Roman" w:hAnsi="Times New Roman" w:cs="Times New Roman"/>
                      <w:b w:val="0"/>
                      <w:bCs w:val="0"/>
                      <w:color w:val="000000"/>
                      <w:kern w:val="0"/>
                      <w:sz w:val="21"/>
                      <w:szCs w:val="21"/>
                      <w:lang w:bidi="ar"/>
                    </w:rPr>
                    <w:t>年平均质量浓度值</w:t>
                  </w:r>
                </w:p>
              </w:tc>
              <w:tc>
                <w:tcPr>
                  <w:tcW w:w="686"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top"/>
                    <w:rPr>
                      <w:rFonts w:hint="eastAsia" w:ascii="Times New Roman" w:hAnsi="Times New Roman" w:cs="Times New Roman" w:eastAsiaTheme="minorEastAsia"/>
                      <w:b w:val="0"/>
                      <w:bCs w:val="0"/>
                      <w:sz w:val="21"/>
                      <w:szCs w:val="21"/>
                      <w:lang w:eastAsia="zh-CN"/>
                    </w:rPr>
                  </w:pPr>
                  <w:r>
                    <w:rPr>
                      <w:rFonts w:hint="default" w:ascii="Times New Roman" w:hAnsi="Times New Roman" w:cs="Times New Roman"/>
                      <w:b w:val="0"/>
                      <w:bCs w:val="0"/>
                      <w:color w:val="000000"/>
                      <w:kern w:val="0"/>
                      <w:sz w:val="21"/>
                      <w:szCs w:val="21"/>
                      <w:lang w:bidi="ar"/>
                    </w:rPr>
                    <w:t>3</w:t>
                  </w:r>
                  <w:r>
                    <w:rPr>
                      <w:rFonts w:hint="eastAsia" w:cs="Times New Roman"/>
                      <w:b w:val="0"/>
                      <w:bCs w:val="0"/>
                      <w:color w:val="000000"/>
                      <w:kern w:val="0"/>
                      <w:sz w:val="21"/>
                      <w:szCs w:val="21"/>
                      <w:lang w:val="en-US" w:eastAsia="zh-CN" w:bidi="ar"/>
                    </w:rPr>
                    <w:t>0</w:t>
                  </w:r>
                </w:p>
              </w:tc>
              <w:tc>
                <w:tcPr>
                  <w:tcW w:w="708"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b w:val="0"/>
                      <w:bCs w:val="0"/>
                      <w:sz w:val="21"/>
                      <w:szCs w:val="21"/>
                    </w:rPr>
                  </w:pPr>
                  <w:r>
                    <w:rPr>
                      <w:rFonts w:hint="default" w:ascii="Times New Roman" w:hAnsi="Times New Roman" w:cs="Times New Roman"/>
                      <w:b w:val="0"/>
                      <w:bCs w:val="0"/>
                      <w:color w:val="000000"/>
                      <w:kern w:val="0"/>
                      <w:sz w:val="21"/>
                      <w:szCs w:val="21"/>
                      <w:lang w:bidi="ar"/>
                    </w:rPr>
                    <w:t>40</w:t>
                  </w:r>
                </w:p>
              </w:tc>
              <w:tc>
                <w:tcPr>
                  <w:tcW w:w="644"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sz w:val="21"/>
                      <w:szCs w:val="21"/>
                      <w:lang w:val="en-US" w:eastAsia="zh-CN"/>
                    </w:rPr>
                  </w:pPr>
                  <w:r>
                    <w:rPr>
                      <w:rFonts w:hint="eastAsia" w:cs="Times New Roman"/>
                      <w:b w:val="0"/>
                      <w:bCs w:val="0"/>
                      <w:color w:val="000000"/>
                      <w:kern w:val="0"/>
                      <w:sz w:val="21"/>
                      <w:szCs w:val="21"/>
                      <w:lang w:val="en-US" w:eastAsia="zh-CN" w:bidi="ar"/>
                    </w:rPr>
                    <w:t>75.00</w:t>
                  </w:r>
                </w:p>
              </w:tc>
              <w:tc>
                <w:tcPr>
                  <w:tcW w:w="411"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b w:val="0"/>
                      <w:bCs w:val="0"/>
                      <w:sz w:val="21"/>
                      <w:szCs w:val="21"/>
                    </w:rPr>
                  </w:pPr>
                  <w:r>
                    <w:rPr>
                      <w:rFonts w:hint="default" w:ascii="Times New Roman" w:hAnsi="Times New Roman" w:cs="Times New Roman"/>
                      <w:b w:val="0"/>
                      <w:bCs w:val="0"/>
                      <w:color w:val="000000"/>
                      <w:kern w:val="0"/>
                      <w:sz w:val="21"/>
                      <w:szCs w:val="21"/>
                      <w:lang w:bidi="ar"/>
                    </w:rPr>
                    <w:t>达标</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18"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b w:val="0"/>
                      <w:bCs w:val="0"/>
                      <w:sz w:val="21"/>
                      <w:szCs w:val="21"/>
                    </w:rPr>
                  </w:pPr>
                  <w:r>
                    <w:rPr>
                      <w:rFonts w:hint="default" w:ascii="Times New Roman" w:hAnsi="Times New Roman" w:cs="Times New Roman"/>
                      <w:b w:val="0"/>
                      <w:bCs w:val="0"/>
                      <w:sz w:val="21"/>
                      <w:szCs w:val="21"/>
                    </w:rPr>
                    <w:t>PM</w:t>
                  </w:r>
                  <w:r>
                    <w:rPr>
                      <w:rFonts w:hint="default" w:ascii="Times New Roman" w:hAnsi="Times New Roman" w:cs="Times New Roman"/>
                      <w:b w:val="0"/>
                      <w:bCs w:val="0"/>
                      <w:sz w:val="21"/>
                      <w:szCs w:val="21"/>
                      <w:vertAlign w:val="subscript"/>
                    </w:rPr>
                    <w:t>10</w:t>
                  </w:r>
                </w:p>
              </w:tc>
              <w:tc>
                <w:tcPr>
                  <w:tcW w:w="1930"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b w:val="0"/>
                      <w:bCs w:val="0"/>
                      <w:sz w:val="21"/>
                      <w:szCs w:val="21"/>
                    </w:rPr>
                  </w:pPr>
                  <w:r>
                    <w:rPr>
                      <w:rFonts w:hint="default" w:ascii="Times New Roman" w:hAnsi="Times New Roman" w:cs="Times New Roman"/>
                      <w:b w:val="0"/>
                      <w:bCs w:val="0"/>
                      <w:color w:val="000000"/>
                      <w:kern w:val="0"/>
                      <w:sz w:val="21"/>
                      <w:szCs w:val="21"/>
                      <w:lang w:bidi="ar"/>
                    </w:rPr>
                    <w:t>年平均质量浓度值</w:t>
                  </w:r>
                </w:p>
              </w:tc>
              <w:tc>
                <w:tcPr>
                  <w:tcW w:w="686"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sz w:val="21"/>
                      <w:szCs w:val="21"/>
                      <w:lang w:val="en-US" w:eastAsia="zh-CN"/>
                    </w:rPr>
                  </w:pPr>
                  <w:r>
                    <w:rPr>
                      <w:rFonts w:hint="eastAsia" w:cs="Times New Roman"/>
                      <w:b w:val="0"/>
                      <w:bCs w:val="0"/>
                      <w:sz w:val="21"/>
                      <w:szCs w:val="21"/>
                      <w:lang w:val="en-US" w:eastAsia="zh-CN"/>
                    </w:rPr>
                    <w:t>79</w:t>
                  </w:r>
                </w:p>
              </w:tc>
              <w:tc>
                <w:tcPr>
                  <w:tcW w:w="708"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b w:val="0"/>
                      <w:bCs w:val="0"/>
                      <w:sz w:val="21"/>
                      <w:szCs w:val="21"/>
                    </w:rPr>
                  </w:pPr>
                  <w:r>
                    <w:rPr>
                      <w:rFonts w:hint="default" w:ascii="Times New Roman" w:hAnsi="Times New Roman" w:cs="Times New Roman"/>
                      <w:b w:val="0"/>
                      <w:bCs w:val="0"/>
                      <w:color w:val="000000"/>
                      <w:kern w:val="0"/>
                      <w:sz w:val="21"/>
                      <w:szCs w:val="21"/>
                      <w:lang w:bidi="ar"/>
                    </w:rPr>
                    <w:t>70</w:t>
                  </w:r>
                </w:p>
              </w:tc>
              <w:tc>
                <w:tcPr>
                  <w:tcW w:w="644"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sz w:val="21"/>
                      <w:szCs w:val="21"/>
                      <w:lang w:val="en-US" w:eastAsia="zh-CN"/>
                    </w:rPr>
                  </w:pPr>
                  <w:r>
                    <w:rPr>
                      <w:rFonts w:hint="eastAsia" w:cs="Times New Roman"/>
                      <w:b w:val="0"/>
                      <w:bCs w:val="0"/>
                      <w:color w:val="000000"/>
                      <w:kern w:val="0"/>
                      <w:sz w:val="21"/>
                      <w:szCs w:val="21"/>
                      <w:lang w:val="en-US" w:eastAsia="zh-CN" w:bidi="ar"/>
                    </w:rPr>
                    <w:t>112.86</w:t>
                  </w:r>
                </w:p>
              </w:tc>
              <w:tc>
                <w:tcPr>
                  <w:tcW w:w="411"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b w:val="0"/>
                      <w:bCs w:val="0"/>
                      <w:sz w:val="21"/>
                      <w:szCs w:val="21"/>
                    </w:rPr>
                  </w:pPr>
                  <w:r>
                    <w:rPr>
                      <w:rFonts w:hint="default" w:ascii="Times New Roman" w:hAnsi="Times New Roman" w:cs="Times New Roman"/>
                      <w:b w:val="0"/>
                      <w:bCs w:val="0"/>
                      <w:color w:val="000000"/>
                      <w:kern w:val="0"/>
                      <w:sz w:val="21"/>
                      <w:szCs w:val="21"/>
                      <w:lang w:bidi="ar"/>
                    </w:rPr>
                    <w:t>超标</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18"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b w:val="0"/>
                      <w:bCs w:val="0"/>
                      <w:sz w:val="21"/>
                      <w:szCs w:val="21"/>
                    </w:rPr>
                  </w:pPr>
                  <w:r>
                    <w:rPr>
                      <w:rFonts w:hint="default" w:ascii="Times New Roman" w:hAnsi="Times New Roman" w:cs="Times New Roman"/>
                      <w:b w:val="0"/>
                      <w:bCs w:val="0"/>
                      <w:sz w:val="21"/>
                      <w:szCs w:val="21"/>
                    </w:rPr>
                    <w:t>PM</w:t>
                  </w:r>
                  <w:r>
                    <w:rPr>
                      <w:rFonts w:hint="default" w:ascii="Times New Roman" w:hAnsi="Times New Roman" w:cs="Times New Roman"/>
                      <w:b w:val="0"/>
                      <w:bCs w:val="0"/>
                      <w:sz w:val="21"/>
                      <w:szCs w:val="21"/>
                      <w:vertAlign w:val="subscript"/>
                    </w:rPr>
                    <w:t>2.5</w:t>
                  </w:r>
                </w:p>
              </w:tc>
              <w:tc>
                <w:tcPr>
                  <w:tcW w:w="1930"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b w:val="0"/>
                      <w:bCs w:val="0"/>
                      <w:sz w:val="21"/>
                      <w:szCs w:val="21"/>
                    </w:rPr>
                  </w:pPr>
                  <w:r>
                    <w:rPr>
                      <w:rFonts w:hint="default" w:ascii="Times New Roman" w:hAnsi="Times New Roman" w:cs="Times New Roman"/>
                      <w:b w:val="0"/>
                      <w:bCs w:val="0"/>
                      <w:color w:val="000000"/>
                      <w:kern w:val="0"/>
                      <w:sz w:val="21"/>
                      <w:szCs w:val="21"/>
                      <w:lang w:bidi="ar"/>
                    </w:rPr>
                    <w:t>年平均质量浓度值</w:t>
                  </w:r>
                </w:p>
              </w:tc>
              <w:tc>
                <w:tcPr>
                  <w:tcW w:w="686"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sz w:val="21"/>
                      <w:szCs w:val="21"/>
                      <w:lang w:val="en-US" w:eastAsia="zh-CN"/>
                    </w:rPr>
                  </w:pPr>
                  <w:r>
                    <w:rPr>
                      <w:rFonts w:hint="eastAsia" w:cs="Times New Roman"/>
                      <w:b w:val="0"/>
                      <w:bCs w:val="0"/>
                      <w:color w:val="000000"/>
                      <w:kern w:val="0"/>
                      <w:sz w:val="21"/>
                      <w:szCs w:val="21"/>
                      <w:lang w:val="en-US" w:eastAsia="zh-CN" w:bidi="ar"/>
                    </w:rPr>
                    <w:t>47</w:t>
                  </w:r>
                </w:p>
              </w:tc>
              <w:tc>
                <w:tcPr>
                  <w:tcW w:w="708"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b w:val="0"/>
                      <w:bCs w:val="0"/>
                      <w:sz w:val="21"/>
                      <w:szCs w:val="21"/>
                    </w:rPr>
                  </w:pPr>
                  <w:r>
                    <w:rPr>
                      <w:rFonts w:hint="default" w:ascii="Times New Roman" w:hAnsi="Times New Roman" w:cs="Times New Roman"/>
                      <w:b w:val="0"/>
                      <w:bCs w:val="0"/>
                      <w:color w:val="000000"/>
                      <w:kern w:val="0"/>
                      <w:sz w:val="21"/>
                      <w:szCs w:val="21"/>
                      <w:lang w:bidi="ar"/>
                    </w:rPr>
                    <w:t>35</w:t>
                  </w:r>
                </w:p>
              </w:tc>
              <w:tc>
                <w:tcPr>
                  <w:tcW w:w="644"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sz w:val="21"/>
                      <w:szCs w:val="21"/>
                      <w:lang w:val="en-US" w:eastAsia="zh-CN"/>
                    </w:rPr>
                  </w:pPr>
                  <w:r>
                    <w:rPr>
                      <w:rFonts w:hint="eastAsia" w:cs="Times New Roman"/>
                      <w:b w:val="0"/>
                      <w:bCs w:val="0"/>
                      <w:color w:val="000000"/>
                      <w:kern w:val="0"/>
                      <w:sz w:val="21"/>
                      <w:szCs w:val="21"/>
                      <w:lang w:val="en-US" w:eastAsia="zh-CN" w:bidi="ar"/>
                    </w:rPr>
                    <w:t>134.29</w:t>
                  </w:r>
                </w:p>
              </w:tc>
              <w:tc>
                <w:tcPr>
                  <w:tcW w:w="411"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b w:val="0"/>
                      <w:bCs w:val="0"/>
                      <w:sz w:val="21"/>
                      <w:szCs w:val="21"/>
                    </w:rPr>
                  </w:pPr>
                  <w:r>
                    <w:rPr>
                      <w:rFonts w:hint="default" w:ascii="Times New Roman" w:hAnsi="Times New Roman" w:cs="Times New Roman"/>
                      <w:b w:val="0"/>
                      <w:bCs w:val="0"/>
                      <w:color w:val="000000"/>
                      <w:kern w:val="0"/>
                      <w:sz w:val="21"/>
                      <w:szCs w:val="21"/>
                      <w:lang w:bidi="ar"/>
                    </w:rPr>
                    <w:t>超标</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18"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b w:val="0"/>
                      <w:bCs w:val="0"/>
                      <w:sz w:val="21"/>
                      <w:szCs w:val="21"/>
                    </w:rPr>
                  </w:pPr>
                  <w:r>
                    <w:rPr>
                      <w:rFonts w:hint="default" w:ascii="Times New Roman" w:hAnsi="Times New Roman" w:cs="Times New Roman"/>
                      <w:b w:val="0"/>
                      <w:bCs w:val="0"/>
                      <w:sz w:val="21"/>
                      <w:szCs w:val="21"/>
                    </w:rPr>
                    <w:t>CO</w:t>
                  </w:r>
                </w:p>
              </w:tc>
              <w:tc>
                <w:tcPr>
                  <w:tcW w:w="1930"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b w:val="0"/>
                      <w:bCs w:val="0"/>
                      <w:sz w:val="21"/>
                      <w:szCs w:val="21"/>
                    </w:rPr>
                  </w:pPr>
                  <w:r>
                    <w:rPr>
                      <w:rFonts w:hint="default" w:ascii="Times New Roman" w:hAnsi="Times New Roman" w:cs="Times New Roman"/>
                      <w:b w:val="0"/>
                      <w:bCs w:val="0"/>
                      <w:color w:val="000000"/>
                      <w:kern w:val="0"/>
                      <w:sz w:val="21"/>
                      <w:szCs w:val="21"/>
                      <w:lang w:bidi="ar"/>
                    </w:rPr>
                    <w:t>24小时平均第95百分位数浓度值</w:t>
                  </w:r>
                </w:p>
              </w:tc>
              <w:tc>
                <w:tcPr>
                  <w:tcW w:w="686"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top"/>
                    <w:rPr>
                      <w:rFonts w:hint="eastAsia" w:ascii="Times New Roman" w:hAnsi="Times New Roman" w:cs="Times New Roman" w:eastAsiaTheme="minorEastAsia"/>
                      <w:b w:val="0"/>
                      <w:bCs w:val="0"/>
                      <w:sz w:val="21"/>
                      <w:szCs w:val="21"/>
                      <w:lang w:eastAsia="zh-CN"/>
                    </w:rPr>
                  </w:pPr>
                  <w:r>
                    <w:rPr>
                      <w:rFonts w:hint="default" w:ascii="Times New Roman" w:hAnsi="Times New Roman" w:cs="Times New Roman"/>
                      <w:b w:val="0"/>
                      <w:bCs w:val="0"/>
                      <w:color w:val="000000"/>
                      <w:kern w:val="0"/>
                      <w:sz w:val="21"/>
                      <w:szCs w:val="21"/>
                      <w:lang w:bidi="ar"/>
                    </w:rPr>
                    <w:t>1.</w:t>
                  </w:r>
                  <w:r>
                    <w:rPr>
                      <w:rFonts w:hint="eastAsia" w:cs="Times New Roman"/>
                      <w:b w:val="0"/>
                      <w:bCs w:val="0"/>
                      <w:color w:val="000000"/>
                      <w:kern w:val="0"/>
                      <w:sz w:val="21"/>
                      <w:szCs w:val="21"/>
                      <w:lang w:val="en-US" w:eastAsia="zh-CN" w:bidi="ar"/>
                    </w:rPr>
                    <w:t>7</w:t>
                  </w:r>
                </w:p>
              </w:tc>
              <w:tc>
                <w:tcPr>
                  <w:tcW w:w="708"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b w:val="0"/>
                      <w:bCs w:val="0"/>
                      <w:sz w:val="21"/>
                      <w:szCs w:val="21"/>
                    </w:rPr>
                  </w:pPr>
                  <w:r>
                    <w:rPr>
                      <w:rFonts w:hint="default" w:ascii="Times New Roman" w:hAnsi="Times New Roman" w:cs="Times New Roman"/>
                      <w:b w:val="0"/>
                      <w:bCs w:val="0"/>
                      <w:color w:val="000000"/>
                      <w:kern w:val="0"/>
                      <w:sz w:val="21"/>
                      <w:szCs w:val="21"/>
                      <w:lang w:bidi="ar"/>
                    </w:rPr>
                    <w:t>4</w:t>
                  </w:r>
                </w:p>
              </w:tc>
              <w:tc>
                <w:tcPr>
                  <w:tcW w:w="644"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sz w:val="21"/>
                      <w:szCs w:val="21"/>
                      <w:lang w:val="en-US" w:eastAsia="zh-CN"/>
                    </w:rPr>
                  </w:pPr>
                  <w:r>
                    <w:rPr>
                      <w:rFonts w:hint="eastAsia" w:cs="Times New Roman"/>
                      <w:b w:val="0"/>
                      <w:bCs w:val="0"/>
                      <w:color w:val="000000"/>
                      <w:kern w:val="0"/>
                      <w:sz w:val="21"/>
                      <w:szCs w:val="21"/>
                      <w:lang w:val="en-US" w:eastAsia="zh-CN" w:bidi="ar"/>
                    </w:rPr>
                    <w:t>42.50</w:t>
                  </w:r>
                </w:p>
              </w:tc>
              <w:tc>
                <w:tcPr>
                  <w:tcW w:w="411"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b w:val="0"/>
                      <w:bCs w:val="0"/>
                      <w:sz w:val="21"/>
                      <w:szCs w:val="21"/>
                    </w:rPr>
                  </w:pPr>
                  <w:r>
                    <w:rPr>
                      <w:rFonts w:hint="default" w:ascii="Times New Roman" w:hAnsi="Times New Roman" w:cs="Times New Roman"/>
                      <w:b w:val="0"/>
                      <w:bCs w:val="0"/>
                      <w:color w:val="000000"/>
                      <w:kern w:val="0"/>
                      <w:sz w:val="21"/>
                      <w:szCs w:val="21"/>
                      <w:lang w:bidi="ar"/>
                    </w:rPr>
                    <w:t>达标</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18"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b w:val="0"/>
                      <w:bCs w:val="0"/>
                      <w:sz w:val="21"/>
                      <w:szCs w:val="21"/>
                    </w:rPr>
                  </w:pPr>
                  <w:r>
                    <w:rPr>
                      <w:rFonts w:hint="default" w:ascii="Times New Roman" w:hAnsi="Times New Roman" w:cs="Times New Roman"/>
                      <w:b w:val="0"/>
                      <w:bCs w:val="0"/>
                      <w:sz w:val="21"/>
                      <w:szCs w:val="21"/>
                    </w:rPr>
                    <w:t>O</w:t>
                  </w:r>
                  <w:r>
                    <w:rPr>
                      <w:rFonts w:hint="default" w:ascii="Times New Roman" w:hAnsi="Times New Roman" w:cs="Times New Roman"/>
                      <w:b w:val="0"/>
                      <w:bCs w:val="0"/>
                      <w:sz w:val="21"/>
                      <w:szCs w:val="21"/>
                      <w:vertAlign w:val="subscript"/>
                    </w:rPr>
                    <w:t>3</w:t>
                  </w:r>
                </w:p>
              </w:tc>
              <w:tc>
                <w:tcPr>
                  <w:tcW w:w="1930"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b w:val="0"/>
                      <w:bCs w:val="0"/>
                      <w:sz w:val="21"/>
                      <w:szCs w:val="21"/>
                    </w:rPr>
                  </w:pPr>
                  <w:r>
                    <w:rPr>
                      <w:rFonts w:hint="default" w:ascii="Times New Roman" w:hAnsi="Times New Roman" w:cs="Times New Roman"/>
                      <w:b w:val="0"/>
                      <w:bCs w:val="0"/>
                      <w:color w:val="000000"/>
                      <w:kern w:val="0"/>
                      <w:sz w:val="21"/>
                      <w:szCs w:val="21"/>
                      <w:lang w:bidi="ar"/>
                    </w:rPr>
                    <w:t>最大8小时平均浓度值第90百分位数浓度值</w:t>
                  </w:r>
                </w:p>
              </w:tc>
              <w:tc>
                <w:tcPr>
                  <w:tcW w:w="686"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sz w:val="21"/>
                      <w:szCs w:val="21"/>
                      <w:lang w:val="en-US" w:eastAsia="zh-CN"/>
                    </w:rPr>
                  </w:pPr>
                  <w:r>
                    <w:rPr>
                      <w:rFonts w:hint="default" w:ascii="Times New Roman" w:hAnsi="Times New Roman" w:cs="Times New Roman"/>
                      <w:b w:val="0"/>
                      <w:bCs w:val="0"/>
                      <w:color w:val="000000"/>
                      <w:kern w:val="0"/>
                      <w:sz w:val="21"/>
                      <w:szCs w:val="21"/>
                      <w:lang w:bidi="ar"/>
                    </w:rPr>
                    <w:t>1</w:t>
                  </w:r>
                  <w:r>
                    <w:rPr>
                      <w:rFonts w:hint="eastAsia" w:cs="Times New Roman"/>
                      <w:b w:val="0"/>
                      <w:bCs w:val="0"/>
                      <w:color w:val="000000"/>
                      <w:kern w:val="0"/>
                      <w:sz w:val="21"/>
                      <w:szCs w:val="21"/>
                      <w:lang w:val="en-US" w:eastAsia="zh-CN" w:bidi="ar"/>
                    </w:rPr>
                    <w:t>83</w:t>
                  </w:r>
                </w:p>
              </w:tc>
              <w:tc>
                <w:tcPr>
                  <w:tcW w:w="708"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b w:val="0"/>
                      <w:bCs w:val="0"/>
                      <w:sz w:val="21"/>
                      <w:szCs w:val="21"/>
                    </w:rPr>
                  </w:pPr>
                  <w:r>
                    <w:rPr>
                      <w:rFonts w:hint="default" w:ascii="Times New Roman" w:hAnsi="Times New Roman" w:cs="Times New Roman"/>
                      <w:b w:val="0"/>
                      <w:bCs w:val="0"/>
                      <w:color w:val="000000"/>
                      <w:kern w:val="0"/>
                      <w:sz w:val="21"/>
                      <w:szCs w:val="21"/>
                      <w:lang w:bidi="ar"/>
                    </w:rPr>
                    <w:t>160</w:t>
                  </w:r>
                </w:p>
              </w:tc>
              <w:tc>
                <w:tcPr>
                  <w:tcW w:w="644"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eastAsiaTheme="minorEastAsia"/>
                      <w:b w:val="0"/>
                      <w:bCs w:val="0"/>
                      <w:sz w:val="21"/>
                      <w:szCs w:val="21"/>
                      <w:lang w:val="en-US" w:eastAsia="zh-CN"/>
                    </w:rPr>
                  </w:pPr>
                  <w:r>
                    <w:rPr>
                      <w:rFonts w:hint="default" w:ascii="Times New Roman" w:hAnsi="Times New Roman" w:cs="Times New Roman"/>
                      <w:b w:val="0"/>
                      <w:bCs w:val="0"/>
                      <w:color w:val="000000"/>
                      <w:kern w:val="0"/>
                      <w:sz w:val="21"/>
                      <w:szCs w:val="21"/>
                      <w:lang w:bidi="ar"/>
                    </w:rPr>
                    <w:t>1</w:t>
                  </w:r>
                  <w:r>
                    <w:rPr>
                      <w:rFonts w:hint="eastAsia" w:cs="Times New Roman"/>
                      <w:b w:val="0"/>
                      <w:bCs w:val="0"/>
                      <w:color w:val="000000"/>
                      <w:kern w:val="0"/>
                      <w:sz w:val="21"/>
                      <w:szCs w:val="21"/>
                      <w:lang w:val="en-US" w:eastAsia="zh-CN" w:bidi="ar"/>
                    </w:rPr>
                    <w:t>14.38</w:t>
                  </w:r>
                </w:p>
              </w:tc>
              <w:tc>
                <w:tcPr>
                  <w:tcW w:w="411"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b w:val="0"/>
                      <w:bCs w:val="0"/>
                      <w:sz w:val="21"/>
                      <w:szCs w:val="21"/>
                    </w:rPr>
                  </w:pPr>
                  <w:r>
                    <w:rPr>
                      <w:rFonts w:hint="default" w:ascii="Times New Roman" w:hAnsi="Times New Roman" w:cs="Times New Roman"/>
                      <w:b w:val="0"/>
                      <w:bCs w:val="0"/>
                      <w:color w:val="000000"/>
                      <w:kern w:val="0"/>
                      <w:sz w:val="21"/>
                      <w:szCs w:val="21"/>
                      <w:lang w:bidi="ar"/>
                    </w:rPr>
                    <w:t>超标</w:t>
                  </w:r>
                </w:p>
              </w:tc>
            </w:tr>
          </w:tbl>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textAlignment w:val="top"/>
              <w:rPr>
                <w:rFonts w:hint="default" w:ascii="Times New Roman" w:hAnsi="Times New Roman" w:cs="Times New Roman"/>
                <w:sz w:val="24"/>
              </w:rPr>
            </w:pPr>
            <w:r>
              <w:rPr>
                <w:rFonts w:hint="eastAsia" w:ascii="Times New Roman" w:hAnsi="Times New Roman" w:cs="Times New Roman"/>
                <w:sz w:val="24"/>
                <w:lang w:val="en-US" w:eastAsia="zh-CN"/>
              </w:rPr>
              <w:t>由上表可知，济源市区域</w:t>
            </w:r>
            <w:r>
              <w:rPr>
                <w:rFonts w:hint="default" w:ascii="Times New Roman" w:hAnsi="Times New Roman" w:cs="Times New Roman"/>
                <w:sz w:val="24"/>
                <w:lang w:val="en-US" w:eastAsia="zh-CN"/>
              </w:rPr>
              <w:t>PM</w:t>
            </w:r>
            <w:r>
              <w:rPr>
                <w:rFonts w:hint="default" w:ascii="Times New Roman" w:hAnsi="Times New Roman" w:cs="Times New Roman"/>
                <w:sz w:val="24"/>
                <w:vertAlign w:val="subscript"/>
                <w:lang w:val="en-US" w:eastAsia="zh-CN"/>
              </w:rPr>
              <w:t>10</w:t>
            </w:r>
            <w:r>
              <w:rPr>
                <w:rFonts w:hint="eastAsia" w:ascii="Times New Roman" w:hAnsi="Times New Roman" w:cs="Times New Roman"/>
                <w:sz w:val="24"/>
                <w:lang w:val="en-US" w:eastAsia="zh-CN"/>
              </w:rPr>
              <w:t>、</w:t>
            </w:r>
            <w:r>
              <w:rPr>
                <w:rFonts w:hint="default" w:ascii="Times New Roman" w:hAnsi="Times New Roman" w:cs="Times New Roman"/>
                <w:sz w:val="24"/>
                <w:lang w:val="en-US" w:eastAsia="zh-CN"/>
              </w:rPr>
              <w:t>PM</w:t>
            </w:r>
            <w:r>
              <w:rPr>
                <w:rFonts w:hint="default" w:ascii="Times New Roman" w:hAnsi="Times New Roman" w:cs="Times New Roman"/>
                <w:sz w:val="24"/>
                <w:vertAlign w:val="subscript"/>
                <w:lang w:val="en-US" w:eastAsia="zh-CN"/>
              </w:rPr>
              <w:t>2.5</w:t>
            </w:r>
            <w:r>
              <w:rPr>
                <w:rFonts w:hint="eastAsia" w:ascii="Times New Roman" w:hAnsi="Times New Roman" w:cs="Times New Roman"/>
                <w:sz w:val="24"/>
                <w:lang w:val="en-US" w:eastAsia="zh-CN"/>
              </w:rPr>
              <w:t>、臭氧年评价指标均超标，济源市属于不达标区。根据《济源产城融合示范区</w:t>
            </w:r>
            <w:r>
              <w:rPr>
                <w:rFonts w:hint="default" w:ascii="Times New Roman" w:hAnsi="Times New Roman" w:cs="Times New Roman"/>
                <w:sz w:val="24"/>
                <w:lang w:val="en-US" w:eastAsia="zh-CN"/>
              </w:rPr>
              <w:t>2022</w:t>
            </w:r>
            <w:r>
              <w:rPr>
                <w:rFonts w:hint="eastAsia" w:ascii="Times New Roman" w:hAnsi="Times New Roman" w:cs="Times New Roman"/>
                <w:sz w:val="24"/>
                <w:lang w:val="en-US" w:eastAsia="zh-CN"/>
              </w:rPr>
              <w:t>年大气、水、土壤污染防治攻坚战及农业农村污染治理攻坚战实施方案的通知》（济环委办〔</w:t>
            </w:r>
            <w:r>
              <w:rPr>
                <w:rFonts w:hint="default" w:ascii="Times New Roman" w:hAnsi="Times New Roman" w:cs="Times New Roman"/>
                <w:sz w:val="24"/>
                <w:lang w:val="en-US" w:eastAsia="zh-CN"/>
              </w:rPr>
              <w:t>2022</w:t>
            </w:r>
            <w:r>
              <w:rPr>
                <w:rFonts w:hint="eastAsia" w:ascii="Times New Roman" w:hAnsi="Times New Roman" w:cs="Times New Roman"/>
                <w:sz w:val="24"/>
                <w:lang w:val="en-US" w:eastAsia="zh-CN"/>
              </w:rPr>
              <w:t>〕</w:t>
            </w:r>
            <w:r>
              <w:rPr>
                <w:rFonts w:hint="default" w:ascii="Times New Roman" w:hAnsi="Times New Roman" w:cs="Times New Roman"/>
                <w:sz w:val="24"/>
                <w:lang w:val="en-US" w:eastAsia="zh-CN"/>
              </w:rPr>
              <w:t>15</w:t>
            </w:r>
            <w:r>
              <w:rPr>
                <w:rFonts w:hint="eastAsia" w:ascii="Times New Roman" w:hAnsi="Times New Roman" w:cs="Times New Roman"/>
                <w:sz w:val="24"/>
                <w:lang w:val="en-US" w:eastAsia="zh-CN"/>
              </w:rPr>
              <w:t>号），济源产城融合示范区以深入贯彻新发展理念，坚持方向不变、力度不减，突出精准治污、科学治污、依法治污，着力调整优化产业结构、能源结构、运输结构、用地结构和农业投入结构，推动大气污染综合治理、系统细致、源头治理、实施细颗粒物与臭氧协同控制，统筹空气质量改善和碳达峰工作。这些控制、削减措施实施后，济源市境内环境空气质量可望得到进一步的改善。</w:t>
            </w:r>
          </w:p>
          <w:p>
            <w:pPr>
              <w:keepNext w:val="0"/>
              <w:keepLines w:val="0"/>
              <w:pageBreakBefore w:val="0"/>
              <w:widowControl w:val="0"/>
              <w:kinsoku/>
              <w:wordWrap/>
              <w:overflowPunct/>
              <w:topLinePunct w:val="0"/>
              <w:autoSpaceDE/>
              <w:autoSpaceDN/>
              <w:bidi w:val="0"/>
              <w:adjustRightInd w:val="0"/>
              <w:snapToGrid w:val="0"/>
              <w:ind w:firstLine="0" w:firstLineChars="0"/>
              <w:textAlignment w:val="top"/>
              <w:rPr>
                <w:rFonts w:hint="default" w:ascii="Times New Roman" w:hAnsi="Times New Roman" w:cs="Times New Roman"/>
                <w:b/>
                <w:bCs/>
                <w:color w:val="auto"/>
              </w:rPr>
            </w:pPr>
            <w:r>
              <w:rPr>
                <w:rFonts w:hint="default" w:ascii="Times New Roman" w:hAnsi="Times New Roman" w:cs="Times New Roman"/>
                <w:b/>
                <w:bCs/>
                <w:color w:val="auto"/>
              </w:rPr>
              <w:t>3、地表水环境</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textAlignment w:val="top"/>
              <w:rPr>
                <w:rFonts w:hint="default" w:ascii="Times New Roman" w:hAnsi="Times New Roman" w:cs="Times New Roman"/>
                <w:b w:val="0"/>
                <w:bCs w:val="0"/>
                <w:sz w:val="24"/>
                <w:highlight w:val="none"/>
                <w:u w:val="none"/>
                <w:lang w:val="en-US" w:eastAsia="zh-CN"/>
              </w:rPr>
            </w:pPr>
            <w:r>
              <w:rPr>
                <w:rFonts w:hint="eastAsia" w:cs="Times New Roman"/>
                <w:b w:val="0"/>
                <w:bCs w:val="0"/>
                <w:sz w:val="24"/>
                <w:highlight w:val="none"/>
                <w:u w:val="none"/>
                <w:lang w:val="en-US" w:eastAsia="zh-CN"/>
              </w:rPr>
              <w:t>项目区纳污水体为砚瓦河，砚瓦河汇入黄河</w:t>
            </w:r>
            <w:r>
              <w:rPr>
                <w:rFonts w:hint="eastAsia" w:ascii="Times New Roman" w:hAnsi="Times New Roman" w:cs="Times New Roman"/>
                <w:b w:val="0"/>
                <w:bCs w:val="0"/>
                <w:sz w:val="24"/>
                <w:highlight w:val="none"/>
                <w:u w:val="none"/>
                <w:lang w:val="en-US" w:eastAsia="zh-CN"/>
              </w:rPr>
              <w:t>。</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textAlignment w:val="top"/>
              <w:rPr>
                <w:rFonts w:hint="default" w:ascii="Times New Roman" w:hAnsi="Times New Roman" w:cs="Times New Roman"/>
                <w:sz w:val="24"/>
              </w:rPr>
            </w:pPr>
            <w:r>
              <w:rPr>
                <w:rFonts w:hint="default" w:ascii="Times New Roman" w:hAnsi="Times New Roman" w:cs="Times New Roman"/>
                <w:sz w:val="24"/>
              </w:rPr>
              <w:t>本次地表水质量现状评价参考河南省济源生态环境监测中心网站发布的2020年黄河干流月报监测数据，监测统计结果见下表。</w:t>
            </w:r>
          </w:p>
          <w:p>
            <w:pPr>
              <w:pStyle w:val="69"/>
              <w:keepNext w:val="0"/>
              <w:keepLines w:val="0"/>
              <w:pageBreakBefore w:val="0"/>
              <w:widowControl w:val="0"/>
              <w:kinsoku/>
              <w:wordWrap/>
              <w:overflowPunct/>
              <w:topLinePunct w:val="0"/>
              <w:autoSpaceDE/>
              <w:autoSpaceDN/>
              <w:bidi w:val="0"/>
              <w:spacing w:line="520" w:lineRule="exact"/>
              <w:textAlignment w:val="auto"/>
              <w:rPr>
                <w:rFonts w:hint="default" w:ascii="Times New Roman" w:hAnsi="Times New Roman" w:cs="Times New Roman"/>
                <w:color w:val="auto"/>
                <w:spacing w:val="-2"/>
                <w:sz w:val="24"/>
              </w:rPr>
            </w:pPr>
            <w:r>
              <w:rPr>
                <w:rFonts w:hint="default" w:ascii="Times New Roman" w:hAnsi="Times New Roman" w:cs="Times New Roman"/>
                <w:color w:val="auto"/>
                <w:spacing w:val="-2"/>
                <w:sz w:val="24"/>
              </w:rPr>
              <w:t xml:space="preserve">  黄河干流断面 2020 年水质监测结果表   单位：mg/L</w:t>
            </w:r>
          </w:p>
          <w:tbl>
            <w:tblPr>
              <w:tblStyle w:val="22"/>
              <w:tblW w:w="4998" w:type="pct"/>
              <w:tblInd w:w="5" w:type="dxa"/>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3086"/>
              <w:gridCol w:w="1914"/>
              <w:gridCol w:w="1764"/>
              <w:gridCol w:w="1965"/>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767" w:type="pct"/>
                  <w:tcBorders>
                    <w:tl2br w:val="nil"/>
                    <w:tr2bl w:val="nil"/>
                  </w:tcBorders>
                  <w:noWrap w:val="0"/>
                  <w:vAlign w:val="center"/>
                </w:tcPr>
                <w:p>
                  <w:pPr>
                    <w:pStyle w:val="68"/>
                    <w:keepNext w:val="0"/>
                    <w:keepLines w:val="0"/>
                    <w:pageBreakBefore w:val="0"/>
                    <w:kinsoku/>
                    <w:wordWrap/>
                    <w:overflowPunct/>
                    <w:topLinePunct w:val="0"/>
                    <w:autoSpaceDE/>
                    <w:autoSpaceDN/>
                    <w:bidi w:val="0"/>
                    <w:adjustRightInd/>
                    <w:snapToGrid w:val="0"/>
                    <w:spacing w:beforeAutospacing="0" w:afterAutospacing="0" w:line="240" w:lineRule="auto"/>
                    <w:ind w:firstLine="0" w:firstLineChars="0"/>
                    <w:textAlignment w:val="top"/>
                    <w:rPr>
                      <w:rFonts w:hint="default" w:ascii="Times New Roman" w:hAnsi="Times New Roman" w:eastAsia="宋体" w:cs="Times New Roman"/>
                      <w:sz w:val="21"/>
                      <w:szCs w:val="21"/>
                    </w:rPr>
                  </w:pPr>
                  <w:r>
                    <w:rPr>
                      <w:rFonts w:hint="default" w:ascii="Times New Roman" w:hAnsi="Times New Roman" w:eastAsia="宋体" w:cs="Times New Roman"/>
                      <w:sz w:val="21"/>
                      <w:szCs w:val="21"/>
                    </w:rPr>
                    <w:t>采样日期</w:t>
                  </w:r>
                </w:p>
              </w:tc>
              <w:tc>
                <w:tcPr>
                  <w:tcW w:w="1096" w:type="pct"/>
                  <w:tcBorders>
                    <w:tl2br w:val="nil"/>
                    <w:tr2bl w:val="nil"/>
                  </w:tcBorders>
                  <w:noWrap w:val="0"/>
                  <w:vAlign w:val="center"/>
                </w:tcPr>
                <w:p>
                  <w:pPr>
                    <w:keepNext w:val="0"/>
                    <w:keepLines w:val="0"/>
                    <w:pageBreakBefore w:val="0"/>
                    <w:kinsoku/>
                    <w:wordWrap/>
                    <w:overflowPunct/>
                    <w:topLinePunct w:val="0"/>
                    <w:autoSpaceDE/>
                    <w:autoSpaceDN/>
                    <w:bidi w:val="0"/>
                    <w:adjustRightInd/>
                    <w:snapToGrid w:val="0"/>
                    <w:spacing w:beforeAutospacing="0" w:afterAutospacing="0" w:line="240" w:lineRule="auto"/>
                    <w:ind w:firstLine="0" w:firstLineChars="0"/>
                    <w:jc w:val="center"/>
                    <w:textAlignment w:val="top"/>
                    <w:rPr>
                      <w:rFonts w:hint="default" w:ascii="Times New Roman" w:hAnsi="Times New Roman" w:cs="Times New Roman"/>
                      <w:sz w:val="21"/>
                      <w:szCs w:val="21"/>
                    </w:rPr>
                  </w:pPr>
                  <w:r>
                    <w:rPr>
                      <w:rFonts w:hint="default" w:ascii="Times New Roman" w:hAnsi="Times New Roman" w:cs="Times New Roman"/>
                      <w:sz w:val="21"/>
                      <w:szCs w:val="21"/>
                    </w:rPr>
                    <w:t>COD</w:t>
                  </w:r>
                </w:p>
              </w:tc>
              <w:tc>
                <w:tcPr>
                  <w:tcW w:w="1010" w:type="pct"/>
                  <w:tcBorders>
                    <w:tl2br w:val="nil"/>
                    <w:tr2bl w:val="nil"/>
                  </w:tcBorders>
                  <w:noWrap w:val="0"/>
                  <w:vAlign w:val="center"/>
                </w:tcPr>
                <w:p>
                  <w:pPr>
                    <w:keepNext w:val="0"/>
                    <w:keepLines w:val="0"/>
                    <w:pageBreakBefore w:val="0"/>
                    <w:kinsoku/>
                    <w:wordWrap/>
                    <w:overflowPunct/>
                    <w:topLinePunct w:val="0"/>
                    <w:autoSpaceDE/>
                    <w:autoSpaceDN/>
                    <w:bidi w:val="0"/>
                    <w:adjustRightInd/>
                    <w:snapToGrid w:val="0"/>
                    <w:spacing w:beforeAutospacing="0" w:afterAutospacing="0" w:line="240" w:lineRule="auto"/>
                    <w:ind w:firstLine="0" w:firstLineChars="0"/>
                    <w:jc w:val="center"/>
                    <w:textAlignment w:val="top"/>
                    <w:rPr>
                      <w:rFonts w:hint="default" w:ascii="Times New Roman" w:hAnsi="Times New Roman" w:cs="Times New Roman"/>
                      <w:sz w:val="21"/>
                      <w:szCs w:val="21"/>
                    </w:rPr>
                  </w:pPr>
                  <w:r>
                    <w:rPr>
                      <w:rFonts w:hint="default" w:ascii="Times New Roman" w:hAnsi="Times New Roman" w:cs="Times New Roman"/>
                      <w:sz w:val="21"/>
                      <w:szCs w:val="21"/>
                    </w:rPr>
                    <w:t>氨氮</w:t>
                  </w:r>
                </w:p>
              </w:tc>
              <w:tc>
                <w:tcPr>
                  <w:tcW w:w="1125" w:type="pct"/>
                  <w:tcBorders>
                    <w:tl2br w:val="nil"/>
                    <w:tr2bl w:val="nil"/>
                  </w:tcBorders>
                  <w:noWrap w:val="0"/>
                  <w:vAlign w:val="center"/>
                </w:tcPr>
                <w:p>
                  <w:pPr>
                    <w:keepNext w:val="0"/>
                    <w:keepLines w:val="0"/>
                    <w:pageBreakBefore w:val="0"/>
                    <w:kinsoku/>
                    <w:wordWrap/>
                    <w:overflowPunct/>
                    <w:topLinePunct w:val="0"/>
                    <w:autoSpaceDE/>
                    <w:autoSpaceDN/>
                    <w:bidi w:val="0"/>
                    <w:adjustRightInd/>
                    <w:snapToGrid w:val="0"/>
                    <w:spacing w:beforeAutospacing="0" w:afterAutospacing="0" w:line="240" w:lineRule="auto"/>
                    <w:ind w:firstLine="0" w:firstLineChars="0"/>
                    <w:jc w:val="center"/>
                    <w:textAlignment w:val="top"/>
                    <w:rPr>
                      <w:rFonts w:hint="default" w:ascii="Times New Roman" w:hAnsi="Times New Roman" w:cs="Times New Roman"/>
                      <w:sz w:val="21"/>
                      <w:szCs w:val="21"/>
                    </w:rPr>
                  </w:pPr>
                  <w:r>
                    <w:rPr>
                      <w:rFonts w:hint="default" w:ascii="Times New Roman" w:hAnsi="Times New Roman" w:cs="Times New Roman"/>
                      <w:sz w:val="21"/>
                      <w:szCs w:val="21"/>
                    </w:rPr>
                    <w:t>总磷</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767" w:type="pct"/>
                  <w:tcBorders>
                    <w:tl2br w:val="nil"/>
                    <w:tr2bl w:val="nil"/>
                  </w:tcBorders>
                  <w:noWrap w:val="0"/>
                  <w:vAlign w:val="center"/>
                </w:tcPr>
                <w:p>
                  <w:pPr>
                    <w:pStyle w:val="68"/>
                    <w:keepNext w:val="0"/>
                    <w:keepLines w:val="0"/>
                    <w:pageBreakBefore w:val="0"/>
                    <w:kinsoku/>
                    <w:wordWrap/>
                    <w:overflowPunct/>
                    <w:topLinePunct w:val="0"/>
                    <w:autoSpaceDE/>
                    <w:autoSpaceDN/>
                    <w:bidi w:val="0"/>
                    <w:adjustRightInd/>
                    <w:snapToGrid w:val="0"/>
                    <w:spacing w:beforeAutospacing="0" w:afterAutospacing="0" w:line="240" w:lineRule="auto"/>
                    <w:ind w:firstLine="0" w:firstLineChars="0"/>
                    <w:textAlignment w:val="top"/>
                    <w:rPr>
                      <w:rFonts w:hint="default" w:ascii="Times New Roman" w:hAnsi="Times New Roman" w:eastAsia="宋体" w:cs="Times New Roman"/>
                      <w:sz w:val="21"/>
                      <w:szCs w:val="21"/>
                    </w:rPr>
                  </w:pPr>
                  <w:r>
                    <w:rPr>
                      <w:rFonts w:hint="default" w:ascii="Times New Roman" w:hAnsi="Times New Roman" w:eastAsia="宋体" w:cs="Times New Roman"/>
                      <w:sz w:val="21"/>
                      <w:szCs w:val="21"/>
                    </w:rPr>
                    <w:t>2020-01</w:t>
                  </w:r>
                </w:p>
              </w:tc>
              <w:tc>
                <w:tcPr>
                  <w:tcW w:w="1096" w:type="pct"/>
                  <w:tcBorders>
                    <w:tl2br w:val="nil"/>
                    <w:tr2bl w:val="nil"/>
                  </w:tcBorders>
                  <w:noWrap w:val="0"/>
                  <w:vAlign w:val="center"/>
                </w:tcPr>
                <w:p>
                  <w:pPr>
                    <w:keepNext w:val="0"/>
                    <w:keepLines w:val="0"/>
                    <w:pageBreakBefore w:val="0"/>
                    <w:kinsoku/>
                    <w:wordWrap/>
                    <w:overflowPunct/>
                    <w:topLinePunct w:val="0"/>
                    <w:autoSpaceDE/>
                    <w:autoSpaceDN/>
                    <w:bidi w:val="0"/>
                    <w:adjustRightInd/>
                    <w:snapToGrid w:val="0"/>
                    <w:spacing w:beforeAutospacing="0" w:afterAutospacing="0" w:line="240" w:lineRule="auto"/>
                    <w:ind w:firstLine="0" w:firstLineChars="0"/>
                    <w:jc w:val="center"/>
                    <w:textAlignment w:val="top"/>
                    <w:rPr>
                      <w:rFonts w:hint="default" w:ascii="Times New Roman" w:hAnsi="Times New Roman" w:cs="Times New Roman"/>
                      <w:sz w:val="21"/>
                      <w:szCs w:val="21"/>
                    </w:rPr>
                  </w:pPr>
                  <w:r>
                    <w:rPr>
                      <w:rFonts w:hint="default" w:ascii="Times New Roman" w:hAnsi="Times New Roman" w:cs="Times New Roman"/>
                      <w:sz w:val="21"/>
                      <w:szCs w:val="21"/>
                    </w:rPr>
                    <w:t>10</w:t>
                  </w:r>
                </w:p>
              </w:tc>
              <w:tc>
                <w:tcPr>
                  <w:tcW w:w="1010" w:type="pct"/>
                  <w:tcBorders>
                    <w:tl2br w:val="nil"/>
                    <w:tr2bl w:val="nil"/>
                  </w:tcBorders>
                  <w:noWrap w:val="0"/>
                  <w:vAlign w:val="center"/>
                </w:tcPr>
                <w:p>
                  <w:pPr>
                    <w:keepNext w:val="0"/>
                    <w:keepLines w:val="0"/>
                    <w:pageBreakBefore w:val="0"/>
                    <w:kinsoku/>
                    <w:wordWrap/>
                    <w:overflowPunct/>
                    <w:topLinePunct w:val="0"/>
                    <w:autoSpaceDE/>
                    <w:autoSpaceDN/>
                    <w:bidi w:val="0"/>
                    <w:adjustRightInd/>
                    <w:snapToGrid w:val="0"/>
                    <w:spacing w:beforeAutospacing="0" w:afterAutospacing="0" w:line="240" w:lineRule="auto"/>
                    <w:ind w:firstLine="0" w:firstLineChars="0"/>
                    <w:jc w:val="center"/>
                    <w:textAlignment w:val="top"/>
                    <w:rPr>
                      <w:rFonts w:hint="default" w:ascii="Times New Roman" w:hAnsi="Times New Roman" w:cs="Times New Roman"/>
                      <w:sz w:val="21"/>
                      <w:szCs w:val="21"/>
                    </w:rPr>
                  </w:pPr>
                  <w:r>
                    <w:rPr>
                      <w:rFonts w:hint="default" w:ascii="Times New Roman" w:hAnsi="Times New Roman" w:cs="Times New Roman"/>
                      <w:sz w:val="21"/>
                      <w:szCs w:val="21"/>
                    </w:rPr>
                    <w:t>0.21</w:t>
                  </w:r>
                </w:p>
              </w:tc>
              <w:tc>
                <w:tcPr>
                  <w:tcW w:w="1125" w:type="pct"/>
                  <w:tcBorders>
                    <w:tl2br w:val="nil"/>
                    <w:tr2bl w:val="nil"/>
                  </w:tcBorders>
                  <w:noWrap w:val="0"/>
                  <w:vAlign w:val="center"/>
                </w:tcPr>
                <w:p>
                  <w:pPr>
                    <w:keepNext w:val="0"/>
                    <w:keepLines w:val="0"/>
                    <w:pageBreakBefore w:val="0"/>
                    <w:kinsoku/>
                    <w:wordWrap/>
                    <w:overflowPunct/>
                    <w:topLinePunct w:val="0"/>
                    <w:autoSpaceDE/>
                    <w:autoSpaceDN/>
                    <w:bidi w:val="0"/>
                    <w:adjustRightInd/>
                    <w:snapToGrid w:val="0"/>
                    <w:spacing w:beforeAutospacing="0" w:afterAutospacing="0" w:line="240" w:lineRule="auto"/>
                    <w:ind w:firstLine="0" w:firstLineChars="0"/>
                    <w:jc w:val="center"/>
                    <w:textAlignment w:val="top"/>
                    <w:rPr>
                      <w:rFonts w:hint="default" w:ascii="Times New Roman" w:hAnsi="Times New Roman" w:cs="Times New Roman"/>
                      <w:sz w:val="21"/>
                      <w:szCs w:val="21"/>
                    </w:rPr>
                  </w:pPr>
                  <w:r>
                    <w:rPr>
                      <w:rFonts w:hint="default" w:ascii="Times New Roman" w:hAnsi="Times New Roman" w:cs="Times New Roman"/>
                      <w:sz w:val="21"/>
                      <w:szCs w:val="21"/>
                    </w:rPr>
                    <w:t>0.008</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767" w:type="pct"/>
                  <w:tcBorders>
                    <w:tl2br w:val="nil"/>
                    <w:tr2bl w:val="nil"/>
                  </w:tcBorders>
                  <w:noWrap w:val="0"/>
                  <w:vAlign w:val="center"/>
                </w:tcPr>
                <w:p>
                  <w:pPr>
                    <w:pStyle w:val="68"/>
                    <w:keepNext w:val="0"/>
                    <w:keepLines w:val="0"/>
                    <w:pageBreakBefore w:val="0"/>
                    <w:kinsoku/>
                    <w:wordWrap/>
                    <w:overflowPunct/>
                    <w:topLinePunct w:val="0"/>
                    <w:autoSpaceDE/>
                    <w:autoSpaceDN/>
                    <w:bidi w:val="0"/>
                    <w:adjustRightInd/>
                    <w:snapToGrid w:val="0"/>
                    <w:spacing w:beforeAutospacing="0" w:afterAutospacing="0" w:line="240" w:lineRule="auto"/>
                    <w:ind w:firstLine="0" w:firstLineChars="0"/>
                    <w:textAlignment w:val="top"/>
                    <w:rPr>
                      <w:rFonts w:hint="default" w:ascii="Times New Roman" w:hAnsi="Times New Roman" w:eastAsia="宋体" w:cs="Times New Roman"/>
                      <w:sz w:val="21"/>
                      <w:szCs w:val="21"/>
                    </w:rPr>
                  </w:pPr>
                  <w:r>
                    <w:rPr>
                      <w:rFonts w:hint="default" w:ascii="Times New Roman" w:hAnsi="Times New Roman" w:eastAsia="宋体" w:cs="Times New Roman"/>
                      <w:sz w:val="21"/>
                      <w:szCs w:val="21"/>
                    </w:rPr>
                    <w:t>2020-02</w:t>
                  </w:r>
                </w:p>
              </w:tc>
              <w:tc>
                <w:tcPr>
                  <w:tcW w:w="1096" w:type="pct"/>
                  <w:tcBorders>
                    <w:tl2br w:val="nil"/>
                    <w:tr2bl w:val="nil"/>
                  </w:tcBorders>
                  <w:noWrap w:val="0"/>
                  <w:vAlign w:val="center"/>
                </w:tcPr>
                <w:p>
                  <w:pPr>
                    <w:keepNext w:val="0"/>
                    <w:keepLines w:val="0"/>
                    <w:pageBreakBefore w:val="0"/>
                    <w:kinsoku/>
                    <w:wordWrap/>
                    <w:overflowPunct/>
                    <w:topLinePunct w:val="0"/>
                    <w:autoSpaceDE/>
                    <w:autoSpaceDN/>
                    <w:bidi w:val="0"/>
                    <w:adjustRightInd/>
                    <w:snapToGrid w:val="0"/>
                    <w:spacing w:beforeAutospacing="0" w:afterAutospacing="0" w:line="240" w:lineRule="auto"/>
                    <w:ind w:firstLine="0" w:firstLineChars="0"/>
                    <w:jc w:val="center"/>
                    <w:textAlignment w:val="top"/>
                    <w:rPr>
                      <w:rFonts w:hint="default" w:ascii="Times New Roman" w:hAnsi="Times New Roman" w:cs="Times New Roman"/>
                      <w:sz w:val="21"/>
                      <w:szCs w:val="21"/>
                    </w:rPr>
                  </w:pPr>
                  <w:r>
                    <w:rPr>
                      <w:rFonts w:hint="default" w:ascii="Times New Roman" w:hAnsi="Times New Roman" w:cs="Times New Roman"/>
                      <w:sz w:val="21"/>
                      <w:szCs w:val="21"/>
                    </w:rPr>
                    <w:t>10</w:t>
                  </w:r>
                </w:p>
              </w:tc>
              <w:tc>
                <w:tcPr>
                  <w:tcW w:w="1010" w:type="pct"/>
                  <w:tcBorders>
                    <w:tl2br w:val="nil"/>
                    <w:tr2bl w:val="nil"/>
                  </w:tcBorders>
                  <w:noWrap w:val="0"/>
                  <w:vAlign w:val="center"/>
                </w:tcPr>
                <w:p>
                  <w:pPr>
                    <w:keepNext w:val="0"/>
                    <w:keepLines w:val="0"/>
                    <w:pageBreakBefore w:val="0"/>
                    <w:kinsoku/>
                    <w:wordWrap/>
                    <w:overflowPunct/>
                    <w:topLinePunct w:val="0"/>
                    <w:autoSpaceDE/>
                    <w:autoSpaceDN/>
                    <w:bidi w:val="0"/>
                    <w:adjustRightInd/>
                    <w:snapToGrid w:val="0"/>
                    <w:spacing w:beforeAutospacing="0" w:afterAutospacing="0" w:line="240" w:lineRule="auto"/>
                    <w:ind w:firstLine="0" w:firstLineChars="0"/>
                    <w:jc w:val="center"/>
                    <w:textAlignment w:val="top"/>
                    <w:rPr>
                      <w:rFonts w:hint="default" w:ascii="Times New Roman" w:hAnsi="Times New Roman" w:cs="Times New Roman"/>
                      <w:sz w:val="21"/>
                      <w:szCs w:val="21"/>
                    </w:rPr>
                  </w:pPr>
                  <w:r>
                    <w:rPr>
                      <w:rFonts w:hint="default" w:ascii="Times New Roman" w:hAnsi="Times New Roman" w:cs="Times New Roman"/>
                      <w:sz w:val="21"/>
                      <w:szCs w:val="21"/>
                    </w:rPr>
                    <w:t>0.21</w:t>
                  </w:r>
                </w:p>
              </w:tc>
              <w:tc>
                <w:tcPr>
                  <w:tcW w:w="1125" w:type="pct"/>
                  <w:tcBorders>
                    <w:tl2br w:val="nil"/>
                    <w:tr2bl w:val="nil"/>
                  </w:tcBorders>
                  <w:noWrap w:val="0"/>
                  <w:vAlign w:val="center"/>
                </w:tcPr>
                <w:p>
                  <w:pPr>
                    <w:keepNext w:val="0"/>
                    <w:keepLines w:val="0"/>
                    <w:pageBreakBefore w:val="0"/>
                    <w:kinsoku/>
                    <w:wordWrap/>
                    <w:overflowPunct/>
                    <w:topLinePunct w:val="0"/>
                    <w:autoSpaceDE/>
                    <w:autoSpaceDN/>
                    <w:bidi w:val="0"/>
                    <w:adjustRightInd/>
                    <w:snapToGrid w:val="0"/>
                    <w:spacing w:beforeAutospacing="0" w:afterAutospacing="0" w:line="240" w:lineRule="auto"/>
                    <w:ind w:firstLine="0" w:firstLineChars="0"/>
                    <w:jc w:val="center"/>
                    <w:textAlignment w:val="top"/>
                    <w:rPr>
                      <w:rFonts w:hint="default" w:ascii="Times New Roman" w:hAnsi="Times New Roman" w:cs="Times New Roman"/>
                      <w:sz w:val="21"/>
                      <w:szCs w:val="21"/>
                    </w:rPr>
                  </w:pPr>
                  <w:r>
                    <w:rPr>
                      <w:rFonts w:hint="default" w:ascii="Times New Roman" w:hAnsi="Times New Roman" w:cs="Times New Roman"/>
                      <w:sz w:val="21"/>
                      <w:szCs w:val="21"/>
                    </w:rPr>
                    <w:t>0.008</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767" w:type="pct"/>
                  <w:tcBorders>
                    <w:tl2br w:val="nil"/>
                    <w:tr2bl w:val="nil"/>
                  </w:tcBorders>
                  <w:noWrap w:val="0"/>
                  <w:vAlign w:val="center"/>
                </w:tcPr>
                <w:p>
                  <w:pPr>
                    <w:pStyle w:val="68"/>
                    <w:keepNext w:val="0"/>
                    <w:keepLines w:val="0"/>
                    <w:pageBreakBefore w:val="0"/>
                    <w:kinsoku/>
                    <w:wordWrap/>
                    <w:overflowPunct/>
                    <w:topLinePunct w:val="0"/>
                    <w:autoSpaceDE/>
                    <w:autoSpaceDN/>
                    <w:bidi w:val="0"/>
                    <w:adjustRightInd/>
                    <w:snapToGrid w:val="0"/>
                    <w:spacing w:beforeAutospacing="0" w:afterAutospacing="0" w:line="240" w:lineRule="auto"/>
                    <w:ind w:firstLine="0" w:firstLineChars="0"/>
                    <w:textAlignment w:val="top"/>
                    <w:rPr>
                      <w:rFonts w:hint="default" w:ascii="Times New Roman" w:hAnsi="Times New Roman" w:eastAsia="宋体" w:cs="Times New Roman"/>
                      <w:sz w:val="21"/>
                      <w:szCs w:val="21"/>
                    </w:rPr>
                  </w:pPr>
                  <w:r>
                    <w:rPr>
                      <w:rFonts w:hint="default" w:ascii="Times New Roman" w:hAnsi="Times New Roman" w:eastAsia="宋体" w:cs="Times New Roman"/>
                      <w:sz w:val="21"/>
                      <w:szCs w:val="21"/>
                    </w:rPr>
                    <w:t>2020-03</w:t>
                  </w:r>
                </w:p>
              </w:tc>
              <w:tc>
                <w:tcPr>
                  <w:tcW w:w="1096" w:type="pct"/>
                  <w:tcBorders>
                    <w:tl2br w:val="nil"/>
                    <w:tr2bl w:val="nil"/>
                  </w:tcBorders>
                  <w:noWrap w:val="0"/>
                  <w:vAlign w:val="center"/>
                </w:tcPr>
                <w:p>
                  <w:pPr>
                    <w:keepNext w:val="0"/>
                    <w:keepLines w:val="0"/>
                    <w:pageBreakBefore w:val="0"/>
                    <w:kinsoku/>
                    <w:wordWrap/>
                    <w:overflowPunct/>
                    <w:topLinePunct w:val="0"/>
                    <w:autoSpaceDE/>
                    <w:autoSpaceDN/>
                    <w:bidi w:val="0"/>
                    <w:adjustRightInd/>
                    <w:snapToGrid w:val="0"/>
                    <w:spacing w:beforeAutospacing="0" w:afterAutospacing="0" w:line="240" w:lineRule="auto"/>
                    <w:ind w:firstLine="0" w:firstLineChars="0"/>
                    <w:jc w:val="center"/>
                    <w:textAlignment w:val="top"/>
                    <w:rPr>
                      <w:rFonts w:hint="default" w:ascii="Times New Roman" w:hAnsi="Times New Roman" w:cs="Times New Roman"/>
                      <w:sz w:val="21"/>
                      <w:szCs w:val="21"/>
                    </w:rPr>
                  </w:pPr>
                  <w:r>
                    <w:rPr>
                      <w:rFonts w:hint="default" w:ascii="Times New Roman" w:hAnsi="Times New Roman" w:cs="Times New Roman"/>
                      <w:sz w:val="21"/>
                      <w:szCs w:val="21"/>
                    </w:rPr>
                    <w:t>6.3</w:t>
                  </w:r>
                </w:p>
              </w:tc>
              <w:tc>
                <w:tcPr>
                  <w:tcW w:w="1010" w:type="pct"/>
                  <w:tcBorders>
                    <w:tl2br w:val="nil"/>
                    <w:tr2bl w:val="nil"/>
                  </w:tcBorders>
                  <w:noWrap w:val="0"/>
                  <w:vAlign w:val="center"/>
                </w:tcPr>
                <w:p>
                  <w:pPr>
                    <w:keepNext w:val="0"/>
                    <w:keepLines w:val="0"/>
                    <w:pageBreakBefore w:val="0"/>
                    <w:kinsoku/>
                    <w:wordWrap/>
                    <w:overflowPunct/>
                    <w:topLinePunct w:val="0"/>
                    <w:autoSpaceDE/>
                    <w:autoSpaceDN/>
                    <w:bidi w:val="0"/>
                    <w:adjustRightInd/>
                    <w:snapToGrid w:val="0"/>
                    <w:spacing w:beforeAutospacing="0" w:afterAutospacing="0" w:line="240" w:lineRule="auto"/>
                    <w:ind w:firstLine="0" w:firstLineChars="0"/>
                    <w:jc w:val="center"/>
                    <w:textAlignment w:val="top"/>
                    <w:rPr>
                      <w:rFonts w:hint="default" w:ascii="Times New Roman" w:hAnsi="Times New Roman" w:cs="Times New Roman"/>
                      <w:sz w:val="21"/>
                      <w:szCs w:val="21"/>
                    </w:rPr>
                  </w:pPr>
                  <w:r>
                    <w:rPr>
                      <w:rFonts w:hint="default" w:ascii="Times New Roman" w:hAnsi="Times New Roman" w:cs="Times New Roman"/>
                      <w:sz w:val="21"/>
                      <w:szCs w:val="21"/>
                    </w:rPr>
                    <w:t>0.28</w:t>
                  </w:r>
                </w:p>
              </w:tc>
              <w:tc>
                <w:tcPr>
                  <w:tcW w:w="1125" w:type="pct"/>
                  <w:tcBorders>
                    <w:tl2br w:val="nil"/>
                    <w:tr2bl w:val="nil"/>
                  </w:tcBorders>
                  <w:noWrap w:val="0"/>
                  <w:vAlign w:val="center"/>
                </w:tcPr>
                <w:p>
                  <w:pPr>
                    <w:keepNext w:val="0"/>
                    <w:keepLines w:val="0"/>
                    <w:pageBreakBefore w:val="0"/>
                    <w:kinsoku/>
                    <w:wordWrap/>
                    <w:overflowPunct/>
                    <w:topLinePunct w:val="0"/>
                    <w:autoSpaceDE/>
                    <w:autoSpaceDN/>
                    <w:bidi w:val="0"/>
                    <w:adjustRightInd/>
                    <w:snapToGrid w:val="0"/>
                    <w:spacing w:beforeAutospacing="0" w:afterAutospacing="0" w:line="240" w:lineRule="auto"/>
                    <w:ind w:firstLine="0" w:firstLineChars="0"/>
                    <w:jc w:val="center"/>
                    <w:textAlignment w:val="top"/>
                    <w:rPr>
                      <w:rFonts w:hint="default" w:ascii="Times New Roman" w:hAnsi="Times New Roman" w:cs="Times New Roman"/>
                      <w:sz w:val="21"/>
                      <w:szCs w:val="21"/>
                    </w:rPr>
                  </w:pPr>
                  <w:r>
                    <w:rPr>
                      <w:rFonts w:hint="default" w:ascii="Times New Roman" w:hAnsi="Times New Roman" w:cs="Times New Roman"/>
                      <w:sz w:val="21"/>
                      <w:szCs w:val="21"/>
                    </w:rPr>
                    <w:t>0.033</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767" w:type="pct"/>
                  <w:tcBorders>
                    <w:tl2br w:val="nil"/>
                    <w:tr2bl w:val="nil"/>
                  </w:tcBorders>
                  <w:noWrap w:val="0"/>
                  <w:vAlign w:val="center"/>
                </w:tcPr>
                <w:p>
                  <w:pPr>
                    <w:pStyle w:val="68"/>
                    <w:keepNext w:val="0"/>
                    <w:keepLines w:val="0"/>
                    <w:pageBreakBefore w:val="0"/>
                    <w:kinsoku/>
                    <w:wordWrap/>
                    <w:overflowPunct/>
                    <w:topLinePunct w:val="0"/>
                    <w:autoSpaceDE/>
                    <w:autoSpaceDN/>
                    <w:bidi w:val="0"/>
                    <w:adjustRightInd/>
                    <w:snapToGrid w:val="0"/>
                    <w:spacing w:beforeAutospacing="0" w:afterAutospacing="0" w:line="240" w:lineRule="auto"/>
                    <w:ind w:firstLine="0" w:firstLineChars="0"/>
                    <w:textAlignment w:val="top"/>
                    <w:rPr>
                      <w:rFonts w:hint="default" w:ascii="Times New Roman" w:hAnsi="Times New Roman" w:eastAsia="宋体" w:cs="Times New Roman"/>
                      <w:sz w:val="21"/>
                      <w:szCs w:val="21"/>
                    </w:rPr>
                  </w:pPr>
                  <w:r>
                    <w:rPr>
                      <w:rFonts w:hint="default" w:ascii="Times New Roman" w:hAnsi="Times New Roman" w:eastAsia="宋体" w:cs="Times New Roman"/>
                      <w:sz w:val="21"/>
                      <w:szCs w:val="21"/>
                    </w:rPr>
                    <w:t>2020-04</w:t>
                  </w:r>
                </w:p>
              </w:tc>
              <w:tc>
                <w:tcPr>
                  <w:tcW w:w="1096" w:type="pct"/>
                  <w:tcBorders>
                    <w:tl2br w:val="nil"/>
                    <w:tr2bl w:val="nil"/>
                  </w:tcBorders>
                  <w:noWrap w:val="0"/>
                  <w:vAlign w:val="center"/>
                </w:tcPr>
                <w:p>
                  <w:pPr>
                    <w:keepNext w:val="0"/>
                    <w:keepLines w:val="0"/>
                    <w:pageBreakBefore w:val="0"/>
                    <w:kinsoku/>
                    <w:wordWrap/>
                    <w:overflowPunct/>
                    <w:topLinePunct w:val="0"/>
                    <w:autoSpaceDE/>
                    <w:autoSpaceDN/>
                    <w:bidi w:val="0"/>
                    <w:adjustRightInd/>
                    <w:snapToGrid w:val="0"/>
                    <w:spacing w:beforeAutospacing="0" w:afterAutospacing="0" w:line="240" w:lineRule="auto"/>
                    <w:ind w:firstLine="0" w:firstLineChars="0"/>
                    <w:jc w:val="center"/>
                    <w:textAlignment w:val="top"/>
                    <w:rPr>
                      <w:rFonts w:hint="default" w:ascii="Times New Roman" w:hAnsi="Times New Roman" w:cs="Times New Roman"/>
                      <w:sz w:val="21"/>
                      <w:szCs w:val="21"/>
                    </w:rPr>
                  </w:pPr>
                  <w:r>
                    <w:rPr>
                      <w:rFonts w:hint="default" w:ascii="Times New Roman" w:hAnsi="Times New Roman" w:cs="Times New Roman"/>
                      <w:sz w:val="21"/>
                      <w:szCs w:val="21"/>
                    </w:rPr>
                    <w:t>5</w:t>
                  </w:r>
                </w:p>
              </w:tc>
              <w:tc>
                <w:tcPr>
                  <w:tcW w:w="1010" w:type="pct"/>
                  <w:tcBorders>
                    <w:tl2br w:val="nil"/>
                    <w:tr2bl w:val="nil"/>
                  </w:tcBorders>
                  <w:noWrap w:val="0"/>
                  <w:vAlign w:val="center"/>
                </w:tcPr>
                <w:p>
                  <w:pPr>
                    <w:keepNext w:val="0"/>
                    <w:keepLines w:val="0"/>
                    <w:pageBreakBefore w:val="0"/>
                    <w:kinsoku/>
                    <w:wordWrap/>
                    <w:overflowPunct/>
                    <w:topLinePunct w:val="0"/>
                    <w:autoSpaceDE/>
                    <w:autoSpaceDN/>
                    <w:bidi w:val="0"/>
                    <w:adjustRightInd/>
                    <w:snapToGrid w:val="0"/>
                    <w:spacing w:beforeAutospacing="0" w:afterAutospacing="0" w:line="240" w:lineRule="auto"/>
                    <w:ind w:firstLine="0" w:firstLineChars="0"/>
                    <w:jc w:val="center"/>
                    <w:textAlignment w:val="top"/>
                    <w:rPr>
                      <w:rFonts w:hint="default" w:ascii="Times New Roman" w:hAnsi="Times New Roman" w:cs="Times New Roman"/>
                      <w:sz w:val="21"/>
                      <w:szCs w:val="21"/>
                    </w:rPr>
                  </w:pPr>
                  <w:r>
                    <w:rPr>
                      <w:rFonts w:hint="default" w:ascii="Times New Roman" w:hAnsi="Times New Roman" w:cs="Times New Roman"/>
                      <w:sz w:val="21"/>
                      <w:szCs w:val="21"/>
                    </w:rPr>
                    <w:t>0.1</w:t>
                  </w:r>
                </w:p>
              </w:tc>
              <w:tc>
                <w:tcPr>
                  <w:tcW w:w="1125" w:type="pct"/>
                  <w:tcBorders>
                    <w:tl2br w:val="nil"/>
                    <w:tr2bl w:val="nil"/>
                  </w:tcBorders>
                  <w:noWrap w:val="0"/>
                  <w:vAlign w:val="center"/>
                </w:tcPr>
                <w:p>
                  <w:pPr>
                    <w:keepNext w:val="0"/>
                    <w:keepLines w:val="0"/>
                    <w:pageBreakBefore w:val="0"/>
                    <w:kinsoku/>
                    <w:wordWrap/>
                    <w:overflowPunct/>
                    <w:topLinePunct w:val="0"/>
                    <w:autoSpaceDE/>
                    <w:autoSpaceDN/>
                    <w:bidi w:val="0"/>
                    <w:adjustRightInd/>
                    <w:snapToGrid w:val="0"/>
                    <w:spacing w:beforeAutospacing="0" w:afterAutospacing="0" w:line="240" w:lineRule="auto"/>
                    <w:ind w:firstLine="0" w:firstLineChars="0"/>
                    <w:jc w:val="center"/>
                    <w:textAlignment w:val="top"/>
                    <w:rPr>
                      <w:rFonts w:hint="default" w:ascii="Times New Roman" w:hAnsi="Times New Roman" w:cs="Times New Roman"/>
                      <w:sz w:val="21"/>
                      <w:szCs w:val="21"/>
                    </w:rPr>
                  </w:pPr>
                  <w:r>
                    <w:rPr>
                      <w:rFonts w:hint="default" w:ascii="Times New Roman" w:hAnsi="Times New Roman" w:cs="Times New Roman"/>
                      <w:sz w:val="21"/>
                      <w:szCs w:val="21"/>
                    </w:rPr>
                    <w:t>0.02</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767" w:type="pct"/>
                  <w:tcBorders>
                    <w:tl2br w:val="nil"/>
                    <w:tr2bl w:val="nil"/>
                  </w:tcBorders>
                  <w:noWrap w:val="0"/>
                  <w:vAlign w:val="center"/>
                </w:tcPr>
                <w:p>
                  <w:pPr>
                    <w:pStyle w:val="68"/>
                    <w:keepNext w:val="0"/>
                    <w:keepLines w:val="0"/>
                    <w:pageBreakBefore w:val="0"/>
                    <w:kinsoku/>
                    <w:wordWrap/>
                    <w:overflowPunct/>
                    <w:topLinePunct w:val="0"/>
                    <w:autoSpaceDE/>
                    <w:autoSpaceDN/>
                    <w:bidi w:val="0"/>
                    <w:adjustRightInd/>
                    <w:snapToGrid w:val="0"/>
                    <w:spacing w:beforeAutospacing="0" w:afterAutospacing="0" w:line="240" w:lineRule="auto"/>
                    <w:ind w:firstLine="0" w:firstLineChars="0"/>
                    <w:textAlignment w:val="top"/>
                    <w:rPr>
                      <w:rFonts w:hint="default" w:ascii="Times New Roman" w:hAnsi="Times New Roman" w:eastAsia="宋体" w:cs="Times New Roman"/>
                      <w:sz w:val="21"/>
                      <w:szCs w:val="21"/>
                    </w:rPr>
                  </w:pPr>
                  <w:r>
                    <w:rPr>
                      <w:rFonts w:hint="default" w:ascii="Times New Roman" w:hAnsi="Times New Roman" w:eastAsia="宋体" w:cs="Times New Roman"/>
                      <w:sz w:val="21"/>
                      <w:szCs w:val="21"/>
                    </w:rPr>
                    <w:t>2020-05</w:t>
                  </w:r>
                </w:p>
              </w:tc>
              <w:tc>
                <w:tcPr>
                  <w:tcW w:w="1096" w:type="pct"/>
                  <w:tcBorders>
                    <w:tl2br w:val="nil"/>
                    <w:tr2bl w:val="nil"/>
                  </w:tcBorders>
                  <w:noWrap w:val="0"/>
                  <w:vAlign w:val="center"/>
                </w:tcPr>
                <w:p>
                  <w:pPr>
                    <w:keepNext w:val="0"/>
                    <w:keepLines w:val="0"/>
                    <w:pageBreakBefore w:val="0"/>
                    <w:kinsoku/>
                    <w:wordWrap/>
                    <w:overflowPunct/>
                    <w:topLinePunct w:val="0"/>
                    <w:autoSpaceDE/>
                    <w:autoSpaceDN/>
                    <w:bidi w:val="0"/>
                    <w:adjustRightInd/>
                    <w:snapToGrid w:val="0"/>
                    <w:spacing w:beforeAutospacing="0" w:afterAutospacing="0" w:line="240" w:lineRule="auto"/>
                    <w:ind w:firstLine="0" w:firstLineChars="0"/>
                    <w:jc w:val="center"/>
                    <w:textAlignment w:val="top"/>
                    <w:rPr>
                      <w:rFonts w:hint="default" w:ascii="Times New Roman" w:hAnsi="Times New Roman" w:cs="Times New Roman"/>
                      <w:sz w:val="21"/>
                      <w:szCs w:val="21"/>
                    </w:rPr>
                  </w:pPr>
                  <w:r>
                    <w:rPr>
                      <w:rFonts w:hint="default" w:ascii="Times New Roman" w:hAnsi="Times New Roman" w:cs="Times New Roman"/>
                      <w:sz w:val="21"/>
                      <w:szCs w:val="21"/>
                    </w:rPr>
                    <w:t>8.8</w:t>
                  </w:r>
                </w:p>
              </w:tc>
              <w:tc>
                <w:tcPr>
                  <w:tcW w:w="1010" w:type="pct"/>
                  <w:tcBorders>
                    <w:tl2br w:val="nil"/>
                    <w:tr2bl w:val="nil"/>
                  </w:tcBorders>
                  <w:noWrap w:val="0"/>
                  <w:vAlign w:val="center"/>
                </w:tcPr>
                <w:p>
                  <w:pPr>
                    <w:keepNext w:val="0"/>
                    <w:keepLines w:val="0"/>
                    <w:pageBreakBefore w:val="0"/>
                    <w:kinsoku/>
                    <w:wordWrap/>
                    <w:overflowPunct/>
                    <w:topLinePunct w:val="0"/>
                    <w:autoSpaceDE/>
                    <w:autoSpaceDN/>
                    <w:bidi w:val="0"/>
                    <w:adjustRightInd/>
                    <w:snapToGrid w:val="0"/>
                    <w:spacing w:beforeAutospacing="0" w:afterAutospacing="0" w:line="240" w:lineRule="auto"/>
                    <w:ind w:firstLine="0" w:firstLineChars="0"/>
                    <w:jc w:val="center"/>
                    <w:textAlignment w:val="top"/>
                    <w:rPr>
                      <w:rFonts w:hint="default" w:ascii="Times New Roman" w:hAnsi="Times New Roman" w:cs="Times New Roman"/>
                      <w:sz w:val="21"/>
                      <w:szCs w:val="21"/>
                    </w:rPr>
                  </w:pPr>
                  <w:r>
                    <w:rPr>
                      <w:rFonts w:hint="default" w:ascii="Times New Roman" w:hAnsi="Times New Roman" w:cs="Times New Roman"/>
                      <w:sz w:val="21"/>
                      <w:szCs w:val="21"/>
                    </w:rPr>
                    <w:t>0.06</w:t>
                  </w:r>
                </w:p>
              </w:tc>
              <w:tc>
                <w:tcPr>
                  <w:tcW w:w="1125" w:type="pct"/>
                  <w:tcBorders>
                    <w:tl2br w:val="nil"/>
                    <w:tr2bl w:val="nil"/>
                  </w:tcBorders>
                  <w:noWrap w:val="0"/>
                  <w:vAlign w:val="center"/>
                </w:tcPr>
                <w:p>
                  <w:pPr>
                    <w:keepNext w:val="0"/>
                    <w:keepLines w:val="0"/>
                    <w:pageBreakBefore w:val="0"/>
                    <w:kinsoku/>
                    <w:wordWrap/>
                    <w:overflowPunct/>
                    <w:topLinePunct w:val="0"/>
                    <w:autoSpaceDE/>
                    <w:autoSpaceDN/>
                    <w:bidi w:val="0"/>
                    <w:adjustRightInd/>
                    <w:snapToGrid w:val="0"/>
                    <w:spacing w:beforeAutospacing="0" w:afterAutospacing="0" w:line="240" w:lineRule="auto"/>
                    <w:ind w:firstLine="0" w:firstLineChars="0"/>
                    <w:jc w:val="center"/>
                    <w:textAlignment w:val="top"/>
                    <w:rPr>
                      <w:rFonts w:hint="default" w:ascii="Times New Roman" w:hAnsi="Times New Roman" w:cs="Times New Roman"/>
                      <w:sz w:val="21"/>
                      <w:szCs w:val="21"/>
                    </w:rPr>
                  </w:pPr>
                  <w:r>
                    <w:rPr>
                      <w:rFonts w:hint="default" w:ascii="Times New Roman" w:hAnsi="Times New Roman" w:cs="Times New Roman"/>
                      <w:sz w:val="21"/>
                      <w:szCs w:val="21"/>
                    </w:rPr>
                    <w:t>0.04</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767" w:type="pct"/>
                  <w:tcBorders>
                    <w:tl2br w:val="nil"/>
                    <w:tr2bl w:val="nil"/>
                  </w:tcBorders>
                  <w:noWrap w:val="0"/>
                  <w:vAlign w:val="center"/>
                </w:tcPr>
                <w:p>
                  <w:pPr>
                    <w:keepNext w:val="0"/>
                    <w:keepLines w:val="0"/>
                    <w:pageBreakBefore w:val="0"/>
                    <w:kinsoku/>
                    <w:wordWrap/>
                    <w:overflowPunct/>
                    <w:topLinePunct w:val="0"/>
                    <w:autoSpaceDE/>
                    <w:autoSpaceDN/>
                    <w:bidi w:val="0"/>
                    <w:adjustRightInd/>
                    <w:snapToGrid w:val="0"/>
                    <w:spacing w:beforeAutospacing="0" w:afterAutospacing="0" w:line="240" w:lineRule="auto"/>
                    <w:ind w:firstLine="0" w:firstLineChars="0"/>
                    <w:jc w:val="center"/>
                    <w:textAlignment w:val="top"/>
                    <w:rPr>
                      <w:rFonts w:hint="default" w:ascii="Times New Roman" w:hAnsi="Times New Roman" w:cs="Times New Roman"/>
                      <w:sz w:val="21"/>
                      <w:szCs w:val="21"/>
                    </w:rPr>
                  </w:pPr>
                  <w:r>
                    <w:rPr>
                      <w:rFonts w:hint="default" w:ascii="Times New Roman" w:hAnsi="Times New Roman" w:cs="Times New Roman"/>
                      <w:sz w:val="21"/>
                      <w:szCs w:val="21"/>
                    </w:rPr>
                    <w:t>2020-06</w:t>
                  </w:r>
                </w:p>
              </w:tc>
              <w:tc>
                <w:tcPr>
                  <w:tcW w:w="1096" w:type="pct"/>
                  <w:tcBorders>
                    <w:tl2br w:val="nil"/>
                    <w:tr2bl w:val="nil"/>
                  </w:tcBorders>
                  <w:noWrap w:val="0"/>
                  <w:vAlign w:val="center"/>
                </w:tcPr>
                <w:p>
                  <w:pPr>
                    <w:pStyle w:val="20"/>
                    <w:keepNext w:val="0"/>
                    <w:keepLines w:val="0"/>
                    <w:pageBreakBefore w:val="0"/>
                    <w:kinsoku/>
                    <w:wordWrap/>
                    <w:overflowPunct/>
                    <w:topLinePunct w:val="0"/>
                    <w:autoSpaceDE/>
                    <w:autoSpaceDN/>
                    <w:bidi w:val="0"/>
                    <w:adjustRightInd/>
                    <w:snapToGrid w:val="0"/>
                    <w:spacing w:before="0" w:beforeAutospacing="0" w:after="0" w:afterAutospacing="0" w:line="240" w:lineRule="auto"/>
                    <w:ind w:firstLine="0" w:firstLineChars="0"/>
                    <w:jc w:val="center"/>
                    <w:textAlignment w:val="top"/>
                    <w:rPr>
                      <w:rFonts w:hint="default" w:ascii="Times New Roman" w:hAnsi="Times New Roman" w:cs="Times New Roman"/>
                      <w:sz w:val="21"/>
                      <w:szCs w:val="21"/>
                    </w:rPr>
                  </w:pPr>
                  <w:r>
                    <w:rPr>
                      <w:rFonts w:hint="default" w:ascii="Times New Roman" w:hAnsi="Times New Roman" w:cs="Times New Roman"/>
                      <w:sz w:val="21"/>
                      <w:szCs w:val="21"/>
                    </w:rPr>
                    <w:t>8</w:t>
                  </w:r>
                </w:p>
              </w:tc>
              <w:tc>
                <w:tcPr>
                  <w:tcW w:w="1010" w:type="pct"/>
                  <w:tcBorders>
                    <w:tl2br w:val="nil"/>
                    <w:tr2bl w:val="nil"/>
                  </w:tcBorders>
                  <w:noWrap w:val="0"/>
                  <w:vAlign w:val="center"/>
                </w:tcPr>
                <w:p>
                  <w:pPr>
                    <w:pStyle w:val="20"/>
                    <w:keepNext w:val="0"/>
                    <w:keepLines w:val="0"/>
                    <w:pageBreakBefore w:val="0"/>
                    <w:kinsoku/>
                    <w:wordWrap/>
                    <w:overflowPunct/>
                    <w:topLinePunct w:val="0"/>
                    <w:autoSpaceDE/>
                    <w:autoSpaceDN/>
                    <w:bidi w:val="0"/>
                    <w:adjustRightInd/>
                    <w:snapToGrid w:val="0"/>
                    <w:spacing w:before="0" w:beforeAutospacing="0" w:after="0" w:afterAutospacing="0" w:line="240" w:lineRule="auto"/>
                    <w:ind w:firstLine="0" w:firstLineChars="0"/>
                    <w:jc w:val="center"/>
                    <w:textAlignment w:val="top"/>
                    <w:rPr>
                      <w:rFonts w:hint="default" w:ascii="Times New Roman" w:hAnsi="Times New Roman" w:cs="Times New Roman"/>
                      <w:sz w:val="21"/>
                      <w:szCs w:val="21"/>
                    </w:rPr>
                  </w:pPr>
                  <w:r>
                    <w:rPr>
                      <w:rFonts w:hint="default" w:ascii="Times New Roman" w:hAnsi="Times New Roman" w:cs="Times New Roman"/>
                      <w:sz w:val="21"/>
                      <w:szCs w:val="21"/>
                    </w:rPr>
                    <w:t>0.09</w:t>
                  </w:r>
                </w:p>
              </w:tc>
              <w:tc>
                <w:tcPr>
                  <w:tcW w:w="1125" w:type="pct"/>
                  <w:tcBorders>
                    <w:tl2br w:val="nil"/>
                    <w:tr2bl w:val="nil"/>
                  </w:tcBorders>
                  <w:noWrap w:val="0"/>
                  <w:vAlign w:val="center"/>
                </w:tcPr>
                <w:p>
                  <w:pPr>
                    <w:pStyle w:val="20"/>
                    <w:keepNext w:val="0"/>
                    <w:keepLines w:val="0"/>
                    <w:pageBreakBefore w:val="0"/>
                    <w:kinsoku/>
                    <w:wordWrap/>
                    <w:overflowPunct/>
                    <w:topLinePunct w:val="0"/>
                    <w:autoSpaceDE/>
                    <w:autoSpaceDN/>
                    <w:bidi w:val="0"/>
                    <w:adjustRightInd/>
                    <w:snapToGrid w:val="0"/>
                    <w:spacing w:before="0" w:beforeAutospacing="0" w:after="0" w:afterAutospacing="0" w:line="240" w:lineRule="auto"/>
                    <w:ind w:firstLine="0" w:firstLineChars="0"/>
                    <w:jc w:val="center"/>
                    <w:textAlignment w:val="top"/>
                    <w:rPr>
                      <w:rFonts w:hint="default" w:ascii="Times New Roman" w:hAnsi="Times New Roman" w:cs="Times New Roman"/>
                      <w:sz w:val="21"/>
                      <w:szCs w:val="21"/>
                    </w:rPr>
                  </w:pPr>
                  <w:r>
                    <w:rPr>
                      <w:rFonts w:hint="default" w:ascii="Times New Roman" w:hAnsi="Times New Roman" w:cs="Times New Roman"/>
                      <w:sz w:val="21"/>
                      <w:szCs w:val="21"/>
                    </w:rPr>
                    <w:t>0.04</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767" w:type="pct"/>
                  <w:tcBorders>
                    <w:tl2br w:val="nil"/>
                    <w:tr2bl w:val="nil"/>
                  </w:tcBorders>
                  <w:noWrap w:val="0"/>
                  <w:vAlign w:val="center"/>
                </w:tcPr>
                <w:p>
                  <w:pPr>
                    <w:keepNext w:val="0"/>
                    <w:keepLines w:val="0"/>
                    <w:pageBreakBefore w:val="0"/>
                    <w:kinsoku/>
                    <w:wordWrap/>
                    <w:overflowPunct/>
                    <w:topLinePunct w:val="0"/>
                    <w:autoSpaceDE/>
                    <w:autoSpaceDN/>
                    <w:bidi w:val="0"/>
                    <w:adjustRightInd/>
                    <w:snapToGrid w:val="0"/>
                    <w:spacing w:beforeAutospacing="0" w:afterAutospacing="0" w:line="240" w:lineRule="auto"/>
                    <w:ind w:firstLine="0" w:firstLineChars="0"/>
                    <w:jc w:val="center"/>
                    <w:textAlignment w:val="top"/>
                    <w:rPr>
                      <w:rFonts w:hint="default" w:ascii="Times New Roman" w:hAnsi="Times New Roman" w:cs="Times New Roman"/>
                      <w:sz w:val="21"/>
                      <w:szCs w:val="21"/>
                    </w:rPr>
                  </w:pPr>
                  <w:r>
                    <w:rPr>
                      <w:rFonts w:hint="default" w:ascii="Times New Roman" w:hAnsi="Times New Roman" w:cs="Times New Roman"/>
                      <w:sz w:val="21"/>
                      <w:szCs w:val="21"/>
                    </w:rPr>
                    <w:t>2020-07</w:t>
                  </w:r>
                </w:p>
              </w:tc>
              <w:tc>
                <w:tcPr>
                  <w:tcW w:w="1096" w:type="pct"/>
                  <w:tcBorders>
                    <w:tl2br w:val="nil"/>
                    <w:tr2bl w:val="nil"/>
                  </w:tcBorders>
                  <w:noWrap w:val="0"/>
                  <w:vAlign w:val="center"/>
                </w:tcPr>
                <w:p>
                  <w:pPr>
                    <w:pStyle w:val="20"/>
                    <w:keepNext w:val="0"/>
                    <w:keepLines w:val="0"/>
                    <w:pageBreakBefore w:val="0"/>
                    <w:kinsoku/>
                    <w:wordWrap/>
                    <w:overflowPunct/>
                    <w:topLinePunct w:val="0"/>
                    <w:autoSpaceDE/>
                    <w:autoSpaceDN/>
                    <w:bidi w:val="0"/>
                    <w:adjustRightInd/>
                    <w:snapToGrid w:val="0"/>
                    <w:spacing w:before="0" w:beforeAutospacing="0" w:after="0" w:afterAutospacing="0" w:line="240" w:lineRule="auto"/>
                    <w:ind w:firstLine="0" w:firstLineChars="0"/>
                    <w:jc w:val="center"/>
                    <w:textAlignment w:val="top"/>
                    <w:rPr>
                      <w:rFonts w:hint="default" w:ascii="Times New Roman" w:hAnsi="Times New Roman" w:cs="Times New Roman"/>
                      <w:sz w:val="21"/>
                      <w:szCs w:val="21"/>
                    </w:rPr>
                  </w:pPr>
                  <w:r>
                    <w:rPr>
                      <w:rFonts w:hint="default" w:ascii="Times New Roman" w:hAnsi="Times New Roman" w:cs="Times New Roman"/>
                      <w:sz w:val="21"/>
                      <w:szCs w:val="21"/>
                    </w:rPr>
                    <w:t>9</w:t>
                  </w:r>
                </w:p>
              </w:tc>
              <w:tc>
                <w:tcPr>
                  <w:tcW w:w="1010" w:type="pct"/>
                  <w:tcBorders>
                    <w:tl2br w:val="nil"/>
                    <w:tr2bl w:val="nil"/>
                  </w:tcBorders>
                  <w:noWrap w:val="0"/>
                  <w:vAlign w:val="center"/>
                </w:tcPr>
                <w:p>
                  <w:pPr>
                    <w:pStyle w:val="20"/>
                    <w:keepNext w:val="0"/>
                    <w:keepLines w:val="0"/>
                    <w:pageBreakBefore w:val="0"/>
                    <w:kinsoku/>
                    <w:wordWrap/>
                    <w:overflowPunct/>
                    <w:topLinePunct w:val="0"/>
                    <w:autoSpaceDE/>
                    <w:autoSpaceDN/>
                    <w:bidi w:val="0"/>
                    <w:adjustRightInd/>
                    <w:snapToGrid w:val="0"/>
                    <w:spacing w:before="0" w:beforeAutospacing="0" w:after="0" w:afterAutospacing="0" w:line="240" w:lineRule="auto"/>
                    <w:ind w:firstLine="0" w:firstLineChars="0"/>
                    <w:jc w:val="center"/>
                    <w:textAlignment w:val="top"/>
                    <w:rPr>
                      <w:rFonts w:hint="default" w:ascii="Times New Roman" w:hAnsi="Times New Roman" w:cs="Times New Roman"/>
                      <w:sz w:val="21"/>
                      <w:szCs w:val="21"/>
                    </w:rPr>
                  </w:pPr>
                  <w:r>
                    <w:rPr>
                      <w:rFonts w:hint="default" w:ascii="Times New Roman" w:hAnsi="Times New Roman" w:cs="Times New Roman"/>
                      <w:sz w:val="21"/>
                      <w:szCs w:val="21"/>
                    </w:rPr>
                    <w:t>0.17</w:t>
                  </w:r>
                </w:p>
              </w:tc>
              <w:tc>
                <w:tcPr>
                  <w:tcW w:w="1125" w:type="pct"/>
                  <w:tcBorders>
                    <w:tl2br w:val="nil"/>
                    <w:tr2bl w:val="nil"/>
                  </w:tcBorders>
                  <w:noWrap w:val="0"/>
                  <w:vAlign w:val="center"/>
                </w:tcPr>
                <w:p>
                  <w:pPr>
                    <w:pStyle w:val="20"/>
                    <w:keepNext w:val="0"/>
                    <w:keepLines w:val="0"/>
                    <w:pageBreakBefore w:val="0"/>
                    <w:kinsoku/>
                    <w:wordWrap/>
                    <w:overflowPunct/>
                    <w:topLinePunct w:val="0"/>
                    <w:autoSpaceDE/>
                    <w:autoSpaceDN/>
                    <w:bidi w:val="0"/>
                    <w:adjustRightInd/>
                    <w:snapToGrid w:val="0"/>
                    <w:spacing w:before="0" w:beforeAutospacing="0" w:after="0" w:afterAutospacing="0" w:line="240" w:lineRule="auto"/>
                    <w:ind w:firstLine="0" w:firstLineChars="0"/>
                    <w:jc w:val="center"/>
                    <w:textAlignment w:val="top"/>
                    <w:rPr>
                      <w:rFonts w:hint="default" w:ascii="Times New Roman" w:hAnsi="Times New Roman" w:cs="Times New Roman"/>
                      <w:sz w:val="21"/>
                      <w:szCs w:val="21"/>
                    </w:rPr>
                  </w:pPr>
                  <w:r>
                    <w:rPr>
                      <w:rFonts w:hint="default" w:ascii="Times New Roman" w:hAnsi="Times New Roman" w:cs="Times New Roman"/>
                      <w:sz w:val="21"/>
                      <w:szCs w:val="21"/>
                    </w:rPr>
                    <w:t>0.061</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767" w:type="pct"/>
                  <w:tcBorders>
                    <w:tl2br w:val="nil"/>
                    <w:tr2bl w:val="nil"/>
                  </w:tcBorders>
                  <w:noWrap w:val="0"/>
                  <w:vAlign w:val="center"/>
                </w:tcPr>
                <w:p>
                  <w:pPr>
                    <w:keepNext w:val="0"/>
                    <w:keepLines w:val="0"/>
                    <w:pageBreakBefore w:val="0"/>
                    <w:kinsoku/>
                    <w:wordWrap/>
                    <w:overflowPunct/>
                    <w:topLinePunct w:val="0"/>
                    <w:autoSpaceDE/>
                    <w:autoSpaceDN/>
                    <w:bidi w:val="0"/>
                    <w:adjustRightInd/>
                    <w:snapToGrid w:val="0"/>
                    <w:spacing w:beforeAutospacing="0" w:afterAutospacing="0" w:line="240" w:lineRule="auto"/>
                    <w:ind w:firstLine="0" w:firstLineChars="0"/>
                    <w:jc w:val="center"/>
                    <w:textAlignment w:val="top"/>
                    <w:rPr>
                      <w:rFonts w:hint="default" w:ascii="Times New Roman" w:hAnsi="Times New Roman" w:cs="Times New Roman"/>
                      <w:sz w:val="21"/>
                      <w:szCs w:val="21"/>
                    </w:rPr>
                  </w:pPr>
                  <w:r>
                    <w:rPr>
                      <w:rFonts w:hint="default" w:ascii="Times New Roman" w:hAnsi="Times New Roman" w:cs="Times New Roman"/>
                      <w:sz w:val="21"/>
                      <w:szCs w:val="21"/>
                    </w:rPr>
                    <w:t>2020-08</w:t>
                  </w:r>
                </w:p>
              </w:tc>
              <w:tc>
                <w:tcPr>
                  <w:tcW w:w="1096"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snapToGrid w:val="0"/>
                    <w:spacing w:beforeAutospacing="0" w:afterAutospacing="0" w:line="240" w:lineRule="auto"/>
                    <w:ind w:firstLine="0" w:firstLineChars="0"/>
                    <w:jc w:val="center"/>
                    <w:textAlignment w:val="top"/>
                    <w:rPr>
                      <w:rFonts w:hint="default" w:ascii="Times New Roman" w:hAnsi="Times New Roman" w:cs="Times New Roman"/>
                      <w:sz w:val="21"/>
                      <w:szCs w:val="21"/>
                    </w:rPr>
                  </w:pPr>
                  <w:r>
                    <w:rPr>
                      <w:rFonts w:hint="default" w:ascii="Times New Roman" w:hAnsi="Times New Roman" w:cs="Times New Roman"/>
                      <w:sz w:val="21"/>
                      <w:szCs w:val="21"/>
                    </w:rPr>
                    <w:t>10.7</w:t>
                  </w:r>
                </w:p>
              </w:tc>
              <w:tc>
                <w:tcPr>
                  <w:tcW w:w="1010"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snapToGrid w:val="0"/>
                    <w:spacing w:beforeAutospacing="0" w:afterAutospacing="0" w:line="240" w:lineRule="auto"/>
                    <w:ind w:firstLine="0" w:firstLineChars="0"/>
                    <w:jc w:val="center"/>
                    <w:textAlignment w:val="top"/>
                    <w:rPr>
                      <w:rFonts w:hint="default" w:ascii="Times New Roman" w:hAnsi="Times New Roman" w:cs="Times New Roman"/>
                      <w:sz w:val="21"/>
                      <w:szCs w:val="21"/>
                    </w:rPr>
                  </w:pPr>
                  <w:r>
                    <w:rPr>
                      <w:rFonts w:hint="default" w:ascii="Times New Roman" w:hAnsi="Times New Roman" w:cs="Times New Roman"/>
                      <w:sz w:val="21"/>
                      <w:szCs w:val="21"/>
                    </w:rPr>
                    <w:t>0.11</w:t>
                  </w:r>
                </w:p>
              </w:tc>
              <w:tc>
                <w:tcPr>
                  <w:tcW w:w="1125"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snapToGrid w:val="0"/>
                    <w:spacing w:beforeAutospacing="0" w:afterAutospacing="0" w:line="240" w:lineRule="auto"/>
                    <w:ind w:firstLine="0" w:firstLineChars="0"/>
                    <w:jc w:val="center"/>
                    <w:textAlignment w:val="top"/>
                    <w:rPr>
                      <w:rFonts w:hint="default" w:ascii="Times New Roman" w:hAnsi="Times New Roman" w:cs="Times New Roman"/>
                      <w:sz w:val="21"/>
                      <w:szCs w:val="21"/>
                    </w:rPr>
                  </w:pPr>
                  <w:r>
                    <w:rPr>
                      <w:rFonts w:hint="default" w:ascii="Times New Roman" w:hAnsi="Times New Roman" w:cs="Times New Roman"/>
                      <w:sz w:val="21"/>
                      <w:szCs w:val="21"/>
                    </w:rPr>
                    <w:t>0.05</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767" w:type="pct"/>
                  <w:tcBorders>
                    <w:tl2br w:val="nil"/>
                    <w:tr2bl w:val="nil"/>
                  </w:tcBorders>
                  <w:noWrap w:val="0"/>
                  <w:vAlign w:val="center"/>
                </w:tcPr>
                <w:p>
                  <w:pPr>
                    <w:keepNext w:val="0"/>
                    <w:keepLines w:val="0"/>
                    <w:pageBreakBefore w:val="0"/>
                    <w:kinsoku/>
                    <w:wordWrap/>
                    <w:overflowPunct/>
                    <w:topLinePunct w:val="0"/>
                    <w:autoSpaceDE/>
                    <w:autoSpaceDN/>
                    <w:bidi w:val="0"/>
                    <w:adjustRightInd/>
                    <w:snapToGrid w:val="0"/>
                    <w:spacing w:beforeAutospacing="0" w:afterAutospacing="0" w:line="240" w:lineRule="auto"/>
                    <w:ind w:firstLine="0" w:firstLineChars="0"/>
                    <w:jc w:val="center"/>
                    <w:textAlignment w:val="top"/>
                    <w:rPr>
                      <w:rFonts w:hint="default" w:ascii="Times New Roman" w:hAnsi="Times New Roman" w:cs="Times New Roman"/>
                      <w:sz w:val="21"/>
                      <w:szCs w:val="21"/>
                    </w:rPr>
                  </w:pPr>
                  <w:r>
                    <w:rPr>
                      <w:rFonts w:hint="default" w:ascii="Times New Roman" w:hAnsi="Times New Roman" w:cs="Times New Roman"/>
                      <w:sz w:val="21"/>
                      <w:szCs w:val="21"/>
                    </w:rPr>
                    <w:t>2020-09</w:t>
                  </w:r>
                </w:p>
              </w:tc>
              <w:tc>
                <w:tcPr>
                  <w:tcW w:w="1096"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snapToGrid w:val="0"/>
                    <w:spacing w:beforeAutospacing="0" w:afterAutospacing="0" w:line="240" w:lineRule="auto"/>
                    <w:ind w:firstLine="0" w:firstLineChars="0"/>
                    <w:jc w:val="center"/>
                    <w:textAlignment w:val="top"/>
                    <w:rPr>
                      <w:rFonts w:hint="default" w:ascii="Times New Roman" w:hAnsi="Times New Roman" w:cs="Times New Roman"/>
                      <w:sz w:val="21"/>
                      <w:szCs w:val="21"/>
                    </w:rPr>
                  </w:pPr>
                  <w:r>
                    <w:rPr>
                      <w:rFonts w:hint="default" w:ascii="Times New Roman" w:hAnsi="Times New Roman" w:cs="Times New Roman"/>
                      <w:sz w:val="21"/>
                      <w:szCs w:val="21"/>
                    </w:rPr>
                    <w:t>6.3</w:t>
                  </w:r>
                </w:p>
              </w:tc>
              <w:tc>
                <w:tcPr>
                  <w:tcW w:w="1010"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snapToGrid w:val="0"/>
                    <w:spacing w:beforeAutospacing="0" w:afterAutospacing="0" w:line="240" w:lineRule="auto"/>
                    <w:ind w:firstLine="0" w:firstLineChars="0"/>
                    <w:jc w:val="center"/>
                    <w:textAlignment w:val="top"/>
                    <w:rPr>
                      <w:rFonts w:hint="default" w:ascii="Times New Roman" w:hAnsi="Times New Roman" w:cs="Times New Roman"/>
                      <w:sz w:val="21"/>
                      <w:szCs w:val="21"/>
                    </w:rPr>
                  </w:pPr>
                  <w:r>
                    <w:rPr>
                      <w:rFonts w:hint="default" w:ascii="Times New Roman" w:hAnsi="Times New Roman" w:cs="Times New Roman"/>
                      <w:sz w:val="21"/>
                      <w:szCs w:val="21"/>
                    </w:rPr>
                    <w:t>0.12</w:t>
                  </w:r>
                </w:p>
              </w:tc>
              <w:tc>
                <w:tcPr>
                  <w:tcW w:w="1125"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snapToGrid w:val="0"/>
                    <w:spacing w:beforeAutospacing="0" w:afterAutospacing="0" w:line="240" w:lineRule="auto"/>
                    <w:ind w:firstLine="0" w:firstLineChars="0"/>
                    <w:jc w:val="center"/>
                    <w:textAlignment w:val="top"/>
                    <w:rPr>
                      <w:rFonts w:hint="default" w:ascii="Times New Roman" w:hAnsi="Times New Roman" w:cs="Times New Roman"/>
                      <w:sz w:val="21"/>
                      <w:szCs w:val="21"/>
                    </w:rPr>
                  </w:pPr>
                  <w:r>
                    <w:rPr>
                      <w:rFonts w:hint="default" w:ascii="Times New Roman" w:hAnsi="Times New Roman" w:cs="Times New Roman"/>
                      <w:sz w:val="21"/>
                      <w:szCs w:val="21"/>
                    </w:rPr>
                    <w:t>0.09</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767" w:type="pct"/>
                  <w:tcBorders>
                    <w:tl2br w:val="nil"/>
                    <w:tr2bl w:val="nil"/>
                  </w:tcBorders>
                  <w:noWrap w:val="0"/>
                  <w:vAlign w:val="center"/>
                </w:tcPr>
                <w:p>
                  <w:pPr>
                    <w:keepNext w:val="0"/>
                    <w:keepLines w:val="0"/>
                    <w:pageBreakBefore w:val="0"/>
                    <w:kinsoku/>
                    <w:wordWrap/>
                    <w:overflowPunct/>
                    <w:topLinePunct w:val="0"/>
                    <w:autoSpaceDE/>
                    <w:autoSpaceDN/>
                    <w:bidi w:val="0"/>
                    <w:adjustRightInd/>
                    <w:snapToGrid w:val="0"/>
                    <w:spacing w:beforeAutospacing="0" w:afterAutospacing="0" w:line="240" w:lineRule="auto"/>
                    <w:ind w:firstLine="0" w:firstLineChars="0"/>
                    <w:jc w:val="center"/>
                    <w:textAlignment w:val="top"/>
                    <w:rPr>
                      <w:rFonts w:hint="default" w:ascii="Times New Roman" w:hAnsi="Times New Roman" w:cs="Times New Roman"/>
                      <w:sz w:val="21"/>
                      <w:szCs w:val="21"/>
                    </w:rPr>
                  </w:pPr>
                  <w:r>
                    <w:rPr>
                      <w:rFonts w:hint="default" w:ascii="Times New Roman" w:hAnsi="Times New Roman" w:cs="Times New Roman"/>
                      <w:sz w:val="21"/>
                      <w:szCs w:val="21"/>
                    </w:rPr>
                    <w:t>2020-10</w:t>
                  </w:r>
                </w:p>
              </w:tc>
              <w:tc>
                <w:tcPr>
                  <w:tcW w:w="1096"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snapToGrid w:val="0"/>
                    <w:spacing w:beforeAutospacing="0" w:afterAutospacing="0" w:line="240" w:lineRule="auto"/>
                    <w:ind w:firstLine="0" w:firstLineChars="0"/>
                    <w:jc w:val="center"/>
                    <w:textAlignment w:val="top"/>
                    <w:rPr>
                      <w:rFonts w:hint="default" w:ascii="Times New Roman" w:hAnsi="Times New Roman" w:cs="Times New Roman"/>
                      <w:sz w:val="21"/>
                      <w:szCs w:val="21"/>
                    </w:rPr>
                  </w:pPr>
                  <w:r>
                    <w:rPr>
                      <w:rFonts w:hint="default" w:ascii="Times New Roman" w:hAnsi="Times New Roman" w:cs="Times New Roman"/>
                      <w:sz w:val="21"/>
                      <w:szCs w:val="21"/>
                    </w:rPr>
                    <w:t>6.3</w:t>
                  </w:r>
                </w:p>
              </w:tc>
              <w:tc>
                <w:tcPr>
                  <w:tcW w:w="1010"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snapToGrid w:val="0"/>
                    <w:spacing w:beforeAutospacing="0" w:afterAutospacing="0" w:line="240" w:lineRule="auto"/>
                    <w:ind w:firstLine="0" w:firstLineChars="0"/>
                    <w:jc w:val="center"/>
                    <w:textAlignment w:val="top"/>
                    <w:rPr>
                      <w:rFonts w:hint="default" w:ascii="Times New Roman" w:hAnsi="Times New Roman" w:cs="Times New Roman"/>
                      <w:sz w:val="21"/>
                      <w:szCs w:val="21"/>
                    </w:rPr>
                  </w:pPr>
                  <w:r>
                    <w:rPr>
                      <w:rFonts w:hint="default" w:ascii="Times New Roman" w:hAnsi="Times New Roman" w:cs="Times New Roman"/>
                      <w:sz w:val="21"/>
                      <w:szCs w:val="21"/>
                    </w:rPr>
                    <w:t>0.13</w:t>
                  </w:r>
                </w:p>
              </w:tc>
              <w:tc>
                <w:tcPr>
                  <w:tcW w:w="1125"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snapToGrid w:val="0"/>
                    <w:spacing w:beforeAutospacing="0" w:afterAutospacing="0" w:line="240" w:lineRule="auto"/>
                    <w:ind w:firstLine="0" w:firstLineChars="0"/>
                    <w:jc w:val="center"/>
                    <w:textAlignment w:val="top"/>
                    <w:rPr>
                      <w:rFonts w:hint="default" w:ascii="Times New Roman" w:hAnsi="Times New Roman" w:cs="Times New Roman"/>
                      <w:sz w:val="21"/>
                      <w:szCs w:val="21"/>
                    </w:rPr>
                  </w:pPr>
                  <w:r>
                    <w:rPr>
                      <w:rFonts w:hint="default" w:ascii="Times New Roman" w:hAnsi="Times New Roman" w:cs="Times New Roman"/>
                      <w:sz w:val="21"/>
                      <w:szCs w:val="21"/>
                    </w:rPr>
                    <w:t>0.051</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767" w:type="pct"/>
                  <w:tcBorders>
                    <w:tl2br w:val="nil"/>
                    <w:tr2bl w:val="nil"/>
                  </w:tcBorders>
                  <w:noWrap w:val="0"/>
                  <w:vAlign w:val="center"/>
                </w:tcPr>
                <w:p>
                  <w:pPr>
                    <w:keepNext w:val="0"/>
                    <w:keepLines w:val="0"/>
                    <w:pageBreakBefore w:val="0"/>
                    <w:kinsoku/>
                    <w:wordWrap/>
                    <w:overflowPunct/>
                    <w:topLinePunct w:val="0"/>
                    <w:autoSpaceDE/>
                    <w:autoSpaceDN/>
                    <w:bidi w:val="0"/>
                    <w:adjustRightInd/>
                    <w:snapToGrid w:val="0"/>
                    <w:spacing w:beforeAutospacing="0" w:afterAutospacing="0" w:line="240" w:lineRule="auto"/>
                    <w:ind w:firstLine="0" w:firstLineChars="0"/>
                    <w:jc w:val="center"/>
                    <w:textAlignment w:val="top"/>
                    <w:rPr>
                      <w:rFonts w:hint="default" w:ascii="Times New Roman" w:hAnsi="Times New Roman" w:cs="Times New Roman"/>
                      <w:sz w:val="21"/>
                      <w:szCs w:val="21"/>
                    </w:rPr>
                  </w:pPr>
                  <w:r>
                    <w:rPr>
                      <w:rFonts w:hint="default" w:ascii="Times New Roman" w:hAnsi="Times New Roman" w:cs="Times New Roman"/>
                      <w:sz w:val="21"/>
                      <w:szCs w:val="21"/>
                    </w:rPr>
                    <w:t>2020-11</w:t>
                  </w:r>
                </w:p>
              </w:tc>
              <w:tc>
                <w:tcPr>
                  <w:tcW w:w="1096"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snapToGrid w:val="0"/>
                    <w:spacing w:beforeAutospacing="0" w:afterAutospacing="0" w:line="240" w:lineRule="auto"/>
                    <w:ind w:firstLine="0" w:firstLineChars="0"/>
                    <w:jc w:val="center"/>
                    <w:textAlignment w:val="top"/>
                    <w:rPr>
                      <w:rFonts w:hint="default" w:ascii="Times New Roman" w:hAnsi="Times New Roman" w:cs="Times New Roman"/>
                      <w:sz w:val="21"/>
                      <w:szCs w:val="21"/>
                    </w:rPr>
                  </w:pPr>
                  <w:r>
                    <w:rPr>
                      <w:rFonts w:hint="default" w:ascii="Times New Roman" w:hAnsi="Times New Roman" w:cs="Times New Roman"/>
                      <w:sz w:val="21"/>
                      <w:szCs w:val="21"/>
                    </w:rPr>
                    <w:t>8.3</w:t>
                  </w:r>
                </w:p>
              </w:tc>
              <w:tc>
                <w:tcPr>
                  <w:tcW w:w="1010"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snapToGrid w:val="0"/>
                    <w:spacing w:beforeAutospacing="0" w:afterAutospacing="0" w:line="240" w:lineRule="auto"/>
                    <w:ind w:firstLine="0" w:firstLineChars="0"/>
                    <w:jc w:val="center"/>
                    <w:textAlignment w:val="top"/>
                    <w:rPr>
                      <w:rFonts w:hint="default" w:ascii="Times New Roman" w:hAnsi="Times New Roman" w:cs="Times New Roman"/>
                      <w:sz w:val="21"/>
                      <w:szCs w:val="21"/>
                    </w:rPr>
                  </w:pPr>
                  <w:r>
                    <w:rPr>
                      <w:rFonts w:hint="default" w:ascii="Times New Roman" w:hAnsi="Times New Roman" w:cs="Times New Roman"/>
                      <w:sz w:val="21"/>
                      <w:szCs w:val="21"/>
                    </w:rPr>
                    <w:t>0.17</w:t>
                  </w:r>
                </w:p>
              </w:tc>
              <w:tc>
                <w:tcPr>
                  <w:tcW w:w="1125"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snapToGrid w:val="0"/>
                    <w:spacing w:beforeAutospacing="0" w:afterAutospacing="0" w:line="240" w:lineRule="auto"/>
                    <w:ind w:firstLine="0" w:firstLineChars="0"/>
                    <w:jc w:val="center"/>
                    <w:textAlignment w:val="top"/>
                    <w:rPr>
                      <w:rFonts w:hint="default" w:ascii="Times New Roman" w:hAnsi="Times New Roman" w:cs="Times New Roman"/>
                      <w:sz w:val="21"/>
                      <w:szCs w:val="21"/>
                    </w:rPr>
                  </w:pPr>
                  <w:r>
                    <w:rPr>
                      <w:rFonts w:hint="default" w:ascii="Times New Roman" w:hAnsi="Times New Roman" w:cs="Times New Roman"/>
                      <w:sz w:val="21"/>
                      <w:szCs w:val="21"/>
                    </w:rPr>
                    <w:t>0.03</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767" w:type="pct"/>
                  <w:tcBorders>
                    <w:tl2br w:val="nil"/>
                    <w:tr2bl w:val="nil"/>
                  </w:tcBorders>
                  <w:noWrap w:val="0"/>
                  <w:vAlign w:val="center"/>
                </w:tcPr>
                <w:p>
                  <w:pPr>
                    <w:keepNext w:val="0"/>
                    <w:keepLines w:val="0"/>
                    <w:pageBreakBefore w:val="0"/>
                    <w:kinsoku/>
                    <w:wordWrap/>
                    <w:overflowPunct/>
                    <w:topLinePunct w:val="0"/>
                    <w:autoSpaceDE/>
                    <w:autoSpaceDN/>
                    <w:bidi w:val="0"/>
                    <w:adjustRightInd/>
                    <w:snapToGrid w:val="0"/>
                    <w:spacing w:beforeAutospacing="0" w:afterAutospacing="0" w:line="240" w:lineRule="auto"/>
                    <w:ind w:firstLine="0" w:firstLineChars="0"/>
                    <w:jc w:val="center"/>
                    <w:textAlignment w:val="top"/>
                    <w:rPr>
                      <w:rFonts w:hint="default" w:ascii="Times New Roman" w:hAnsi="Times New Roman" w:cs="Times New Roman"/>
                      <w:sz w:val="21"/>
                      <w:szCs w:val="21"/>
                    </w:rPr>
                  </w:pPr>
                  <w:r>
                    <w:rPr>
                      <w:rFonts w:hint="default" w:ascii="Times New Roman" w:hAnsi="Times New Roman" w:cs="Times New Roman"/>
                      <w:sz w:val="21"/>
                      <w:szCs w:val="21"/>
                    </w:rPr>
                    <w:t>2020-12</w:t>
                  </w:r>
                </w:p>
              </w:tc>
              <w:tc>
                <w:tcPr>
                  <w:tcW w:w="1096"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snapToGrid w:val="0"/>
                    <w:spacing w:beforeAutospacing="0" w:afterAutospacing="0" w:line="240" w:lineRule="auto"/>
                    <w:ind w:firstLine="0" w:firstLineChars="0"/>
                    <w:jc w:val="center"/>
                    <w:textAlignment w:val="top"/>
                    <w:rPr>
                      <w:rFonts w:hint="default" w:ascii="Times New Roman" w:hAnsi="Times New Roman" w:cs="Times New Roman"/>
                      <w:sz w:val="21"/>
                      <w:szCs w:val="21"/>
                    </w:rPr>
                  </w:pPr>
                  <w:r>
                    <w:rPr>
                      <w:rFonts w:hint="default" w:ascii="Times New Roman" w:hAnsi="Times New Roman" w:cs="Times New Roman"/>
                      <w:sz w:val="21"/>
                      <w:szCs w:val="21"/>
                    </w:rPr>
                    <w:t>8.3</w:t>
                  </w:r>
                </w:p>
              </w:tc>
              <w:tc>
                <w:tcPr>
                  <w:tcW w:w="1010"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snapToGrid w:val="0"/>
                    <w:spacing w:beforeAutospacing="0" w:afterAutospacing="0" w:line="240" w:lineRule="auto"/>
                    <w:ind w:firstLine="0" w:firstLineChars="0"/>
                    <w:jc w:val="center"/>
                    <w:textAlignment w:val="top"/>
                    <w:rPr>
                      <w:rFonts w:hint="default" w:ascii="Times New Roman" w:hAnsi="Times New Roman" w:cs="Times New Roman"/>
                      <w:sz w:val="21"/>
                      <w:szCs w:val="21"/>
                    </w:rPr>
                  </w:pPr>
                  <w:r>
                    <w:rPr>
                      <w:rFonts w:hint="default" w:ascii="Times New Roman" w:hAnsi="Times New Roman" w:cs="Times New Roman"/>
                      <w:sz w:val="21"/>
                      <w:szCs w:val="21"/>
                    </w:rPr>
                    <w:t>0.27</w:t>
                  </w:r>
                </w:p>
              </w:tc>
              <w:tc>
                <w:tcPr>
                  <w:tcW w:w="1125"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snapToGrid w:val="0"/>
                    <w:spacing w:beforeAutospacing="0" w:afterAutospacing="0" w:line="240" w:lineRule="auto"/>
                    <w:ind w:firstLine="0" w:firstLineChars="0"/>
                    <w:jc w:val="center"/>
                    <w:textAlignment w:val="top"/>
                    <w:rPr>
                      <w:rFonts w:hint="default" w:ascii="Times New Roman" w:hAnsi="Times New Roman" w:cs="Times New Roman"/>
                      <w:sz w:val="21"/>
                      <w:szCs w:val="21"/>
                    </w:rPr>
                  </w:pPr>
                  <w:r>
                    <w:rPr>
                      <w:rFonts w:hint="default" w:ascii="Times New Roman" w:hAnsi="Times New Roman" w:cs="Times New Roman"/>
                      <w:sz w:val="21"/>
                      <w:szCs w:val="21"/>
                    </w:rPr>
                    <w:t>0.02</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767" w:type="pct"/>
                  <w:tcBorders>
                    <w:tl2br w:val="nil"/>
                    <w:tr2bl w:val="nil"/>
                  </w:tcBorders>
                  <w:noWrap w:val="0"/>
                  <w:vAlign w:val="center"/>
                </w:tcPr>
                <w:p>
                  <w:pPr>
                    <w:pStyle w:val="68"/>
                    <w:keepNext w:val="0"/>
                    <w:keepLines w:val="0"/>
                    <w:pageBreakBefore w:val="0"/>
                    <w:kinsoku/>
                    <w:wordWrap/>
                    <w:overflowPunct/>
                    <w:topLinePunct w:val="0"/>
                    <w:autoSpaceDE/>
                    <w:autoSpaceDN/>
                    <w:bidi w:val="0"/>
                    <w:adjustRightInd/>
                    <w:snapToGrid w:val="0"/>
                    <w:spacing w:beforeAutospacing="0" w:afterAutospacing="0" w:line="240" w:lineRule="auto"/>
                    <w:ind w:firstLine="0" w:firstLineChars="0"/>
                    <w:textAlignment w:val="top"/>
                    <w:rPr>
                      <w:rFonts w:hint="default" w:ascii="Times New Roman" w:hAnsi="Times New Roman" w:eastAsia="宋体" w:cs="Times New Roman"/>
                      <w:sz w:val="21"/>
                      <w:szCs w:val="21"/>
                    </w:rPr>
                  </w:pPr>
                  <w:r>
                    <w:rPr>
                      <w:rFonts w:hint="default" w:ascii="Times New Roman" w:hAnsi="Times New Roman" w:eastAsia="宋体" w:cs="Times New Roman"/>
                      <w:sz w:val="21"/>
                      <w:szCs w:val="21"/>
                    </w:rPr>
                    <w:t>《地表水环境质量标准》（GB3838-2002）III类</w:t>
                  </w:r>
                </w:p>
              </w:tc>
              <w:tc>
                <w:tcPr>
                  <w:tcW w:w="1096" w:type="pct"/>
                  <w:tcBorders>
                    <w:tl2br w:val="nil"/>
                    <w:tr2bl w:val="nil"/>
                  </w:tcBorders>
                  <w:noWrap w:val="0"/>
                  <w:vAlign w:val="center"/>
                </w:tcPr>
                <w:p>
                  <w:pPr>
                    <w:pStyle w:val="68"/>
                    <w:keepNext w:val="0"/>
                    <w:keepLines w:val="0"/>
                    <w:pageBreakBefore w:val="0"/>
                    <w:kinsoku/>
                    <w:wordWrap/>
                    <w:overflowPunct/>
                    <w:topLinePunct w:val="0"/>
                    <w:autoSpaceDE/>
                    <w:autoSpaceDN/>
                    <w:bidi w:val="0"/>
                    <w:adjustRightInd/>
                    <w:snapToGrid w:val="0"/>
                    <w:spacing w:beforeAutospacing="0" w:afterAutospacing="0" w:line="240" w:lineRule="auto"/>
                    <w:ind w:firstLine="0" w:firstLineChars="0"/>
                    <w:textAlignment w:val="top"/>
                    <w:rPr>
                      <w:rFonts w:hint="default" w:ascii="Times New Roman" w:hAnsi="Times New Roman" w:eastAsia="宋体" w:cs="Times New Roman"/>
                      <w:sz w:val="21"/>
                      <w:szCs w:val="21"/>
                    </w:rPr>
                  </w:pPr>
                  <w:r>
                    <w:rPr>
                      <w:rFonts w:hint="default" w:ascii="Times New Roman" w:hAnsi="Times New Roman" w:eastAsia="宋体" w:cs="Times New Roman"/>
                      <w:sz w:val="21"/>
                      <w:szCs w:val="21"/>
                    </w:rPr>
                    <w:t>≤20</w:t>
                  </w:r>
                </w:p>
              </w:tc>
              <w:tc>
                <w:tcPr>
                  <w:tcW w:w="1010" w:type="pct"/>
                  <w:tcBorders>
                    <w:tl2br w:val="nil"/>
                    <w:tr2bl w:val="nil"/>
                  </w:tcBorders>
                  <w:noWrap w:val="0"/>
                  <w:vAlign w:val="center"/>
                </w:tcPr>
                <w:p>
                  <w:pPr>
                    <w:pStyle w:val="68"/>
                    <w:keepNext w:val="0"/>
                    <w:keepLines w:val="0"/>
                    <w:pageBreakBefore w:val="0"/>
                    <w:kinsoku/>
                    <w:wordWrap/>
                    <w:overflowPunct/>
                    <w:topLinePunct w:val="0"/>
                    <w:autoSpaceDE/>
                    <w:autoSpaceDN/>
                    <w:bidi w:val="0"/>
                    <w:adjustRightInd/>
                    <w:snapToGrid w:val="0"/>
                    <w:spacing w:beforeAutospacing="0" w:afterAutospacing="0" w:line="240" w:lineRule="auto"/>
                    <w:ind w:firstLine="0" w:firstLineChars="0"/>
                    <w:textAlignment w:val="top"/>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≤0.5</w:t>
                  </w:r>
                </w:p>
              </w:tc>
              <w:tc>
                <w:tcPr>
                  <w:tcW w:w="1125" w:type="pct"/>
                  <w:tcBorders>
                    <w:tl2br w:val="nil"/>
                    <w:tr2bl w:val="nil"/>
                  </w:tcBorders>
                  <w:noWrap w:val="0"/>
                  <w:vAlign w:val="center"/>
                </w:tcPr>
                <w:p>
                  <w:pPr>
                    <w:pStyle w:val="68"/>
                    <w:keepNext w:val="0"/>
                    <w:keepLines w:val="0"/>
                    <w:pageBreakBefore w:val="0"/>
                    <w:kinsoku/>
                    <w:wordWrap/>
                    <w:overflowPunct/>
                    <w:topLinePunct w:val="0"/>
                    <w:autoSpaceDE/>
                    <w:autoSpaceDN/>
                    <w:bidi w:val="0"/>
                    <w:adjustRightInd/>
                    <w:snapToGrid w:val="0"/>
                    <w:spacing w:beforeAutospacing="0" w:afterAutospacing="0" w:line="240" w:lineRule="auto"/>
                    <w:ind w:firstLine="0" w:firstLineChars="0"/>
                    <w:textAlignment w:val="top"/>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≤0.1</w:t>
                  </w:r>
                </w:p>
              </w:tc>
            </w:tr>
          </w:tbl>
          <w:p>
            <w:pPr>
              <w:ind w:firstLine="480"/>
              <w:rPr>
                <w:rFonts w:hint="default" w:ascii="Times New Roman" w:hAnsi="Times New Roman" w:cs="Times New Roman"/>
                <w:color w:val="auto"/>
              </w:rPr>
            </w:pPr>
            <w:r>
              <w:rPr>
                <w:rFonts w:hint="default" w:ascii="Times New Roman" w:hAnsi="Times New Roman" w:cs="Times New Roman"/>
                <w:color w:val="auto"/>
              </w:rPr>
              <w:t>根据监测结果可知，2020年黄河干流COD、氨氮、总磷浓度均满足《地表水环境质量标准》（GB3838-2002）III类标准要求。</w:t>
            </w:r>
          </w:p>
          <w:p>
            <w:pPr>
              <w:ind w:firstLine="0" w:firstLineChars="0"/>
              <w:rPr>
                <w:rFonts w:hint="default" w:ascii="Times New Roman" w:hAnsi="Times New Roman" w:cs="Times New Roman"/>
                <w:b/>
                <w:bCs/>
                <w:color w:val="auto"/>
              </w:rPr>
            </w:pPr>
            <w:r>
              <w:rPr>
                <w:rFonts w:hint="default" w:ascii="Times New Roman" w:hAnsi="Times New Roman" w:cs="Times New Roman"/>
                <w:b/>
                <w:bCs/>
                <w:color w:val="auto"/>
              </w:rPr>
              <w:t>4、声环境</w:t>
            </w:r>
          </w:p>
          <w:p>
            <w:pPr>
              <w:ind w:firstLine="480"/>
              <w:rPr>
                <w:rFonts w:hint="default" w:ascii="Times New Roman" w:hAnsi="Times New Roman" w:cs="Times New Roman"/>
                <w:color w:val="auto"/>
              </w:rPr>
            </w:pPr>
            <w:r>
              <w:rPr>
                <w:rFonts w:hint="default" w:ascii="Times New Roman" w:hAnsi="Times New Roman" w:cs="Times New Roman"/>
                <w:color w:val="auto"/>
              </w:rPr>
              <w:t>为了解区域声环境质量现状，</w:t>
            </w:r>
            <w:r>
              <w:rPr>
                <w:rFonts w:hint="eastAsia" w:cs="Times New Roman"/>
                <w:color w:val="auto"/>
                <w:lang w:val="en-US" w:eastAsia="zh-CN"/>
              </w:rPr>
              <w:t>本次评价委托</w:t>
            </w:r>
            <w:r>
              <w:rPr>
                <w:rFonts w:hint="default" w:ascii="Times New Roman" w:hAnsi="Times New Roman" w:eastAsia="宋体" w:cs="Times New Roman"/>
                <w:snapToGrid w:val="0"/>
                <w:color w:val="auto"/>
                <w:kern w:val="16"/>
                <w:sz w:val="24"/>
                <w:szCs w:val="20"/>
              </w:rPr>
              <w:t>河南摩尔检测有限公司于2022年</w:t>
            </w:r>
            <w:r>
              <w:rPr>
                <w:rFonts w:hint="default" w:ascii="Times New Roman" w:hAnsi="Times New Roman" w:eastAsia="宋体" w:cs="Times New Roman"/>
                <w:snapToGrid w:val="0"/>
                <w:color w:val="auto"/>
                <w:kern w:val="16"/>
                <w:sz w:val="24"/>
                <w:szCs w:val="20"/>
                <w:lang w:val="en-US" w:eastAsia="zh-CN"/>
              </w:rPr>
              <w:t>5</w:t>
            </w:r>
            <w:r>
              <w:rPr>
                <w:rFonts w:hint="default" w:ascii="Times New Roman" w:hAnsi="Times New Roman" w:eastAsia="宋体" w:cs="Times New Roman"/>
                <w:snapToGrid w:val="0"/>
                <w:color w:val="auto"/>
                <w:kern w:val="16"/>
                <w:sz w:val="24"/>
                <w:szCs w:val="20"/>
              </w:rPr>
              <w:t>月1</w:t>
            </w:r>
            <w:r>
              <w:rPr>
                <w:rFonts w:hint="default" w:ascii="Times New Roman" w:hAnsi="Times New Roman" w:eastAsia="宋体" w:cs="Times New Roman"/>
                <w:snapToGrid w:val="0"/>
                <w:color w:val="auto"/>
                <w:kern w:val="16"/>
                <w:sz w:val="24"/>
                <w:szCs w:val="20"/>
                <w:lang w:val="en-US" w:eastAsia="zh-CN"/>
              </w:rPr>
              <w:t>6</w:t>
            </w:r>
            <w:r>
              <w:rPr>
                <w:rFonts w:hint="default" w:ascii="Times New Roman" w:hAnsi="Times New Roman" w:eastAsia="宋体" w:cs="Times New Roman"/>
                <w:snapToGrid w:val="0"/>
                <w:color w:val="auto"/>
                <w:kern w:val="16"/>
                <w:sz w:val="24"/>
                <w:szCs w:val="20"/>
              </w:rPr>
              <w:t>日</w:t>
            </w:r>
            <w:r>
              <w:rPr>
                <w:rFonts w:hint="default" w:ascii="Times New Roman" w:hAnsi="Times New Roman" w:eastAsia="宋体" w:cs="Times New Roman"/>
                <w:snapToGrid w:val="0"/>
                <w:color w:val="auto"/>
                <w:kern w:val="16"/>
                <w:sz w:val="24"/>
                <w:szCs w:val="20"/>
                <w:lang w:val="en-US" w:eastAsia="zh-CN"/>
              </w:rPr>
              <w:t>~5</w:t>
            </w:r>
            <w:r>
              <w:rPr>
                <w:rFonts w:hint="default" w:ascii="Times New Roman" w:hAnsi="Times New Roman" w:eastAsia="宋体" w:cs="Times New Roman"/>
                <w:snapToGrid w:val="0"/>
                <w:color w:val="auto"/>
                <w:kern w:val="16"/>
                <w:sz w:val="24"/>
                <w:szCs w:val="20"/>
              </w:rPr>
              <w:t>月1</w:t>
            </w:r>
            <w:r>
              <w:rPr>
                <w:rFonts w:hint="default" w:ascii="Times New Roman" w:hAnsi="Times New Roman" w:eastAsia="宋体" w:cs="Times New Roman"/>
                <w:snapToGrid w:val="0"/>
                <w:color w:val="auto"/>
                <w:kern w:val="16"/>
                <w:sz w:val="24"/>
                <w:szCs w:val="20"/>
                <w:lang w:val="en-US" w:eastAsia="zh-CN"/>
              </w:rPr>
              <w:t>7</w:t>
            </w:r>
            <w:r>
              <w:rPr>
                <w:rFonts w:hint="default" w:ascii="Times New Roman" w:hAnsi="Times New Roman" w:eastAsia="宋体" w:cs="Times New Roman"/>
                <w:snapToGrid w:val="0"/>
                <w:color w:val="auto"/>
                <w:kern w:val="16"/>
                <w:sz w:val="24"/>
                <w:szCs w:val="20"/>
              </w:rPr>
              <w:t>日</w:t>
            </w:r>
            <w:r>
              <w:rPr>
                <w:rFonts w:hint="default" w:ascii="Times New Roman" w:hAnsi="Times New Roman" w:cs="Times New Roman"/>
                <w:color w:val="auto"/>
              </w:rPr>
              <w:t>对本项目升压站厂界进行了监测。</w:t>
            </w:r>
          </w:p>
          <w:p>
            <w:pPr>
              <w:ind w:firstLine="480"/>
              <w:rPr>
                <w:rFonts w:hint="default" w:ascii="Times New Roman" w:hAnsi="Times New Roman" w:cs="Times New Roman"/>
                <w:color w:val="auto"/>
              </w:rPr>
            </w:pPr>
            <w:r>
              <w:rPr>
                <w:rFonts w:hint="default" w:ascii="Times New Roman" w:hAnsi="Times New Roman" w:cs="Times New Roman"/>
                <w:color w:val="auto"/>
              </w:rPr>
              <w:t>（1）监测项目</w:t>
            </w:r>
            <w:r>
              <w:rPr>
                <w:rFonts w:hint="eastAsia" w:cs="Times New Roman"/>
                <w:color w:val="auto"/>
                <w:lang w:eastAsia="zh-CN"/>
              </w:rPr>
              <w:t>：</w:t>
            </w:r>
            <w:r>
              <w:rPr>
                <w:rFonts w:hint="default" w:ascii="Times New Roman" w:hAnsi="Times New Roman" w:cs="Times New Roman"/>
                <w:b w:val="0"/>
                <w:bCs w:val="0"/>
                <w:color w:val="auto"/>
                <w:u w:val="none"/>
                <w:lang w:val="en-US" w:eastAsia="zh-CN"/>
              </w:rPr>
              <w:t>等效连续A声级</w:t>
            </w:r>
            <w:r>
              <w:rPr>
                <w:rFonts w:hint="eastAsia" w:ascii="Times New Roman" w:hAnsi="Times New Roman" w:cs="Times New Roman"/>
                <w:b w:val="0"/>
                <w:bCs w:val="0"/>
                <w:color w:val="auto"/>
                <w:u w:val="none"/>
                <w:lang w:val="en-US" w:eastAsia="zh-CN"/>
              </w:rPr>
              <w:t>。</w:t>
            </w:r>
          </w:p>
          <w:p>
            <w:pPr>
              <w:ind w:firstLine="480"/>
              <w:rPr>
                <w:rFonts w:hint="default" w:ascii="Times New Roman" w:hAnsi="Times New Roman" w:cs="Times New Roman"/>
                <w:color w:val="auto"/>
              </w:rPr>
            </w:pPr>
            <w:r>
              <w:rPr>
                <w:rFonts w:hint="default" w:ascii="Times New Roman" w:hAnsi="Times New Roman" w:cs="Times New Roman"/>
                <w:color w:val="auto"/>
              </w:rPr>
              <w:t>（2）监测时间、监测频率</w:t>
            </w:r>
          </w:p>
          <w:p>
            <w:pPr>
              <w:ind w:firstLine="480"/>
              <w:rPr>
                <w:rFonts w:hint="eastAsia" w:ascii="Times New Roman" w:hAnsi="Times New Roman" w:eastAsia="宋体" w:cs="Times New Roman"/>
                <w:color w:val="auto"/>
                <w:lang w:eastAsia="zh-CN"/>
              </w:rPr>
            </w:pPr>
            <w:r>
              <w:rPr>
                <w:rFonts w:hint="default" w:ascii="Times New Roman" w:hAnsi="Times New Roman" w:cs="Times New Roman"/>
                <w:color w:val="auto"/>
              </w:rPr>
              <w:t>监测时间：</w:t>
            </w:r>
            <w:r>
              <w:rPr>
                <w:rFonts w:hint="default" w:ascii="Times New Roman" w:hAnsi="Times New Roman" w:eastAsia="宋体" w:cs="Times New Roman"/>
                <w:snapToGrid w:val="0"/>
                <w:color w:val="auto"/>
                <w:kern w:val="16"/>
                <w:sz w:val="24"/>
                <w:szCs w:val="20"/>
              </w:rPr>
              <w:t>2022年</w:t>
            </w:r>
            <w:r>
              <w:rPr>
                <w:rFonts w:hint="default" w:ascii="Times New Roman" w:hAnsi="Times New Roman" w:eastAsia="宋体" w:cs="Times New Roman"/>
                <w:snapToGrid w:val="0"/>
                <w:color w:val="auto"/>
                <w:kern w:val="16"/>
                <w:sz w:val="24"/>
                <w:szCs w:val="20"/>
                <w:lang w:val="en-US" w:eastAsia="zh-CN"/>
              </w:rPr>
              <w:t>5</w:t>
            </w:r>
            <w:r>
              <w:rPr>
                <w:rFonts w:hint="default" w:ascii="Times New Roman" w:hAnsi="Times New Roman" w:eastAsia="宋体" w:cs="Times New Roman"/>
                <w:snapToGrid w:val="0"/>
                <w:color w:val="auto"/>
                <w:kern w:val="16"/>
                <w:sz w:val="24"/>
                <w:szCs w:val="20"/>
              </w:rPr>
              <w:t>月1</w:t>
            </w:r>
            <w:r>
              <w:rPr>
                <w:rFonts w:hint="default" w:ascii="Times New Roman" w:hAnsi="Times New Roman" w:eastAsia="宋体" w:cs="Times New Roman"/>
                <w:snapToGrid w:val="0"/>
                <w:color w:val="auto"/>
                <w:kern w:val="16"/>
                <w:sz w:val="24"/>
                <w:szCs w:val="20"/>
                <w:lang w:val="en-US" w:eastAsia="zh-CN"/>
              </w:rPr>
              <w:t>6</w:t>
            </w:r>
            <w:r>
              <w:rPr>
                <w:rFonts w:hint="default" w:ascii="Times New Roman" w:hAnsi="Times New Roman" w:eastAsia="宋体" w:cs="Times New Roman"/>
                <w:snapToGrid w:val="0"/>
                <w:color w:val="auto"/>
                <w:kern w:val="16"/>
                <w:sz w:val="24"/>
                <w:szCs w:val="20"/>
              </w:rPr>
              <w:t>日</w:t>
            </w:r>
            <w:r>
              <w:rPr>
                <w:rFonts w:hint="default" w:ascii="Times New Roman" w:hAnsi="Times New Roman" w:eastAsia="宋体" w:cs="Times New Roman"/>
                <w:snapToGrid w:val="0"/>
                <w:color w:val="auto"/>
                <w:kern w:val="16"/>
                <w:sz w:val="24"/>
                <w:szCs w:val="20"/>
                <w:lang w:val="en-US" w:eastAsia="zh-CN"/>
              </w:rPr>
              <w:t>~5</w:t>
            </w:r>
            <w:r>
              <w:rPr>
                <w:rFonts w:hint="default" w:ascii="Times New Roman" w:hAnsi="Times New Roman" w:eastAsia="宋体" w:cs="Times New Roman"/>
                <w:snapToGrid w:val="0"/>
                <w:color w:val="auto"/>
                <w:kern w:val="16"/>
                <w:sz w:val="24"/>
                <w:szCs w:val="20"/>
              </w:rPr>
              <w:t>月1</w:t>
            </w:r>
            <w:r>
              <w:rPr>
                <w:rFonts w:hint="default" w:ascii="Times New Roman" w:hAnsi="Times New Roman" w:eastAsia="宋体" w:cs="Times New Roman"/>
                <w:snapToGrid w:val="0"/>
                <w:color w:val="auto"/>
                <w:kern w:val="16"/>
                <w:sz w:val="24"/>
                <w:szCs w:val="20"/>
                <w:lang w:val="en-US" w:eastAsia="zh-CN"/>
              </w:rPr>
              <w:t>7</w:t>
            </w:r>
            <w:r>
              <w:rPr>
                <w:rFonts w:hint="default" w:ascii="Times New Roman" w:hAnsi="Times New Roman" w:eastAsia="宋体" w:cs="Times New Roman"/>
                <w:snapToGrid w:val="0"/>
                <w:color w:val="auto"/>
                <w:kern w:val="16"/>
                <w:sz w:val="24"/>
                <w:szCs w:val="20"/>
              </w:rPr>
              <w:t>日</w:t>
            </w:r>
            <w:r>
              <w:rPr>
                <w:rFonts w:hint="eastAsia" w:eastAsia="宋体" w:cs="Times New Roman"/>
                <w:color w:val="auto"/>
                <w:lang w:eastAsia="zh-CN"/>
              </w:rPr>
              <w:t>。</w:t>
            </w:r>
          </w:p>
          <w:p>
            <w:pPr>
              <w:ind w:firstLine="480"/>
              <w:rPr>
                <w:rFonts w:hint="eastAsia" w:ascii="Times New Roman" w:hAnsi="Times New Roman" w:cs="Times New Roman" w:eastAsiaTheme="minorEastAsia"/>
                <w:color w:val="auto"/>
                <w:lang w:eastAsia="zh-CN"/>
              </w:rPr>
            </w:pPr>
            <w:r>
              <w:rPr>
                <w:rFonts w:hint="default" w:ascii="Times New Roman" w:hAnsi="Times New Roman" w:cs="Times New Roman"/>
                <w:color w:val="auto"/>
              </w:rPr>
              <w:t>监测频率：</w:t>
            </w:r>
            <w:r>
              <w:rPr>
                <w:rFonts w:hint="default" w:ascii="Times New Roman" w:hAnsi="Times New Roman" w:cs="Times New Roman"/>
                <w:color w:val="auto"/>
                <w:sz w:val="24"/>
              </w:rPr>
              <w:t>连续两天进行监测，每天</w:t>
            </w:r>
            <w:r>
              <w:rPr>
                <w:rFonts w:hint="default" w:ascii="Times New Roman" w:hAnsi="Times New Roman" w:cs="Times New Roman"/>
                <w:color w:val="auto"/>
              </w:rPr>
              <w:t>昼夜各监测一次</w:t>
            </w:r>
            <w:r>
              <w:rPr>
                <w:rFonts w:hint="eastAsia" w:cs="Times New Roman"/>
                <w:color w:val="auto"/>
                <w:lang w:val="en-US" w:eastAsia="zh-CN"/>
              </w:rPr>
              <w:t>。</w:t>
            </w:r>
          </w:p>
          <w:p>
            <w:pPr>
              <w:ind w:firstLine="480"/>
              <w:rPr>
                <w:rFonts w:hint="default" w:ascii="Times New Roman" w:hAnsi="Times New Roman" w:cs="Times New Roman"/>
                <w:color w:val="auto"/>
              </w:rPr>
            </w:pPr>
            <w:r>
              <w:rPr>
                <w:rFonts w:hint="default" w:ascii="Times New Roman" w:hAnsi="Times New Roman" w:cs="Times New Roman"/>
                <w:color w:val="auto"/>
              </w:rPr>
              <w:t>（</w:t>
            </w:r>
            <w:r>
              <w:rPr>
                <w:rFonts w:hint="default" w:ascii="Times New Roman" w:hAnsi="Times New Roman" w:cs="Times New Roman"/>
                <w:color w:val="auto"/>
                <w:lang w:val="en-US" w:eastAsia="zh-CN"/>
              </w:rPr>
              <w:t>3</w:t>
            </w:r>
            <w:r>
              <w:rPr>
                <w:rFonts w:hint="default" w:ascii="Times New Roman" w:hAnsi="Times New Roman" w:cs="Times New Roman"/>
                <w:color w:val="auto"/>
              </w:rPr>
              <w:t>）检测方法和监测仪器</w:t>
            </w:r>
          </w:p>
          <w:p>
            <w:pPr>
              <w:pStyle w:val="69"/>
              <w:keepNext w:val="0"/>
              <w:keepLines w:val="0"/>
              <w:pageBreakBefore w:val="0"/>
              <w:widowControl w:val="0"/>
              <w:kinsoku/>
              <w:wordWrap/>
              <w:overflowPunct/>
              <w:topLinePunct w:val="0"/>
              <w:autoSpaceDE/>
              <w:autoSpaceDN/>
              <w:bidi w:val="0"/>
              <w:spacing w:line="520" w:lineRule="exact"/>
              <w:textAlignment w:val="auto"/>
              <w:rPr>
                <w:rFonts w:hint="default" w:ascii="Times New Roman" w:hAnsi="Times New Roman" w:cs="Times New Roman"/>
                <w:color w:val="auto"/>
                <w:spacing w:val="-2"/>
                <w:sz w:val="24"/>
              </w:rPr>
            </w:pPr>
            <w:r>
              <w:rPr>
                <w:rFonts w:hint="default" w:ascii="Times New Roman" w:hAnsi="Times New Roman" w:cs="Times New Roman"/>
                <w:color w:val="auto"/>
                <w:spacing w:val="-2"/>
                <w:sz w:val="24"/>
              </w:rPr>
              <w:t xml:space="preserve">  检测方法和监测仪器</w:t>
            </w:r>
            <w:r>
              <w:rPr>
                <w:rFonts w:hint="eastAsia" w:cs="Times New Roman"/>
                <w:color w:val="auto"/>
                <w:spacing w:val="-2"/>
                <w:sz w:val="24"/>
                <w:lang w:val="en-US" w:eastAsia="zh-CN"/>
              </w:rPr>
              <w:t>表</w:t>
            </w:r>
          </w:p>
          <w:tbl>
            <w:tblPr>
              <w:tblStyle w:val="23"/>
              <w:tblW w:w="5000" w:type="pct"/>
              <w:jc w:val="center"/>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2831"/>
              <w:gridCol w:w="5901"/>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1681" w:type="dxa"/>
                  <w:tcBorders>
                    <w:tl2br w:val="nil"/>
                    <w:tr2bl w:val="nil"/>
                  </w:tcBorders>
                  <w:vAlign w:val="center"/>
                </w:tcPr>
                <w:p>
                  <w:pPr>
                    <w:snapToGrid w:val="0"/>
                    <w:spacing w:line="320" w:lineRule="exact"/>
                    <w:ind w:firstLine="0" w:firstLineChars="0"/>
                    <w:jc w:val="center"/>
                    <w:rPr>
                      <w:rFonts w:hint="default" w:ascii="Times New Roman" w:hAnsi="Times New Roman" w:cs="Times New Roman"/>
                      <w:bCs/>
                      <w:color w:val="auto"/>
                      <w:kern w:val="0"/>
                      <w:sz w:val="21"/>
                      <w:szCs w:val="18"/>
                    </w:rPr>
                  </w:pPr>
                  <w:r>
                    <w:rPr>
                      <w:rFonts w:hint="default" w:ascii="Times New Roman" w:hAnsi="Times New Roman" w:cs="Times New Roman"/>
                      <w:bCs/>
                      <w:color w:val="auto"/>
                      <w:kern w:val="0"/>
                      <w:sz w:val="21"/>
                      <w:szCs w:val="18"/>
                    </w:rPr>
                    <w:t>监测项目</w:t>
                  </w:r>
                </w:p>
              </w:tc>
              <w:tc>
                <w:tcPr>
                  <w:tcW w:w="3504" w:type="dxa"/>
                  <w:tcBorders>
                    <w:tl2br w:val="nil"/>
                    <w:tr2bl w:val="nil"/>
                  </w:tcBorders>
                  <w:vAlign w:val="center"/>
                </w:tcPr>
                <w:p>
                  <w:pPr>
                    <w:spacing w:line="320" w:lineRule="exact"/>
                    <w:ind w:firstLine="0" w:firstLineChars="0"/>
                    <w:jc w:val="center"/>
                    <w:rPr>
                      <w:rFonts w:hint="default" w:ascii="Times New Roman" w:hAnsi="Times New Roman" w:eastAsia="宋体" w:cs="Times New Roman"/>
                      <w:color w:val="auto"/>
                      <w:sz w:val="21"/>
                      <w:szCs w:val="18"/>
                    </w:rPr>
                  </w:pPr>
                  <w:r>
                    <w:rPr>
                      <w:rFonts w:hint="default" w:ascii="Times New Roman" w:hAnsi="Times New Roman" w:eastAsia="宋体" w:cs="Times New Roman"/>
                      <w:color w:val="auto"/>
                      <w:sz w:val="21"/>
                      <w:szCs w:val="18"/>
                    </w:rPr>
                    <w:t>噪声</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1681" w:type="dxa"/>
                  <w:tcBorders>
                    <w:tl2br w:val="nil"/>
                    <w:tr2bl w:val="nil"/>
                  </w:tcBorders>
                  <w:vAlign w:val="center"/>
                </w:tcPr>
                <w:p>
                  <w:pPr>
                    <w:snapToGrid w:val="0"/>
                    <w:spacing w:line="320" w:lineRule="exact"/>
                    <w:ind w:firstLine="0" w:firstLineChars="0"/>
                    <w:jc w:val="center"/>
                    <w:rPr>
                      <w:rFonts w:hint="default" w:ascii="Times New Roman" w:hAnsi="Times New Roman" w:cs="Times New Roman"/>
                      <w:bCs/>
                      <w:color w:val="auto"/>
                      <w:kern w:val="0"/>
                      <w:sz w:val="21"/>
                      <w:szCs w:val="18"/>
                    </w:rPr>
                  </w:pPr>
                  <w:r>
                    <w:rPr>
                      <w:rFonts w:hint="default" w:ascii="Times New Roman" w:hAnsi="Times New Roman" w:cs="Times New Roman"/>
                      <w:bCs/>
                      <w:color w:val="auto"/>
                      <w:kern w:val="0"/>
                      <w:sz w:val="21"/>
                      <w:szCs w:val="18"/>
                    </w:rPr>
                    <w:t>仪器名称</w:t>
                  </w:r>
                </w:p>
              </w:tc>
              <w:tc>
                <w:tcPr>
                  <w:tcW w:w="3504" w:type="dxa"/>
                  <w:tcBorders>
                    <w:tl2br w:val="nil"/>
                    <w:tr2bl w:val="nil"/>
                  </w:tcBorders>
                  <w:vAlign w:val="center"/>
                </w:tcPr>
                <w:p>
                  <w:pPr>
                    <w:spacing w:line="320" w:lineRule="exact"/>
                    <w:ind w:firstLine="0" w:firstLineChars="0"/>
                    <w:jc w:val="center"/>
                    <w:rPr>
                      <w:rFonts w:hint="default" w:ascii="Times New Roman" w:hAnsi="Times New Roman" w:eastAsia="宋体" w:cs="Times New Roman"/>
                      <w:color w:val="auto"/>
                      <w:sz w:val="21"/>
                      <w:szCs w:val="18"/>
                    </w:rPr>
                  </w:pPr>
                  <w:r>
                    <w:rPr>
                      <w:rFonts w:hint="default" w:ascii="Times New Roman" w:hAnsi="Times New Roman" w:eastAsia="宋体" w:cs="Times New Roman"/>
                      <w:color w:val="auto"/>
                      <w:sz w:val="21"/>
                      <w:szCs w:val="18"/>
                      <w:lang w:val="en-US" w:eastAsia="zh-CN"/>
                    </w:rPr>
                    <w:t>多功能</w:t>
                  </w:r>
                  <w:r>
                    <w:rPr>
                      <w:rFonts w:hint="default" w:ascii="Times New Roman" w:hAnsi="Times New Roman" w:eastAsia="宋体" w:cs="Times New Roman"/>
                      <w:color w:val="auto"/>
                      <w:sz w:val="21"/>
                      <w:szCs w:val="18"/>
                    </w:rPr>
                    <w:t>声级计</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1681" w:type="dxa"/>
                  <w:tcBorders>
                    <w:tl2br w:val="nil"/>
                    <w:tr2bl w:val="nil"/>
                  </w:tcBorders>
                  <w:vAlign w:val="center"/>
                </w:tcPr>
                <w:p>
                  <w:pPr>
                    <w:snapToGrid w:val="0"/>
                    <w:spacing w:line="320" w:lineRule="exact"/>
                    <w:ind w:firstLine="0" w:firstLineChars="0"/>
                    <w:jc w:val="center"/>
                    <w:rPr>
                      <w:rFonts w:hint="default" w:ascii="Times New Roman" w:hAnsi="Times New Roman" w:cs="Times New Roman"/>
                      <w:bCs/>
                      <w:color w:val="auto"/>
                      <w:kern w:val="0"/>
                      <w:sz w:val="21"/>
                      <w:szCs w:val="18"/>
                    </w:rPr>
                  </w:pPr>
                  <w:r>
                    <w:rPr>
                      <w:rFonts w:hint="default" w:ascii="Times New Roman" w:hAnsi="Times New Roman" w:cs="Times New Roman"/>
                      <w:bCs/>
                      <w:color w:val="auto"/>
                      <w:kern w:val="0"/>
                      <w:sz w:val="21"/>
                      <w:szCs w:val="18"/>
                    </w:rPr>
                    <w:t>规格型号</w:t>
                  </w:r>
                </w:p>
              </w:tc>
              <w:tc>
                <w:tcPr>
                  <w:tcW w:w="3504" w:type="dxa"/>
                  <w:tcBorders>
                    <w:tl2br w:val="nil"/>
                    <w:tr2bl w:val="nil"/>
                  </w:tcBorders>
                  <w:vAlign w:val="center"/>
                </w:tcPr>
                <w:p>
                  <w:pPr>
                    <w:spacing w:line="320" w:lineRule="exact"/>
                    <w:ind w:firstLine="0" w:firstLineChars="0"/>
                    <w:jc w:val="center"/>
                    <w:rPr>
                      <w:rFonts w:hint="default" w:ascii="Times New Roman" w:hAnsi="Times New Roman" w:eastAsia="宋体" w:cs="Times New Roman"/>
                      <w:color w:val="auto"/>
                      <w:sz w:val="21"/>
                      <w:szCs w:val="18"/>
                      <w:lang w:val="en-US" w:eastAsia="zh-CN"/>
                    </w:rPr>
                  </w:pPr>
                  <w:r>
                    <w:rPr>
                      <w:rFonts w:hint="default" w:ascii="Times New Roman" w:hAnsi="Times New Roman" w:eastAsia="宋体" w:cs="Times New Roman"/>
                      <w:color w:val="auto"/>
                      <w:sz w:val="21"/>
                      <w:szCs w:val="18"/>
                    </w:rPr>
                    <w:t>AWA6228</w:t>
                  </w:r>
                  <w:r>
                    <w:rPr>
                      <w:rFonts w:hint="default" w:ascii="Times New Roman" w:hAnsi="Times New Roman" w:eastAsia="宋体" w:cs="Times New Roman"/>
                      <w:color w:val="auto"/>
                      <w:sz w:val="21"/>
                      <w:szCs w:val="18"/>
                      <w:vertAlign w:val="superscript"/>
                      <w:lang w:val="en-US" w:eastAsia="zh-CN"/>
                    </w:rPr>
                    <w:t>+</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1681" w:type="dxa"/>
                  <w:tcBorders>
                    <w:tl2br w:val="nil"/>
                    <w:tr2bl w:val="nil"/>
                  </w:tcBorders>
                  <w:vAlign w:val="center"/>
                </w:tcPr>
                <w:p>
                  <w:pPr>
                    <w:snapToGrid w:val="0"/>
                    <w:spacing w:line="320" w:lineRule="exact"/>
                    <w:ind w:firstLine="0" w:firstLineChars="0"/>
                    <w:jc w:val="center"/>
                    <w:rPr>
                      <w:rFonts w:hint="default" w:ascii="Times New Roman" w:hAnsi="Times New Roman" w:cs="Times New Roman"/>
                      <w:bCs/>
                      <w:color w:val="auto"/>
                      <w:kern w:val="0"/>
                      <w:sz w:val="21"/>
                      <w:szCs w:val="18"/>
                    </w:rPr>
                  </w:pPr>
                  <w:r>
                    <w:rPr>
                      <w:rFonts w:hint="default" w:ascii="Times New Roman" w:hAnsi="Times New Roman" w:cs="Times New Roman"/>
                      <w:bCs/>
                      <w:color w:val="auto"/>
                      <w:kern w:val="0"/>
                      <w:sz w:val="21"/>
                      <w:szCs w:val="18"/>
                    </w:rPr>
                    <w:t>出厂编号</w:t>
                  </w:r>
                </w:p>
              </w:tc>
              <w:tc>
                <w:tcPr>
                  <w:tcW w:w="3504" w:type="dxa"/>
                  <w:tcBorders>
                    <w:tl2br w:val="nil"/>
                    <w:tr2bl w:val="nil"/>
                  </w:tcBorders>
                  <w:vAlign w:val="center"/>
                </w:tcPr>
                <w:p>
                  <w:pPr>
                    <w:spacing w:line="320" w:lineRule="exact"/>
                    <w:ind w:firstLine="0" w:firstLineChars="0"/>
                    <w:jc w:val="center"/>
                    <w:rPr>
                      <w:rFonts w:hint="default" w:ascii="Times New Roman" w:hAnsi="Times New Roman" w:eastAsia="宋体" w:cs="Times New Roman"/>
                      <w:color w:val="auto"/>
                      <w:sz w:val="21"/>
                      <w:szCs w:val="18"/>
                      <w:lang w:val="en-US" w:eastAsia="zh-CN"/>
                    </w:rPr>
                  </w:pPr>
                  <w:r>
                    <w:rPr>
                      <w:rFonts w:hint="default" w:ascii="Times New Roman" w:hAnsi="Times New Roman" w:eastAsia="宋体" w:cs="Times New Roman"/>
                      <w:color w:val="auto"/>
                      <w:sz w:val="21"/>
                      <w:szCs w:val="18"/>
                    </w:rPr>
                    <w:t>003</w:t>
                  </w:r>
                  <w:r>
                    <w:rPr>
                      <w:rFonts w:hint="default" w:ascii="Times New Roman" w:hAnsi="Times New Roman" w:eastAsia="宋体" w:cs="Times New Roman"/>
                      <w:color w:val="auto"/>
                      <w:sz w:val="21"/>
                      <w:szCs w:val="18"/>
                      <w:lang w:val="en-US" w:eastAsia="zh-CN"/>
                    </w:rPr>
                    <w:t>25415</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1681" w:type="dxa"/>
                  <w:tcBorders>
                    <w:tl2br w:val="nil"/>
                    <w:tr2bl w:val="nil"/>
                  </w:tcBorders>
                  <w:vAlign w:val="center"/>
                </w:tcPr>
                <w:p>
                  <w:pPr>
                    <w:snapToGrid w:val="0"/>
                    <w:spacing w:line="320" w:lineRule="exact"/>
                    <w:ind w:firstLine="0" w:firstLineChars="0"/>
                    <w:jc w:val="center"/>
                    <w:rPr>
                      <w:rFonts w:hint="default" w:ascii="Times New Roman" w:hAnsi="Times New Roman" w:cs="Times New Roman"/>
                      <w:bCs/>
                      <w:color w:val="auto"/>
                      <w:kern w:val="0"/>
                      <w:sz w:val="21"/>
                      <w:szCs w:val="18"/>
                    </w:rPr>
                  </w:pPr>
                  <w:r>
                    <w:rPr>
                      <w:rFonts w:hint="default" w:ascii="Times New Roman" w:hAnsi="Times New Roman" w:cs="Times New Roman"/>
                      <w:bCs/>
                      <w:color w:val="auto"/>
                      <w:kern w:val="0"/>
                      <w:sz w:val="21"/>
                      <w:szCs w:val="18"/>
                    </w:rPr>
                    <w:t>检定单位</w:t>
                  </w:r>
                </w:p>
              </w:tc>
              <w:tc>
                <w:tcPr>
                  <w:tcW w:w="3504" w:type="dxa"/>
                  <w:tcBorders>
                    <w:tl2br w:val="nil"/>
                    <w:tr2bl w:val="nil"/>
                  </w:tcBorders>
                  <w:vAlign w:val="center"/>
                </w:tcPr>
                <w:p>
                  <w:pPr>
                    <w:spacing w:line="320" w:lineRule="exact"/>
                    <w:ind w:firstLine="0" w:firstLineChars="0"/>
                    <w:jc w:val="center"/>
                    <w:rPr>
                      <w:rFonts w:hint="default" w:ascii="Times New Roman" w:hAnsi="Times New Roman" w:eastAsia="宋体" w:cs="Times New Roman"/>
                      <w:color w:val="auto"/>
                      <w:sz w:val="21"/>
                      <w:szCs w:val="18"/>
                    </w:rPr>
                  </w:pPr>
                  <w:r>
                    <w:rPr>
                      <w:rFonts w:hint="default" w:ascii="Times New Roman" w:hAnsi="Times New Roman" w:eastAsia="宋体" w:cs="Times New Roman"/>
                      <w:color w:val="auto"/>
                      <w:sz w:val="21"/>
                      <w:szCs w:val="18"/>
                    </w:rPr>
                    <w:t>河南省计量科学研究院</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1681" w:type="dxa"/>
                  <w:tcBorders>
                    <w:tl2br w:val="nil"/>
                    <w:tr2bl w:val="nil"/>
                  </w:tcBorders>
                  <w:vAlign w:val="center"/>
                </w:tcPr>
                <w:p>
                  <w:pPr>
                    <w:snapToGrid w:val="0"/>
                    <w:spacing w:line="320" w:lineRule="exact"/>
                    <w:ind w:firstLine="0" w:firstLineChars="0"/>
                    <w:jc w:val="center"/>
                    <w:rPr>
                      <w:rFonts w:hint="default" w:ascii="Times New Roman" w:hAnsi="Times New Roman" w:cs="Times New Roman"/>
                      <w:bCs/>
                      <w:color w:val="auto"/>
                      <w:kern w:val="0"/>
                      <w:sz w:val="21"/>
                      <w:szCs w:val="18"/>
                    </w:rPr>
                  </w:pPr>
                  <w:r>
                    <w:rPr>
                      <w:rFonts w:hint="default" w:ascii="Times New Roman" w:hAnsi="Times New Roman" w:cs="Times New Roman"/>
                      <w:bCs/>
                      <w:color w:val="auto"/>
                      <w:kern w:val="0"/>
                      <w:sz w:val="21"/>
                      <w:szCs w:val="18"/>
                    </w:rPr>
                    <w:t>检定有效期</w:t>
                  </w:r>
                </w:p>
              </w:tc>
              <w:tc>
                <w:tcPr>
                  <w:tcW w:w="3504" w:type="dxa"/>
                  <w:tcBorders>
                    <w:tl2br w:val="nil"/>
                    <w:tr2bl w:val="nil"/>
                  </w:tcBorders>
                  <w:vAlign w:val="center"/>
                </w:tcPr>
                <w:p>
                  <w:pPr>
                    <w:spacing w:line="320" w:lineRule="exact"/>
                    <w:ind w:firstLine="0" w:firstLineChars="0"/>
                    <w:jc w:val="center"/>
                    <w:rPr>
                      <w:rFonts w:hint="default" w:ascii="Times New Roman" w:hAnsi="Times New Roman" w:eastAsia="宋体" w:cs="Times New Roman"/>
                      <w:color w:val="auto"/>
                      <w:sz w:val="21"/>
                      <w:szCs w:val="18"/>
                      <w:lang w:val="en-US" w:eastAsia="zh-CN"/>
                    </w:rPr>
                  </w:pPr>
                  <w:r>
                    <w:rPr>
                      <w:rFonts w:hint="default" w:ascii="Times New Roman" w:hAnsi="Times New Roman" w:eastAsia="宋体" w:cs="Times New Roman"/>
                      <w:color w:val="auto"/>
                      <w:sz w:val="21"/>
                      <w:szCs w:val="18"/>
                    </w:rPr>
                    <w:t>202</w:t>
                  </w:r>
                  <w:r>
                    <w:rPr>
                      <w:rFonts w:hint="default" w:ascii="Times New Roman" w:hAnsi="Times New Roman" w:eastAsia="宋体" w:cs="Times New Roman"/>
                      <w:color w:val="auto"/>
                      <w:sz w:val="21"/>
                      <w:szCs w:val="18"/>
                      <w:lang w:val="en-US" w:eastAsia="zh-CN"/>
                    </w:rPr>
                    <w:t>2</w:t>
                  </w:r>
                  <w:r>
                    <w:rPr>
                      <w:rFonts w:hint="default" w:ascii="Times New Roman" w:hAnsi="Times New Roman" w:eastAsia="宋体" w:cs="Times New Roman"/>
                      <w:color w:val="auto"/>
                      <w:sz w:val="21"/>
                      <w:szCs w:val="18"/>
                    </w:rPr>
                    <w:t>.</w:t>
                  </w:r>
                  <w:r>
                    <w:rPr>
                      <w:rFonts w:hint="default" w:ascii="Times New Roman" w:hAnsi="Times New Roman" w:eastAsia="宋体" w:cs="Times New Roman"/>
                      <w:color w:val="auto"/>
                      <w:sz w:val="21"/>
                      <w:szCs w:val="18"/>
                      <w:lang w:val="en-US" w:eastAsia="zh-CN"/>
                    </w:rPr>
                    <w:t>4</w:t>
                  </w:r>
                  <w:r>
                    <w:rPr>
                      <w:rFonts w:hint="default" w:ascii="Times New Roman" w:hAnsi="Times New Roman" w:eastAsia="宋体" w:cs="Times New Roman"/>
                      <w:color w:val="auto"/>
                      <w:sz w:val="21"/>
                      <w:szCs w:val="18"/>
                    </w:rPr>
                    <w:t>.</w:t>
                  </w:r>
                  <w:r>
                    <w:rPr>
                      <w:rFonts w:hint="default" w:ascii="Times New Roman" w:hAnsi="Times New Roman" w:eastAsia="宋体" w:cs="Times New Roman"/>
                      <w:color w:val="auto"/>
                      <w:sz w:val="21"/>
                      <w:szCs w:val="18"/>
                      <w:lang w:val="en-US" w:eastAsia="zh-CN"/>
                    </w:rPr>
                    <w:t>1</w:t>
                  </w:r>
                  <w:r>
                    <w:rPr>
                      <w:rFonts w:hint="default" w:ascii="Times New Roman" w:hAnsi="Times New Roman" w:eastAsia="宋体" w:cs="Times New Roman"/>
                      <w:color w:val="auto"/>
                      <w:sz w:val="21"/>
                      <w:szCs w:val="18"/>
                    </w:rPr>
                    <w:t>~202</w:t>
                  </w:r>
                  <w:r>
                    <w:rPr>
                      <w:rFonts w:hint="default" w:ascii="Times New Roman" w:hAnsi="Times New Roman" w:eastAsia="宋体" w:cs="Times New Roman"/>
                      <w:color w:val="auto"/>
                      <w:sz w:val="21"/>
                      <w:szCs w:val="18"/>
                      <w:lang w:val="en-US" w:eastAsia="zh-CN"/>
                    </w:rPr>
                    <w:t>3</w:t>
                  </w:r>
                  <w:r>
                    <w:rPr>
                      <w:rFonts w:hint="default" w:ascii="Times New Roman" w:hAnsi="Times New Roman" w:eastAsia="宋体" w:cs="Times New Roman"/>
                      <w:color w:val="auto"/>
                      <w:sz w:val="21"/>
                      <w:szCs w:val="18"/>
                    </w:rPr>
                    <w:t>.</w:t>
                  </w:r>
                  <w:r>
                    <w:rPr>
                      <w:rFonts w:hint="default" w:ascii="Times New Roman" w:hAnsi="Times New Roman" w:eastAsia="宋体" w:cs="Times New Roman"/>
                      <w:color w:val="auto"/>
                      <w:sz w:val="21"/>
                      <w:szCs w:val="18"/>
                      <w:lang w:val="en-US" w:eastAsia="zh-CN"/>
                    </w:rPr>
                    <w:t>3</w:t>
                  </w:r>
                  <w:r>
                    <w:rPr>
                      <w:rFonts w:hint="default" w:ascii="Times New Roman" w:hAnsi="Times New Roman" w:eastAsia="宋体" w:cs="Times New Roman"/>
                      <w:color w:val="auto"/>
                      <w:sz w:val="21"/>
                      <w:szCs w:val="18"/>
                    </w:rPr>
                    <w:t>.</w:t>
                  </w:r>
                  <w:r>
                    <w:rPr>
                      <w:rFonts w:hint="default" w:ascii="Times New Roman" w:hAnsi="Times New Roman" w:eastAsia="宋体" w:cs="Times New Roman"/>
                      <w:color w:val="auto"/>
                      <w:sz w:val="21"/>
                      <w:szCs w:val="18"/>
                      <w:lang w:val="en-US" w:eastAsia="zh-CN"/>
                    </w:rPr>
                    <w:t>31</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1681" w:type="dxa"/>
                  <w:tcBorders>
                    <w:tl2br w:val="nil"/>
                    <w:tr2bl w:val="nil"/>
                  </w:tcBorders>
                  <w:vAlign w:val="center"/>
                </w:tcPr>
                <w:p>
                  <w:pPr>
                    <w:snapToGrid w:val="0"/>
                    <w:spacing w:line="320" w:lineRule="exact"/>
                    <w:ind w:firstLine="0" w:firstLineChars="0"/>
                    <w:jc w:val="center"/>
                    <w:rPr>
                      <w:rFonts w:hint="default" w:ascii="Times New Roman" w:hAnsi="Times New Roman" w:cs="Times New Roman"/>
                      <w:bCs/>
                      <w:color w:val="auto"/>
                      <w:kern w:val="0"/>
                      <w:sz w:val="21"/>
                      <w:szCs w:val="18"/>
                    </w:rPr>
                  </w:pPr>
                  <w:r>
                    <w:rPr>
                      <w:rFonts w:hint="default" w:ascii="Times New Roman" w:hAnsi="Times New Roman" w:eastAsia="宋体" w:cs="Times New Roman"/>
                      <w:bCs/>
                      <w:color w:val="auto"/>
                      <w:sz w:val="21"/>
                      <w:szCs w:val="18"/>
                    </w:rPr>
                    <w:t>校准证书编号</w:t>
                  </w:r>
                </w:p>
              </w:tc>
              <w:tc>
                <w:tcPr>
                  <w:tcW w:w="3504" w:type="dxa"/>
                  <w:tcBorders>
                    <w:tl2br w:val="nil"/>
                    <w:tr2bl w:val="nil"/>
                  </w:tcBorders>
                  <w:vAlign w:val="center"/>
                </w:tcPr>
                <w:p>
                  <w:pPr>
                    <w:spacing w:line="320" w:lineRule="exact"/>
                    <w:ind w:firstLine="0" w:firstLineChars="0"/>
                    <w:jc w:val="center"/>
                    <w:rPr>
                      <w:rFonts w:hint="default" w:ascii="Times New Roman" w:hAnsi="Times New Roman" w:eastAsia="宋体" w:cs="Times New Roman"/>
                      <w:color w:val="auto"/>
                      <w:sz w:val="21"/>
                      <w:szCs w:val="18"/>
                      <w:lang w:val="en-US" w:eastAsia="zh-CN"/>
                    </w:rPr>
                  </w:pPr>
                  <w:r>
                    <w:rPr>
                      <w:rFonts w:hint="default" w:ascii="Times New Roman" w:hAnsi="Times New Roman" w:eastAsia="宋体" w:cs="Times New Roman"/>
                      <w:color w:val="auto"/>
                      <w:sz w:val="21"/>
                      <w:szCs w:val="21"/>
                      <w:lang w:val="en-US" w:eastAsia="zh-CN"/>
                    </w:rPr>
                    <w:t>1022BR0100316</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1681" w:type="dxa"/>
                  <w:tcBorders>
                    <w:tl2br w:val="nil"/>
                    <w:tr2bl w:val="nil"/>
                  </w:tcBorders>
                  <w:vAlign w:val="center"/>
                </w:tcPr>
                <w:p>
                  <w:pPr>
                    <w:snapToGrid w:val="0"/>
                    <w:spacing w:line="320" w:lineRule="exact"/>
                    <w:ind w:firstLine="0" w:firstLineChars="0"/>
                    <w:jc w:val="center"/>
                    <w:rPr>
                      <w:rFonts w:hint="default" w:ascii="Times New Roman" w:hAnsi="Times New Roman" w:cs="Times New Roman"/>
                      <w:bCs/>
                      <w:color w:val="auto"/>
                      <w:kern w:val="0"/>
                      <w:sz w:val="21"/>
                      <w:szCs w:val="18"/>
                    </w:rPr>
                  </w:pPr>
                  <w:r>
                    <w:rPr>
                      <w:rFonts w:hint="default" w:ascii="Times New Roman" w:hAnsi="Times New Roman" w:cs="Times New Roman"/>
                      <w:bCs/>
                      <w:color w:val="auto"/>
                      <w:kern w:val="0"/>
                      <w:sz w:val="21"/>
                      <w:szCs w:val="18"/>
                    </w:rPr>
                    <w:t>监测方法</w:t>
                  </w:r>
                </w:p>
              </w:tc>
              <w:tc>
                <w:tcPr>
                  <w:tcW w:w="3504" w:type="dxa"/>
                  <w:tcBorders>
                    <w:tl2br w:val="nil"/>
                    <w:tr2bl w:val="nil"/>
                  </w:tcBorders>
                  <w:vAlign w:val="center"/>
                </w:tcPr>
                <w:p>
                  <w:pPr>
                    <w:spacing w:line="320" w:lineRule="exact"/>
                    <w:ind w:firstLine="0" w:firstLineChars="0"/>
                    <w:jc w:val="center"/>
                    <w:rPr>
                      <w:rFonts w:hint="default" w:ascii="Times New Roman" w:hAnsi="Times New Roman" w:eastAsia="宋体" w:cs="Times New Roman"/>
                      <w:color w:val="auto"/>
                      <w:sz w:val="21"/>
                      <w:szCs w:val="18"/>
                    </w:rPr>
                  </w:pPr>
                  <w:r>
                    <w:rPr>
                      <w:rFonts w:hint="default" w:ascii="Times New Roman" w:hAnsi="Times New Roman" w:eastAsia="宋体" w:cs="Times New Roman"/>
                      <w:color w:val="auto"/>
                      <w:sz w:val="21"/>
                      <w:szCs w:val="18"/>
                    </w:rPr>
                    <w:t>《声环境质量标准》（GB3096-2008）</w:t>
                  </w:r>
                </w:p>
              </w:tc>
            </w:tr>
          </w:tbl>
          <w:p>
            <w:pPr>
              <w:adjustRightInd w:val="0"/>
              <w:snapToGrid w:val="0"/>
              <w:ind w:firstLine="480"/>
              <w:jc w:val="left"/>
              <w:rPr>
                <w:rFonts w:hint="default" w:ascii="Times New Roman" w:hAnsi="Times New Roman" w:cs="Times New Roman"/>
                <w:bCs/>
                <w:color w:val="auto"/>
                <w:kern w:val="0"/>
                <w:szCs w:val="21"/>
              </w:rPr>
            </w:pPr>
            <w:r>
              <w:rPr>
                <w:rFonts w:hint="default" w:ascii="Times New Roman" w:hAnsi="Times New Roman" w:cs="Times New Roman"/>
                <w:color w:val="auto"/>
                <w:kern w:val="0"/>
                <w:szCs w:val="21"/>
              </w:rPr>
              <w:t>（4）检</w:t>
            </w:r>
            <w:r>
              <w:rPr>
                <w:rFonts w:hint="default" w:ascii="Times New Roman" w:hAnsi="Times New Roman" w:cs="Times New Roman"/>
                <w:bCs/>
                <w:color w:val="auto"/>
                <w:kern w:val="0"/>
                <w:szCs w:val="21"/>
              </w:rPr>
              <w:t>测布点</w:t>
            </w:r>
          </w:p>
          <w:p>
            <w:pPr>
              <w:ind w:firstLine="480"/>
              <w:rPr>
                <w:rFonts w:hint="default" w:ascii="Times New Roman" w:hAnsi="Times New Roman" w:cs="Times New Roman"/>
                <w:color w:val="auto"/>
              </w:rPr>
            </w:pPr>
            <w:r>
              <w:rPr>
                <w:rFonts w:hint="default" w:ascii="Times New Roman" w:hAnsi="Times New Roman" w:cs="Times New Roman"/>
                <w:color w:val="auto"/>
              </w:rPr>
              <w:t>本项目声环境评价范围内（站界外</w:t>
            </w:r>
            <w:r>
              <w:rPr>
                <w:rFonts w:hint="default" w:ascii="Times New Roman" w:hAnsi="Times New Roman" w:cs="Times New Roman"/>
                <w:color w:val="auto"/>
                <w:lang w:val="en-US" w:eastAsia="zh-CN"/>
              </w:rPr>
              <w:t>200</w:t>
            </w:r>
            <w:r>
              <w:rPr>
                <w:rFonts w:hint="default" w:ascii="Times New Roman" w:hAnsi="Times New Roman" w:cs="Times New Roman"/>
                <w:color w:val="auto"/>
              </w:rPr>
              <w:t>m）无敏感目标，本次评价在升压站站址四周布设4个监测点位。</w:t>
            </w:r>
          </w:p>
          <w:p>
            <w:pPr>
              <w:pStyle w:val="69"/>
              <w:keepNext w:val="0"/>
              <w:keepLines w:val="0"/>
              <w:pageBreakBefore w:val="0"/>
              <w:widowControl w:val="0"/>
              <w:kinsoku/>
              <w:wordWrap/>
              <w:overflowPunct/>
              <w:topLinePunct w:val="0"/>
              <w:autoSpaceDE/>
              <w:autoSpaceDN/>
              <w:bidi w:val="0"/>
              <w:spacing w:line="520" w:lineRule="exact"/>
              <w:textAlignment w:val="auto"/>
              <w:rPr>
                <w:rFonts w:hint="default" w:ascii="Times New Roman" w:hAnsi="Times New Roman" w:cs="Times New Roman"/>
                <w:color w:val="auto"/>
                <w:spacing w:val="-2"/>
                <w:sz w:val="24"/>
              </w:rPr>
            </w:pPr>
            <w:r>
              <w:rPr>
                <w:rFonts w:hint="default" w:ascii="Times New Roman" w:hAnsi="Times New Roman" w:cs="Times New Roman"/>
                <w:color w:val="auto"/>
                <w:spacing w:val="-2"/>
                <w:sz w:val="24"/>
              </w:rPr>
              <w:t xml:space="preserve">  声环境质量现状监测点位表</w:t>
            </w:r>
          </w:p>
          <w:tbl>
            <w:tblPr>
              <w:tblStyle w:val="23"/>
              <w:tblW w:w="5000" w:type="pct"/>
              <w:jc w:val="center"/>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393"/>
              <w:gridCol w:w="2929"/>
              <w:gridCol w:w="4410"/>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1391" w:type="dxa"/>
                  <w:tcBorders>
                    <w:tl2br w:val="nil"/>
                    <w:tr2bl w:val="nil"/>
                  </w:tcBorders>
                  <w:vAlign w:val="center"/>
                </w:tcPr>
                <w:p>
                  <w:pPr>
                    <w:snapToGrid w:val="0"/>
                    <w:spacing w:line="320" w:lineRule="exact"/>
                    <w:ind w:firstLine="0" w:firstLineChars="0"/>
                    <w:jc w:val="center"/>
                    <w:rPr>
                      <w:rFonts w:hint="default" w:ascii="Times New Roman" w:hAnsi="Times New Roman" w:cs="Times New Roman"/>
                      <w:bCs/>
                      <w:color w:val="auto"/>
                      <w:kern w:val="0"/>
                      <w:sz w:val="21"/>
                      <w:szCs w:val="18"/>
                    </w:rPr>
                  </w:pPr>
                  <w:r>
                    <w:rPr>
                      <w:rFonts w:hint="default" w:ascii="Times New Roman" w:hAnsi="Times New Roman" w:cs="Times New Roman"/>
                      <w:bCs/>
                      <w:color w:val="auto"/>
                      <w:kern w:val="0"/>
                      <w:sz w:val="21"/>
                      <w:szCs w:val="18"/>
                    </w:rPr>
                    <w:t>编号</w:t>
                  </w:r>
                </w:p>
              </w:tc>
              <w:tc>
                <w:tcPr>
                  <w:tcW w:w="2926" w:type="dxa"/>
                  <w:tcBorders>
                    <w:tl2br w:val="nil"/>
                    <w:tr2bl w:val="nil"/>
                  </w:tcBorders>
                  <w:vAlign w:val="center"/>
                </w:tcPr>
                <w:p>
                  <w:pPr>
                    <w:snapToGrid w:val="0"/>
                    <w:spacing w:line="320" w:lineRule="exact"/>
                    <w:ind w:firstLine="0" w:firstLineChars="0"/>
                    <w:jc w:val="center"/>
                    <w:rPr>
                      <w:rFonts w:hint="default" w:ascii="Times New Roman" w:hAnsi="Times New Roman" w:cs="Times New Roman"/>
                      <w:bCs/>
                      <w:color w:val="auto"/>
                      <w:kern w:val="0"/>
                      <w:sz w:val="21"/>
                      <w:szCs w:val="18"/>
                    </w:rPr>
                  </w:pPr>
                  <w:r>
                    <w:rPr>
                      <w:rFonts w:hint="default" w:ascii="Times New Roman" w:hAnsi="Times New Roman" w:cs="Times New Roman"/>
                      <w:bCs/>
                      <w:color w:val="auto"/>
                      <w:kern w:val="0"/>
                      <w:sz w:val="21"/>
                      <w:szCs w:val="18"/>
                    </w:rPr>
                    <w:t>监测点名称</w:t>
                  </w:r>
                </w:p>
              </w:tc>
              <w:tc>
                <w:tcPr>
                  <w:tcW w:w="4405" w:type="dxa"/>
                  <w:tcBorders>
                    <w:tl2br w:val="nil"/>
                    <w:tr2bl w:val="nil"/>
                  </w:tcBorders>
                  <w:vAlign w:val="center"/>
                </w:tcPr>
                <w:p>
                  <w:pPr>
                    <w:spacing w:line="320" w:lineRule="exact"/>
                    <w:ind w:firstLine="0" w:firstLineChars="0"/>
                    <w:jc w:val="center"/>
                    <w:rPr>
                      <w:rFonts w:hint="default" w:ascii="Times New Roman" w:hAnsi="Times New Roman" w:eastAsia="宋体" w:cs="Times New Roman"/>
                      <w:color w:val="auto"/>
                      <w:sz w:val="21"/>
                      <w:szCs w:val="18"/>
                    </w:rPr>
                  </w:pPr>
                  <w:r>
                    <w:rPr>
                      <w:rFonts w:hint="default" w:ascii="Times New Roman" w:hAnsi="Times New Roman" w:eastAsia="宋体" w:cs="Times New Roman"/>
                      <w:color w:val="auto"/>
                      <w:sz w:val="21"/>
                      <w:szCs w:val="18"/>
                    </w:rPr>
                    <w:t>监测点位置</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1391" w:type="dxa"/>
                  <w:tcBorders>
                    <w:tl2br w:val="nil"/>
                    <w:tr2bl w:val="nil"/>
                  </w:tcBorders>
                  <w:vAlign w:val="center"/>
                </w:tcPr>
                <w:p>
                  <w:pPr>
                    <w:snapToGrid w:val="0"/>
                    <w:spacing w:line="320" w:lineRule="exact"/>
                    <w:ind w:firstLine="0" w:firstLineChars="0"/>
                    <w:jc w:val="center"/>
                    <w:rPr>
                      <w:rFonts w:hint="default" w:ascii="Times New Roman" w:hAnsi="Times New Roman" w:cs="Times New Roman"/>
                      <w:bCs/>
                      <w:color w:val="auto"/>
                      <w:kern w:val="0"/>
                      <w:sz w:val="21"/>
                      <w:szCs w:val="18"/>
                    </w:rPr>
                  </w:pPr>
                  <w:r>
                    <w:rPr>
                      <w:rFonts w:hint="default" w:ascii="Times New Roman" w:hAnsi="Times New Roman" w:cs="Times New Roman"/>
                      <w:bCs/>
                      <w:color w:val="auto"/>
                      <w:kern w:val="0"/>
                      <w:sz w:val="21"/>
                      <w:szCs w:val="18"/>
                    </w:rPr>
                    <w:t>1</w:t>
                  </w:r>
                </w:p>
              </w:tc>
              <w:tc>
                <w:tcPr>
                  <w:tcW w:w="2926" w:type="dxa"/>
                  <w:tcBorders>
                    <w:tl2br w:val="nil"/>
                    <w:tr2bl w:val="nil"/>
                  </w:tcBorders>
                  <w:vAlign w:val="center"/>
                </w:tcPr>
                <w:p>
                  <w:pPr>
                    <w:pStyle w:val="40"/>
                    <w:keepNext w:val="0"/>
                    <w:overflowPunct w:val="0"/>
                    <w:snapToGrid w:val="0"/>
                    <w:spacing w:line="240" w:lineRule="auto"/>
                    <w:ind w:left="0" w:leftChars="0" w:firstLine="0" w:firstLineChars="0"/>
                    <w:jc w:val="center"/>
                    <w:rPr>
                      <w:rFonts w:hint="default" w:ascii="Times New Roman" w:hAnsi="Times New Roman" w:cs="Times New Roman" w:eastAsiaTheme="minorEastAsia"/>
                      <w:bCs/>
                      <w:color w:val="auto"/>
                      <w:kern w:val="0"/>
                      <w:sz w:val="21"/>
                      <w:szCs w:val="18"/>
                      <w:lang w:val="en-US" w:eastAsia="zh-CN" w:bidi="ar-SA"/>
                    </w:rPr>
                  </w:pPr>
                  <w:r>
                    <w:rPr>
                      <w:rFonts w:hint="default" w:ascii="Times New Roman" w:hAnsi="Times New Roman" w:cs="Times New Roman" w:eastAsiaTheme="minorEastAsia"/>
                      <w:bCs/>
                      <w:color w:val="auto"/>
                      <w:kern w:val="0"/>
                      <w:sz w:val="21"/>
                      <w:szCs w:val="18"/>
                      <w:lang w:val="en-US" w:eastAsia="zh-CN" w:bidi="ar-SA"/>
                    </w:rPr>
                    <w:t>站址东侧</w:t>
                  </w:r>
                </w:p>
              </w:tc>
              <w:tc>
                <w:tcPr>
                  <w:tcW w:w="4405" w:type="dxa"/>
                  <w:tcBorders>
                    <w:tl2br w:val="nil"/>
                    <w:tr2bl w:val="nil"/>
                  </w:tcBorders>
                  <w:vAlign w:val="center"/>
                </w:tcPr>
                <w:p>
                  <w:pPr>
                    <w:spacing w:line="320" w:lineRule="exact"/>
                    <w:ind w:firstLine="0" w:firstLineChars="0"/>
                    <w:jc w:val="center"/>
                    <w:rPr>
                      <w:rFonts w:hint="default" w:ascii="Times New Roman" w:hAnsi="Times New Roman" w:eastAsia="宋体" w:cs="Times New Roman"/>
                      <w:color w:val="auto"/>
                      <w:sz w:val="21"/>
                      <w:szCs w:val="18"/>
                    </w:rPr>
                  </w:pPr>
                  <w:r>
                    <w:rPr>
                      <w:rFonts w:hint="eastAsia" w:eastAsia="宋体" w:cs="Times New Roman"/>
                      <w:color w:val="auto"/>
                      <w:sz w:val="21"/>
                      <w:szCs w:val="18"/>
                      <w:lang w:val="en-US" w:eastAsia="zh-CN"/>
                    </w:rPr>
                    <w:t>界</w:t>
                  </w:r>
                  <w:r>
                    <w:rPr>
                      <w:rFonts w:hint="default" w:ascii="Times New Roman" w:hAnsi="Times New Roman" w:eastAsia="宋体" w:cs="Times New Roman"/>
                      <w:color w:val="auto"/>
                      <w:sz w:val="21"/>
                      <w:szCs w:val="18"/>
                    </w:rPr>
                    <w:t>外1m</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1391" w:type="dxa"/>
                  <w:tcBorders>
                    <w:tl2br w:val="nil"/>
                    <w:tr2bl w:val="nil"/>
                  </w:tcBorders>
                  <w:vAlign w:val="center"/>
                </w:tcPr>
                <w:p>
                  <w:pPr>
                    <w:snapToGrid w:val="0"/>
                    <w:spacing w:line="320" w:lineRule="exact"/>
                    <w:ind w:firstLine="0" w:firstLineChars="0"/>
                    <w:jc w:val="center"/>
                    <w:rPr>
                      <w:rFonts w:hint="default" w:ascii="Times New Roman" w:hAnsi="Times New Roman" w:cs="Times New Roman"/>
                      <w:bCs/>
                      <w:color w:val="auto"/>
                      <w:kern w:val="0"/>
                      <w:sz w:val="21"/>
                      <w:szCs w:val="18"/>
                    </w:rPr>
                  </w:pPr>
                  <w:r>
                    <w:rPr>
                      <w:rFonts w:hint="default" w:ascii="Times New Roman" w:hAnsi="Times New Roman" w:cs="Times New Roman"/>
                      <w:bCs/>
                      <w:color w:val="auto"/>
                      <w:kern w:val="0"/>
                      <w:sz w:val="21"/>
                      <w:szCs w:val="18"/>
                    </w:rPr>
                    <w:t>2</w:t>
                  </w:r>
                </w:p>
              </w:tc>
              <w:tc>
                <w:tcPr>
                  <w:tcW w:w="2926" w:type="dxa"/>
                  <w:tcBorders>
                    <w:tl2br w:val="nil"/>
                    <w:tr2bl w:val="nil"/>
                  </w:tcBorders>
                  <w:vAlign w:val="center"/>
                </w:tcPr>
                <w:p>
                  <w:pPr>
                    <w:snapToGrid w:val="0"/>
                    <w:spacing w:line="320" w:lineRule="exact"/>
                    <w:ind w:firstLine="0" w:firstLineChars="0"/>
                    <w:jc w:val="center"/>
                    <w:rPr>
                      <w:rFonts w:hint="default" w:ascii="Times New Roman" w:hAnsi="Times New Roman" w:cs="Times New Roman"/>
                      <w:bCs/>
                      <w:color w:val="auto"/>
                      <w:kern w:val="0"/>
                      <w:sz w:val="21"/>
                      <w:szCs w:val="18"/>
                      <w:lang w:val="en-US" w:eastAsia="zh-CN"/>
                    </w:rPr>
                  </w:pPr>
                  <w:r>
                    <w:rPr>
                      <w:rFonts w:hint="default" w:ascii="Times New Roman" w:hAnsi="Times New Roman" w:cs="Times New Roman"/>
                      <w:bCs/>
                      <w:color w:val="auto"/>
                      <w:kern w:val="0"/>
                      <w:sz w:val="21"/>
                      <w:szCs w:val="18"/>
                      <w:lang w:val="en-US" w:eastAsia="zh-CN"/>
                    </w:rPr>
                    <w:t>站址南侧</w:t>
                  </w:r>
                </w:p>
              </w:tc>
              <w:tc>
                <w:tcPr>
                  <w:tcW w:w="4405" w:type="dxa"/>
                  <w:tcBorders>
                    <w:tl2br w:val="nil"/>
                    <w:tr2bl w:val="nil"/>
                  </w:tcBorders>
                </w:tcPr>
                <w:p>
                  <w:pPr>
                    <w:spacing w:line="320" w:lineRule="exact"/>
                    <w:ind w:firstLine="0" w:firstLineChars="0"/>
                    <w:jc w:val="center"/>
                    <w:rPr>
                      <w:rFonts w:hint="default" w:ascii="Times New Roman" w:hAnsi="Times New Roman" w:eastAsia="宋体" w:cs="Times New Roman"/>
                      <w:color w:val="auto"/>
                      <w:sz w:val="21"/>
                      <w:szCs w:val="18"/>
                    </w:rPr>
                  </w:pPr>
                  <w:r>
                    <w:rPr>
                      <w:rFonts w:hint="eastAsia" w:eastAsia="宋体" w:cs="Times New Roman"/>
                      <w:color w:val="auto"/>
                      <w:sz w:val="21"/>
                      <w:szCs w:val="18"/>
                      <w:lang w:val="en-US" w:eastAsia="zh-CN"/>
                    </w:rPr>
                    <w:t>界</w:t>
                  </w:r>
                  <w:r>
                    <w:rPr>
                      <w:rFonts w:hint="default" w:ascii="Times New Roman" w:hAnsi="Times New Roman" w:eastAsia="宋体" w:cs="Times New Roman"/>
                      <w:color w:val="auto"/>
                      <w:sz w:val="21"/>
                      <w:szCs w:val="18"/>
                    </w:rPr>
                    <w:t>外1m</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1391" w:type="dxa"/>
                  <w:tcBorders>
                    <w:tl2br w:val="nil"/>
                    <w:tr2bl w:val="nil"/>
                  </w:tcBorders>
                  <w:vAlign w:val="center"/>
                </w:tcPr>
                <w:p>
                  <w:pPr>
                    <w:snapToGrid w:val="0"/>
                    <w:spacing w:line="320" w:lineRule="exact"/>
                    <w:ind w:firstLine="0" w:firstLineChars="0"/>
                    <w:jc w:val="center"/>
                    <w:rPr>
                      <w:rFonts w:hint="default" w:ascii="Times New Roman" w:hAnsi="Times New Roman" w:cs="Times New Roman"/>
                      <w:bCs/>
                      <w:color w:val="auto"/>
                      <w:kern w:val="0"/>
                      <w:sz w:val="21"/>
                      <w:szCs w:val="18"/>
                    </w:rPr>
                  </w:pPr>
                  <w:r>
                    <w:rPr>
                      <w:rFonts w:hint="default" w:ascii="Times New Roman" w:hAnsi="Times New Roman" w:cs="Times New Roman"/>
                      <w:bCs/>
                      <w:color w:val="auto"/>
                      <w:kern w:val="0"/>
                      <w:sz w:val="21"/>
                      <w:szCs w:val="18"/>
                    </w:rPr>
                    <w:t>3</w:t>
                  </w:r>
                </w:p>
              </w:tc>
              <w:tc>
                <w:tcPr>
                  <w:tcW w:w="2926" w:type="dxa"/>
                  <w:tcBorders>
                    <w:tl2br w:val="nil"/>
                    <w:tr2bl w:val="nil"/>
                  </w:tcBorders>
                  <w:vAlign w:val="center"/>
                </w:tcPr>
                <w:p>
                  <w:pPr>
                    <w:snapToGrid w:val="0"/>
                    <w:spacing w:line="320" w:lineRule="exact"/>
                    <w:ind w:firstLine="0" w:firstLineChars="0"/>
                    <w:jc w:val="center"/>
                    <w:rPr>
                      <w:rFonts w:hint="default" w:ascii="Times New Roman" w:hAnsi="Times New Roman" w:cs="Times New Roman"/>
                      <w:bCs/>
                      <w:color w:val="auto"/>
                      <w:kern w:val="0"/>
                      <w:sz w:val="21"/>
                      <w:szCs w:val="18"/>
                      <w:lang w:val="en-US" w:eastAsia="zh-CN"/>
                    </w:rPr>
                  </w:pPr>
                  <w:r>
                    <w:rPr>
                      <w:rFonts w:hint="default" w:ascii="Times New Roman" w:hAnsi="Times New Roman" w:cs="Times New Roman"/>
                      <w:bCs/>
                      <w:color w:val="auto"/>
                      <w:kern w:val="0"/>
                      <w:sz w:val="21"/>
                      <w:szCs w:val="18"/>
                      <w:lang w:val="en-US" w:eastAsia="zh-CN"/>
                    </w:rPr>
                    <w:t>站址西侧</w:t>
                  </w:r>
                </w:p>
              </w:tc>
              <w:tc>
                <w:tcPr>
                  <w:tcW w:w="4405" w:type="dxa"/>
                  <w:tcBorders>
                    <w:tl2br w:val="nil"/>
                    <w:tr2bl w:val="nil"/>
                  </w:tcBorders>
                </w:tcPr>
                <w:p>
                  <w:pPr>
                    <w:spacing w:line="320" w:lineRule="exact"/>
                    <w:ind w:firstLine="0" w:firstLineChars="0"/>
                    <w:jc w:val="center"/>
                    <w:rPr>
                      <w:rFonts w:hint="default" w:ascii="Times New Roman" w:hAnsi="Times New Roman" w:eastAsia="宋体" w:cs="Times New Roman"/>
                      <w:color w:val="auto"/>
                      <w:sz w:val="21"/>
                      <w:szCs w:val="18"/>
                    </w:rPr>
                  </w:pPr>
                  <w:r>
                    <w:rPr>
                      <w:rFonts w:hint="eastAsia" w:eastAsia="宋体" w:cs="Times New Roman"/>
                      <w:color w:val="auto"/>
                      <w:sz w:val="21"/>
                      <w:szCs w:val="18"/>
                      <w:lang w:val="en-US" w:eastAsia="zh-CN"/>
                    </w:rPr>
                    <w:t>界</w:t>
                  </w:r>
                  <w:r>
                    <w:rPr>
                      <w:rFonts w:hint="default" w:ascii="Times New Roman" w:hAnsi="Times New Roman" w:eastAsia="宋体" w:cs="Times New Roman"/>
                      <w:color w:val="auto"/>
                      <w:sz w:val="21"/>
                      <w:szCs w:val="18"/>
                    </w:rPr>
                    <w:t>外1m</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1391" w:type="dxa"/>
                  <w:tcBorders>
                    <w:tl2br w:val="nil"/>
                    <w:tr2bl w:val="nil"/>
                  </w:tcBorders>
                  <w:vAlign w:val="center"/>
                </w:tcPr>
                <w:p>
                  <w:pPr>
                    <w:snapToGrid w:val="0"/>
                    <w:spacing w:line="320" w:lineRule="exact"/>
                    <w:ind w:firstLine="0" w:firstLineChars="0"/>
                    <w:jc w:val="center"/>
                    <w:rPr>
                      <w:rFonts w:hint="default" w:ascii="Times New Roman" w:hAnsi="Times New Roman" w:cs="Times New Roman"/>
                      <w:bCs/>
                      <w:color w:val="auto"/>
                      <w:kern w:val="0"/>
                      <w:sz w:val="21"/>
                      <w:szCs w:val="18"/>
                    </w:rPr>
                  </w:pPr>
                  <w:r>
                    <w:rPr>
                      <w:rFonts w:hint="default" w:ascii="Times New Roman" w:hAnsi="Times New Roman" w:cs="Times New Roman"/>
                      <w:bCs/>
                      <w:color w:val="auto"/>
                      <w:kern w:val="0"/>
                      <w:sz w:val="21"/>
                      <w:szCs w:val="18"/>
                    </w:rPr>
                    <w:t>4</w:t>
                  </w:r>
                </w:p>
              </w:tc>
              <w:tc>
                <w:tcPr>
                  <w:tcW w:w="2926" w:type="dxa"/>
                  <w:tcBorders>
                    <w:tl2br w:val="nil"/>
                    <w:tr2bl w:val="nil"/>
                  </w:tcBorders>
                  <w:vAlign w:val="center"/>
                </w:tcPr>
                <w:p>
                  <w:pPr>
                    <w:snapToGrid w:val="0"/>
                    <w:spacing w:line="320" w:lineRule="exact"/>
                    <w:ind w:firstLine="0" w:firstLineChars="0"/>
                    <w:jc w:val="center"/>
                    <w:rPr>
                      <w:rFonts w:hint="default" w:ascii="Times New Roman" w:hAnsi="Times New Roman" w:cs="Times New Roman"/>
                      <w:bCs/>
                      <w:color w:val="auto"/>
                      <w:kern w:val="0"/>
                      <w:sz w:val="21"/>
                      <w:szCs w:val="18"/>
                      <w:lang w:val="en-US" w:eastAsia="zh-CN"/>
                    </w:rPr>
                  </w:pPr>
                  <w:r>
                    <w:rPr>
                      <w:rFonts w:hint="default" w:ascii="Times New Roman" w:hAnsi="Times New Roman" w:cs="Times New Roman"/>
                      <w:bCs/>
                      <w:color w:val="auto"/>
                      <w:kern w:val="0"/>
                      <w:sz w:val="21"/>
                      <w:szCs w:val="18"/>
                      <w:lang w:val="en-US" w:eastAsia="zh-CN"/>
                    </w:rPr>
                    <w:t>站址北侧</w:t>
                  </w:r>
                </w:p>
              </w:tc>
              <w:tc>
                <w:tcPr>
                  <w:tcW w:w="4405" w:type="dxa"/>
                  <w:tcBorders>
                    <w:tl2br w:val="nil"/>
                    <w:tr2bl w:val="nil"/>
                  </w:tcBorders>
                </w:tcPr>
                <w:p>
                  <w:pPr>
                    <w:spacing w:line="320" w:lineRule="exact"/>
                    <w:ind w:firstLine="0" w:firstLineChars="0"/>
                    <w:jc w:val="center"/>
                    <w:rPr>
                      <w:rFonts w:hint="default" w:ascii="Times New Roman" w:hAnsi="Times New Roman" w:eastAsia="宋体" w:cs="Times New Roman"/>
                      <w:color w:val="auto"/>
                      <w:sz w:val="21"/>
                      <w:szCs w:val="18"/>
                    </w:rPr>
                  </w:pPr>
                  <w:r>
                    <w:rPr>
                      <w:rFonts w:hint="eastAsia" w:eastAsia="宋体" w:cs="Times New Roman"/>
                      <w:color w:val="auto"/>
                      <w:sz w:val="21"/>
                      <w:szCs w:val="18"/>
                      <w:lang w:val="en-US" w:eastAsia="zh-CN"/>
                    </w:rPr>
                    <w:t>界</w:t>
                  </w:r>
                  <w:r>
                    <w:rPr>
                      <w:rFonts w:hint="default" w:ascii="Times New Roman" w:hAnsi="Times New Roman" w:eastAsia="宋体" w:cs="Times New Roman"/>
                      <w:color w:val="auto"/>
                      <w:sz w:val="21"/>
                      <w:szCs w:val="18"/>
                    </w:rPr>
                    <w:t>外1m</w:t>
                  </w:r>
                </w:p>
              </w:tc>
            </w:tr>
          </w:tbl>
          <w:p>
            <w:pPr>
              <w:ind w:firstLine="480"/>
              <w:rPr>
                <w:rFonts w:hint="default" w:ascii="Times New Roman" w:hAnsi="Times New Roman" w:cs="Times New Roman"/>
                <w:color w:val="auto"/>
              </w:rPr>
            </w:pPr>
            <w:r>
              <w:rPr>
                <w:rFonts w:hint="default" w:ascii="Times New Roman" w:hAnsi="Times New Roman" w:cs="Times New Roman"/>
                <w:color w:val="auto"/>
              </w:rPr>
              <w:t>（5）监测结果</w:t>
            </w:r>
          </w:p>
          <w:p>
            <w:pPr>
              <w:pStyle w:val="69"/>
              <w:keepNext w:val="0"/>
              <w:keepLines w:val="0"/>
              <w:pageBreakBefore w:val="0"/>
              <w:widowControl w:val="0"/>
              <w:kinsoku/>
              <w:wordWrap/>
              <w:overflowPunct/>
              <w:topLinePunct w:val="0"/>
              <w:autoSpaceDE/>
              <w:autoSpaceDN/>
              <w:bidi w:val="0"/>
              <w:spacing w:line="520" w:lineRule="exact"/>
              <w:textAlignment w:val="auto"/>
              <w:rPr>
                <w:rFonts w:hint="default" w:ascii="Times New Roman" w:hAnsi="Times New Roman" w:cs="Times New Roman"/>
                <w:color w:val="auto"/>
                <w:spacing w:val="-2"/>
                <w:sz w:val="24"/>
              </w:rPr>
            </w:pPr>
            <w:r>
              <w:rPr>
                <w:rFonts w:hint="default" w:ascii="Times New Roman" w:hAnsi="Times New Roman" w:cs="Times New Roman"/>
                <w:color w:val="auto"/>
                <w:spacing w:val="-2"/>
                <w:sz w:val="24"/>
              </w:rPr>
              <w:t xml:space="preserve">  声环境质量现状监测</w:t>
            </w:r>
            <w:r>
              <w:rPr>
                <w:rFonts w:hint="eastAsia" w:cs="Times New Roman"/>
                <w:color w:val="auto"/>
                <w:spacing w:val="-2"/>
                <w:sz w:val="24"/>
                <w:lang w:val="en-US" w:eastAsia="zh-CN"/>
              </w:rPr>
              <w:t>结果表</w:t>
            </w:r>
            <w:r>
              <w:rPr>
                <w:rFonts w:hint="default" w:ascii="Times New Roman" w:hAnsi="Times New Roman" w:cs="Times New Roman"/>
                <w:color w:val="auto"/>
                <w:spacing w:val="-2"/>
                <w:sz w:val="24"/>
              </w:rPr>
              <w:t>（单位：dB(A)）</w:t>
            </w:r>
          </w:p>
          <w:tbl>
            <w:tblPr>
              <w:tblStyle w:val="23"/>
              <w:tblW w:w="5000" w:type="pct"/>
              <w:jc w:val="center"/>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796"/>
              <w:gridCol w:w="1189"/>
              <w:gridCol w:w="1507"/>
              <w:gridCol w:w="1248"/>
              <w:gridCol w:w="1419"/>
              <w:gridCol w:w="1277"/>
              <w:gridCol w:w="1296"/>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795" w:type="dxa"/>
                  <w:vMerge w:val="restart"/>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color w:val="auto"/>
                      <w:kern w:val="0"/>
                      <w:sz w:val="21"/>
                      <w:szCs w:val="18"/>
                    </w:rPr>
                  </w:pPr>
                  <w:r>
                    <w:rPr>
                      <w:rFonts w:hint="default" w:ascii="Times New Roman" w:hAnsi="Times New Roman" w:cs="Times New Roman"/>
                      <w:color w:val="auto"/>
                      <w:kern w:val="0"/>
                      <w:sz w:val="21"/>
                      <w:szCs w:val="18"/>
                    </w:rPr>
                    <w:t>编号</w:t>
                  </w:r>
                </w:p>
              </w:tc>
              <w:tc>
                <w:tcPr>
                  <w:tcW w:w="2693" w:type="dxa"/>
                  <w:gridSpan w:val="2"/>
                  <w:vMerge w:val="restart"/>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color w:val="auto"/>
                      <w:kern w:val="0"/>
                      <w:sz w:val="21"/>
                      <w:szCs w:val="18"/>
                    </w:rPr>
                  </w:pPr>
                  <w:r>
                    <w:rPr>
                      <w:rFonts w:hint="default" w:ascii="Times New Roman" w:hAnsi="Times New Roman" w:cs="Times New Roman"/>
                      <w:color w:val="auto"/>
                      <w:kern w:val="0"/>
                      <w:sz w:val="21"/>
                      <w:szCs w:val="18"/>
                    </w:rPr>
                    <w:t>监测点</w:t>
                  </w:r>
                </w:p>
              </w:tc>
              <w:tc>
                <w:tcPr>
                  <w:tcW w:w="2664" w:type="dxa"/>
                  <w:gridSpan w:val="2"/>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color w:val="auto"/>
                      <w:kern w:val="0"/>
                      <w:sz w:val="21"/>
                      <w:szCs w:val="18"/>
                    </w:rPr>
                  </w:pPr>
                  <w:r>
                    <w:rPr>
                      <w:rFonts w:hint="default" w:ascii="Times New Roman" w:hAnsi="Times New Roman" w:cs="Times New Roman"/>
                      <w:color w:val="auto"/>
                      <w:kern w:val="0"/>
                      <w:sz w:val="21"/>
                      <w:szCs w:val="18"/>
                    </w:rPr>
                    <w:t>昼间</w:t>
                  </w:r>
                </w:p>
              </w:tc>
              <w:tc>
                <w:tcPr>
                  <w:tcW w:w="2570" w:type="dxa"/>
                  <w:gridSpan w:val="2"/>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color w:val="auto"/>
                      <w:kern w:val="0"/>
                      <w:sz w:val="21"/>
                      <w:szCs w:val="18"/>
                    </w:rPr>
                  </w:pPr>
                  <w:r>
                    <w:rPr>
                      <w:rFonts w:hint="default" w:ascii="Times New Roman" w:hAnsi="Times New Roman" w:cs="Times New Roman"/>
                      <w:color w:val="auto"/>
                      <w:kern w:val="0"/>
                      <w:sz w:val="21"/>
                      <w:szCs w:val="18"/>
                    </w:rPr>
                    <w:t>夜间</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795" w:type="dxa"/>
                  <w:vMerge w:val="continue"/>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color w:val="auto"/>
                      <w:kern w:val="0"/>
                      <w:sz w:val="21"/>
                      <w:szCs w:val="18"/>
                    </w:rPr>
                  </w:pPr>
                </w:p>
              </w:tc>
              <w:tc>
                <w:tcPr>
                  <w:tcW w:w="2693" w:type="dxa"/>
                  <w:gridSpan w:val="2"/>
                  <w:vMerge w:val="continue"/>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color w:val="auto"/>
                      <w:kern w:val="0"/>
                      <w:sz w:val="21"/>
                      <w:szCs w:val="18"/>
                    </w:rPr>
                  </w:pPr>
                </w:p>
              </w:tc>
              <w:tc>
                <w:tcPr>
                  <w:tcW w:w="1247" w:type="dxa"/>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color w:val="auto"/>
                      <w:kern w:val="0"/>
                      <w:sz w:val="21"/>
                      <w:szCs w:val="18"/>
                    </w:rPr>
                  </w:pPr>
                  <w:r>
                    <w:rPr>
                      <w:rFonts w:hint="default" w:ascii="Times New Roman" w:hAnsi="Times New Roman" w:cs="Times New Roman"/>
                      <w:color w:val="auto"/>
                      <w:kern w:val="0"/>
                      <w:sz w:val="21"/>
                      <w:szCs w:val="18"/>
                    </w:rPr>
                    <w:t>监测值</w:t>
                  </w:r>
                </w:p>
              </w:tc>
              <w:tc>
                <w:tcPr>
                  <w:tcW w:w="1417" w:type="dxa"/>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color w:val="auto"/>
                      <w:kern w:val="0"/>
                      <w:sz w:val="21"/>
                      <w:szCs w:val="18"/>
                    </w:rPr>
                  </w:pPr>
                  <w:r>
                    <w:rPr>
                      <w:rFonts w:hint="default" w:ascii="Times New Roman" w:hAnsi="Times New Roman" w:cs="Times New Roman"/>
                      <w:color w:val="auto"/>
                      <w:kern w:val="0"/>
                      <w:sz w:val="21"/>
                      <w:szCs w:val="18"/>
                    </w:rPr>
                    <w:t>标准值</w:t>
                  </w:r>
                </w:p>
              </w:tc>
              <w:tc>
                <w:tcPr>
                  <w:tcW w:w="1276" w:type="dxa"/>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color w:val="auto"/>
                      <w:kern w:val="0"/>
                      <w:sz w:val="21"/>
                      <w:szCs w:val="18"/>
                    </w:rPr>
                  </w:pPr>
                  <w:r>
                    <w:rPr>
                      <w:rFonts w:hint="default" w:ascii="Times New Roman" w:hAnsi="Times New Roman" w:cs="Times New Roman"/>
                      <w:color w:val="auto"/>
                      <w:kern w:val="0"/>
                      <w:sz w:val="21"/>
                      <w:szCs w:val="18"/>
                    </w:rPr>
                    <w:t>监测值</w:t>
                  </w:r>
                </w:p>
              </w:tc>
              <w:tc>
                <w:tcPr>
                  <w:tcW w:w="1294" w:type="dxa"/>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color w:val="auto"/>
                      <w:kern w:val="0"/>
                      <w:sz w:val="21"/>
                      <w:szCs w:val="18"/>
                    </w:rPr>
                  </w:pPr>
                  <w:r>
                    <w:rPr>
                      <w:rFonts w:hint="default" w:ascii="Times New Roman" w:hAnsi="Times New Roman" w:cs="Times New Roman"/>
                      <w:color w:val="auto"/>
                      <w:kern w:val="0"/>
                      <w:sz w:val="21"/>
                      <w:szCs w:val="18"/>
                    </w:rPr>
                    <w:t>标准值</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795" w:type="dxa"/>
                  <w:vMerge w:val="restart"/>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color w:val="auto"/>
                      <w:kern w:val="0"/>
                      <w:sz w:val="21"/>
                      <w:szCs w:val="18"/>
                    </w:rPr>
                  </w:pPr>
                  <w:r>
                    <w:rPr>
                      <w:rFonts w:hint="default" w:ascii="Times New Roman" w:hAnsi="Times New Roman" w:cs="Times New Roman"/>
                      <w:color w:val="auto"/>
                      <w:kern w:val="0"/>
                      <w:sz w:val="21"/>
                      <w:szCs w:val="18"/>
                    </w:rPr>
                    <w:t>1</w:t>
                  </w:r>
                </w:p>
              </w:tc>
              <w:tc>
                <w:tcPr>
                  <w:tcW w:w="1188" w:type="dxa"/>
                  <w:vMerge w:val="restart"/>
                  <w:tcBorders>
                    <w:tl2br w:val="nil"/>
                    <w:tr2bl w:val="nil"/>
                  </w:tcBorders>
                  <w:vAlign w:val="center"/>
                </w:tcPr>
                <w:p>
                  <w:pPr>
                    <w:pStyle w:val="40"/>
                    <w:keepNext w:val="0"/>
                    <w:overflowPunct w:val="0"/>
                    <w:snapToGrid w:val="0"/>
                    <w:spacing w:line="240" w:lineRule="auto"/>
                    <w:ind w:left="0" w:leftChars="0" w:firstLine="0" w:firstLineChars="0"/>
                    <w:jc w:val="center"/>
                    <w:rPr>
                      <w:rFonts w:hint="default" w:ascii="Times New Roman" w:hAnsi="Times New Roman" w:cs="Times New Roman" w:eastAsiaTheme="minorEastAsia"/>
                      <w:bCs/>
                      <w:color w:val="auto"/>
                      <w:kern w:val="0"/>
                      <w:sz w:val="21"/>
                      <w:szCs w:val="18"/>
                      <w:lang w:val="en-US" w:eastAsia="zh-CN" w:bidi="ar-SA"/>
                    </w:rPr>
                  </w:pPr>
                  <w:r>
                    <w:rPr>
                      <w:rFonts w:hint="default" w:ascii="Times New Roman" w:hAnsi="Times New Roman" w:cs="Times New Roman" w:eastAsiaTheme="minorEastAsia"/>
                      <w:bCs/>
                      <w:color w:val="auto"/>
                      <w:kern w:val="0"/>
                      <w:sz w:val="21"/>
                      <w:szCs w:val="18"/>
                      <w:lang w:val="en-US" w:eastAsia="zh-CN" w:bidi="ar-SA"/>
                    </w:rPr>
                    <w:t>站址东侧</w:t>
                  </w:r>
                </w:p>
              </w:tc>
              <w:tc>
                <w:tcPr>
                  <w:tcW w:w="1505" w:type="dxa"/>
                  <w:tcBorders>
                    <w:tl2br w:val="nil"/>
                    <w:tr2bl w:val="nil"/>
                  </w:tcBorders>
                  <w:vAlign w:val="center"/>
                </w:tcPr>
                <w:p>
                  <w:pPr>
                    <w:pStyle w:val="40"/>
                    <w:keepNext w:val="0"/>
                    <w:overflowPunct w:val="0"/>
                    <w:snapToGrid w:val="0"/>
                    <w:spacing w:line="240" w:lineRule="auto"/>
                    <w:ind w:left="0" w:leftChars="0" w:firstLine="0" w:firstLineChars="0"/>
                    <w:jc w:val="center"/>
                    <w:rPr>
                      <w:rFonts w:hint="default" w:ascii="Times New Roman" w:hAnsi="Times New Roman" w:cs="Times New Roman" w:eastAsiaTheme="minorEastAsia"/>
                      <w:bCs/>
                      <w:color w:val="auto"/>
                      <w:kern w:val="0"/>
                      <w:sz w:val="21"/>
                      <w:szCs w:val="18"/>
                      <w:lang w:val="en-US" w:eastAsia="zh-CN" w:bidi="ar-SA"/>
                    </w:rPr>
                  </w:pPr>
                  <w:r>
                    <w:rPr>
                      <w:rFonts w:hint="default" w:ascii="Times New Roman" w:hAnsi="Times New Roman" w:cs="Times New Roman" w:eastAsiaTheme="minorEastAsia"/>
                      <w:bCs/>
                      <w:color w:val="auto"/>
                      <w:kern w:val="0"/>
                      <w:sz w:val="21"/>
                      <w:szCs w:val="18"/>
                      <w:lang w:val="en-US" w:eastAsia="zh-CN" w:bidi="ar-SA"/>
                    </w:rPr>
                    <w:t>2022.5.16</w:t>
                  </w:r>
                </w:p>
              </w:tc>
              <w:tc>
                <w:tcPr>
                  <w:tcW w:w="1247" w:type="dxa"/>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eastAsiaTheme="minorEastAsia"/>
                      <w:color w:val="auto"/>
                      <w:kern w:val="0"/>
                      <w:sz w:val="21"/>
                      <w:szCs w:val="18"/>
                      <w:lang w:val="en-US" w:eastAsia="zh-CN"/>
                    </w:rPr>
                  </w:pPr>
                  <w:r>
                    <w:rPr>
                      <w:rFonts w:hint="default" w:ascii="Times New Roman" w:hAnsi="Times New Roman" w:cs="Times New Roman"/>
                      <w:color w:val="auto"/>
                      <w:kern w:val="0"/>
                      <w:sz w:val="21"/>
                      <w:szCs w:val="18"/>
                      <w:lang w:val="en-US" w:eastAsia="zh-CN"/>
                    </w:rPr>
                    <w:t>47.4</w:t>
                  </w:r>
                </w:p>
              </w:tc>
              <w:tc>
                <w:tcPr>
                  <w:tcW w:w="1417" w:type="dxa"/>
                  <w:vMerge w:val="restart"/>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eastAsiaTheme="minorEastAsia"/>
                      <w:color w:val="auto"/>
                      <w:kern w:val="0"/>
                      <w:sz w:val="21"/>
                      <w:szCs w:val="18"/>
                      <w:lang w:val="en-US" w:eastAsia="zh-CN"/>
                    </w:rPr>
                  </w:pPr>
                  <w:r>
                    <w:rPr>
                      <w:rFonts w:hint="default" w:ascii="Times New Roman" w:hAnsi="Times New Roman" w:cs="Times New Roman"/>
                      <w:color w:val="auto"/>
                      <w:kern w:val="0"/>
                      <w:sz w:val="21"/>
                      <w:szCs w:val="18"/>
                      <w:lang w:val="en-US" w:eastAsia="zh-CN"/>
                    </w:rPr>
                    <w:t>55</w:t>
                  </w:r>
                </w:p>
              </w:tc>
              <w:tc>
                <w:tcPr>
                  <w:tcW w:w="1276" w:type="dxa"/>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eastAsiaTheme="minorEastAsia"/>
                      <w:color w:val="auto"/>
                      <w:kern w:val="0"/>
                      <w:sz w:val="21"/>
                      <w:szCs w:val="18"/>
                      <w:lang w:val="en-US" w:eastAsia="zh-CN"/>
                    </w:rPr>
                  </w:pPr>
                  <w:r>
                    <w:rPr>
                      <w:rFonts w:hint="default" w:ascii="Times New Roman" w:hAnsi="Times New Roman" w:cs="Times New Roman"/>
                      <w:color w:val="auto"/>
                      <w:kern w:val="0"/>
                      <w:sz w:val="21"/>
                      <w:szCs w:val="18"/>
                      <w:lang w:val="en-US" w:eastAsia="zh-CN"/>
                    </w:rPr>
                    <w:t>44.1</w:t>
                  </w:r>
                </w:p>
              </w:tc>
              <w:tc>
                <w:tcPr>
                  <w:tcW w:w="1294" w:type="dxa"/>
                  <w:vMerge w:val="restart"/>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eastAsiaTheme="minorEastAsia"/>
                      <w:color w:val="auto"/>
                      <w:kern w:val="0"/>
                      <w:sz w:val="21"/>
                      <w:szCs w:val="18"/>
                      <w:lang w:val="en-US" w:eastAsia="zh-CN"/>
                    </w:rPr>
                  </w:pPr>
                  <w:r>
                    <w:rPr>
                      <w:rFonts w:hint="default" w:ascii="Times New Roman" w:hAnsi="Times New Roman" w:cs="Times New Roman"/>
                      <w:color w:val="auto"/>
                      <w:kern w:val="0"/>
                      <w:sz w:val="21"/>
                      <w:szCs w:val="18"/>
                      <w:lang w:val="en-US" w:eastAsia="zh-CN"/>
                    </w:rPr>
                    <w:t>45</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795" w:type="dxa"/>
                  <w:vMerge w:val="continue"/>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color w:val="auto"/>
                      <w:kern w:val="0"/>
                      <w:sz w:val="21"/>
                      <w:szCs w:val="18"/>
                    </w:rPr>
                  </w:pPr>
                </w:p>
              </w:tc>
              <w:tc>
                <w:tcPr>
                  <w:tcW w:w="1188" w:type="dxa"/>
                  <w:vMerge w:val="continue"/>
                  <w:tcBorders>
                    <w:tl2br w:val="nil"/>
                    <w:tr2bl w:val="nil"/>
                  </w:tcBorders>
                  <w:vAlign w:val="center"/>
                </w:tcPr>
                <w:p>
                  <w:pPr>
                    <w:pStyle w:val="40"/>
                    <w:keepNext w:val="0"/>
                    <w:overflowPunct w:val="0"/>
                    <w:snapToGrid w:val="0"/>
                    <w:spacing w:line="240" w:lineRule="auto"/>
                    <w:ind w:left="0" w:leftChars="0" w:firstLine="0" w:firstLineChars="0"/>
                    <w:jc w:val="center"/>
                    <w:rPr>
                      <w:rFonts w:hint="default" w:ascii="Times New Roman" w:hAnsi="Times New Roman" w:cs="Times New Roman" w:eastAsiaTheme="minorEastAsia"/>
                      <w:bCs/>
                      <w:color w:val="auto"/>
                      <w:kern w:val="0"/>
                      <w:sz w:val="21"/>
                      <w:szCs w:val="18"/>
                      <w:lang w:val="en-US" w:eastAsia="zh-CN" w:bidi="ar-SA"/>
                    </w:rPr>
                  </w:pPr>
                </w:p>
              </w:tc>
              <w:tc>
                <w:tcPr>
                  <w:tcW w:w="1505" w:type="dxa"/>
                  <w:tcBorders>
                    <w:tl2br w:val="nil"/>
                    <w:tr2bl w:val="nil"/>
                  </w:tcBorders>
                  <w:vAlign w:val="center"/>
                </w:tcPr>
                <w:p>
                  <w:pPr>
                    <w:pStyle w:val="40"/>
                    <w:keepNext w:val="0"/>
                    <w:overflowPunct w:val="0"/>
                    <w:snapToGrid w:val="0"/>
                    <w:spacing w:line="240" w:lineRule="auto"/>
                    <w:ind w:left="0" w:leftChars="0" w:firstLine="0" w:firstLineChars="0"/>
                    <w:jc w:val="center"/>
                    <w:rPr>
                      <w:rFonts w:hint="default" w:ascii="Times New Roman" w:hAnsi="Times New Roman" w:cs="Times New Roman" w:eastAsiaTheme="minorEastAsia"/>
                      <w:bCs/>
                      <w:color w:val="auto"/>
                      <w:kern w:val="0"/>
                      <w:sz w:val="21"/>
                      <w:szCs w:val="18"/>
                      <w:lang w:val="en-US" w:eastAsia="zh-CN" w:bidi="ar-SA"/>
                    </w:rPr>
                  </w:pPr>
                  <w:r>
                    <w:rPr>
                      <w:rFonts w:hint="default" w:ascii="Times New Roman" w:hAnsi="Times New Roman" w:cs="Times New Roman" w:eastAsiaTheme="minorEastAsia"/>
                      <w:bCs/>
                      <w:color w:val="auto"/>
                      <w:kern w:val="0"/>
                      <w:sz w:val="21"/>
                      <w:szCs w:val="18"/>
                      <w:lang w:val="en-US" w:eastAsia="zh-CN" w:bidi="ar-SA"/>
                    </w:rPr>
                    <w:t>2022.5.17</w:t>
                  </w:r>
                </w:p>
              </w:tc>
              <w:tc>
                <w:tcPr>
                  <w:tcW w:w="1247" w:type="dxa"/>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eastAsiaTheme="minorEastAsia"/>
                      <w:color w:val="auto"/>
                      <w:kern w:val="0"/>
                      <w:sz w:val="21"/>
                      <w:szCs w:val="18"/>
                      <w:lang w:val="en-US" w:eastAsia="zh-CN"/>
                    </w:rPr>
                  </w:pPr>
                  <w:r>
                    <w:rPr>
                      <w:rFonts w:hint="default" w:ascii="Times New Roman" w:hAnsi="Times New Roman" w:cs="Times New Roman"/>
                      <w:color w:val="auto"/>
                      <w:kern w:val="0"/>
                      <w:sz w:val="21"/>
                      <w:szCs w:val="18"/>
                      <w:lang w:val="en-US" w:eastAsia="zh-CN"/>
                    </w:rPr>
                    <w:t>47.7</w:t>
                  </w:r>
                </w:p>
              </w:tc>
              <w:tc>
                <w:tcPr>
                  <w:tcW w:w="1417" w:type="dxa"/>
                  <w:vMerge w:val="continue"/>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color w:val="auto"/>
                      <w:kern w:val="0"/>
                      <w:sz w:val="21"/>
                      <w:szCs w:val="18"/>
                    </w:rPr>
                  </w:pPr>
                </w:p>
              </w:tc>
              <w:tc>
                <w:tcPr>
                  <w:tcW w:w="1276" w:type="dxa"/>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eastAsiaTheme="minorEastAsia"/>
                      <w:color w:val="auto"/>
                      <w:kern w:val="0"/>
                      <w:sz w:val="21"/>
                      <w:szCs w:val="18"/>
                      <w:lang w:val="en-US" w:eastAsia="zh-CN"/>
                    </w:rPr>
                  </w:pPr>
                  <w:r>
                    <w:rPr>
                      <w:rFonts w:hint="default" w:ascii="Times New Roman" w:hAnsi="Times New Roman" w:cs="Times New Roman"/>
                      <w:color w:val="auto"/>
                      <w:kern w:val="0"/>
                      <w:sz w:val="21"/>
                      <w:szCs w:val="18"/>
                      <w:lang w:val="en-US" w:eastAsia="zh-CN"/>
                    </w:rPr>
                    <w:t>43.9</w:t>
                  </w:r>
                </w:p>
              </w:tc>
              <w:tc>
                <w:tcPr>
                  <w:tcW w:w="1294" w:type="dxa"/>
                  <w:vMerge w:val="continue"/>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color w:val="auto"/>
                      <w:kern w:val="0"/>
                      <w:sz w:val="21"/>
                      <w:szCs w:val="18"/>
                    </w:rPr>
                  </w:p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795" w:type="dxa"/>
                  <w:vMerge w:val="restart"/>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color w:val="auto"/>
                      <w:kern w:val="0"/>
                      <w:sz w:val="21"/>
                      <w:szCs w:val="18"/>
                      <w:lang w:val="en-US" w:eastAsia="zh-CN"/>
                    </w:rPr>
                  </w:pPr>
                  <w:r>
                    <w:rPr>
                      <w:rFonts w:hint="default" w:ascii="Times New Roman" w:hAnsi="Times New Roman" w:cs="Times New Roman"/>
                      <w:color w:val="auto"/>
                      <w:kern w:val="0"/>
                      <w:sz w:val="21"/>
                      <w:szCs w:val="18"/>
                      <w:lang w:val="en-US" w:eastAsia="zh-CN"/>
                    </w:rPr>
                    <w:t>2</w:t>
                  </w:r>
                </w:p>
              </w:tc>
              <w:tc>
                <w:tcPr>
                  <w:tcW w:w="1188" w:type="dxa"/>
                  <w:vMerge w:val="restart"/>
                  <w:tcBorders>
                    <w:tl2br w:val="nil"/>
                    <w:tr2bl w:val="nil"/>
                  </w:tcBorders>
                  <w:vAlign w:val="center"/>
                </w:tcPr>
                <w:p>
                  <w:pPr>
                    <w:pStyle w:val="40"/>
                    <w:keepNext w:val="0"/>
                    <w:overflowPunct w:val="0"/>
                    <w:snapToGrid w:val="0"/>
                    <w:spacing w:line="240" w:lineRule="auto"/>
                    <w:ind w:left="0" w:leftChars="0" w:firstLine="0" w:firstLineChars="0"/>
                    <w:jc w:val="center"/>
                    <w:rPr>
                      <w:rFonts w:hint="default" w:ascii="Times New Roman" w:hAnsi="Times New Roman" w:cs="Times New Roman" w:eastAsiaTheme="minorEastAsia"/>
                      <w:bCs/>
                      <w:color w:val="auto"/>
                      <w:kern w:val="0"/>
                      <w:sz w:val="21"/>
                      <w:szCs w:val="18"/>
                      <w:lang w:val="en-US" w:eastAsia="zh-CN" w:bidi="ar-SA"/>
                    </w:rPr>
                  </w:pPr>
                  <w:r>
                    <w:rPr>
                      <w:rFonts w:hint="default" w:ascii="Times New Roman" w:hAnsi="Times New Roman" w:cs="Times New Roman" w:eastAsiaTheme="minorEastAsia"/>
                      <w:bCs/>
                      <w:color w:val="auto"/>
                      <w:kern w:val="0"/>
                      <w:sz w:val="21"/>
                      <w:szCs w:val="18"/>
                      <w:lang w:val="en-US" w:eastAsia="zh-CN" w:bidi="ar-SA"/>
                    </w:rPr>
                    <w:t>站址南侧</w:t>
                  </w:r>
                </w:p>
              </w:tc>
              <w:tc>
                <w:tcPr>
                  <w:tcW w:w="1505" w:type="dxa"/>
                  <w:tcBorders>
                    <w:tl2br w:val="nil"/>
                    <w:tr2bl w:val="nil"/>
                  </w:tcBorders>
                  <w:vAlign w:val="center"/>
                </w:tcPr>
                <w:p>
                  <w:pPr>
                    <w:pStyle w:val="40"/>
                    <w:keepNext w:val="0"/>
                    <w:overflowPunct w:val="0"/>
                    <w:snapToGrid w:val="0"/>
                    <w:spacing w:line="240" w:lineRule="auto"/>
                    <w:ind w:left="0" w:leftChars="0" w:firstLine="0" w:firstLineChars="0"/>
                    <w:jc w:val="center"/>
                    <w:rPr>
                      <w:rFonts w:hint="default" w:ascii="Times New Roman" w:hAnsi="Times New Roman" w:cs="Times New Roman" w:eastAsiaTheme="minorEastAsia"/>
                      <w:bCs/>
                      <w:color w:val="auto"/>
                      <w:kern w:val="0"/>
                      <w:sz w:val="21"/>
                      <w:szCs w:val="18"/>
                      <w:lang w:val="en-US" w:eastAsia="zh-CN" w:bidi="ar-SA"/>
                    </w:rPr>
                  </w:pPr>
                  <w:r>
                    <w:rPr>
                      <w:rFonts w:hint="default" w:ascii="Times New Roman" w:hAnsi="Times New Roman" w:cs="Times New Roman" w:eastAsiaTheme="minorEastAsia"/>
                      <w:bCs/>
                      <w:color w:val="auto"/>
                      <w:kern w:val="0"/>
                      <w:sz w:val="21"/>
                      <w:szCs w:val="18"/>
                      <w:lang w:val="en-US" w:eastAsia="zh-CN" w:bidi="ar-SA"/>
                    </w:rPr>
                    <w:t>2022.5.16</w:t>
                  </w:r>
                </w:p>
              </w:tc>
              <w:tc>
                <w:tcPr>
                  <w:tcW w:w="1247" w:type="dxa"/>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eastAsiaTheme="minorEastAsia"/>
                      <w:color w:val="auto"/>
                      <w:kern w:val="0"/>
                      <w:sz w:val="21"/>
                      <w:szCs w:val="18"/>
                      <w:lang w:val="en-US" w:eastAsia="zh-CN"/>
                    </w:rPr>
                  </w:pPr>
                  <w:r>
                    <w:rPr>
                      <w:rFonts w:hint="default" w:ascii="Times New Roman" w:hAnsi="Times New Roman" w:cs="Times New Roman"/>
                      <w:color w:val="auto"/>
                      <w:kern w:val="0"/>
                      <w:sz w:val="21"/>
                      <w:szCs w:val="18"/>
                      <w:lang w:val="en-US" w:eastAsia="zh-CN"/>
                    </w:rPr>
                    <w:t>48.1</w:t>
                  </w:r>
                </w:p>
              </w:tc>
              <w:tc>
                <w:tcPr>
                  <w:tcW w:w="1417" w:type="dxa"/>
                  <w:vMerge w:val="continue"/>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color w:val="auto"/>
                      <w:kern w:val="0"/>
                      <w:sz w:val="21"/>
                      <w:szCs w:val="18"/>
                    </w:rPr>
                  </w:pPr>
                </w:p>
              </w:tc>
              <w:tc>
                <w:tcPr>
                  <w:tcW w:w="1276" w:type="dxa"/>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eastAsiaTheme="minorEastAsia"/>
                      <w:color w:val="auto"/>
                      <w:kern w:val="0"/>
                      <w:sz w:val="21"/>
                      <w:szCs w:val="18"/>
                      <w:lang w:val="en-US" w:eastAsia="zh-CN"/>
                    </w:rPr>
                  </w:pPr>
                  <w:r>
                    <w:rPr>
                      <w:rFonts w:hint="default" w:ascii="Times New Roman" w:hAnsi="Times New Roman" w:cs="Times New Roman"/>
                      <w:color w:val="auto"/>
                      <w:kern w:val="0"/>
                      <w:sz w:val="21"/>
                      <w:szCs w:val="18"/>
                      <w:lang w:val="en-US" w:eastAsia="zh-CN"/>
                    </w:rPr>
                    <w:t>44.4</w:t>
                  </w:r>
                </w:p>
              </w:tc>
              <w:tc>
                <w:tcPr>
                  <w:tcW w:w="1294" w:type="dxa"/>
                  <w:vMerge w:val="continue"/>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color w:val="auto"/>
                      <w:kern w:val="0"/>
                      <w:sz w:val="21"/>
                      <w:szCs w:val="18"/>
                    </w:rPr>
                  </w:p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795" w:type="dxa"/>
                  <w:vMerge w:val="continue"/>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color w:val="auto"/>
                      <w:kern w:val="0"/>
                      <w:sz w:val="21"/>
                      <w:szCs w:val="18"/>
                      <w:lang w:val="en-US" w:eastAsia="zh-CN"/>
                    </w:rPr>
                  </w:pPr>
                </w:p>
              </w:tc>
              <w:tc>
                <w:tcPr>
                  <w:tcW w:w="1188" w:type="dxa"/>
                  <w:vMerge w:val="continue"/>
                  <w:tcBorders>
                    <w:tl2br w:val="nil"/>
                    <w:tr2bl w:val="nil"/>
                  </w:tcBorders>
                  <w:vAlign w:val="center"/>
                </w:tcPr>
                <w:p>
                  <w:pPr>
                    <w:pStyle w:val="40"/>
                    <w:keepNext w:val="0"/>
                    <w:overflowPunct w:val="0"/>
                    <w:snapToGrid w:val="0"/>
                    <w:spacing w:line="240" w:lineRule="auto"/>
                    <w:ind w:left="0" w:leftChars="0" w:firstLine="0" w:firstLineChars="0"/>
                    <w:jc w:val="center"/>
                    <w:rPr>
                      <w:rFonts w:hint="default" w:ascii="Times New Roman" w:hAnsi="Times New Roman" w:cs="Times New Roman" w:eastAsiaTheme="minorEastAsia"/>
                      <w:bCs/>
                      <w:color w:val="auto"/>
                      <w:kern w:val="0"/>
                      <w:sz w:val="21"/>
                      <w:szCs w:val="18"/>
                      <w:lang w:val="en-US" w:eastAsia="zh-CN" w:bidi="ar-SA"/>
                    </w:rPr>
                  </w:pPr>
                </w:p>
              </w:tc>
              <w:tc>
                <w:tcPr>
                  <w:tcW w:w="1505" w:type="dxa"/>
                  <w:tcBorders>
                    <w:tl2br w:val="nil"/>
                    <w:tr2bl w:val="nil"/>
                  </w:tcBorders>
                  <w:vAlign w:val="center"/>
                </w:tcPr>
                <w:p>
                  <w:pPr>
                    <w:pStyle w:val="40"/>
                    <w:keepNext w:val="0"/>
                    <w:overflowPunct w:val="0"/>
                    <w:snapToGrid w:val="0"/>
                    <w:spacing w:line="240" w:lineRule="auto"/>
                    <w:ind w:left="0" w:leftChars="0" w:firstLine="0" w:firstLineChars="0"/>
                    <w:jc w:val="center"/>
                    <w:rPr>
                      <w:rFonts w:hint="default" w:ascii="Times New Roman" w:hAnsi="Times New Roman" w:cs="Times New Roman" w:eastAsiaTheme="minorEastAsia"/>
                      <w:bCs/>
                      <w:color w:val="auto"/>
                      <w:kern w:val="0"/>
                      <w:sz w:val="21"/>
                      <w:szCs w:val="18"/>
                      <w:lang w:val="en-US" w:eastAsia="zh-CN" w:bidi="ar-SA"/>
                    </w:rPr>
                  </w:pPr>
                  <w:r>
                    <w:rPr>
                      <w:rFonts w:hint="default" w:ascii="Times New Roman" w:hAnsi="Times New Roman" w:cs="Times New Roman" w:eastAsiaTheme="minorEastAsia"/>
                      <w:bCs/>
                      <w:color w:val="auto"/>
                      <w:kern w:val="0"/>
                      <w:sz w:val="21"/>
                      <w:szCs w:val="18"/>
                      <w:lang w:val="en-US" w:eastAsia="zh-CN" w:bidi="ar-SA"/>
                    </w:rPr>
                    <w:t>2022.5.17</w:t>
                  </w:r>
                </w:p>
              </w:tc>
              <w:tc>
                <w:tcPr>
                  <w:tcW w:w="1247" w:type="dxa"/>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eastAsiaTheme="minorEastAsia"/>
                      <w:color w:val="auto"/>
                      <w:kern w:val="0"/>
                      <w:sz w:val="21"/>
                      <w:szCs w:val="18"/>
                      <w:lang w:val="en-US" w:eastAsia="zh-CN"/>
                    </w:rPr>
                  </w:pPr>
                  <w:r>
                    <w:rPr>
                      <w:rFonts w:hint="default" w:ascii="Times New Roman" w:hAnsi="Times New Roman" w:cs="Times New Roman"/>
                      <w:color w:val="auto"/>
                      <w:kern w:val="0"/>
                      <w:sz w:val="21"/>
                      <w:szCs w:val="18"/>
                      <w:lang w:val="en-US" w:eastAsia="zh-CN"/>
                    </w:rPr>
                    <w:t>47.9</w:t>
                  </w:r>
                </w:p>
              </w:tc>
              <w:tc>
                <w:tcPr>
                  <w:tcW w:w="1417" w:type="dxa"/>
                  <w:vMerge w:val="continue"/>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color w:val="auto"/>
                      <w:kern w:val="0"/>
                      <w:sz w:val="21"/>
                      <w:szCs w:val="18"/>
                    </w:rPr>
                  </w:pPr>
                </w:p>
              </w:tc>
              <w:tc>
                <w:tcPr>
                  <w:tcW w:w="1276" w:type="dxa"/>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eastAsiaTheme="minorEastAsia"/>
                      <w:color w:val="auto"/>
                      <w:kern w:val="0"/>
                      <w:sz w:val="21"/>
                      <w:szCs w:val="18"/>
                      <w:lang w:val="en-US" w:eastAsia="zh-CN"/>
                    </w:rPr>
                  </w:pPr>
                  <w:r>
                    <w:rPr>
                      <w:rFonts w:hint="default" w:ascii="Times New Roman" w:hAnsi="Times New Roman" w:cs="Times New Roman"/>
                      <w:color w:val="auto"/>
                      <w:kern w:val="0"/>
                      <w:sz w:val="21"/>
                      <w:szCs w:val="18"/>
                      <w:lang w:val="en-US" w:eastAsia="zh-CN"/>
                    </w:rPr>
                    <w:t>43.2</w:t>
                  </w:r>
                </w:p>
              </w:tc>
              <w:tc>
                <w:tcPr>
                  <w:tcW w:w="1294" w:type="dxa"/>
                  <w:vMerge w:val="continue"/>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color w:val="auto"/>
                      <w:kern w:val="0"/>
                      <w:sz w:val="21"/>
                      <w:szCs w:val="18"/>
                    </w:rPr>
                  </w:p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795" w:type="dxa"/>
                  <w:vMerge w:val="restart"/>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color w:val="auto"/>
                      <w:kern w:val="0"/>
                      <w:sz w:val="21"/>
                      <w:szCs w:val="18"/>
                      <w:lang w:val="en-US" w:eastAsia="zh-CN"/>
                    </w:rPr>
                  </w:pPr>
                  <w:r>
                    <w:rPr>
                      <w:rFonts w:hint="default" w:ascii="Times New Roman" w:hAnsi="Times New Roman" w:cs="Times New Roman"/>
                      <w:color w:val="auto"/>
                      <w:kern w:val="0"/>
                      <w:sz w:val="21"/>
                      <w:szCs w:val="18"/>
                      <w:lang w:val="en-US" w:eastAsia="zh-CN"/>
                    </w:rPr>
                    <w:t>3</w:t>
                  </w:r>
                </w:p>
              </w:tc>
              <w:tc>
                <w:tcPr>
                  <w:tcW w:w="1188" w:type="dxa"/>
                  <w:vMerge w:val="restart"/>
                  <w:tcBorders>
                    <w:tl2br w:val="nil"/>
                    <w:tr2bl w:val="nil"/>
                  </w:tcBorders>
                  <w:vAlign w:val="center"/>
                </w:tcPr>
                <w:p>
                  <w:pPr>
                    <w:pStyle w:val="40"/>
                    <w:keepNext w:val="0"/>
                    <w:overflowPunct w:val="0"/>
                    <w:snapToGrid w:val="0"/>
                    <w:spacing w:line="240" w:lineRule="auto"/>
                    <w:ind w:left="0" w:leftChars="0" w:firstLine="0" w:firstLineChars="0"/>
                    <w:jc w:val="center"/>
                    <w:rPr>
                      <w:rFonts w:hint="default" w:ascii="Times New Roman" w:hAnsi="Times New Roman" w:cs="Times New Roman" w:eastAsiaTheme="minorEastAsia"/>
                      <w:bCs/>
                      <w:color w:val="auto"/>
                      <w:kern w:val="0"/>
                      <w:sz w:val="21"/>
                      <w:szCs w:val="18"/>
                      <w:lang w:val="en-US" w:eastAsia="zh-CN" w:bidi="ar-SA"/>
                    </w:rPr>
                  </w:pPr>
                  <w:r>
                    <w:rPr>
                      <w:rFonts w:hint="default" w:ascii="Times New Roman" w:hAnsi="Times New Roman" w:cs="Times New Roman" w:eastAsiaTheme="minorEastAsia"/>
                      <w:bCs/>
                      <w:color w:val="auto"/>
                      <w:kern w:val="0"/>
                      <w:sz w:val="21"/>
                      <w:szCs w:val="18"/>
                      <w:lang w:val="en-US" w:eastAsia="zh-CN" w:bidi="ar-SA"/>
                    </w:rPr>
                    <w:t>站址西侧</w:t>
                  </w:r>
                </w:p>
              </w:tc>
              <w:tc>
                <w:tcPr>
                  <w:tcW w:w="1505" w:type="dxa"/>
                  <w:tcBorders>
                    <w:tl2br w:val="nil"/>
                    <w:tr2bl w:val="nil"/>
                  </w:tcBorders>
                  <w:vAlign w:val="center"/>
                </w:tcPr>
                <w:p>
                  <w:pPr>
                    <w:pStyle w:val="40"/>
                    <w:keepNext w:val="0"/>
                    <w:overflowPunct w:val="0"/>
                    <w:snapToGrid w:val="0"/>
                    <w:spacing w:line="240" w:lineRule="auto"/>
                    <w:ind w:left="0" w:leftChars="0" w:firstLine="0" w:firstLineChars="0"/>
                    <w:jc w:val="center"/>
                    <w:rPr>
                      <w:rFonts w:hint="default" w:ascii="Times New Roman" w:hAnsi="Times New Roman" w:cs="Times New Roman" w:eastAsiaTheme="minorEastAsia"/>
                      <w:bCs/>
                      <w:color w:val="auto"/>
                      <w:kern w:val="0"/>
                      <w:sz w:val="21"/>
                      <w:szCs w:val="18"/>
                      <w:lang w:val="en-US" w:eastAsia="zh-CN" w:bidi="ar-SA"/>
                    </w:rPr>
                  </w:pPr>
                  <w:r>
                    <w:rPr>
                      <w:rFonts w:hint="default" w:ascii="Times New Roman" w:hAnsi="Times New Roman" w:cs="Times New Roman" w:eastAsiaTheme="minorEastAsia"/>
                      <w:bCs/>
                      <w:color w:val="auto"/>
                      <w:kern w:val="0"/>
                      <w:sz w:val="21"/>
                      <w:szCs w:val="18"/>
                      <w:lang w:val="en-US" w:eastAsia="zh-CN" w:bidi="ar-SA"/>
                    </w:rPr>
                    <w:t>2022.5.16</w:t>
                  </w:r>
                </w:p>
              </w:tc>
              <w:tc>
                <w:tcPr>
                  <w:tcW w:w="1247" w:type="dxa"/>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eastAsiaTheme="minorEastAsia"/>
                      <w:color w:val="auto"/>
                      <w:kern w:val="0"/>
                      <w:sz w:val="21"/>
                      <w:szCs w:val="18"/>
                      <w:lang w:val="en-US" w:eastAsia="zh-CN"/>
                    </w:rPr>
                  </w:pPr>
                  <w:r>
                    <w:rPr>
                      <w:rFonts w:hint="default" w:ascii="Times New Roman" w:hAnsi="Times New Roman" w:cs="Times New Roman"/>
                      <w:color w:val="auto"/>
                      <w:kern w:val="0"/>
                      <w:sz w:val="21"/>
                      <w:szCs w:val="18"/>
                      <w:lang w:val="en-US" w:eastAsia="zh-CN"/>
                    </w:rPr>
                    <w:t>47.5</w:t>
                  </w:r>
                </w:p>
              </w:tc>
              <w:tc>
                <w:tcPr>
                  <w:tcW w:w="1417" w:type="dxa"/>
                  <w:vMerge w:val="continue"/>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color w:val="auto"/>
                      <w:kern w:val="0"/>
                      <w:sz w:val="21"/>
                      <w:szCs w:val="18"/>
                    </w:rPr>
                  </w:pPr>
                </w:p>
              </w:tc>
              <w:tc>
                <w:tcPr>
                  <w:tcW w:w="1276" w:type="dxa"/>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eastAsiaTheme="minorEastAsia"/>
                      <w:color w:val="auto"/>
                      <w:kern w:val="0"/>
                      <w:sz w:val="21"/>
                      <w:szCs w:val="18"/>
                      <w:lang w:val="en-US" w:eastAsia="zh-CN"/>
                    </w:rPr>
                  </w:pPr>
                  <w:r>
                    <w:rPr>
                      <w:rFonts w:hint="default" w:ascii="Times New Roman" w:hAnsi="Times New Roman" w:cs="Times New Roman"/>
                      <w:color w:val="auto"/>
                      <w:kern w:val="0"/>
                      <w:sz w:val="21"/>
                      <w:szCs w:val="18"/>
                      <w:lang w:val="en-US" w:eastAsia="zh-CN"/>
                    </w:rPr>
                    <w:t>44.5</w:t>
                  </w:r>
                </w:p>
              </w:tc>
              <w:tc>
                <w:tcPr>
                  <w:tcW w:w="1294" w:type="dxa"/>
                  <w:vMerge w:val="continue"/>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color w:val="auto"/>
                      <w:kern w:val="0"/>
                      <w:sz w:val="21"/>
                      <w:szCs w:val="18"/>
                    </w:rPr>
                  </w:p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795" w:type="dxa"/>
                  <w:vMerge w:val="continue"/>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color w:val="auto"/>
                      <w:kern w:val="0"/>
                      <w:sz w:val="21"/>
                      <w:szCs w:val="18"/>
                      <w:lang w:val="en-US" w:eastAsia="zh-CN"/>
                    </w:rPr>
                  </w:pPr>
                </w:p>
              </w:tc>
              <w:tc>
                <w:tcPr>
                  <w:tcW w:w="1188" w:type="dxa"/>
                  <w:vMerge w:val="continue"/>
                  <w:tcBorders>
                    <w:tl2br w:val="nil"/>
                    <w:tr2bl w:val="nil"/>
                  </w:tcBorders>
                  <w:vAlign w:val="center"/>
                </w:tcPr>
                <w:p>
                  <w:pPr>
                    <w:pStyle w:val="40"/>
                    <w:keepNext w:val="0"/>
                    <w:overflowPunct w:val="0"/>
                    <w:snapToGrid w:val="0"/>
                    <w:spacing w:line="240" w:lineRule="auto"/>
                    <w:ind w:left="0" w:leftChars="0" w:firstLine="0" w:firstLineChars="0"/>
                    <w:jc w:val="center"/>
                    <w:rPr>
                      <w:rFonts w:hint="default" w:ascii="Times New Roman" w:hAnsi="Times New Roman" w:cs="Times New Roman" w:eastAsiaTheme="minorEastAsia"/>
                      <w:bCs/>
                      <w:color w:val="auto"/>
                      <w:kern w:val="0"/>
                      <w:sz w:val="21"/>
                      <w:szCs w:val="18"/>
                      <w:lang w:val="en-US" w:eastAsia="zh-CN" w:bidi="ar-SA"/>
                    </w:rPr>
                  </w:pPr>
                </w:p>
              </w:tc>
              <w:tc>
                <w:tcPr>
                  <w:tcW w:w="1505" w:type="dxa"/>
                  <w:tcBorders>
                    <w:tl2br w:val="nil"/>
                    <w:tr2bl w:val="nil"/>
                  </w:tcBorders>
                  <w:vAlign w:val="center"/>
                </w:tcPr>
                <w:p>
                  <w:pPr>
                    <w:pStyle w:val="40"/>
                    <w:keepNext w:val="0"/>
                    <w:overflowPunct w:val="0"/>
                    <w:snapToGrid w:val="0"/>
                    <w:spacing w:line="240" w:lineRule="auto"/>
                    <w:ind w:left="0" w:leftChars="0" w:firstLine="0" w:firstLineChars="0"/>
                    <w:jc w:val="center"/>
                    <w:rPr>
                      <w:rFonts w:hint="default" w:ascii="Times New Roman" w:hAnsi="Times New Roman" w:cs="Times New Roman" w:eastAsiaTheme="minorEastAsia"/>
                      <w:bCs/>
                      <w:color w:val="auto"/>
                      <w:kern w:val="0"/>
                      <w:sz w:val="21"/>
                      <w:szCs w:val="18"/>
                      <w:lang w:val="en-US" w:eastAsia="zh-CN" w:bidi="ar-SA"/>
                    </w:rPr>
                  </w:pPr>
                  <w:r>
                    <w:rPr>
                      <w:rFonts w:hint="default" w:ascii="Times New Roman" w:hAnsi="Times New Roman" w:cs="Times New Roman" w:eastAsiaTheme="minorEastAsia"/>
                      <w:bCs/>
                      <w:color w:val="auto"/>
                      <w:kern w:val="0"/>
                      <w:sz w:val="21"/>
                      <w:szCs w:val="18"/>
                      <w:lang w:val="en-US" w:eastAsia="zh-CN" w:bidi="ar-SA"/>
                    </w:rPr>
                    <w:t>2022.5.17</w:t>
                  </w:r>
                </w:p>
              </w:tc>
              <w:tc>
                <w:tcPr>
                  <w:tcW w:w="1247" w:type="dxa"/>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eastAsiaTheme="minorEastAsia"/>
                      <w:color w:val="auto"/>
                      <w:kern w:val="0"/>
                      <w:sz w:val="21"/>
                      <w:szCs w:val="18"/>
                      <w:lang w:val="en-US" w:eastAsia="zh-CN"/>
                    </w:rPr>
                  </w:pPr>
                  <w:r>
                    <w:rPr>
                      <w:rFonts w:hint="default" w:ascii="Times New Roman" w:hAnsi="Times New Roman" w:cs="Times New Roman"/>
                      <w:color w:val="auto"/>
                      <w:kern w:val="0"/>
                      <w:sz w:val="21"/>
                      <w:szCs w:val="18"/>
                      <w:lang w:val="en-US" w:eastAsia="zh-CN"/>
                    </w:rPr>
                    <w:t>48.1</w:t>
                  </w:r>
                </w:p>
              </w:tc>
              <w:tc>
                <w:tcPr>
                  <w:tcW w:w="1417" w:type="dxa"/>
                  <w:vMerge w:val="continue"/>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color w:val="auto"/>
                      <w:kern w:val="0"/>
                      <w:sz w:val="21"/>
                      <w:szCs w:val="18"/>
                    </w:rPr>
                  </w:pPr>
                </w:p>
              </w:tc>
              <w:tc>
                <w:tcPr>
                  <w:tcW w:w="1276" w:type="dxa"/>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eastAsiaTheme="minorEastAsia"/>
                      <w:color w:val="auto"/>
                      <w:kern w:val="0"/>
                      <w:sz w:val="21"/>
                      <w:szCs w:val="18"/>
                      <w:lang w:val="en-US" w:eastAsia="zh-CN"/>
                    </w:rPr>
                  </w:pPr>
                  <w:r>
                    <w:rPr>
                      <w:rFonts w:hint="default" w:ascii="Times New Roman" w:hAnsi="Times New Roman" w:cs="Times New Roman"/>
                      <w:color w:val="auto"/>
                      <w:kern w:val="0"/>
                      <w:sz w:val="21"/>
                      <w:szCs w:val="18"/>
                      <w:lang w:val="en-US" w:eastAsia="zh-CN"/>
                    </w:rPr>
                    <w:t>44.2</w:t>
                  </w:r>
                </w:p>
              </w:tc>
              <w:tc>
                <w:tcPr>
                  <w:tcW w:w="1294" w:type="dxa"/>
                  <w:vMerge w:val="continue"/>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color w:val="auto"/>
                      <w:kern w:val="0"/>
                      <w:sz w:val="21"/>
                      <w:szCs w:val="18"/>
                    </w:rPr>
                  </w:p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795" w:type="dxa"/>
                  <w:vMerge w:val="restart"/>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color w:val="auto"/>
                      <w:kern w:val="0"/>
                      <w:sz w:val="21"/>
                      <w:szCs w:val="18"/>
                      <w:lang w:val="en-US" w:eastAsia="zh-CN"/>
                    </w:rPr>
                  </w:pPr>
                  <w:r>
                    <w:rPr>
                      <w:rFonts w:hint="default" w:ascii="Times New Roman" w:hAnsi="Times New Roman" w:cs="Times New Roman"/>
                      <w:color w:val="auto"/>
                      <w:kern w:val="0"/>
                      <w:sz w:val="21"/>
                      <w:szCs w:val="18"/>
                      <w:lang w:val="en-US" w:eastAsia="zh-CN"/>
                    </w:rPr>
                    <w:t>4</w:t>
                  </w:r>
                </w:p>
              </w:tc>
              <w:tc>
                <w:tcPr>
                  <w:tcW w:w="1188" w:type="dxa"/>
                  <w:vMerge w:val="restart"/>
                  <w:tcBorders>
                    <w:tl2br w:val="nil"/>
                    <w:tr2bl w:val="nil"/>
                  </w:tcBorders>
                  <w:vAlign w:val="center"/>
                </w:tcPr>
                <w:p>
                  <w:pPr>
                    <w:pStyle w:val="40"/>
                    <w:keepNext w:val="0"/>
                    <w:overflowPunct w:val="0"/>
                    <w:snapToGrid w:val="0"/>
                    <w:spacing w:line="240" w:lineRule="auto"/>
                    <w:ind w:left="0" w:leftChars="0" w:firstLine="0" w:firstLineChars="0"/>
                    <w:jc w:val="center"/>
                    <w:rPr>
                      <w:rFonts w:hint="default" w:ascii="Times New Roman" w:hAnsi="Times New Roman" w:cs="Times New Roman" w:eastAsiaTheme="minorEastAsia"/>
                      <w:bCs/>
                      <w:color w:val="auto"/>
                      <w:kern w:val="0"/>
                      <w:sz w:val="21"/>
                      <w:szCs w:val="18"/>
                      <w:lang w:val="en-US" w:eastAsia="zh-CN" w:bidi="ar-SA"/>
                    </w:rPr>
                  </w:pPr>
                  <w:r>
                    <w:rPr>
                      <w:rFonts w:hint="default" w:ascii="Times New Roman" w:hAnsi="Times New Roman" w:cs="Times New Roman" w:eastAsiaTheme="minorEastAsia"/>
                      <w:bCs/>
                      <w:color w:val="auto"/>
                      <w:kern w:val="0"/>
                      <w:sz w:val="21"/>
                      <w:szCs w:val="18"/>
                      <w:lang w:val="en-US" w:eastAsia="zh-CN" w:bidi="ar-SA"/>
                    </w:rPr>
                    <w:t>站址北侧</w:t>
                  </w:r>
                </w:p>
              </w:tc>
              <w:tc>
                <w:tcPr>
                  <w:tcW w:w="1505" w:type="dxa"/>
                  <w:tcBorders>
                    <w:tl2br w:val="nil"/>
                    <w:tr2bl w:val="nil"/>
                  </w:tcBorders>
                  <w:vAlign w:val="center"/>
                </w:tcPr>
                <w:p>
                  <w:pPr>
                    <w:pStyle w:val="40"/>
                    <w:keepNext w:val="0"/>
                    <w:overflowPunct w:val="0"/>
                    <w:snapToGrid w:val="0"/>
                    <w:spacing w:line="240" w:lineRule="auto"/>
                    <w:ind w:left="0" w:leftChars="0" w:firstLine="0" w:firstLineChars="0"/>
                    <w:jc w:val="center"/>
                    <w:rPr>
                      <w:rFonts w:hint="default" w:ascii="Times New Roman" w:hAnsi="Times New Roman" w:cs="Times New Roman" w:eastAsiaTheme="minorEastAsia"/>
                      <w:bCs/>
                      <w:color w:val="auto"/>
                      <w:kern w:val="0"/>
                      <w:sz w:val="21"/>
                      <w:szCs w:val="18"/>
                      <w:lang w:val="en-US" w:eastAsia="zh-CN" w:bidi="ar-SA"/>
                    </w:rPr>
                  </w:pPr>
                  <w:r>
                    <w:rPr>
                      <w:rFonts w:hint="default" w:ascii="Times New Roman" w:hAnsi="Times New Roman" w:cs="Times New Roman" w:eastAsiaTheme="minorEastAsia"/>
                      <w:bCs/>
                      <w:color w:val="auto"/>
                      <w:kern w:val="0"/>
                      <w:sz w:val="21"/>
                      <w:szCs w:val="18"/>
                      <w:lang w:val="en-US" w:eastAsia="zh-CN" w:bidi="ar-SA"/>
                    </w:rPr>
                    <w:t>2022.5.16</w:t>
                  </w:r>
                </w:p>
              </w:tc>
              <w:tc>
                <w:tcPr>
                  <w:tcW w:w="1247" w:type="dxa"/>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eastAsiaTheme="minorEastAsia"/>
                      <w:color w:val="auto"/>
                      <w:kern w:val="0"/>
                      <w:sz w:val="21"/>
                      <w:szCs w:val="18"/>
                      <w:lang w:val="en-US" w:eastAsia="zh-CN"/>
                    </w:rPr>
                  </w:pPr>
                  <w:r>
                    <w:rPr>
                      <w:rFonts w:hint="default" w:ascii="Times New Roman" w:hAnsi="Times New Roman" w:cs="Times New Roman"/>
                      <w:color w:val="auto"/>
                      <w:kern w:val="0"/>
                      <w:sz w:val="21"/>
                      <w:szCs w:val="18"/>
                      <w:lang w:val="en-US" w:eastAsia="zh-CN"/>
                    </w:rPr>
                    <w:t>48.3</w:t>
                  </w:r>
                </w:p>
              </w:tc>
              <w:tc>
                <w:tcPr>
                  <w:tcW w:w="1417" w:type="dxa"/>
                  <w:vMerge w:val="continue"/>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color w:val="auto"/>
                      <w:kern w:val="0"/>
                      <w:sz w:val="21"/>
                      <w:szCs w:val="18"/>
                    </w:rPr>
                  </w:pPr>
                </w:p>
              </w:tc>
              <w:tc>
                <w:tcPr>
                  <w:tcW w:w="1276" w:type="dxa"/>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eastAsiaTheme="minorEastAsia"/>
                      <w:color w:val="auto"/>
                      <w:kern w:val="0"/>
                      <w:sz w:val="21"/>
                      <w:szCs w:val="18"/>
                      <w:lang w:val="en-US" w:eastAsia="zh-CN"/>
                    </w:rPr>
                  </w:pPr>
                  <w:r>
                    <w:rPr>
                      <w:rFonts w:hint="default" w:ascii="Times New Roman" w:hAnsi="Times New Roman" w:cs="Times New Roman"/>
                      <w:color w:val="auto"/>
                      <w:kern w:val="0"/>
                      <w:sz w:val="21"/>
                      <w:szCs w:val="18"/>
                      <w:lang w:val="en-US" w:eastAsia="zh-CN"/>
                    </w:rPr>
                    <w:t>44.0</w:t>
                  </w:r>
                </w:p>
              </w:tc>
              <w:tc>
                <w:tcPr>
                  <w:tcW w:w="1294" w:type="dxa"/>
                  <w:vMerge w:val="continue"/>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color w:val="auto"/>
                      <w:kern w:val="0"/>
                      <w:sz w:val="21"/>
                      <w:szCs w:val="18"/>
                    </w:rPr>
                  </w:p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795" w:type="dxa"/>
                  <w:vMerge w:val="continue"/>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color w:val="0000FF"/>
                    </w:rPr>
                  </w:pPr>
                </w:p>
              </w:tc>
              <w:tc>
                <w:tcPr>
                  <w:tcW w:w="1188" w:type="dxa"/>
                  <w:vMerge w:val="continue"/>
                  <w:tcBorders>
                    <w:tl2br w:val="nil"/>
                    <w:tr2bl w:val="nil"/>
                  </w:tcBorders>
                  <w:vAlign w:val="center"/>
                </w:tcPr>
                <w:p>
                  <w:pPr>
                    <w:pStyle w:val="40"/>
                    <w:keepNext w:val="0"/>
                    <w:overflowPunct w:val="0"/>
                    <w:snapToGrid w:val="0"/>
                    <w:spacing w:line="240" w:lineRule="auto"/>
                    <w:ind w:left="0" w:leftChars="0" w:firstLine="0" w:firstLineChars="0"/>
                    <w:jc w:val="center"/>
                    <w:rPr>
                      <w:rFonts w:hint="default" w:ascii="Times New Roman" w:hAnsi="Times New Roman" w:cs="Times New Roman" w:eastAsiaTheme="minorEastAsia"/>
                      <w:bCs/>
                      <w:color w:val="auto"/>
                      <w:kern w:val="0"/>
                      <w:sz w:val="21"/>
                      <w:szCs w:val="18"/>
                      <w:lang w:val="en-US" w:eastAsia="zh-CN" w:bidi="ar-SA"/>
                    </w:rPr>
                  </w:pPr>
                </w:p>
              </w:tc>
              <w:tc>
                <w:tcPr>
                  <w:tcW w:w="1505" w:type="dxa"/>
                  <w:tcBorders>
                    <w:tl2br w:val="nil"/>
                    <w:tr2bl w:val="nil"/>
                  </w:tcBorders>
                  <w:vAlign w:val="center"/>
                </w:tcPr>
                <w:p>
                  <w:pPr>
                    <w:pStyle w:val="40"/>
                    <w:keepNext w:val="0"/>
                    <w:overflowPunct w:val="0"/>
                    <w:snapToGrid w:val="0"/>
                    <w:spacing w:line="240" w:lineRule="auto"/>
                    <w:ind w:left="0" w:leftChars="0" w:firstLine="0" w:firstLineChars="0"/>
                    <w:jc w:val="center"/>
                    <w:rPr>
                      <w:rFonts w:hint="default" w:ascii="Times New Roman" w:hAnsi="Times New Roman" w:cs="Times New Roman" w:eastAsiaTheme="minorEastAsia"/>
                      <w:bCs/>
                      <w:color w:val="auto"/>
                      <w:kern w:val="0"/>
                      <w:sz w:val="21"/>
                      <w:szCs w:val="18"/>
                      <w:lang w:val="en-US" w:eastAsia="zh-CN" w:bidi="ar-SA"/>
                    </w:rPr>
                  </w:pPr>
                  <w:r>
                    <w:rPr>
                      <w:rFonts w:hint="default" w:ascii="Times New Roman" w:hAnsi="Times New Roman" w:cs="Times New Roman" w:eastAsiaTheme="minorEastAsia"/>
                      <w:bCs/>
                      <w:color w:val="auto"/>
                      <w:kern w:val="0"/>
                      <w:sz w:val="21"/>
                      <w:szCs w:val="18"/>
                      <w:lang w:val="en-US" w:eastAsia="zh-CN" w:bidi="ar-SA"/>
                    </w:rPr>
                    <w:t>2022.5.17</w:t>
                  </w:r>
                </w:p>
              </w:tc>
              <w:tc>
                <w:tcPr>
                  <w:tcW w:w="1247" w:type="dxa"/>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eastAsiaTheme="minorEastAsia"/>
                      <w:color w:val="auto"/>
                      <w:kern w:val="0"/>
                      <w:sz w:val="21"/>
                      <w:szCs w:val="18"/>
                      <w:lang w:val="en-US" w:eastAsia="zh-CN"/>
                    </w:rPr>
                  </w:pPr>
                  <w:r>
                    <w:rPr>
                      <w:rFonts w:hint="default" w:ascii="Times New Roman" w:hAnsi="Times New Roman" w:cs="Times New Roman"/>
                      <w:color w:val="auto"/>
                      <w:kern w:val="0"/>
                      <w:sz w:val="21"/>
                      <w:szCs w:val="18"/>
                      <w:lang w:val="en-US" w:eastAsia="zh-CN"/>
                    </w:rPr>
                    <w:t>48.0</w:t>
                  </w:r>
                </w:p>
              </w:tc>
              <w:tc>
                <w:tcPr>
                  <w:tcW w:w="1417" w:type="dxa"/>
                  <w:vMerge w:val="continue"/>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color w:val="auto"/>
                      <w:kern w:val="0"/>
                      <w:sz w:val="21"/>
                      <w:szCs w:val="18"/>
                    </w:rPr>
                  </w:pPr>
                </w:p>
              </w:tc>
              <w:tc>
                <w:tcPr>
                  <w:tcW w:w="1276" w:type="dxa"/>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eastAsiaTheme="minorEastAsia"/>
                      <w:color w:val="auto"/>
                      <w:kern w:val="0"/>
                      <w:sz w:val="21"/>
                      <w:szCs w:val="18"/>
                      <w:lang w:val="en-US" w:eastAsia="zh-CN"/>
                    </w:rPr>
                  </w:pPr>
                  <w:r>
                    <w:rPr>
                      <w:rFonts w:hint="default" w:ascii="Times New Roman" w:hAnsi="Times New Roman" w:cs="Times New Roman"/>
                      <w:color w:val="auto"/>
                      <w:kern w:val="0"/>
                      <w:sz w:val="21"/>
                      <w:szCs w:val="18"/>
                      <w:lang w:val="en-US" w:eastAsia="zh-CN"/>
                    </w:rPr>
                    <w:t>44.6</w:t>
                  </w:r>
                </w:p>
              </w:tc>
              <w:tc>
                <w:tcPr>
                  <w:tcW w:w="1294" w:type="dxa"/>
                  <w:vMerge w:val="continue"/>
                  <w:tcBorders>
                    <w:tl2br w:val="nil"/>
                    <w:tr2bl w:val="nil"/>
                  </w:tcBorders>
                  <w:vAlign w:val="center"/>
                </w:tcPr>
                <w:p>
                  <w:pPr>
                    <w:adjustRightInd w:val="0"/>
                    <w:snapToGrid w:val="0"/>
                    <w:spacing w:line="240" w:lineRule="auto"/>
                    <w:ind w:firstLine="0" w:firstLineChars="0"/>
                    <w:jc w:val="center"/>
                    <w:rPr>
                      <w:rFonts w:hint="default" w:ascii="Times New Roman" w:hAnsi="Times New Roman" w:cs="Times New Roman"/>
                      <w:color w:val="auto"/>
                      <w:kern w:val="0"/>
                      <w:sz w:val="21"/>
                      <w:szCs w:val="18"/>
                    </w:rPr>
                  </w:pPr>
                </w:p>
              </w:tc>
            </w:tr>
          </w:tbl>
          <w:p>
            <w:pPr>
              <w:adjustRightInd w:val="0"/>
              <w:snapToGrid w:val="0"/>
              <w:spacing w:line="240" w:lineRule="auto"/>
              <w:ind w:firstLine="0" w:firstLineChars="0"/>
              <w:jc w:val="center"/>
              <w:rPr>
                <w:rFonts w:hint="default" w:ascii="Times New Roman" w:hAnsi="Times New Roman" w:eastAsia="黑体" w:cs="Times New Roman"/>
                <w:color w:val="0000FF"/>
                <w:kern w:val="0"/>
                <w:sz w:val="21"/>
                <w:szCs w:val="18"/>
              </w:rPr>
            </w:pPr>
          </w:p>
          <w:p>
            <w:pPr>
              <w:keepNext w:val="0"/>
              <w:keepLines w:val="0"/>
              <w:pageBreakBefore w:val="0"/>
              <w:widowControl w:val="0"/>
              <w:kinsoku/>
              <w:wordWrap/>
              <w:overflowPunct/>
              <w:topLinePunct w:val="0"/>
              <w:autoSpaceDE/>
              <w:autoSpaceDN/>
              <w:bidi w:val="0"/>
              <w:adjustRightInd w:val="0"/>
              <w:snapToGrid w:val="0"/>
              <w:ind w:firstLine="480"/>
              <w:textAlignment w:val="top"/>
              <w:rPr>
                <w:rFonts w:hint="default" w:ascii="Times New Roman" w:hAnsi="Times New Roman" w:cs="Times New Roman"/>
                <w:color w:val="auto"/>
              </w:rPr>
            </w:pPr>
            <w:r>
              <w:rPr>
                <w:rFonts w:hint="default" w:ascii="Times New Roman" w:hAnsi="Times New Roman" w:cs="Times New Roman"/>
                <w:color w:val="auto"/>
              </w:rPr>
              <w:t>根据监测结果，项目周边声环境质量能够满足《声环境质量标准》</w:t>
            </w:r>
            <w:r>
              <w:rPr>
                <w:rFonts w:hint="eastAsia" w:cs="Times New Roman"/>
                <w:color w:val="auto"/>
                <w:lang w:eastAsia="zh-CN"/>
              </w:rPr>
              <w:t>（</w:t>
            </w:r>
            <w:r>
              <w:rPr>
                <w:rFonts w:hint="default" w:ascii="Times New Roman" w:hAnsi="Times New Roman" w:cs="Times New Roman"/>
                <w:color w:val="auto"/>
              </w:rPr>
              <w:t>GB3096-2008</w:t>
            </w:r>
            <w:r>
              <w:rPr>
                <w:rFonts w:hint="eastAsia" w:cs="Times New Roman"/>
                <w:color w:val="auto"/>
                <w:lang w:eastAsia="zh-CN"/>
              </w:rPr>
              <w:t>）</w:t>
            </w:r>
            <w:r>
              <w:rPr>
                <w:rFonts w:hint="default" w:ascii="Times New Roman" w:hAnsi="Times New Roman" w:cs="Times New Roman"/>
                <w:color w:val="auto"/>
                <w:lang w:val="en-US" w:eastAsia="zh-CN"/>
              </w:rPr>
              <w:t>1</w:t>
            </w:r>
            <w:r>
              <w:rPr>
                <w:rFonts w:hint="default" w:ascii="Times New Roman" w:hAnsi="Times New Roman" w:cs="Times New Roman"/>
                <w:color w:val="auto"/>
              </w:rPr>
              <w:t>类标准，评价区声环境质量良好。</w:t>
            </w:r>
          </w:p>
          <w:p>
            <w:pPr>
              <w:keepNext w:val="0"/>
              <w:keepLines w:val="0"/>
              <w:pageBreakBefore w:val="0"/>
              <w:widowControl w:val="0"/>
              <w:kinsoku/>
              <w:wordWrap/>
              <w:overflowPunct/>
              <w:topLinePunct w:val="0"/>
              <w:autoSpaceDE/>
              <w:autoSpaceDN/>
              <w:bidi w:val="0"/>
              <w:adjustRightInd w:val="0"/>
              <w:snapToGrid w:val="0"/>
              <w:ind w:firstLine="0" w:firstLineChars="0"/>
              <w:textAlignment w:val="top"/>
              <w:rPr>
                <w:rFonts w:hint="default" w:ascii="Times New Roman" w:hAnsi="Times New Roman" w:cs="Times New Roman"/>
                <w:b/>
                <w:bCs/>
                <w:color w:val="auto"/>
              </w:rPr>
            </w:pPr>
            <w:r>
              <w:rPr>
                <w:rFonts w:hint="default" w:ascii="Times New Roman" w:hAnsi="Times New Roman" w:cs="Times New Roman"/>
                <w:b/>
                <w:bCs/>
                <w:color w:val="auto"/>
              </w:rPr>
              <w:t>5、电磁环境</w:t>
            </w:r>
          </w:p>
          <w:p>
            <w:pPr>
              <w:keepNext w:val="0"/>
              <w:keepLines w:val="0"/>
              <w:pageBreakBefore w:val="0"/>
              <w:widowControl w:val="0"/>
              <w:kinsoku/>
              <w:wordWrap/>
              <w:overflowPunct/>
              <w:topLinePunct w:val="0"/>
              <w:autoSpaceDE/>
              <w:autoSpaceDN/>
              <w:bidi w:val="0"/>
              <w:adjustRightInd w:val="0"/>
              <w:snapToGrid w:val="0"/>
              <w:ind w:firstLine="480"/>
              <w:textAlignment w:val="top"/>
              <w:rPr>
                <w:rFonts w:hint="default" w:ascii="Times New Roman" w:hAnsi="Times New Roman" w:cs="Times New Roman"/>
                <w:color w:val="auto"/>
              </w:rPr>
            </w:pPr>
            <w:r>
              <w:rPr>
                <w:rFonts w:hint="default" w:ascii="Times New Roman" w:hAnsi="Times New Roman" w:cs="Times New Roman"/>
                <w:color w:val="auto"/>
              </w:rPr>
              <w:t>本项目电磁环境影响评价范围内（站界外</w:t>
            </w:r>
            <w:r>
              <w:rPr>
                <w:rFonts w:hint="default" w:ascii="Times New Roman" w:hAnsi="Times New Roman" w:cs="Times New Roman"/>
                <w:color w:val="auto"/>
                <w:lang w:val="en-US" w:eastAsia="zh-CN"/>
              </w:rPr>
              <w:t>3</w:t>
            </w:r>
            <w:r>
              <w:rPr>
                <w:rFonts w:hint="default" w:ascii="Times New Roman" w:hAnsi="Times New Roman" w:cs="Times New Roman"/>
                <w:color w:val="auto"/>
              </w:rPr>
              <w:t>0m）无其他电磁设施，无环境敏感目标。</w:t>
            </w:r>
          </w:p>
          <w:p>
            <w:pPr>
              <w:keepNext w:val="0"/>
              <w:keepLines w:val="0"/>
              <w:pageBreakBefore w:val="0"/>
              <w:widowControl w:val="0"/>
              <w:kinsoku/>
              <w:wordWrap/>
              <w:overflowPunct/>
              <w:topLinePunct w:val="0"/>
              <w:autoSpaceDE/>
              <w:autoSpaceDN/>
              <w:bidi w:val="0"/>
              <w:adjustRightInd w:val="0"/>
              <w:snapToGrid w:val="0"/>
              <w:ind w:firstLine="480"/>
              <w:textAlignment w:val="top"/>
              <w:rPr>
                <w:rFonts w:hint="default" w:ascii="Times New Roman" w:hAnsi="Times New Roman" w:eastAsia="宋体" w:cs="Times New Roman"/>
                <w:color w:val="auto"/>
                <w:lang w:val="en-US" w:eastAsia="zh-CN"/>
              </w:rPr>
            </w:pPr>
            <w:r>
              <w:rPr>
                <w:rFonts w:hint="default" w:ascii="Times New Roman" w:hAnsi="Times New Roman" w:cs="Times New Roman"/>
                <w:color w:val="auto"/>
              </w:rPr>
              <w:t>为了解区域电磁环境质量现状，</w:t>
            </w:r>
            <w:r>
              <w:rPr>
                <w:rFonts w:hint="eastAsia" w:cs="Times New Roman"/>
                <w:color w:val="auto"/>
                <w:lang w:val="en-US" w:eastAsia="zh-CN"/>
              </w:rPr>
              <w:t>本次评价委托</w:t>
            </w:r>
            <w:r>
              <w:rPr>
                <w:rFonts w:hint="default" w:ascii="Times New Roman" w:hAnsi="Times New Roman" w:eastAsia="宋体" w:cs="Times New Roman"/>
                <w:snapToGrid w:val="0"/>
                <w:color w:val="auto"/>
                <w:kern w:val="16"/>
                <w:sz w:val="24"/>
                <w:szCs w:val="20"/>
              </w:rPr>
              <w:t>河南摩尔检测有限公司于2022年</w:t>
            </w:r>
            <w:r>
              <w:rPr>
                <w:rFonts w:hint="default" w:ascii="Times New Roman" w:hAnsi="Times New Roman" w:eastAsia="宋体" w:cs="Times New Roman"/>
                <w:snapToGrid w:val="0"/>
                <w:color w:val="auto"/>
                <w:kern w:val="16"/>
                <w:sz w:val="24"/>
                <w:szCs w:val="20"/>
                <w:lang w:val="en-US" w:eastAsia="zh-CN"/>
              </w:rPr>
              <w:t>5</w:t>
            </w:r>
            <w:r>
              <w:rPr>
                <w:rFonts w:hint="default" w:ascii="Times New Roman" w:hAnsi="Times New Roman" w:eastAsia="宋体" w:cs="Times New Roman"/>
                <w:snapToGrid w:val="0"/>
                <w:color w:val="auto"/>
                <w:kern w:val="16"/>
                <w:sz w:val="24"/>
                <w:szCs w:val="20"/>
              </w:rPr>
              <w:t>月1</w:t>
            </w:r>
            <w:r>
              <w:rPr>
                <w:rFonts w:hint="default" w:ascii="Times New Roman" w:hAnsi="Times New Roman" w:eastAsia="宋体" w:cs="Times New Roman"/>
                <w:snapToGrid w:val="0"/>
                <w:color w:val="auto"/>
                <w:kern w:val="16"/>
                <w:sz w:val="24"/>
                <w:szCs w:val="20"/>
                <w:lang w:val="en-US" w:eastAsia="zh-CN"/>
              </w:rPr>
              <w:t>7</w:t>
            </w:r>
            <w:r>
              <w:rPr>
                <w:rFonts w:hint="default" w:ascii="Times New Roman" w:hAnsi="Times New Roman" w:eastAsia="宋体" w:cs="Times New Roman"/>
                <w:snapToGrid w:val="0"/>
                <w:color w:val="auto"/>
                <w:kern w:val="16"/>
                <w:sz w:val="24"/>
                <w:szCs w:val="20"/>
              </w:rPr>
              <w:t>日</w:t>
            </w:r>
            <w:r>
              <w:rPr>
                <w:rFonts w:hint="default" w:ascii="Times New Roman" w:hAnsi="Times New Roman" w:cs="Times New Roman"/>
                <w:color w:val="auto"/>
              </w:rPr>
              <w:t>对</w:t>
            </w:r>
            <w:r>
              <w:rPr>
                <w:rFonts w:hint="eastAsia" w:cs="Times New Roman"/>
                <w:color w:val="auto"/>
                <w:lang w:val="en-US" w:eastAsia="zh-CN"/>
              </w:rPr>
              <w:t>拟</w:t>
            </w:r>
            <w:r>
              <w:rPr>
                <w:rFonts w:hint="eastAsia" w:cs="Times New Roman"/>
                <w:color w:val="auto"/>
                <w:highlight w:val="none"/>
                <w:lang w:val="en-US" w:eastAsia="zh-CN"/>
              </w:rPr>
              <w:t>建</w:t>
            </w:r>
            <w:r>
              <w:rPr>
                <w:rFonts w:hint="default" w:ascii="Times New Roman" w:hAnsi="Times New Roman" w:cs="Times New Roman"/>
                <w:color w:val="auto"/>
                <w:highlight w:val="none"/>
              </w:rPr>
              <w:t>升压站</w:t>
            </w:r>
            <w:r>
              <w:rPr>
                <w:rFonts w:hint="eastAsia" w:cs="Times New Roman"/>
                <w:color w:val="auto"/>
                <w:highlight w:val="none"/>
                <w:lang w:val="en-US" w:eastAsia="zh-CN"/>
              </w:rPr>
              <w:t>区</w:t>
            </w:r>
            <w:r>
              <w:rPr>
                <w:rFonts w:hint="default" w:ascii="Times New Roman" w:hAnsi="Times New Roman" w:cs="Times New Roman"/>
                <w:color w:val="auto"/>
                <w:highlight w:val="none"/>
              </w:rPr>
              <w:t>进行了电磁环境现状监测</w:t>
            </w:r>
            <w:r>
              <w:rPr>
                <w:rFonts w:hint="eastAsia" w:cs="Times New Roman"/>
                <w:color w:val="auto"/>
                <w:highlight w:val="none"/>
                <w:lang w:eastAsia="zh-CN"/>
              </w:rPr>
              <w:t>，</w:t>
            </w:r>
            <w:r>
              <w:rPr>
                <w:rFonts w:hint="eastAsia" w:cs="Times New Roman"/>
                <w:color w:val="auto"/>
                <w:highlight w:val="none"/>
                <w:lang w:val="en-US" w:eastAsia="zh-CN"/>
              </w:rPr>
              <w:t>监测因子为</w:t>
            </w:r>
            <w:r>
              <w:rPr>
                <w:rFonts w:hint="default" w:ascii="Times New Roman" w:hAnsi="Times New Roman" w:eastAsia="宋体" w:cs="Times New Roman"/>
                <w:snapToGrid w:val="0"/>
                <w:color w:val="auto"/>
                <w:kern w:val="16"/>
                <w:sz w:val="24"/>
                <w:szCs w:val="20"/>
                <w:highlight w:val="none"/>
              </w:rPr>
              <w:t>工频电场强度</w:t>
            </w:r>
            <w:r>
              <w:rPr>
                <w:rFonts w:hint="eastAsia" w:eastAsia="宋体" w:cs="Times New Roman"/>
                <w:snapToGrid w:val="0"/>
                <w:color w:val="auto"/>
                <w:kern w:val="16"/>
                <w:sz w:val="24"/>
                <w:szCs w:val="20"/>
                <w:highlight w:val="none"/>
                <w:lang w:eastAsia="zh-CN"/>
              </w:rPr>
              <w:t>、</w:t>
            </w:r>
            <w:r>
              <w:rPr>
                <w:rFonts w:hint="default" w:ascii="Times New Roman" w:hAnsi="Times New Roman" w:eastAsia="宋体" w:cs="Times New Roman"/>
                <w:snapToGrid w:val="0"/>
                <w:color w:val="auto"/>
                <w:kern w:val="16"/>
                <w:sz w:val="24"/>
                <w:szCs w:val="20"/>
                <w:highlight w:val="none"/>
              </w:rPr>
              <w:t>工频磁感应强度</w:t>
            </w:r>
            <w:r>
              <w:rPr>
                <w:rFonts w:hint="eastAsia" w:cs="Times New Roman"/>
                <w:color w:val="auto"/>
                <w:highlight w:val="none"/>
                <w:lang w:eastAsia="zh-CN"/>
              </w:rPr>
              <w:t>。</w:t>
            </w:r>
            <w:r>
              <w:rPr>
                <w:rFonts w:hint="eastAsia" w:eastAsia="宋体" w:cs="Times New Roman"/>
                <w:b w:val="0"/>
                <w:bCs w:val="0"/>
                <w:snapToGrid w:val="0"/>
                <w:color w:val="auto"/>
                <w:kern w:val="16"/>
                <w:sz w:val="24"/>
                <w:szCs w:val="20"/>
                <w:highlight w:val="none"/>
                <w:u w:val="none"/>
                <w:lang w:val="en-US" w:eastAsia="zh-CN"/>
              </w:rPr>
              <w:t>2023年1月29日，</w:t>
            </w:r>
            <w:r>
              <w:rPr>
                <w:rFonts w:hint="eastAsia" w:cs="Times New Roman"/>
                <w:b w:val="0"/>
                <w:bCs w:val="0"/>
                <w:color w:val="auto"/>
                <w:highlight w:val="none"/>
                <w:u w:val="none"/>
                <w:lang w:val="en-US" w:eastAsia="zh-CN"/>
              </w:rPr>
              <w:t>本次评价委托</w:t>
            </w:r>
            <w:r>
              <w:rPr>
                <w:rFonts w:hint="default" w:ascii="Times New Roman" w:hAnsi="Times New Roman" w:eastAsia="宋体" w:cs="Times New Roman"/>
                <w:b w:val="0"/>
                <w:bCs w:val="0"/>
                <w:snapToGrid w:val="0"/>
                <w:color w:val="auto"/>
                <w:kern w:val="16"/>
                <w:sz w:val="24"/>
                <w:szCs w:val="20"/>
                <w:highlight w:val="none"/>
                <w:u w:val="none"/>
              </w:rPr>
              <w:t>河南</w:t>
            </w:r>
            <w:r>
              <w:rPr>
                <w:rFonts w:hint="eastAsia" w:eastAsia="宋体" w:cs="Times New Roman"/>
                <w:b w:val="0"/>
                <w:bCs w:val="0"/>
                <w:snapToGrid w:val="0"/>
                <w:color w:val="auto"/>
                <w:kern w:val="16"/>
                <w:sz w:val="24"/>
                <w:szCs w:val="20"/>
                <w:highlight w:val="none"/>
                <w:u w:val="none"/>
                <w:lang w:val="en-US" w:eastAsia="zh-CN"/>
              </w:rPr>
              <w:t>九域恩湃电力技术</w:t>
            </w:r>
            <w:r>
              <w:rPr>
                <w:rFonts w:hint="default" w:ascii="Times New Roman" w:hAnsi="Times New Roman" w:eastAsia="宋体" w:cs="Times New Roman"/>
                <w:b w:val="0"/>
                <w:bCs w:val="0"/>
                <w:snapToGrid w:val="0"/>
                <w:color w:val="auto"/>
                <w:kern w:val="16"/>
                <w:sz w:val="24"/>
                <w:szCs w:val="20"/>
                <w:highlight w:val="none"/>
                <w:u w:val="none"/>
              </w:rPr>
              <w:t>有限公司</w:t>
            </w:r>
            <w:r>
              <w:rPr>
                <w:rFonts w:hint="default" w:ascii="Times New Roman" w:hAnsi="Times New Roman" w:cs="Times New Roman"/>
                <w:b w:val="0"/>
                <w:bCs w:val="0"/>
                <w:color w:val="auto"/>
                <w:highlight w:val="none"/>
                <w:u w:val="none"/>
              </w:rPr>
              <w:t>对</w:t>
            </w:r>
            <w:r>
              <w:rPr>
                <w:rFonts w:hint="eastAsia" w:cs="Times New Roman"/>
                <w:b w:val="0"/>
                <w:bCs w:val="0"/>
                <w:color w:val="auto"/>
                <w:highlight w:val="none"/>
                <w:u w:val="none"/>
                <w:lang w:val="en-US" w:eastAsia="zh-CN"/>
              </w:rPr>
              <w:t>拟建</w:t>
            </w:r>
            <w:r>
              <w:rPr>
                <w:rFonts w:hint="default" w:ascii="Times New Roman" w:hAnsi="Times New Roman" w:cs="Times New Roman"/>
                <w:b w:val="0"/>
                <w:bCs w:val="0"/>
                <w:color w:val="auto"/>
                <w:highlight w:val="none"/>
                <w:u w:val="none"/>
              </w:rPr>
              <w:t>升压站</w:t>
            </w:r>
            <w:r>
              <w:rPr>
                <w:rFonts w:hint="eastAsia" w:cs="Times New Roman"/>
                <w:b w:val="0"/>
                <w:bCs w:val="0"/>
                <w:color w:val="auto"/>
                <w:highlight w:val="none"/>
                <w:u w:val="none"/>
                <w:lang w:val="en-US" w:eastAsia="zh-CN"/>
              </w:rPr>
              <w:t>区合成电场强度进行了补充监测。</w:t>
            </w:r>
          </w:p>
          <w:p>
            <w:pPr>
              <w:keepNext w:val="0"/>
              <w:keepLines w:val="0"/>
              <w:pageBreakBefore w:val="0"/>
              <w:widowControl w:val="0"/>
              <w:kinsoku/>
              <w:wordWrap/>
              <w:overflowPunct/>
              <w:topLinePunct w:val="0"/>
              <w:autoSpaceDE/>
              <w:autoSpaceDN/>
              <w:bidi w:val="0"/>
              <w:adjustRightInd w:val="0"/>
              <w:snapToGrid w:val="0"/>
              <w:ind w:firstLine="480"/>
              <w:textAlignment w:val="top"/>
              <w:rPr>
                <w:rFonts w:hint="default" w:ascii="Times New Roman" w:hAnsi="Times New Roman" w:cs="Times New Roman"/>
                <w:color w:val="auto"/>
              </w:rPr>
            </w:pPr>
            <w:r>
              <w:rPr>
                <w:rFonts w:hint="eastAsia" w:cs="Times New Roman"/>
                <w:color w:val="auto"/>
                <w:lang w:val="en-US" w:eastAsia="zh-CN"/>
              </w:rPr>
              <w:t>监测</w:t>
            </w:r>
            <w:r>
              <w:rPr>
                <w:rFonts w:hint="default" w:ascii="Times New Roman" w:hAnsi="Times New Roman" w:cs="Times New Roman"/>
                <w:color w:val="auto"/>
              </w:rPr>
              <w:t>结果如下：</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textAlignment w:val="top"/>
              <w:rPr>
                <w:rFonts w:hint="default" w:ascii="Times New Roman" w:hAnsi="Times New Roman" w:eastAsia="宋体" w:cs="Times New Roman"/>
                <w:snapToGrid w:val="0"/>
                <w:color w:val="auto"/>
                <w:kern w:val="16"/>
                <w:sz w:val="24"/>
                <w:szCs w:val="20"/>
              </w:rPr>
            </w:pPr>
            <w:r>
              <w:rPr>
                <w:rFonts w:hint="default" w:ascii="Times New Roman" w:hAnsi="Times New Roman" w:eastAsia="宋体" w:cs="Times New Roman"/>
                <w:snapToGrid w:val="0"/>
                <w:color w:val="auto"/>
                <w:kern w:val="16"/>
                <w:sz w:val="24"/>
                <w:szCs w:val="20"/>
              </w:rPr>
              <w:t>升压站各监测点位工频电场强度监测值范围为</w:t>
            </w:r>
            <w:r>
              <w:rPr>
                <w:rFonts w:hint="default" w:ascii="Times New Roman" w:hAnsi="Times New Roman" w:eastAsia="宋体" w:cs="Times New Roman"/>
                <w:snapToGrid w:val="0"/>
                <w:color w:val="auto"/>
                <w:kern w:val="16"/>
                <w:sz w:val="24"/>
                <w:szCs w:val="20"/>
                <w:lang w:val="en-US" w:eastAsia="zh-CN"/>
              </w:rPr>
              <w:t>1.92</w:t>
            </w:r>
            <w:r>
              <w:rPr>
                <w:rFonts w:hint="default" w:ascii="Times New Roman" w:hAnsi="Times New Roman" w:eastAsia="宋体" w:cs="Times New Roman"/>
                <w:snapToGrid w:val="0"/>
                <w:color w:val="auto"/>
                <w:kern w:val="16"/>
                <w:sz w:val="24"/>
                <w:szCs w:val="20"/>
              </w:rPr>
              <w:t>～</w:t>
            </w:r>
            <w:r>
              <w:rPr>
                <w:rFonts w:hint="default" w:ascii="Times New Roman" w:hAnsi="Times New Roman" w:eastAsia="宋体" w:cs="Times New Roman"/>
                <w:snapToGrid w:val="0"/>
                <w:color w:val="auto"/>
                <w:kern w:val="16"/>
                <w:sz w:val="24"/>
                <w:szCs w:val="20"/>
                <w:lang w:val="en-US" w:eastAsia="zh-CN"/>
              </w:rPr>
              <w:t>2.55</w:t>
            </w:r>
            <w:r>
              <w:rPr>
                <w:rFonts w:hint="default" w:ascii="Times New Roman" w:hAnsi="Times New Roman" w:eastAsia="宋体" w:cs="Times New Roman"/>
                <w:snapToGrid w:val="0"/>
                <w:color w:val="auto"/>
                <w:kern w:val="16"/>
                <w:sz w:val="24"/>
                <w:szCs w:val="20"/>
              </w:rPr>
              <w:t>V/m，满足《电磁环境控制限值》（GB8702-2014）中公众暴露限值（4000V/m）</w:t>
            </w:r>
            <w:r>
              <w:rPr>
                <w:rFonts w:hint="eastAsia" w:eastAsia="宋体" w:cs="Times New Roman"/>
                <w:snapToGrid w:val="0"/>
                <w:color w:val="auto"/>
                <w:kern w:val="16"/>
                <w:sz w:val="24"/>
                <w:szCs w:val="20"/>
                <w:lang w:val="en-US" w:eastAsia="zh-CN"/>
              </w:rPr>
              <w:t>要求</w:t>
            </w:r>
            <w:r>
              <w:rPr>
                <w:rFonts w:hint="default" w:ascii="Times New Roman" w:hAnsi="Times New Roman" w:eastAsia="宋体" w:cs="Times New Roman"/>
                <w:snapToGrid w:val="0"/>
                <w:color w:val="auto"/>
                <w:kern w:val="16"/>
                <w:sz w:val="24"/>
                <w:szCs w:val="20"/>
              </w:rPr>
              <w:t>；工频磁感应强度监测值范围为0.0</w:t>
            </w:r>
            <w:r>
              <w:rPr>
                <w:rFonts w:hint="default" w:ascii="Times New Roman" w:hAnsi="Times New Roman" w:eastAsia="宋体" w:cs="Times New Roman"/>
                <w:snapToGrid w:val="0"/>
                <w:color w:val="auto"/>
                <w:kern w:val="16"/>
                <w:sz w:val="24"/>
                <w:szCs w:val="20"/>
                <w:lang w:val="en-US" w:eastAsia="zh-CN"/>
              </w:rPr>
              <w:t>393</w:t>
            </w:r>
            <w:r>
              <w:rPr>
                <w:rFonts w:hint="default" w:ascii="Times New Roman" w:hAnsi="Times New Roman" w:eastAsia="宋体" w:cs="Times New Roman"/>
                <w:snapToGrid w:val="0"/>
                <w:color w:val="auto"/>
                <w:kern w:val="16"/>
                <w:sz w:val="24"/>
                <w:szCs w:val="20"/>
              </w:rPr>
              <w:t>～0.0</w:t>
            </w:r>
            <w:r>
              <w:rPr>
                <w:rFonts w:hint="default" w:ascii="Times New Roman" w:hAnsi="Times New Roman" w:eastAsia="宋体" w:cs="Times New Roman"/>
                <w:snapToGrid w:val="0"/>
                <w:color w:val="auto"/>
                <w:kern w:val="16"/>
                <w:sz w:val="24"/>
                <w:szCs w:val="20"/>
                <w:lang w:val="en-US" w:eastAsia="zh-CN"/>
              </w:rPr>
              <w:t>529</w:t>
            </w:r>
            <w:r>
              <w:rPr>
                <w:rFonts w:hint="default" w:ascii="Times New Roman" w:hAnsi="Times New Roman" w:eastAsia="宋体" w:cs="Times New Roman"/>
                <w:snapToGrid w:val="0"/>
                <w:color w:val="auto"/>
                <w:kern w:val="16"/>
                <w:sz w:val="24"/>
                <w:szCs w:val="20"/>
              </w:rPr>
              <w:t>μT，满足《电磁环境控制限值》（GB8702-2014）中公众暴露限值（100μT）</w:t>
            </w:r>
            <w:r>
              <w:rPr>
                <w:rFonts w:hint="eastAsia" w:eastAsia="宋体" w:cs="Times New Roman"/>
                <w:snapToGrid w:val="0"/>
                <w:color w:val="auto"/>
                <w:kern w:val="16"/>
                <w:sz w:val="24"/>
                <w:szCs w:val="20"/>
                <w:lang w:val="en-US" w:eastAsia="zh-CN"/>
              </w:rPr>
              <w:t>要求</w:t>
            </w:r>
            <w:r>
              <w:rPr>
                <w:rFonts w:hint="default" w:ascii="Times New Roman" w:hAnsi="Times New Roman" w:eastAsia="宋体" w:cs="Times New Roman"/>
                <w:snapToGrid w:val="0"/>
                <w:color w:val="auto"/>
                <w:kern w:val="16"/>
                <w:sz w:val="24"/>
                <w:szCs w:val="20"/>
              </w:rPr>
              <w:t>。</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textAlignment w:val="top"/>
              <w:rPr>
                <w:rFonts w:hint="default" w:ascii="Times New Roman" w:hAnsi="Times New Roman" w:cs="Times New Roman"/>
                <w:b w:val="0"/>
                <w:bCs w:val="0"/>
                <w:color w:val="auto"/>
                <w:u w:val="none"/>
              </w:rPr>
            </w:pPr>
            <w:r>
              <w:rPr>
                <w:rFonts w:hint="default" w:ascii="Times New Roman" w:hAnsi="Times New Roman" w:eastAsia="宋体" w:cs="Times New Roman"/>
                <w:b w:val="0"/>
                <w:bCs w:val="0"/>
                <w:snapToGrid w:val="0"/>
                <w:color w:val="auto"/>
                <w:kern w:val="16"/>
                <w:sz w:val="24"/>
                <w:szCs w:val="20"/>
                <w:highlight w:val="none"/>
                <w:u w:val="none"/>
              </w:rPr>
              <w:t>升压站</w:t>
            </w:r>
            <w:r>
              <w:rPr>
                <w:rFonts w:hint="eastAsia" w:eastAsia="宋体" w:cs="Times New Roman"/>
                <w:b w:val="0"/>
                <w:bCs w:val="0"/>
                <w:snapToGrid w:val="0"/>
                <w:color w:val="auto"/>
                <w:kern w:val="16"/>
                <w:sz w:val="24"/>
                <w:szCs w:val="20"/>
                <w:highlight w:val="none"/>
                <w:u w:val="none"/>
                <w:lang w:val="en-US" w:eastAsia="zh-CN"/>
              </w:rPr>
              <w:t>厂区</w:t>
            </w:r>
            <w:r>
              <w:rPr>
                <w:rFonts w:hint="eastAsia" w:cs="Times New Roman"/>
                <w:b w:val="0"/>
                <w:bCs w:val="0"/>
                <w:color w:val="auto"/>
                <w:highlight w:val="none"/>
                <w:u w:val="none"/>
                <w:lang w:val="en-US" w:eastAsia="zh-CN"/>
              </w:rPr>
              <w:t>合成电场强度</w:t>
            </w:r>
            <w:r>
              <w:rPr>
                <w:rFonts w:hint="default" w:ascii="Times New Roman" w:hAnsi="Times New Roman" w:eastAsia="宋体" w:cs="Times New Roman"/>
                <w:b w:val="0"/>
                <w:bCs w:val="0"/>
                <w:snapToGrid w:val="0"/>
                <w:color w:val="auto"/>
                <w:kern w:val="16"/>
                <w:sz w:val="24"/>
                <w:szCs w:val="20"/>
                <w:highlight w:val="none"/>
                <w:u w:val="none"/>
              </w:rPr>
              <w:t>监测值</w:t>
            </w:r>
            <w:r>
              <w:rPr>
                <w:rFonts w:hint="default" w:ascii="Times New Roman" w:hAnsi="Times New Roman" w:cs="Times New Roman"/>
                <w:b w:val="0"/>
                <w:bCs w:val="0"/>
                <w:color w:val="auto"/>
                <w:highlight w:val="none"/>
                <w:u w:val="none"/>
                <w:lang w:val="en-US" w:eastAsia="zh-CN"/>
              </w:rPr>
              <w:t>E95</w:t>
            </w:r>
            <w:r>
              <w:rPr>
                <w:rFonts w:hint="eastAsia" w:cs="Times New Roman"/>
                <w:b w:val="0"/>
                <w:bCs w:val="0"/>
                <w:color w:val="auto"/>
                <w:highlight w:val="none"/>
                <w:u w:val="none"/>
                <w:lang w:val="en-US" w:eastAsia="zh-CN"/>
              </w:rPr>
              <w:t>为-0.1</w:t>
            </w:r>
            <w:r>
              <w:rPr>
                <w:rFonts w:hint="default" w:ascii="Times New Roman" w:hAnsi="Times New Roman" w:cs="Times New Roman"/>
                <w:b w:val="0"/>
                <w:bCs w:val="0"/>
                <w:color w:val="auto"/>
                <w:highlight w:val="none"/>
                <w:u w:val="none"/>
                <w:lang w:val="en-US" w:eastAsia="zh-CN"/>
              </w:rPr>
              <w:t>kV/m</w:t>
            </w:r>
            <w:r>
              <w:rPr>
                <w:rFonts w:hint="eastAsia" w:cs="Times New Roman"/>
                <w:b w:val="0"/>
                <w:bCs w:val="0"/>
                <w:color w:val="auto"/>
                <w:highlight w:val="none"/>
                <w:u w:val="none"/>
                <w:lang w:val="en-US" w:eastAsia="zh-CN"/>
              </w:rPr>
              <w:t>，</w:t>
            </w:r>
            <w:r>
              <w:rPr>
                <w:rFonts w:hint="default" w:ascii="Times New Roman" w:hAnsi="Times New Roman" w:cs="Times New Roman"/>
                <w:b w:val="0"/>
                <w:bCs w:val="0"/>
                <w:color w:val="auto"/>
                <w:highlight w:val="none"/>
                <w:u w:val="none"/>
                <w:lang w:val="en-US" w:eastAsia="zh-CN"/>
              </w:rPr>
              <w:t>E80</w:t>
            </w:r>
            <w:r>
              <w:rPr>
                <w:rFonts w:hint="eastAsia" w:cs="Times New Roman"/>
                <w:b w:val="0"/>
                <w:bCs w:val="0"/>
                <w:color w:val="auto"/>
                <w:highlight w:val="none"/>
                <w:u w:val="none"/>
                <w:lang w:val="en-US" w:eastAsia="zh-CN"/>
              </w:rPr>
              <w:t>为-0.1</w:t>
            </w:r>
            <w:r>
              <w:rPr>
                <w:rFonts w:hint="default" w:ascii="Times New Roman" w:hAnsi="Times New Roman" w:cs="Times New Roman"/>
                <w:b w:val="0"/>
                <w:bCs w:val="0"/>
                <w:color w:val="auto"/>
                <w:highlight w:val="none"/>
                <w:u w:val="none"/>
                <w:lang w:val="en-US" w:eastAsia="zh-CN"/>
              </w:rPr>
              <w:t>kV/m</w:t>
            </w:r>
            <w:r>
              <w:rPr>
                <w:rFonts w:hint="eastAsia" w:cs="Times New Roman"/>
                <w:b w:val="0"/>
                <w:bCs w:val="0"/>
                <w:color w:val="auto"/>
                <w:highlight w:val="none"/>
                <w:u w:val="none"/>
                <w:lang w:val="en-US" w:eastAsia="zh-CN"/>
              </w:rPr>
              <w:t>，</w:t>
            </w:r>
            <w:r>
              <w:rPr>
                <w:rFonts w:hint="eastAsia" w:eastAsia="宋体" w:cs="Times New Roman"/>
                <w:b w:val="0"/>
                <w:bCs w:val="0"/>
                <w:snapToGrid w:val="0"/>
                <w:color w:val="auto"/>
                <w:kern w:val="16"/>
                <w:sz w:val="24"/>
                <w:szCs w:val="20"/>
                <w:highlight w:val="none"/>
                <w:u w:val="none"/>
                <w:lang w:val="en-US" w:eastAsia="zh-CN"/>
              </w:rPr>
              <w:t>满足</w:t>
            </w:r>
            <w:r>
              <w:rPr>
                <w:rFonts w:hint="eastAsia" w:eastAsia="宋体" w:cs="Times New Roman"/>
                <w:b w:val="0"/>
                <w:bCs w:val="0"/>
                <w:snapToGrid w:val="0"/>
                <w:color w:val="auto"/>
                <w:kern w:val="16"/>
                <w:sz w:val="24"/>
                <w:szCs w:val="20"/>
                <w:highlight w:val="none"/>
                <w:u w:val="none"/>
                <w:lang w:eastAsia="zh-CN"/>
              </w:rPr>
              <w:t>《</w:t>
            </w:r>
            <w:r>
              <w:rPr>
                <w:rFonts w:hint="default" w:ascii="Times New Roman" w:hAnsi="Times New Roman" w:eastAsia="宋体" w:cs="Times New Roman"/>
                <w:b w:val="0"/>
                <w:bCs w:val="0"/>
                <w:snapToGrid w:val="0"/>
                <w:color w:val="auto"/>
                <w:kern w:val="16"/>
                <w:sz w:val="24"/>
                <w:szCs w:val="20"/>
                <w:highlight w:val="none"/>
                <w:u w:val="none"/>
              </w:rPr>
              <w:t>直流输电工程合成电场限值及其监测方法</w:t>
            </w:r>
            <w:r>
              <w:rPr>
                <w:rFonts w:hint="eastAsia" w:eastAsia="宋体" w:cs="Times New Roman"/>
                <w:b w:val="0"/>
                <w:bCs w:val="0"/>
                <w:snapToGrid w:val="0"/>
                <w:color w:val="auto"/>
                <w:kern w:val="16"/>
                <w:sz w:val="24"/>
                <w:szCs w:val="20"/>
                <w:highlight w:val="none"/>
                <w:u w:val="none"/>
                <w:lang w:eastAsia="zh-CN"/>
              </w:rPr>
              <w:t>》</w:t>
            </w:r>
            <w:r>
              <w:rPr>
                <w:rFonts w:hint="default" w:ascii="Times New Roman" w:hAnsi="Times New Roman" w:eastAsia="宋体" w:cs="Times New Roman"/>
                <w:b w:val="0"/>
                <w:bCs w:val="0"/>
                <w:snapToGrid w:val="0"/>
                <w:color w:val="auto"/>
                <w:kern w:val="16"/>
                <w:sz w:val="24"/>
                <w:szCs w:val="20"/>
                <w:highlight w:val="none"/>
                <w:u w:val="none"/>
              </w:rPr>
              <w:t>（GB 39220—2020）</w:t>
            </w:r>
            <w:r>
              <w:rPr>
                <w:rFonts w:hint="eastAsia" w:ascii="Times New Roman" w:hAnsi="Times New Roman" w:cs="Times New Roman"/>
                <w:b w:val="0"/>
                <w:bCs w:val="0"/>
                <w:color w:val="auto"/>
                <w:highlight w:val="none"/>
                <w:u w:val="none"/>
                <w:lang w:val="en-US" w:eastAsia="zh-CN"/>
              </w:rPr>
              <w:t>环境中合成电场强度</w:t>
            </w:r>
            <w:r>
              <w:rPr>
                <w:rFonts w:hint="default" w:ascii="Times New Roman" w:hAnsi="Times New Roman" w:cs="Times New Roman"/>
                <w:b w:val="0"/>
                <w:bCs w:val="0"/>
                <w:color w:val="auto"/>
                <w:highlight w:val="none"/>
                <w:u w:val="none"/>
                <w:lang w:val="en-US" w:eastAsia="zh-CN"/>
              </w:rPr>
              <w:t>E95</w:t>
            </w:r>
            <w:r>
              <w:rPr>
                <w:rFonts w:hint="eastAsia" w:ascii="Times New Roman" w:hAnsi="Times New Roman" w:cs="Times New Roman"/>
                <w:b w:val="0"/>
                <w:bCs w:val="0"/>
                <w:color w:val="auto"/>
                <w:highlight w:val="none"/>
                <w:u w:val="none"/>
                <w:lang w:val="en-US" w:eastAsia="zh-CN"/>
              </w:rPr>
              <w:t>的限值为</w:t>
            </w:r>
            <w:r>
              <w:rPr>
                <w:rFonts w:hint="default" w:ascii="Times New Roman" w:hAnsi="Times New Roman" w:cs="Times New Roman"/>
                <w:b w:val="0"/>
                <w:bCs w:val="0"/>
                <w:color w:val="auto"/>
                <w:highlight w:val="none"/>
                <w:u w:val="none"/>
                <w:lang w:val="en-US" w:eastAsia="zh-CN"/>
              </w:rPr>
              <w:t>25kV/m</w:t>
            </w:r>
            <w:r>
              <w:rPr>
                <w:rFonts w:hint="eastAsia" w:ascii="Times New Roman" w:hAnsi="Times New Roman" w:cs="Times New Roman"/>
                <w:b w:val="0"/>
                <w:bCs w:val="0"/>
                <w:color w:val="auto"/>
                <w:highlight w:val="none"/>
                <w:u w:val="none"/>
                <w:lang w:val="en-US" w:eastAsia="zh-CN"/>
              </w:rPr>
              <w:t>，且</w:t>
            </w:r>
            <w:r>
              <w:rPr>
                <w:rFonts w:hint="default" w:ascii="Times New Roman" w:hAnsi="Times New Roman" w:cs="Times New Roman"/>
                <w:b w:val="0"/>
                <w:bCs w:val="0"/>
                <w:color w:val="auto"/>
                <w:highlight w:val="none"/>
                <w:u w:val="none"/>
                <w:lang w:val="en-US" w:eastAsia="zh-CN"/>
              </w:rPr>
              <w:t>E80</w:t>
            </w:r>
            <w:r>
              <w:rPr>
                <w:rFonts w:hint="eastAsia" w:ascii="Times New Roman" w:hAnsi="Times New Roman" w:cs="Times New Roman"/>
                <w:b w:val="0"/>
                <w:bCs w:val="0"/>
                <w:color w:val="auto"/>
                <w:highlight w:val="none"/>
                <w:u w:val="none"/>
                <w:lang w:val="en-US" w:eastAsia="zh-CN"/>
              </w:rPr>
              <w:t>的限值为</w:t>
            </w:r>
            <w:r>
              <w:rPr>
                <w:rFonts w:hint="default" w:ascii="Times New Roman" w:hAnsi="Times New Roman" w:cs="Times New Roman"/>
                <w:b w:val="0"/>
                <w:bCs w:val="0"/>
                <w:color w:val="auto"/>
                <w:highlight w:val="none"/>
                <w:u w:val="none"/>
                <w:lang w:val="en-US" w:eastAsia="zh-CN"/>
              </w:rPr>
              <w:t>15kV/m</w:t>
            </w:r>
            <w:r>
              <w:rPr>
                <w:rFonts w:hint="eastAsia" w:cs="Times New Roman"/>
                <w:b w:val="0"/>
                <w:bCs w:val="0"/>
                <w:color w:val="auto"/>
                <w:highlight w:val="none"/>
                <w:u w:val="none"/>
                <w:lang w:val="en-US" w:eastAsia="zh-CN"/>
              </w:rPr>
              <w:t>的要求</w:t>
            </w:r>
            <w:r>
              <w:rPr>
                <w:rFonts w:hint="eastAsia" w:ascii="Times New Roman" w:hAnsi="Times New Roman" w:cs="Times New Roman"/>
                <w:b w:val="0"/>
                <w:bCs w:val="0"/>
                <w:color w:val="auto"/>
                <w:highlight w:val="none"/>
                <w:u w:val="none"/>
                <w:lang w:val="en-US" w:eastAsia="zh-CN"/>
              </w:rPr>
              <w:t>。</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textAlignment w:val="top"/>
              <w:rPr>
                <w:rFonts w:hint="default" w:ascii="Times New Roman" w:hAnsi="Times New Roman" w:cs="Times New Roman"/>
                <w:color w:val="auto"/>
              </w:rPr>
            </w:pPr>
            <w:r>
              <w:rPr>
                <w:rFonts w:hint="eastAsia" w:cs="Times New Roman"/>
                <w:color w:val="auto"/>
                <w:lang w:val="en-US" w:eastAsia="zh-CN"/>
              </w:rPr>
              <w:t>由上，</w:t>
            </w:r>
            <w:r>
              <w:rPr>
                <w:rFonts w:hint="default" w:ascii="Times New Roman" w:hAnsi="Times New Roman" w:cs="Times New Roman"/>
                <w:color w:val="auto"/>
              </w:rPr>
              <w:t>拟建项目区域电磁环境质量较好。</w:t>
            </w:r>
          </w:p>
          <w:p>
            <w:pPr>
              <w:keepNext w:val="0"/>
              <w:keepLines w:val="0"/>
              <w:pageBreakBefore w:val="0"/>
              <w:widowControl w:val="0"/>
              <w:kinsoku/>
              <w:wordWrap/>
              <w:overflowPunct/>
              <w:topLinePunct w:val="0"/>
              <w:autoSpaceDE/>
              <w:autoSpaceDN/>
              <w:bidi w:val="0"/>
              <w:adjustRightInd w:val="0"/>
              <w:snapToGrid w:val="0"/>
              <w:ind w:firstLine="480"/>
              <w:textAlignment w:val="top"/>
              <w:rPr>
                <w:rFonts w:hint="default" w:ascii="Times New Roman" w:hAnsi="Times New Roman" w:cs="Times New Roman"/>
                <w:color w:val="auto"/>
              </w:rPr>
            </w:pPr>
            <w:r>
              <w:rPr>
                <w:rFonts w:hint="default" w:ascii="Times New Roman" w:hAnsi="Times New Roman" w:cs="Times New Roman"/>
                <w:color w:val="auto"/>
              </w:rPr>
              <w:t>本次电磁环境现状监测点位、布点方法、监测频次、监测方法及仪器等详见电磁环境影响专题评价</w:t>
            </w:r>
            <w:r>
              <w:rPr>
                <w:rFonts w:hint="eastAsia" w:cs="Times New Roman"/>
                <w:color w:val="auto"/>
                <w:lang w:eastAsia="zh-CN"/>
              </w:rPr>
              <w:t>，</w:t>
            </w:r>
            <w:r>
              <w:rPr>
                <w:rFonts w:hint="eastAsia" w:cs="Times New Roman"/>
                <w:color w:val="auto"/>
                <w:lang w:val="en-US" w:eastAsia="zh-CN"/>
              </w:rPr>
              <w:t>监测报告见附件7</w:t>
            </w:r>
            <w:r>
              <w:rPr>
                <w:rFonts w:hint="default" w:ascii="Times New Roman" w:hAnsi="Times New Roman" w:cs="Times New Roman"/>
                <w:color w:val="auto"/>
              </w:rPr>
              <w:t>。</w:t>
            </w:r>
          </w:p>
          <w:p>
            <w:pPr>
              <w:ind w:firstLine="480"/>
              <w:rPr>
                <w:rFonts w:hint="default" w:ascii="Times New Roman" w:hAnsi="Times New Roman" w:eastAsia="宋体" w:cs="Times New Roman"/>
                <w:color w:val="0000FF"/>
                <w:spacing w:val="-2"/>
                <w:kern w:val="16"/>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56" w:hRule="atLeast"/>
          <w:jc w:val="center"/>
        </w:trPr>
        <w:tc>
          <w:tcPr>
            <w:tcW w:w="407" w:type="pct"/>
            <w:vAlign w:val="center"/>
          </w:tcPr>
          <w:p>
            <w:pPr>
              <w:adjustRightInd w:val="0"/>
              <w:snapToGrid w:val="0"/>
              <w:spacing w:line="240" w:lineRule="auto"/>
              <w:ind w:firstLine="0" w:firstLineChars="0"/>
              <w:jc w:val="center"/>
              <w:rPr>
                <w:rFonts w:hint="default" w:ascii="Times New Roman" w:hAnsi="Times New Roman" w:cs="Times New Roman"/>
                <w:bCs/>
                <w:color w:val="0000FF"/>
                <w:kern w:val="0"/>
                <w:szCs w:val="21"/>
              </w:rPr>
            </w:pPr>
            <w:r>
              <w:rPr>
                <w:rFonts w:hint="default" w:ascii="Times New Roman" w:hAnsi="Times New Roman" w:cs="Times New Roman"/>
                <w:bCs/>
                <w:color w:val="auto"/>
                <w:szCs w:val="21"/>
              </w:rPr>
              <w:t>与项目有关的原有环境污染和生态破坏问题</w:t>
            </w:r>
          </w:p>
        </w:tc>
        <w:tc>
          <w:tcPr>
            <w:tcW w:w="4592" w:type="pct"/>
            <w:vAlign w:val="center"/>
          </w:tcPr>
          <w:p>
            <w:pPr>
              <w:pStyle w:val="34"/>
              <w:rPr>
                <w:rFonts w:hint="default" w:ascii="Times New Roman" w:hAnsi="Times New Roman" w:cs="Times New Roman"/>
              </w:rPr>
            </w:pPr>
          </w:p>
          <w:p>
            <w:pPr>
              <w:ind w:firstLine="480"/>
              <w:rPr>
                <w:rFonts w:hint="default" w:ascii="Times New Roman" w:hAnsi="Times New Roman" w:cs="Times New Roman"/>
              </w:rPr>
            </w:pPr>
            <w:r>
              <w:rPr>
                <w:rFonts w:hint="default" w:ascii="Times New Roman" w:hAnsi="Times New Roman" w:cs="Times New Roman"/>
              </w:rPr>
              <w:t>本项目为新建项目，项目建设地附近主要为</w:t>
            </w:r>
            <w:r>
              <w:rPr>
                <w:rFonts w:hint="default" w:ascii="Times New Roman" w:hAnsi="Times New Roman" w:cs="Times New Roman"/>
                <w:lang w:val="en-US" w:eastAsia="zh-CN"/>
              </w:rPr>
              <w:t>林</w:t>
            </w:r>
            <w:r>
              <w:rPr>
                <w:rFonts w:hint="default" w:ascii="Times New Roman" w:hAnsi="Times New Roman" w:cs="Times New Roman"/>
              </w:rPr>
              <w:t>地，区域环境状况良好，不涉及与本项目有关的原有污染源和生态破坏问题。</w:t>
            </w:r>
          </w:p>
          <w:p>
            <w:pPr>
              <w:rPr>
                <w:rFonts w:hint="default" w:ascii="Times New Roman" w:hAnsi="Times New Roman" w:cs="Times New Roman"/>
              </w:rPr>
            </w:pPr>
          </w:p>
          <w:p>
            <w:pPr>
              <w:pStyle w:val="32"/>
              <w:rPr>
                <w:rFonts w:hint="default" w:ascii="Times New Roman" w:hAnsi="Times New Roman" w:cs="Times New Roma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3565" w:hRule="atLeast"/>
          <w:jc w:val="center"/>
        </w:trPr>
        <w:tc>
          <w:tcPr>
            <w:tcW w:w="407" w:type="pct"/>
            <w:vAlign w:val="center"/>
          </w:tcPr>
          <w:p>
            <w:pPr>
              <w:adjustRightInd w:val="0"/>
              <w:snapToGrid w:val="0"/>
              <w:spacing w:line="240" w:lineRule="auto"/>
              <w:ind w:firstLine="0" w:firstLineChars="0"/>
              <w:jc w:val="center"/>
              <w:rPr>
                <w:rFonts w:hint="default" w:ascii="Times New Roman" w:hAnsi="Times New Roman" w:cs="Times New Roman" w:eastAsiaTheme="minorEastAsia"/>
                <w:color w:val="0000FF"/>
                <w:kern w:val="0"/>
                <w:sz w:val="24"/>
                <w:szCs w:val="21"/>
                <w:lang w:val="en-US" w:eastAsia="zh-CN" w:bidi="ar-SA"/>
              </w:rPr>
            </w:pPr>
            <w:r>
              <w:rPr>
                <w:rFonts w:hint="default" w:ascii="Times New Roman" w:hAnsi="Times New Roman" w:cs="Times New Roman"/>
                <w:color w:val="auto"/>
                <w:kern w:val="0"/>
                <w:szCs w:val="21"/>
              </w:rPr>
              <w:t>生态环境保护目标</w:t>
            </w:r>
          </w:p>
        </w:tc>
        <w:tc>
          <w:tcPr>
            <w:tcW w:w="4592" w:type="pct"/>
            <w:vAlign w:val="center"/>
          </w:tcPr>
          <w:p>
            <w:pPr>
              <w:ind w:firstLine="0" w:firstLineChars="0"/>
              <w:rPr>
                <w:rFonts w:hint="default" w:ascii="Times New Roman" w:hAnsi="Times New Roman" w:cs="Times New Roman" w:eastAsiaTheme="minorEastAsia"/>
                <w:b/>
                <w:bCs/>
                <w:lang w:val="en-US" w:eastAsia="zh-CN"/>
              </w:rPr>
            </w:pPr>
            <w:r>
              <w:rPr>
                <w:rFonts w:hint="default" w:ascii="Times New Roman" w:hAnsi="Times New Roman" w:cs="Times New Roman"/>
                <w:b/>
                <w:bCs/>
              </w:rPr>
              <w:t>1、评价等级</w:t>
            </w:r>
            <w:r>
              <w:rPr>
                <w:rFonts w:hint="eastAsia" w:cs="Times New Roman"/>
                <w:b/>
                <w:bCs/>
                <w:lang w:val="en-US" w:eastAsia="zh-CN"/>
              </w:rPr>
              <w:t>及评价范围</w:t>
            </w:r>
          </w:p>
          <w:p>
            <w:pPr>
              <w:ind w:firstLine="482"/>
              <w:rPr>
                <w:rFonts w:hint="default" w:ascii="Times New Roman" w:hAnsi="Times New Roman" w:cs="Times New Roman"/>
              </w:rPr>
            </w:pPr>
            <w:r>
              <w:rPr>
                <w:rFonts w:hint="default" w:ascii="Times New Roman" w:hAnsi="Times New Roman" w:cs="Times New Roman"/>
              </w:rPr>
              <w:t>（1）电磁环境</w:t>
            </w:r>
          </w:p>
          <w:p>
            <w:pPr>
              <w:ind w:firstLine="480"/>
              <w:rPr>
                <w:rFonts w:hint="default" w:ascii="Times New Roman" w:hAnsi="Times New Roman" w:cs="Times New Roman"/>
              </w:rPr>
            </w:pPr>
            <w:r>
              <w:rPr>
                <w:rFonts w:hint="default" w:ascii="Times New Roman" w:hAnsi="Times New Roman" w:cs="Times New Roman"/>
              </w:rPr>
              <w:t>本工程为</w:t>
            </w:r>
            <w:r>
              <w:rPr>
                <w:rFonts w:hint="default" w:ascii="Times New Roman" w:hAnsi="Times New Roman" w:cs="Times New Roman"/>
                <w:lang w:val="en-US" w:eastAsia="zh-CN"/>
              </w:rPr>
              <w:t>110</w:t>
            </w:r>
            <w:r>
              <w:rPr>
                <w:rFonts w:hint="default" w:ascii="Times New Roman" w:hAnsi="Times New Roman" w:cs="Times New Roman"/>
              </w:rPr>
              <w:t>kV户外升压站，根据《环境影响评价技术导则  输变电》（HJ 24-2020）表2，电磁环境影响评价工作等级应按二级进行评价</w:t>
            </w:r>
            <w:r>
              <w:rPr>
                <w:rFonts w:hint="eastAsia" w:cs="Times New Roman"/>
                <w:lang w:eastAsia="zh-CN"/>
              </w:rPr>
              <w:t>，</w:t>
            </w:r>
            <w:r>
              <w:rPr>
                <w:rFonts w:hint="default" w:ascii="Times New Roman" w:hAnsi="Times New Roman" w:cs="Times New Roman"/>
              </w:rPr>
              <w:t>电磁环境影响评价范围为：站界外</w:t>
            </w:r>
            <w:r>
              <w:rPr>
                <w:rFonts w:hint="default" w:ascii="Times New Roman" w:hAnsi="Times New Roman" w:cs="Times New Roman"/>
                <w:lang w:val="en-US" w:eastAsia="zh-CN"/>
              </w:rPr>
              <w:t>3</w:t>
            </w:r>
            <w:r>
              <w:rPr>
                <w:rFonts w:hint="default" w:ascii="Times New Roman" w:hAnsi="Times New Roman" w:cs="Times New Roman"/>
              </w:rPr>
              <w:t>0m。</w:t>
            </w:r>
          </w:p>
          <w:p>
            <w:pPr>
              <w:ind w:firstLine="482"/>
              <w:rPr>
                <w:rFonts w:hint="default" w:ascii="Times New Roman" w:hAnsi="Times New Roman" w:cs="Times New Roman"/>
              </w:rPr>
            </w:pPr>
            <w:r>
              <w:rPr>
                <w:rFonts w:hint="default" w:ascii="Times New Roman" w:hAnsi="Times New Roman" w:cs="Times New Roman"/>
              </w:rPr>
              <w:t>（2）声环境</w:t>
            </w:r>
          </w:p>
          <w:p>
            <w:pPr>
              <w:ind w:firstLine="480"/>
              <w:rPr>
                <w:rFonts w:hint="default" w:ascii="Times New Roman" w:hAnsi="Times New Roman" w:cs="Times New Roman"/>
              </w:rPr>
            </w:pPr>
            <w:r>
              <w:rPr>
                <w:rFonts w:hint="default" w:ascii="Times New Roman" w:hAnsi="Times New Roman" w:cs="Times New Roman"/>
              </w:rPr>
              <w:t>根据《环境影响评价技术导则  声环境》（HJ 2.4-20</w:t>
            </w:r>
            <w:r>
              <w:rPr>
                <w:rFonts w:hint="eastAsia" w:cs="Times New Roman"/>
                <w:lang w:val="en-US" w:eastAsia="zh-CN"/>
              </w:rPr>
              <w:t>21</w:t>
            </w:r>
            <w:r>
              <w:rPr>
                <w:rFonts w:hint="default" w:ascii="Times New Roman" w:hAnsi="Times New Roman" w:cs="Times New Roman"/>
              </w:rPr>
              <w:t>）中评价等级划分，建设项目所处的声环境功能区为《声环境质量标准》（GB 3096-2008）规定的1类、2类地区，按二级评价。本项目所处声环境功能区为</w:t>
            </w:r>
            <w:r>
              <w:rPr>
                <w:rFonts w:hint="default" w:ascii="Times New Roman" w:hAnsi="Times New Roman" w:cs="Times New Roman"/>
                <w:lang w:val="en-US" w:eastAsia="zh-CN"/>
              </w:rPr>
              <w:t>1</w:t>
            </w:r>
            <w:r>
              <w:rPr>
                <w:rFonts w:hint="default" w:ascii="Times New Roman" w:hAnsi="Times New Roman" w:cs="Times New Roman"/>
              </w:rPr>
              <w:t>类地区，按二级进行评价</w:t>
            </w:r>
            <w:r>
              <w:rPr>
                <w:rFonts w:hint="eastAsia" w:cs="Times New Roman"/>
                <w:lang w:eastAsia="zh-CN"/>
              </w:rPr>
              <w:t>，</w:t>
            </w:r>
            <w:r>
              <w:rPr>
                <w:rFonts w:hint="default" w:ascii="Times New Roman" w:hAnsi="Times New Roman" w:cs="Times New Roman"/>
                <w:lang w:val="en-US" w:eastAsia="zh-CN"/>
              </w:rPr>
              <w:t>声</w:t>
            </w:r>
            <w:r>
              <w:rPr>
                <w:rFonts w:hint="default" w:ascii="Times New Roman" w:hAnsi="Times New Roman" w:cs="Times New Roman"/>
              </w:rPr>
              <w:t>环境影响评价范围为：站界外</w:t>
            </w:r>
            <w:r>
              <w:rPr>
                <w:rFonts w:hint="default" w:ascii="Times New Roman" w:hAnsi="Times New Roman" w:cs="Times New Roman"/>
                <w:lang w:val="en-US" w:eastAsia="zh-CN"/>
              </w:rPr>
              <w:t>20</w:t>
            </w:r>
            <w:r>
              <w:rPr>
                <w:rFonts w:hint="default" w:ascii="Times New Roman" w:hAnsi="Times New Roman" w:cs="Times New Roman"/>
              </w:rPr>
              <w:t>0m。</w:t>
            </w:r>
          </w:p>
          <w:p>
            <w:pPr>
              <w:ind w:firstLine="482"/>
              <w:rPr>
                <w:rFonts w:hint="default" w:ascii="Times New Roman" w:hAnsi="Times New Roman" w:cs="Times New Roman"/>
              </w:rPr>
            </w:pPr>
            <w:r>
              <w:rPr>
                <w:rFonts w:hint="default" w:ascii="Times New Roman" w:hAnsi="Times New Roman" w:cs="Times New Roman"/>
              </w:rPr>
              <w:t>（3）生态环境</w:t>
            </w:r>
          </w:p>
          <w:p>
            <w:pPr>
              <w:ind w:firstLine="480"/>
              <w:rPr>
                <w:rFonts w:hint="default" w:ascii="Times New Roman" w:hAnsi="Times New Roman" w:cs="Times New Roman"/>
                <w:lang w:val="en-US" w:eastAsia="zh-CN"/>
              </w:rPr>
            </w:pPr>
            <w:r>
              <w:rPr>
                <w:rFonts w:hint="default" w:ascii="Times New Roman" w:hAnsi="Times New Roman" w:cs="Times New Roman"/>
              </w:rPr>
              <w:t>根据《环境影响评价技术导则  生态影响》（HJ19-20</w:t>
            </w:r>
            <w:r>
              <w:rPr>
                <w:rFonts w:hint="default" w:ascii="Times New Roman" w:hAnsi="Times New Roman" w:cs="Times New Roman"/>
                <w:lang w:val="en-US" w:eastAsia="zh-CN"/>
              </w:rPr>
              <w:t>22</w:t>
            </w:r>
            <w:r>
              <w:rPr>
                <w:rFonts w:hint="default" w:ascii="Times New Roman" w:hAnsi="Times New Roman" w:cs="Times New Roman"/>
              </w:rPr>
              <w:t>）</w:t>
            </w:r>
            <w:r>
              <w:rPr>
                <w:rFonts w:hint="default" w:ascii="Times New Roman" w:hAnsi="Times New Roman" w:cs="Times New Roman"/>
                <w:lang w:eastAsia="zh-CN"/>
              </w:rPr>
              <w:t>，</w:t>
            </w:r>
            <w:r>
              <w:rPr>
                <w:rFonts w:hint="eastAsia" w:cs="Times New Roman"/>
                <w:lang w:val="en-US" w:eastAsia="zh-CN"/>
              </w:rPr>
              <w:t>本升压站为预制舱式升压站，土建活动较少，工程不涉及生态敏感区，可不确定评价等级，直接进行生态影响简单分析。分析范围包括项目</w:t>
            </w:r>
            <w:r>
              <w:rPr>
                <w:rFonts w:hint="eastAsia" w:ascii="Times New Roman" w:hAnsi="Times New Roman" w:cs="Times New Roman"/>
                <w:lang w:val="en-US" w:eastAsia="zh-CN"/>
              </w:rPr>
              <w:t>占用区域</w:t>
            </w:r>
            <w:r>
              <w:rPr>
                <w:rFonts w:hint="eastAsia" w:cs="Times New Roman"/>
                <w:lang w:val="en-US" w:eastAsia="zh-CN"/>
              </w:rPr>
              <w:t>及</w:t>
            </w:r>
            <w:r>
              <w:rPr>
                <w:rFonts w:hint="default" w:ascii="Times New Roman" w:hAnsi="Times New Roman" w:cs="Times New Roman"/>
              </w:rPr>
              <w:t>站界外500m。</w:t>
            </w:r>
          </w:p>
          <w:p>
            <w:pPr>
              <w:ind w:firstLine="0" w:firstLineChars="0"/>
              <w:rPr>
                <w:rFonts w:hint="default" w:ascii="Times New Roman" w:hAnsi="Times New Roman" w:cs="Times New Roman"/>
                <w:b/>
                <w:bCs/>
              </w:rPr>
            </w:pPr>
            <w:r>
              <w:rPr>
                <w:rFonts w:hint="eastAsia" w:cs="Times New Roman"/>
                <w:b/>
                <w:bCs/>
                <w:lang w:val="en-US" w:eastAsia="zh-CN"/>
              </w:rPr>
              <w:t>2</w:t>
            </w:r>
            <w:r>
              <w:rPr>
                <w:rFonts w:hint="default" w:ascii="Times New Roman" w:hAnsi="Times New Roman" w:cs="Times New Roman"/>
                <w:b/>
                <w:bCs/>
              </w:rPr>
              <w:t>、环境敏感目标</w:t>
            </w:r>
          </w:p>
          <w:p>
            <w:pPr>
              <w:ind w:firstLine="480"/>
              <w:rPr>
                <w:rFonts w:hint="default" w:ascii="Times New Roman" w:hAnsi="Times New Roman" w:cs="Times New Roman"/>
              </w:rPr>
            </w:pPr>
            <w:r>
              <w:rPr>
                <w:rFonts w:hint="default" w:ascii="Times New Roman" w:hAnsi="Times New Roman" w:cs="Times New Roman"/>
              </w:rPr>
              <w:t>（1）生态环境保护目标</w:t>
            </w:r>
          </w:p>
          <w:p>
            <w:pPr>
              <w:ind w:firstLine="480"/>
              <w:rPr>
                <w:rFonts w:hint="default" w:ascii="Times New Roman" w:hAnsi="Times New Roman" w:cs="Times New Roman"/>
              </w:rPr>
            </w:pPr>
            <w:r>
              <w:rPr>
                <w:rFonts w:hint="default" w:ascii="Times New Roman" w:hAnsi="Times New Roman" w:cs="Times New Roman"/>
              </w:rPr>
              <w:t>根据现场调查，工程不涉及《建设项目环境影响评价分类管理名录》（2021年版）中输变电工程类别中所列环境敏感区（国家公园、自然保护区、风景名胜区、世界文化和自然遗产地、海洋特别保护区、饮用水水源保护区及以居住、医疗卫生、文化教育、科研、行政办公等为主要功能的区域）</w:t>
            </w:r>
            <w:r>
              <w:rPr>
                <w:rFonts w:hint="default" w:ascii="Times New Roman" w:hAnsi="Times New Roman" w:cs="Times New Roman"/>
                <w:highlight w:val="none"/>
              </w:rPr>
              <w:t>；工程不涉及《环境影响评价技术导则  生态影响》（HJ19-20</w:t>
            </w:r>
            <w:r>
              <w:rPr>
                <w:rFonts w:hint="eastAsia" w:cs="Times New Roman"/>
                <w:highlight w:val="none"/>
                <w:lang w:val="en-US" w:eastAsia="zh-CN"/>
              </w:rPr>
              <w:t>22</w:t>
            </w:r>
            <w:r>
              <w:rPr>
                <w:rFonts w:hint="default" w:ascii="Times New Roman" w:hAnsi="Times New Roman" w:cs="Times New Roman"/>
                <w:highlight w:val="none"/>
              </w:rPr>
              <w:t>）中规定的生态敏感区。</w:t>
            </w:r>
          </w:p>
          <w:p>
            <w:pPr>
              <w:ind w:firstLine="480"/>
              <w:rPr>
                <w:rFonts w:hint="default" w:ascii="Times New Roman" w:hAnsi="Times New Roman" w:cs="Times New Roman"/>
              </w:rPr>
            </w:pPr>
            <w:r>
              <w:rPr>
                <w:rFonts w:hint="default" w:ascii="Times New Roman" w:hAnsi="Times New Roman" w:cs="Times New Roman"/>
              </w:rPr>
              <w:t>（2）电磁环境敏感目标</w:t>
            </w:r>
          </w:p>
          <w:p>
            <w:pPr>
              <w:ind w:firstLine="480"/>
              <w:rPr>
                <w:rFonts w:hint="default" w:ascii="Times New Roman" w:hAnsi="Times New Roman" w:cs="Times New Roman"/>
              </w:rPr>
            </w:pPr>
            <w:r>
              <w:rPr>
                <w:rFonts w:hint="default" w:ascii="Times New Roman" w:hAnsi="Times New Roman" w:cs="Times New Roman"/>
              </w:rPr>
              <w:t>根据现场踏勘，距离本项目升压站最近的建筑物为站址</w:t>
            </w:r>
            <w:r>
              <w:rPr>
                <w:rFonts w:hint="default" w:ascii="Times New Roman" w:hAnsi="Times New Roman" w:cs="Times New Roman"/>
                <w:lang w:val="en-US" w:eastAsia="zh-CN"/>
              </w:rPr>
              <w:t>东南385</w:t>
            </w:r>
            <w:r>
              <w:rPr>
                <w:rFonts w:hint="default" w:ascii="Times New Roman" w:hAnsi="Times New Roman" w:cs="Times New Roman"/>
              </w:rPr>
              <w:t>m处的</w:t>
            </w:r>
            <w:r>
              <w:rPr>
                <w:rFonts w:hint="default" w:ascii="Times New Roman" w:hAnsi="Times New Roman" w:cs="Times New Roman"/>
                <w:lang w:val="en-US" w:eastAsia="zh-CN"/>
              </w:rPr>
              <w:t>瓦窑庄</w:t>
            </w:r>
            <w:r>
              <w:rPr>
                <w:rFonts w:hint="default" w:ascii="Times New Roman" w:hAnsi="Times New Roman" w:cs="Times New Roman"/>
              </w:rPr>
              <w:t>，不在本项目电磁环境评价范围内，因此本项目不设置电磁环境保护目标。</w:t>
            </w:r>
          </w:p>
          <w:p>
            <w:pPr>
              <w:ind w:firstLine="480"/>
              <w:rPr>
                <w:rFonts w:hint="default" w:ascii="Times New Roman" w:hAnsi="Times New Roman" w:cs="Times New Roman"/>
              </w:rPr>
            </w:pPr>
            <w:r>
              <w:rPr>
                <w:rFonts w:hint="default" w:ascii="Times New Roman" w:hAnsi="Times New Roman" w:cs="Times New Roman"/>
              </w:rPr>
              <w:t>（3）声环境敏感目标</w:t>
            </w:r>
          </w:p>
          <w:p>
            <w:pPr>
              <w:ind w:firstLine="480"/>
              <w:rPr>
                <w:rFonts w:hint="default" w:ascii="Times New Roman" w:hAnsi="Times New Roman" w:cs="Times New Roman"/>
                <w:lang w:val="en-US" w:eastAsia="zh-CN"/>
              </w:rPr>
            </w:pPr>
            <w:r>
              <w:rPr>
                <w:rFonts w:hint="default" w:ascii="Times New Roman" w:hAnsi="Times New Roman" w:cs="Times New Roman"/>
              </w:rPr>
              <w:t>根据现场踏勘，距离本项目升压站最近的建筑物为站址</w:t>
            </w:r>
            <w:r>
              <w:rPr>
                <w:rFonts w:hint="default" w:ascii="Times New Roman" w:hAnsi="Times New Roman" w:cs="Times New Roman"/>
                <w:lang w:val="en-US" w:eastAsia="zh-CN"/>
              </w:rPr>
              <w:t>东南385</w:t>
            </w:r>
            <w:r>
              <w:rPr>
                <w:rFonts w:hint="default" w:ascii="Times New Roman" w:hAnsi="Times New Roman" w:cs="Times New Roman"/>
              </w:rPr>
              <w:t>m处的</w:t>
            </w:r>
            <w:r>
              <w:rPr>
                <w:rFonts w:hint="default" w:ascii="Times New Roman" w:hAnsi="Times New Roman" w:cs="Times New Roman"/>
                <w:lang w:val="en-US" w:eastAsia="zh-CN"/>
              </w:rPr>
              <w:t>瓦窑庄</w:t>
            </w:r>
            <w:r>
              <w:rPr>
                <w:rFonts w:hint="default" w:ascii="Times New Roman" w:hAnsi="Times New Roman" w:cs="Times New Roman"/>
              </w:rPr>
              <w:t>，不在本项目声环境评价范围内，因此本项目不设置声环境保护目标。</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1268" w:hRule="atLeast"/>
          <w:jc w:val="center"/>
        </w:trPr>
        <w:tc>
          <w:tcPr>
            <w:tcW w:w="407" w:type="pct"/>
            <w:vAlign w:val="center"/>
          </w:tcPr>
          <w:p>
            <w:pPr>
              <w:adjustRightInd w:val="0"/>
              <w:snapToGrid w:val="0"/>
              <w:spacing w:line="240" w:lineRule="auto"/>
              <w:ind w:firstLine="0" w:firstLineChars="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评价</w:t>
            </w:r>
          </w:p>
          <w:p>
            <w:pPr>
              <w:adjustRightInd w:val="0"/>
              <w:snapToGrid w:val="0"/>
              <w:spacing w:line="240" w:lineRule="auto"/>
              <w:ind w:firstLine="0" w:firstLineChars="0"/>
              <w:jc w:val="center"/>
              <w:rPr>
                <w:rFonts w:hint="default" w:ascii="Times New Roman" w:hAnsi="Times New Roman" w:cs="Times New Roman" w:eastAsiaTheme="minorEastAsia"/>
                <w:color w:val="0000FF"/>
                <w:kern w:val="0"/>
                <w:sz w:val="24"/>
                <w:szCs w:val="21"/>
                <w:lang w:val="en-US" w:eastAsia="zh-CN" w:bidi="ar-SA"/>
              </w:rPr>
            </w:pPr>
            <w:r>
              <w:rPr>
                <w:rFonts w:hint="default" w:ascii="Times New Roman" w:hAnsi="Times New Roman" w:cs="Times New Roman"/>
                <w:color w:val="auto"/>
                <w:kern w:val="0"/>
                <w:szCs w:val="21"/>
              </w:rPr>
              <w:t>标准</w:t>
            </w:r>
          </w:p>
        </w:tc>
        <w:tc>
          <w:tcPr>
            <w:tcW w:w="4592" w:type="pct"/>
            <w:vAlign w:val="center"/>
          </w:tcPr>
          <w:p>
            <w:pPr>
              <w:ind w:firstLine="0" w:firstLineChars="0"/>
              <w:rPr>
                <w:rFonts w:hint="default" w:ascii="Times New Roman" w:hAnsi="Times New Roman" w:cs="Times New Roman"/>
                <w:b/>
                <w:bCs/>
              </w:rPr>
            </w:pPr>
            <w:r>
              <w:rPr>
                <w:rFonts w:hint="default" w:ascii="Times New Roman" w:hAnsi="Times New Roman" w:cs="Times New Roman"/>
                <w:b/>
                <w:bCs/>
              </w:rPr>
              <w:t>1、环境质量标准</w:t>
            </w:r>
          </w:p>
          <w:p>
            <w:pPr>
              <w:ind w:firstLine="480"/>
              <w:rPr>
                <w:rFonts w:hint="default" w:ascii="Times New Roman" w:hAnsi="Times New Roman" w:cs="Times New Roman"/>
              </w:rPr>
            </w:pPr>
            <w:r>
              <w:rPr>
                <w:rFonts w:hint="default" w:ascii="Times New Roman" w:hAnsi="Times New Roman" w:cs="Times New Roman"/>
              </w:rPr>
              <w:t>电磁环境、声环境质量标准见下表。</w:t>
            </w:r>
          </w:p>
          <w:p>
            <w:pPr>
              <w:pStyle w:val="69"/>
              <w:keepNext w:val="0"/>
              <w:keepLines w:val="0"/>
              <w:pageBreakBefore w:val="0"/>
              <w:widowControl w:val="0"/>
              <w:kinsoku/>
              <w:wordWrap/>
              <w:overflowPunct/>
              <w:topLinePunct w:val="0"/>
              <w:autoSpaceDE/>
              <w:autoSpaceDN/>
              <w:bidi w:val="0"/>
              <w:spacing w:line="520" w:lineRule="exact"/>
              <w:textAlignment w:val="auto"/>
              <w:rPr>
                <w:rFonts w:hint="default" w:ascii="Times New Roman" w:hAnsi="Times New Roman" w:cs="Times New Roman"/>
              </w:rPr>
            </w:pPr>
            <w:r>
              <w:rPr>
                <w:rFonts w:hint="default" w:ascii="Times New Roman" w:hAnsi="Times New Roman" w:cs="Times New Roman"/>
              </w:rPr>
              <w:t xml:space="preserve">  电磁环境标准</w:t>
            </w:r>
          </w:p>
          <w:tbl>
            <w:tblPr>
              <w:tblStyle w:val="22"/>
              <w:tblW w:w="4998" w:type="pct"/>
              <w:jc w:val="center"/>
              <w:tblBorders>
                <w:top w:val="single" w:color="auto" w:sz="8" w:space="0"/>
                <w:left w:val="none" w:color="auto" w:sz="0" w:space="0"/>
                <w:bottom w:val="single" w:color="auto" w:sz="8" w:space="0"/>
                <w:right w:val="none" w:color="auto" w:sz="0" w:space="0"/>
                <w:insideH w:val="single" w:color="auto" w:sz="2" w:space="0"/>
                <w:insideV w:val="single" w:color="auto" w:sz="2" w:space="0"/>
              </w:tblBorders>
              <w:tblLayout w:type="fixed"/>
              <w:tblCellMar>
                <w:top w:w="0" w:type="dxa"/>
                <w:left w:w="108" w:type="dxa"/>
                <w:bottom w:w="0" w:type="dxa"/>
                <w:right w:w="108" w:type="dxa"/>
              </w:tblCellMar>
            </w:tblPr>
            <w:tblGrid>
              <w:gridCol w:w="2056"/>
              <w:gridCol w:w="2787"/>
              <w:gridCol w:w="3886"/>
            </w:tblGrid>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1177" w:type="pct"/>
                  <w:tcBorders>
                    <w:tl2br w:val="nil"/>
                    <w:tr2bl w:val="nil"/>
                  </w:tcBorders>
                  <w:vAlign w:val="center"/>
                </w:tcPr>
                <w:p>
                  <w:pPr>
                    <w:spacing w:line="320" w:lineRule="exact"/>
                    <w:ind w:firstLine="0" w:firstLineChars="0"/>
                    <w:jc w:val="center"/>
                    <w:rPr>
                      <w:rFonts w:hint="default" w:ascii="Times New Roman" w:hAnsi="Times New Roman" w:cs="Times New Roman"/>
                      <w:sz w:val="21"/>
                      <w:szCs w:val="21"/>
                    </w:rPr>
                  </w:pPr>
                  <w:r>
                    <w:rPr>
                      <w:rFonts w:hint="default" w:ascii="Times New Roman" w:hAnsi="Times New Roman" w:cs="Times New Roman"/>
                      <w:sz w:val="21"/>
                      <w:szCs w:val="21"/>
                    </w:rPr>
                    <w:t>项目</w:t>
                  </w:r>
                </w:p>
              </w:tc>
              <w:tc>
                <w:tcPr>
                  <w:tcW w:w="1596" w:type="pct"/>
                  <w:tcBorders>
                    <w:tl2br w:val="nil"/>
                    <w:tr2bl w:val="nil"/>
                  </w:tcBorders>
                  <w:vAlign w:val="center"/>
                </w:tcPr>
                <w:p>
                  <w:pPr>
                    <w:spacing w:line="320" w:lineRule="exact"/>
                    <w:ind w:firstLine="0" w:firstLineChars="0"/>
                    <w:jc w:val="center"/>
                    <w:rPr>
                      <w:rFonts w:hint="default" w:ascii="Times New Roman" w:hAnsi="Times New Roman" w:cs="Times New Roman"/>
                      <w:sz w:val="21"/>
                      <w:szCs w:val="21"/>
                    </w:rPr>
                  </w:pPr>
                  <w:r>
                    <w:rPr>
                      <w:rFonts w:hint="default" w:ascii="Times New Roman" w:hAnsi="Times New Roman" w:cs="Times New Roman"/>
                      <w:sz w:val="21"/>
                      <w:szCs w:val="21"/>
                    </w:rPr>
                    <w:t>标准限值</w:t>
                  </w:r>
                </w:p>
              </w:tc>
              <w:tc>
                <w:tcPr>
                  <w:tcW w:w="2225" w:type="pct"/>
                  <w:tcBorders>
                    <w:tl2br w:val="nil"/>
                    <w:tr2bl w:val="nil"/>
                  </w:tcBorders>
                  <w:vAlign w:val="center"/>
                </w:tcPr>
                <w:p>
                  <w:pPr>
                    <w:spacing w:line="320" w:lineRule="exact"/>
                    <w:ind w:firstLine="0" w:firstLineChars="0"/>
                    <w:jc w:val="center"/>
                    <w:rPr>
                      <w:rFonts w:hint="default" w:ascii="Times New Roman" w:hAnsi="Times New Roman" w:cs="Times New Roman"/>
                      <w:sz w:val="21"/>
                      <w:szCs w:val="21"/>
                    </w:rPr>
                  </w:pPr>
                  <w:r>
                    <w:rPr>
                      <w:rFonts w:hint="default" w:ascii="Times New Roman" w:hAnsi="Times New Roman" w:cs="Times New Roman"/>
                      <w:sz w:val="21"/>
                      <w:szCs w:val="21"/>
                    </w:rPr>
                    <w:t>标准来源</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1177" w:type="pct"/>
                  <w:tcBorders>
                    <w:tl2br w:val="nil"/>
                    <w:tr2bl w:val="nil"/>
                  </w:tcBorders>
                  <w:vAlign w:val="center"/>
                </w:tcPr>
                <w:p>
                  <w:pPr>
                    <w:spacing w:line="320" w:lineRule="exact"/>
                    <w:ind w:firstLine="0" w:firstLineChars="0"/>
                    <w:jc w:val="center"/>
                    <w:rPr>
                      <w:rFonts w:hint="default" w:ascii="Times New Roman" w:hAnsi="Times New Roman" w:cs="Times New Roman"/>
                      <w:sz w:val="21"/>
                      <w:szCs w:val="21"/>
                    </w:rPr>
                  </w:pPr>
                  <w:r>
                    <w:rPr>
                      <w:rFonts w:hint="default" w:ascii="Times New Roman" w:hAnsi="Times New Roman" w:cs="Times New Roman"/>
                      <w:sz w:val="21"/>
                      <w:szCs w:val="21"/>
                    </w:rPr>
                    <w:t>工频电场强度</w:t>
                  </w:r>
                </w:p>
              </w:tc>
              <w:tc>
                <w:tcPr>
                  <w:tcW w:w="1596" w:type="pct"/>
                  <w:tcBorders>
                    <w:tl2br w:val="nil"/>
                    <w:tr2bl w:val="nil"/>
                  </w:tcBorders>
                  <w:vAlign w:val="center"/>
                </w:tcPr>
                <w:p>
                  <w:pPr>
                    <w:spacing w:line="320" w:lineRule="exact"/>
                    <w:ind w:firstLine="0" w:firstLineChars="0"/>
                    <w:jc w:val="center"/>
                    <w:rPr>
                      <w:rFonts w:hint="default" w:ascii="Times New Roman" w:hAnsi="Times New Roman" w:cs="Times New Roman" w:eastAsiaTheme="minorEastAsia"/>
                      <w:sz w:val="21"/>
                      <w:szCs w:val="21"/>
                      <w:lang w:val="en-US" w:eastAsia="zh-CN"/>
                    </w:rPr>
                  </w:pPr>
                  <w:r>
                    <w:rPr>
                      <w:rFonts w:hint="eastAsia" w:cs="Times New Roman"/>
                      <w:sz w:val="21"/>
                      <w:szCs w:val="21"/>
                      <w:lang w:val="en-US" w:eastAsia="zh-CN"/>
                    </w:rPr>
                    <w:t>4000</w:t>
                  </w:r>
                  <w:r>
                    <w:rPr>
                      <w:rFonts w:eastAsia="宋体"/>
                      <w:snapToGrid w:val="0"/>
                      <w:color w:val="auto"/>
                      <w:kern w:val="16"/>
                      <w:sz w:val="21"/>
                      <w:szCs w:val="21"/>
                    </w:rPr>
                    <w:t>V/m</w:t>
                  </w:r>
                </w:p>
              </w:tc>
              <w:tc>
                <w:tcPr>
                  <w:tcW w:w="2225" w:type="pct"/>
                  <w:vMerge w:val="restart"/>
                  <w:tcBorders>
                    <w:tl2br w:val="nil"/>
                    <w:tr2bl w:val="nil"/>
                  </w:tcBorders>
                  <w:vAlign w:val="center"/>
                </w:tcPr>
                <w:p>
                  <w:pPr>
                    <w:spacing w:line="320" w:lineRule="exact"/>
                    <w:ind w:firstLine="0" w:firstLineChars="0"/>
                    <w:jc w:val="center"/>
                    <w:rPr>
                      <w:rFonts w:hint="default" w:ascii="Times New Roman" w:hAnsi="Times New Roman" w:cs="Times New Roman"/>
                      <w:sz w:val="21"/>
                      <w:szCs w:val="21"/>
                    </w:rPr>
                  </w:pPr>
                  <w:r>
                    <w:rPr>
                      <w:rFonts w:hint="default" w:ascii="Times New Roman" w:hAnsi="Times New Roman" w:cs="Times New Roman"/>
                      <w:sz w:val="21"/>
                      <w:szCs w:val="21"/>
                    </w:rPr>
                    <w:t>《电磁环境控制限值》（GB8702-2014）</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1177" w:type="pct"/>
                  <w:tcBorders>
                    <w:tl2br w:val="nil"/>
                    <w:tr2bl w:val="nil"/>
                  </w:tcBorders>
                  <w:vAlign w:val="center"/>
                </w:tcPr>
                <w:p>
                  <w:pPr>
                    <w:spacing w:line="320" w:lineRule="exact"/>
                    <w:ind w:firstLine="0" w:firstLineChars="0"/>
                    <w:jc w:val="center"/>
                    <w:rPr>
                      <w:rFonts w:hint="default" w:ascii="Times New Roman" w:hAnsi="Times New Roman" w:cs="Times New Roman"/>
                    </w:rPr>
                  </w:pPr>
                  <w:r>
                    <w:rPr>
                      <w:rFonts w:hint="default" w:ascii="Times New Roman" w:hAnsi="Times New Roman" w:cs="Times New Roman"/>
                      <w:sz w:val="21"/>
                      <w:szCs w:val="21"/>
                    </w:rPr>
                    <w:t>工频磁感应强度</w:t>
                  </w:r>
                </w:p>
              </w:tc>
              <w:tc>
                <w:tcPr>
                  <w:tcW w:w="1596" w:type="pct"/>
                  <w:tcBorders>
                    <w:tl2br w:val="nil"/>
                    <w:tr2bl w:val="nil"/>
                  </w:tcBorders>
                  <w:vAlign w:val="center"/>
                </w:tcPr>
                <w:p>
                  <w:pPr>
                    <w:spacing w:line="320" w:lineRule="exact"/>
                    <w:ind w:firstLine="0" w:firstLineChars="0"/>
                    <w:jc w:val="center"/>
                    <w:rPr>
                      <w:rFonts w:hint="default" w:ascii="Times New Roman" w:hAnsi="Times New Roman" w:cs="Times New Roman" w:eastAsiaTheme="minorEastAsia"/>
                      <w:sz w:val="21"/>
                      <w:szCs w:val="21"/>
                      <w:lang w:val="en-US" w:eastAsia="zh-CN"/>
                    </w:rPr>
                  </w:pPr>
                  <w:r>
                    <w:rPr>
                      <w:rFonts w:hint="eastAsia" w:cs="Times New Roman"/>
                      <w:sz w:val="21"/>
                      <w:szCs w:val="21"/>
                      <w:lang w:val="en-US" w:eastAsia="zh-CN"/>
                    </w:rPr>
                    <w:t>100</w:t>
                  </w:r>
                  <w:r>
                    <w:rPr>
                      <w:rFonts w:eastAsia="宋体"/>
                      <w:snapToGrid w:val="0"/>
                      <w:color w:val="auto"/>
                      <w:kern w:val="16"/>
                      <w:sz w:val="21"/>
                      <w:szCs w:val="21"/>
                    </w:rPr>
                    <w:t>μT</w:t>
                  </w:r>
                </w:p>
              </w:tc>
              <w:tc>
                <w:tcPr>
                  <w:tcW w:w="2225" w:type="pct"/>
                  <w:vMerge w:val="continue"/>
                  <w:tcBorders>
                    <w:tl2br w:val="nil"/>
                    <w:tr2bl w:val="nil"/>
                  </w:tcBorders>
                  <w:vAlign w:val="center"/>
                </w:tcPr>
                <w:p>
                  <w:pPr>
                    <w:spacing w:line="320" w:lineRule="exact"/>
                    <w:ind w:firstLine="0" w:firstLineChars="0"/>
                    <w:jc w:val="center"/>
                    <w:rPr>
                      <w:rFonts w:hint="default" w:ascii="Times New Roman" w:hAnsi="Times New Roman" w:cs="Times New Roman"/>
                    </w:rPr>
                  </w:pP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1177" w:type="pct"/>
                  <w:tcBorders>
                    <w:tl2br w:val="nil"/>
                    <w:tr2bl w:val="nil"/>
                  </w:tcBorders>
                  <w:vAlign w:val="center"/>
                </w:tcPr>
                <w:p>
                  <w:pPr>
                    <w:spacing w:line="320" w:lineRule="exact"/>
                    <w:ind w:firstLine="0" w:firstLineChars="0"/>
                    <w:jc w:val="center"/>
                    <w:rPr>
                      <w:rFonts w:hint="default" w:cs="Times New Roman"/>
                      <w:b w:val="0"/>
                      <w:bCs w:val="0"/>
                      <w:sz w:val="21"/>
                      <w:szCs w:val="21"/>
                      <w:highlight w:val="none"/>
                      <w:u w:val="none"/>
                      <w:lang w:val="en-US" w:eastAsia="zh-CN"/>
                    </w:rPr>
                  </w:pPr>
                  <w:r>
                    <w:rPr>
                      <w:rFonts w:hint="eastAsia" w:cs="Times New Roman"/>
                      <w:b w:val="0"/>
                      <w:bCs w:val="0"/>
                      <w:sz w:val="21"/>
                      <w:szCs w:val="21"/>
                      <w:highlight w:val="none"/>
                      <w:u w:val="none"/>
                      <w:lang w:val="en-US" w:eastAsia="zh-CN"/>
                    </w:rPr>
                    <w:t>合成电场强度</w:t>
                  </w:r>
                </w:p>
              </w:tc>
              <w:tc>
                <w:tcPr>
                  <w:tcW w:w="1596" w:type="pct"/>
                  <w:tcBorders>
                    <w:tl2br w:val="nil"/>
                    <w:tr2bl w:val="nil"/>
                  </w:tcBorders>
                  <w:vAlign w:val="center"/>
                </w:tcPr>
                <w:p>
                  <w:pPr>
                    <w:spacing w:line="320" w:lineRule="exact"/>
                    <w:ind w:firstLine="0" w:firstLineChars="0"/>
                    <w:jc w:val="center"/>
                    <w:rPr>
                      <w:rFonts w:hint="eastAsia" w:cs="Times New Roman"/>
                      <w:b w:val="0"/>
                      <w:bCs w:val="0"/>
                      <w:sz w:val="21"/>
                      <w:szCs w:val="21"/>
                      <w:highlight w:val="none"/>
                      <w:u w:val="none"/>
                      <w:lang w:val="en-US" w:eastAsia="zh-CN"/>
                    </w:rPr>
                  </w:pPr>
                  <w:r>
                    <w:rPr>
                      <w:rFonts w:hint="default" w:cs="Times New Roman"/>
                      <w:b w:val="0"/>
                      <w:bCs w:val="0"/>
                      <w:sz w:val="21"/>
                      <w:szCs w:val="21"/>
                      <w:highlight w:val="none"/>
                      <w:u w:val="none"/>
                      <w:lang w:val="en-US" w:eastAsia="zh-CN"/>
                    </w:rPr>
                    <w:t>E</w:t>
                  </w:r>
                  <w:r>
                    <w:rPr>
                      <w:rFonts w:hint="default" w:cs="Times New Roman"/>
                      <w:b w:val="0"/>
                      <w:bCs w:val="0"/>
                      <w:sz w:val="21"/>
                      <w:szCs w:val="21"/>
                      <w:highlight w:val="none"/>
                      <w:u w:val="none"/>
                      <w:vertAlign w:val="subscript"/>
                      <w:lang w:val="en-US" w:eastAsia="zh-CN"/>
                    </w:rPr>
                    <w:t>95</w:t>
                  </w:r>
                  <w:r>
                    <w:rPr>
                      <w:rFonts w:hint="eastAsia" w:cs="Times New Roman"/>
                      <w:b w:val="0"/>
                      <w:bCs w:val="0"/>
                      <w:sz w:val="21"/>
                      <w:szCs w:val="21"/>
                      <w:highlight w:val="none"/>
                      <w:u w:val="none"/>
                      <w:lang w:val="en-US" w:eastAsia="zh-CN"/>
                    </w:rPr>
                    <w:t>的限值为</w:t>
                  </w:r>
                  <w:r>
                    <w:rPr>
                      <w:rFonts w:hint="default" w:cs="Times New Roman"/>
                      <w:b w:val="0"/>
                      <w:bCs w:val="0"/>
                      <w:sz w:val="21"/>
                      <w:szCs w:val="21"/>
                      <w:highlight w:val="none"/>
                      <w:u w:val="none"/>
                      <w:lang w:val="en-US" w:eastAsia="zh-CN"/>
                    </w:rPr>
                    <w:t>25kV/m</w:t>
                  </w:r>
                  <w:r>
                    <w:rPr>
                      <w:rFonts w:hint="eastAsia" w:cs="Times New Roman"/>
                      <w:b w:val="0"/>
                      <w:bCs w:val="0"/>
                      <w:sz w:val="21"/>
                      <w:szCs w:val="21"/>
                      <w:highlight w:val="none"/>
                      <w:u w:val="none"/>
                      <w:lang w:val="en-US" w:eastAsia="zh-CN"/>
                    </w:rPr>
                    <w:t>，且</w:t>
                  </w:r>
                  <w:r>
                    <w:rPr>
                      <w:rFonts w:hint="default" w:cs="Times New Roman"/>
                      <w:b w:val="0"/>
                      <w:bCs w:val="0"/>
                      <w:sz w:val="21"/>
                      <w:szCs w:val="21"/>
                      <w:highlight w:val="none"/>
                      <w:u w:val="none"/>
                      <w:lang w:val="en-US" w:eastAsia="zh-CN"/>
                    </w:rPr>
                    <w:t>E</w:t>
                  </w:r>
                  <w:r>
                    <w:rPr>
                      <w:rFonts w:hint="default" w:cs="Times New Roman"/>
                      <w:b w:val="0"/>
                      <w:bCs w:val="0"/>
                      <w:sz w:val="21"/>
                      <w:szCs w:val="21"/>
                      <w:highlight w:val="none"/>
                      <w:u w:val="none"/>
                      <w:vertAlign w:val="subscript"/>
                      <w:lang w:val="en-US" w:eastAsia="zh-CN"/>
                    </w:rPr>
                    <w:t>80</w:t>
                  </w:r>
                  <w:r>
                    <w:rPr>
                      <w:rFonts w:hint="eastAsia" w:cs="Times New Roman"/>
                      <w:b w:val="0"/>
                      <w:bCs w:val="0"/>
                      <w:sz w:val="21"/>
                      <w:szCs w:val="21"/>
                      <w:highlight w:val="none"/>
                      <w:u w:val="none"/>
                      <w:lang w:val="en-US" w:eastAsia="zh-CN"/>
                    </w:rPr>
                    <w:t>的限值为</w:t>
                  </w:r>
                  <w:r>
                    <w:rPr>
                      <w:rFonts w:hint="default" w:cs="Times New Roman"/>
                      <w:b w:val="0"/>
                      <w:bCs w:val="0"/>
                      <w:sz w:val="21"/>
                      <w:szCs w:val="21"/>
                      <w:highlight w:val="none"/>
                      <w:u w:val="none"/>
                      <w:lang w:val="en-US" w:eastAsia="zh-CN"/>
                    </w:rPr>
                    <w:t>15kV/m</w:t>
                  </w:r>
                </w:p>
              </w:tc>
              <w:tc>
                <w:tcPr>
                  <w:tcW w:w="2225" w:type="pct"/>
                  <w:tcBorders>
                    <w:tl2br w:val="nil"/>
                    <w:tr2bl w:val="nil"/>
                  </w:tcBorders>
                  <w:vAlign w:val="center"/>
                </w:tcPr>
                <w:p>
                  <w:pPr>
                    <w:spacing w:line="320" w:lineRule="exact"/>
                    <w:ind w:firstLine="0" w:firstLineChars="0"/>
                    <w:jc w:val="center"/>
                    <w:rPr>
                      <w:rFonts w:hint="default" w:ascii="Times New Roman" w:hAnsi="Times New Roman" w:cs="Times New Roman"/>
                      <w:b w:val="0"/>
                      <w:bCs w:val="0"/>
                      <w:highlight w:val="none"/>
                      <w:u w:val="none"/>
                    </w:rPr>
                  </w:pPr>
                  <w:r>
                    <w:rPr>
                      <w:rFonts w:hint="eastAsia" w:cs="Times New Roman"/>
                      <w:b w:val="0"/>
                      <w:bCs w:val="0"/>
                      <w:sz w:val="21"/>
                      <w:szCs w:val="21"/>
                      <w:highlight w:val="none"/>
                      <w:u w:val="none"/>
                      <w:lang w:eastAsia="zh-CN"/>
                    </w:rPr>
                    <w:t>《</w:t>
                  </w:r>
                  <w:r>
                    <w:rPr>
                      <w:rFonts w:hint="default" w:ascii="Times New Roman" w:hAnsi="Times New Roman" w:cs="Times New Roman"/>
                      <w:b w:val="0"/>
                      <w:bCs w:val="0"/>
                      <w:sz w:val="21"/>
                      <w:szCs w:val="21"/>
                      <w:highlight w:val="none"/>
                      <w:u w:val="none"/>
                    </w:rPr>
                    <w:t>直流输电工程合成电场限值及其监测方法</w:t>
                  </w:r>
                  <w:r>
                    <w:rPr>
                      <w:rFonts w:hint="eastAsia" w:cs="Times New Roman"/>
                      <w:b w:val="0"/>
                      <w:bCs w:val="0"/>
                      <w:sz w:val="21"/>
                      <w:szCs w:val="21"/>
                      <w:highlight w:val="none"/>
                      <w:u w:val="none"/>
                      <w:lang w:eastAsia="zh-CN"/>
                    </w:rPr>
                    <w:t>》</w:t>
                  </w:r>
                  <w:r>
                    <w:rPr>
                      <w:rFonts w:hint="default" w:ascii="Times New Roman" w:hAnsi="Times New Roman" w:cs="Times New Roman"/>
                      <w:b w:val="0"/>
                      <w:bCs w:val="0"/>
                      <w:sz w:val="21"/>
                      <w:szCs w:val="21"/>
                      <w:highlight w:val="none"/>
                      <w:u w:val="none"/>
                    </w:rPr>
                    <w:t>（GB 39220—2020）</w:t>
                  </w:r>
                </w:p>
              </w:tc>
            </w:tr>
          </w:tbl>
          <w:p>
            <w:pPr>
              <w:pStyle w:val="69"/>
              <w:keepNext w:val="0"/>
              <w:keepLines w:val="0"/>
              <w:pageBreakBefore w:val="0"/>
              <w:widowControl w:val="0"/>
              <w:kinsoku/>
              <w:wordWrap/>
              <w:overflowPunct/>
              <w:topLinePunct w:val="0"/>
              <w:autoSpaceDE/>
              <w:autoSpaceDN/>
              <w:bidi w:val="0"/>
              <w:spacing w:line="520" w:lineRule="exact"/>
              <w:textAlignment w:val="auto"/>
              <w:rPr>
                <w:rFonts w:hint="default" w:ascii="Times New Roman" w:hAnsi="Times New Roman" w:cs="Times New Roman"/>
              </w:rPr>
            </w:pPr>
            <w:r>
              <w:rPr>
                <w:rFonts w:hint="default" w:ascii="Times New Roman" w:hAnsi="Times New Roman" w:cs="Times New Roman"/>
              </w:rPr>
              <w:t xml:space="preserve">  声环境质量标准</w:t>
            </w:r>
          </w:p>
          <w:tbl>
            <w:tblPr>
              <w:tblStyle w:val="22"/>
              <w:tblW w:w="4998" w:type="pct"/>
              <w:tblInd w:w="0" w:type="dxa"/>
              <w:tblBorders>
                <w:top w:val="single" w:color="auto" w:sz="8" w:space="0"/>
                <w:left w:val="none" w:color="auto" w:sz="0" w:space="0"/>
                <w:bottom w:val="single" w:color="auto" w:sz="8" w:space="0"/>
                <w:right w:val="none" w:color="auto" w:sz="0" w:space="0"/>
                <w:insideH w:val="single" w:color="auto" w:sz="2" w:space="0"/>
                <w:insideV w:val="single" w:color="auto" w:sz="2" w:space="0"/>
              </w:tblBorders>
              <w:tblLayout w:type="fixed"/>
              <w:tblCellMar>
                <w:top w:w="0" w:type="dxa"/>
                <w:left w:w="51" w:type="dxa"/>
                <w:bottom w:w="0" w:type="dxa"/>
                <w:right w:w="51" w:type="dxa"/>
              </w:tblCellMar>
            </w:tblPr>
            <w:tblGrid>
              <w:gridCol w:w="1743"/>
              <w:gridCol w:w="2986"/>
              <w:gridCol w:w="4000"/>
            </w:tblGrid>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51" w:type="dxa"/>
                  <w:bottom w:w="0" w:type="dxa"/>
                  <w:right w:w="51" w:type="dxa"/>
                </w:tblCellMar>
              </w:tblPrEx>
              <w:trPr>
                <w:trHeight w:val="397" w:hRule="atLeast"/>
              </w:trPr>
              <w:tc>
                <w:tcPr>
                  <w:tcW w:w="998" w:type="pct"/>
                  <w:tcBorders>
                    <w:tl2br w:val="nil"/>
                    <w:tr2bl w:val="nil"/>
                  </w:tcBorders>
                  <w:vAlign w:val="center"/>
                </w:tcPr>
                <w:p>
                  <w:pPr>
                    <w:spacing w:line="320" w:lineRule="exact"/>
                    <w:ind w:firstLine="0" w:firstLineChars="0"/>
                    <w:jc w:val="center"/>
                    <w:rPr>
                      <w:rFonts w:hint="default" w:ascii="Times New Roman" w:hAnsi="Times New Roman" w:cs="Times New Roman"/>
                      <w:sz w:val="21"/>
                      <w:szCs w:val="21"/>
                    </w:rPr>
                  </w:pPr>
                  <w:r>
                    <w:rPr>
                      <w:rFonts w:hint="default" w:ascii="Times New Roman" w:hAnsi="Times New Roman" w:cs="Times New Roman"/>
                      <w:sz w:val="21"/>
                      <w:szCs w:val="21"/>
                    </w:rPr>
                    <w:t>项目</w:t>
                  </w:r>
                </w:p>
              </w:tc>
              <w:tc>
                <w:tcPr>
                  <w:tcW w:w="1710" w:type="pct"/>
                  <w:tcBorders>
                    <w:tl2br w:val="nil"/>
                    <w:tr2bl w:val="nil"/>
                  </w:tcBorders>
                  <w:vAlign w:val="center"/>
                </w:tcPr>
                <w:p>
                  <w:pPr>
                    <w:spacing w:line="320" w:lineRule="exact"/>
                    <w:ind w:firstLine="0" w:firstLineChars="0"/>
                    <w:jc w:val="center"/>
                    <w:rPr>
                      <w:rFonts w:hint="default" w:ascii="Times New Roman" w:hAnsi="Times New Roman" w:cs="Times New Roman"/>
                      <w:sz w:val="21"/>
                      <w:szCs w:val="21"/>
                    </w:rPr>
                  </w:pPr>
                  <w:r>
                    <w:rPr>
                      <w:rFonts w:hint="default" w:ascii="Times New Roman" w:hAnsi="Times New Roman" w:cs="Times New Roman"/>
                      <w:sz w:val="21"/>
                      <w:szCs w:val="21"/>
                    </w:rPr>
                    <w:t>标准限值</w:t>
                  </w:r>
                </w:p>
              </w:tc>
              <w:tc>
                <w:tcPr>
                  <w:tcW w:w="2290" w:type="pct"/>
                  <w:tcBorders>
                    <w:tl2br w:val="nil"/>
                    <w:tr2bl w:val="nil"/>
                  </w:tcBorders>
                  <w:vAlign w:val="center"/>
                </w:tcPr>
                <w:p>
                  <w:pPr>
                    <w:spacing w:line="320" w:lineRule="exact"/>
                    <w:ind w:firstLine="0" w:firstLineChars="0"/>
                    <w:jc w:val="center"/>
                    <w:rPr>
                      <w:rFonts w:hint="default" w:ascii="Times New Roman" w:hAnsi="Times New Roman" w:cs="Times New Roman"/>
                      <w:sz w:val="21"/>
                      <w:szCs w:val="21"/>
                    </w:rPr>
                  </w:pPr>
                  <w:r>
                    <w:rPr>
                      <w:rFonts w:hint="default" w:ascii="Times New Roman" w:hAnsi="Times New Roman" w:cs="Times New Roman"/>
                      <w:sz w:val="21"/>
                      <w:szCs w:val="21"/>
                    </w:rPr>
                    <w:t>标准来源</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51" w:type="dxa"/>
                  <w:bottom w:w="0" w:type="dxa"/>
                  <w:right w:w="51" w:type="dxa"/>
                </w:tblCellMar>
              </w:tblPrEx>
              <w:trPr>
                <w:trHeight w:val="397" w:hRule="atLeast"/>
              </w:trPr>
              <w:tc>
                <w:tcPr>
                  <w:tcW w:w="998" w:type="pct"/>
                  <w:tcBorders>
                    <w:tl2br w:val="nil"/>
                    <w:tr2bl w:val="nil"/>
                  </w:tcBorders>
                  <w:vAlign w:val="center"/>
                </w:tcPr>
                <w:p>
                  <w:pPr>
                    <w:spacing w:line="320" w:lineRule="exact"/>
                    <w:ind w:firstLine="0" w:firstLineChars="0"/>
                    <w:jc w:val="center"/>
                    <w:rPr>
                      <w:rFonts w:hint="default" w:ascii="Times New Roman" w:hAnsi="Times New Roman" w:cs="Times New Roman"/>
                      <w:sz w:val="21"/>
                      <w:szCs w:val="21"/>
                    </w:rPr>
                  </w:pPr>
                  <w:r>
                    <w:rPr>
                      <w:rFonts w:hint="default" w:ascii="Times New Roman" w:hAnsi="Times New Roman" w:cs="Times New Roman"/>
                      <w:sz w:val="21"/>
                      <w:szCs w:val="21"/>
                    </w:rPr>
                    <w:t>声环境质量标准</w:t>
                  </w:r>
                </w:p>
              </w:tc>
              <w:tc>
                <w:tcPr>
                  <w:tcW w:w="1710" w:type="pct"/>
                  <w:tcBorders>
                    <w:tl2br w:val="nil"/>
                    <w:tr2bl w:val="nil"/>
                  </w:tcBorders>
                  <w:vAlign w:val="center"/>
                </w:tcPr>
                <w:p>
                  <w:pPr>
                    <w:spacing w:line="320" w:lineRule="exact"/>
                    <w:ind w:firstLine="0" w:firstLineChars="0"/>
                    <w:jc w:val="center"/>
                    <w:rPr>
                      <w:rFonts w:hint="default" w:ascii="Times New Roman" w:hAnsi="Times New Roman" w:cs="Times New Roman"/>
                      <w:sz w:val="21"/>
                      <w:szCs w:val="21"/>
                    </w:rPr>
                  </w:pPr>
                  <w:r>
                    <w:rPr>
                      <w:rFonts w:hint="default" w:ascii="Times New Roman" w:hAnsi="Times New Roman" w:cs="Times New Roman"/>
                      <w:sz w:val="21"/>
                      <w:szCs w:val="21"/>
                    </w:rPr>
                    <w:t>昼间</w:t>
                  </w:r>
                  <w:r>
                    <w:rPr>
                      <w:rFonts w:hint="default" w:ascii="Times New Roman" w:hAnsi="Times New Roman" w:cs="Times New Roman"/>
                      <w:sz w:val="21"/>
                      <w:szCs w:val="21"/>
                      <w:lang w:val="en-US" w:eastAsia="zh-CN"/>
                    </w:rPr>
                    <w:t>55</w:t>
                  </w:r>
                  <w:r>
                    <w:rPr>
                      <w:rFonts w:hint="default" w:ascii="Times New Roman" w:hAnsi="Times New Roman" w:cs="Times New Roman"/>
                      <w:sz w:val="21"/>
                      <w:szCs w:val="21"/>
                    </w:rPr>
                    <w:t>dB(A)，夜间</w:t>
                  </w:r>
                  <w:r>
                    <w:rPr>
                      <w:rFonts w:hint="default" w:ascii="Times New Roman" w:hAnsi="Times New Roman" w:cs="Times New Roman"/>
                      <w:sz w:val="21"/>
                      <w:szCs w:val="21"/>
                      <w:lang w:val="en-US" w:eastAsia="zh-CN"/>
                    </w:rPr>
                    <w:t>45</w:t>
                  </w:r>
                  <w:r>
                    <w:rPr>
                      <w:rFonts w:hint="default" w:ascii="Times New Roman" w:hAnsi="Times New Roman" w:cs="Times New Roman"/>
                      <w:sz w:val="21"/>
                      <w:szCs w:val="21"/>
                    </w:rPr>
                    <w:t>dB(A)</w:t>
                  </w:r>
                </w:p>
              </w:tc>
              <w:tc>
                <w:tcPr>
                  <w:tcW w:w="2290" w:type="pct"/>
                  <w:tcBorders>
                    <w:tl2br w:val="nil"/>
                    <w:tr2bl w:val="nil"/>
                  </w:tcBorders>
                  <w:vAlign w:val="center"/>
                </w:tcPr>
                <w:p>
                  <w:pPr>
                    <w:spacing w:line="320" w:lineRule="exact"/>
                    <w:ind w:firstLine="0" w:firstLineChars="0"/>
                    <w:jc w:val="center"/>
                    <w:rPr>
                      <w:rFonts w:hint="default" w:ascii="Times New Roman" w:hAnsi="Times New Roman" w:cs="Times New Roman"/>
                      <w:sz w:val="21"/>
                      <w:szCs w:val="21"/>
                    </w:rPr>
                  </w:pPr>
                  <w:r>
                    <w:rPr>
                      <w:rFonts w:hint="default" w:ascii="Times New Roman" w:hAnsi="Times New Roman" w:cs="Times New Roman"/>
                      <w:sz w:val="21"/>
                      <w:szCs w:val="21"/>
                    </w:rPr>
                    <w:t>《声环境质量标准》（GB3096-2008）</w:t>
                  </w:r>
                  <w:r>
                    <w:rPr>
                      <w:rFonts w:hint="default" w:ascii="Times New Roman" w:hAnsi="Times New Roman" w:cs="Times New Roman"/>
                      <w:sz w:val="21"/>
                      <w:szCs w:val="21"/>
                      <w:lang w:val="en-US" w:eastAsia="zh-CN"/>
                    </w:rPr>
                    <w:t>1</w:t>
                  </w:r>
                  <w:r>
                    <w:rPr>
                      <w:rFonts w:hint="default" w:ascii="Times New Roman" w:hAnsi="Times New Roman" w:cs="Times New Roman"/>
                      <w:sz w:val="21"/>
                      <w:szCs w:val="21"/>
                    </w:rPr>
                    <w:t>类</w:t>
                  </w:r>
                </w:p>
              </w:tc>
            </w:tr>
          </w:tbl>
          <w:p>
            <w:pPr>
              <w:ind w:firstLine="0" w:firstLineChars="0"/>
              <w:rPr>
                <w:rFonts w:hint="default" w:ascii="Times New Roman" w:hAnsi="Times New Roman" w:cs="Times New Roman"/>
                <w:b/>
                <w:bCs/>
                <w:highlight w:val="none"/>
              </w:rPr>
            </w:pPr>
            <w:r>
              <w:rPr>
                <w:rFonts w:hint="default" w:ascii="Times New Roman" w:hAnsi="Times New Roman" w:cs="Times New Roman"/>
                <w:b/>
                <w:bCs/>
              </w:rPr>
              <w:t>2、</w:t>
            </w:r>
            <w:r>
              <w:rPr>
                <w:rFonts w:hint="default" w:ascii="Times New Roman" w:hAnsi="Times New Roman" w:cs="Times New Roman"/>
                <w:b/>
                <w:bCs/>
                <w:highlight w:val="none"/>
              </w:rPr>
              <w:t>污染物排放标准</w:t>
            </w:r>
          </w:p>
          <w:p>
            <w:pPr>
              <w:ind w:firstLine="480"/>
              <w:rPr>
                <w:rFonts w:hint="default" w:ascii="Times New Roman" w:hAnsi="Times New Roman" w:cs="Times New Roman"/>
                <w:highlight w:val="none"/>
              </w:rPr>
            </w:pPr>
            <w:r>
              <w:rPr>
                <w:rFonts w:hint="eastAsia" w:ascii="Times New Roman" w:hAnsi="Times New Roman" w:cs="Times New Roman"/>
                <w:highlight w:val="none"/>
                <w:lang w:val="en-US" w:eastAsia="zh-CN"/>
              </w:rPr>
              <w:t>污染物排放标准</w:t>
            </w:r>
            <w:r>
              <w:rPr>
                <w:rFonts w:hint="default" w:ascii="Times New Roman" w:hAnsi="Times New Roman" w:cs="Times New Roman"/>
                <w:highlight w:val="none"/>
              </w:rPr>
              <w:t>见下表。</w:t>
            </w:r>
          </w:p>
          <w:p>
            <w:pPr>
              <w:pStyle w:val="69"/>
              <w:keepNext w:val="0"/>
              <w:keepLines w:val="0"/>
              <w:pageBreakBefore w:val="0"/>
              <w:widowControl w:val="0"/>
              <w:kinsoku/>
              <w:wordWrap/>
              <w:overflowPunct/>
              <w:topLinePunct w:val="0"/>
              <w:autoSpaceDE/>
              <w:autoSpaceDN/>
              <w:bidi w:val="0"/>
              <w:spacing w:line="520" w:lineRule="exact"/>
              <w:textAlignment w:val="auto"/>
              <w:rPr>
                <w:rFonts w:hint="default" w:ascii="Times New Roman" w:hAnsi="Times New Roman" w:cs="Times New Roman"/>
                <w:highlight w:val="none"/>
              </w:rPr>
            </w:pPr>
            <w:r>
              <w:rPr>
                <w:rFonts w:hint="default" w:ascii="Times New Roman" w:hAnsi="Times New Roman" w:cs="Times New Roman"/>
                <w:highlight w:val="none"/>
              </w:rPr>
              <w:t xml:space="preserve">  </w:t>
            </w:r>
            <w:r>
              <w:rPr>
                <w:rFonts w:hint="eastAsia" w:cs="Times New Roman"/>
                <w:highlight w:val="none"/>
                <w:lang w:val="en-US" w:eastAsia="zh-CN"/>
              </w:rPr>
              <w:t>污染物</w:t>
            </w:r>
            <w:r>
              <w:rPr>
                <w:rFonts w:hint="default" w:ascii="Times New Roman" w:hAnsi="Times New Roman" w:cs="Times New Roman"/>
                <w:highlight w:val="none"/>
              </w:rPr>
              <w:t>排放标准</w:t>
            </w:r>
            <w:r>
              <w:rPr>
                <w:rFonts w:hint="eastAsia" w:cs="Times New Roman"/>
                <w:highlight w:val="none"/>
                <w:lang w:val="en-US" w:eastAsia="zh-CN"/>
              </w:rPr>
              <w:t>表</w:t>
            </w:r>
          </w:p>
          <w:tbl>
            <w:tblPr>
              <w:tblStyle w:val="22"/>
              <w:tblW w:w="4998" w:type="pct"/>
              <w:tblInd w:w="0" w:type="dxa"/>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57" w:type="dxa"/>
                <w:bottom w:w="0" w:type="dxa"/>
                <w:right w:w="57" w:type="dxa"/>
              </w:tblCellMar>
            </w:tblPr>
            <w:tblGrid>
              <w:gridCol w:w="742"/>
              <w:gridCol w:w="3735"/>
              <w:gridCol w:w="1537"/>
              <w:gridCol w:w="1292"/>
              <w:gridCol w:w="1423"/>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7" w:type="dxa"/>
                  <w:bottom w:w="0" w:type="dxa"/>
                  <w:right w:w="57" w:type="dxa"/>
                </w:tblCellMar>
              </w:tblPrEx>
              <w:trPr>
                <w:trHeight w:val="397" w:hRule="atLeast"/>
              </w:trPr>
              <w:tc>
                <w:tcPr>
                  <w:tcW w:w="425" w:type="pct"/>
                  <w:tcBorders>
                    <w:tl2br w:val="nil"/>
                    <w:tr2bl w:val="nil"/>
                  </w:tcBorders>
                  <w:noWrap w:val="0"/>
                  <w:vAlign w:val="center"/>
                </w:tcPr>
                <w:p>
                  <w:pPr>
                    <w:spacing w:line="320" w:lineRule="exact"/>
                    <w:ind w:firstLine="0" w:firstLineChars="0"/>
                    <w:jc w:val="center"/>
                    <w:rPr>
                      <w:rFonts w:hint="default" w:ascii="Times New Roman" w:hAnsi="Times New Roman" w:cs="Times New Roman"/>
                      <w:sz w:val="21"/>
                      <w:szCs w:val="21"/>
                      <w:highlight w:val="none"/>
                    </w:rPr>
                  </w:pPr>
                  <w:r>
                    <w:rPr>
                      <w:rFonts w:hint="default" w:ascii="Times New Roman" w:hAnsi="Times New Roman" w:cs="Times New Roman"/>
                      <w:sz w:val="21"/>
                      <w:szCs w:val="21"/>
                      <w:highlight w:val="none"/>
                    </w:rPr>
                    <w:t>环境要素</w:t>
                  </w:r>
                </w:p>
              </w:tc>
              <w:tc>
                <w:tcPr>
                  <w:tcW w:w="2139" w:type="pct"/>
                  <w:tcBorders>
                    <w:tl2br w:val="nil"/>
                    <w:tr2bl w:val="nil"/>
                  </w:tcBorders>
                  <w:noWrap w:val="0"/>
                  <w:vAlign w:val="center"/>
                </w:tcPr>
                <w:p>
                  <w:pPr>
                    <w:spacing w:line="320" w:lineRule="exact"/>
                    <w:ind w:firstLine="0" w:firstLineChars="0"/>
                    <w:jc w:val="center"/>
                    <w:rPr>
                      <w:rFonts w:hint="default" w:ascii="Times New Roman" w:hAnsi="Times New Roman" w:cs="Times New Roman"/>
                      <w:sz w:val="21"/>
                      <w:szCs w:val="21"/>
                      <w:highlight w:val="none"/>
                    </w:rPr>
                  </w:pPr>
                  <w:r>
                    <w:rPr>
                      <w:rFonts w:hint="default" w:ascii="Times New Roman" w:hAnsi="Times New Roman" w:cs="Times New Roman"/>
                      <w:sz w:val="21"/>
                      <w:szCs w:val="21"/>
                      <w:highlight w:val="none"/>
                    </w:rPr>
                    <w:t>执行标准及级别</w:t>
                  </w:r>
                </w:p>
              </w:tc>
              <w:tc>
                <w:tcPr>
                  <w:tcW w:w="880" w:type="pct"/>
                  <w:tcBorders>
                    <w:tl2br w:val="nil"/>
                    <w:tr2bl w:val="nil"/>
                  </w:tcBorders>
                  <w:noWrap w:val="0"/>
                  <w:vAlign w:val="center"/>
                </w:tcPr>
                <w:p>
                  <w:pPr>
                    <w:spacing w:line="320" w:lineRule="exact"/>
                    <w:ind w:firstLine="0" w:firstLineChars="0"/>
                    <w:jc w:val="center"/>
                    <w:rPr>
                      <w:rFonts w:hint="default" w:ascii="Times New Roman" w:hAnsi="Times New Roman" w:cs="Times New Roman"/>
                      <w:sz w:val="21"/>
                      <w:szCs w:val="21"/>
                      <w:highlight w:val="none"/>
                    </w:rPr>
                  </w:pPr>
                  <w:r>
                    <w:rPr>
                      <w:rFonts w:hint="default" w:ascii="Times New Roman" w:hAnsi="Times New Roman" w:cs="Times New Roman"/>
                      <w:sz w:val="21"/>
                      <w:szCs w:val="21"/>
                      <w:highlight w:val="none"/>
                    </w:rPr>
                    <w:t>项目</w:t>
                  </w:r>
                </w:p>
              </w:tc>
              <w:tc>
                <w:tcPr>
                  <w:tcW w:w="1554" w:type="pct"/>
                  <w:gridSpan w:val="2"/>
                  <w:tcBorders>
                    <w:tl2br w:val="nil"/>
                    <w:tr2bl w:val="nil"/>
                  </w:tcBorders>
                  <w:noWrap w:val="0"/>
                  <w:vAlign w:val="center"/>
                </w:tcPr>
                <w:p>
                  <w:pPr>
                    <w:spacing w:line="320" w:lineRule="exact"/>
                    <w:ind w:firstLine="0" w:firstLineChars="0"/>
                    <w:jc w:val="center"/>
                    <w:rPr>
                      <w:rFonts w:hint="default" w:ascii="Times New Roman" w:hAnsi="Times New Roman" w:cs="Times New Roman"/>
                      <w:sz w:val="21"/>
                      <w:szCs w:val="21"/>
                      <w:highlight w:val="none"/>
                    </w:rPr>
                  </w:pPr>
                  <w:r>
                    <w:rPr>
                      <w:rFonts w:hint="default" w:ascii="Times New Roman" w:hAnsi="Times New Roman" w:cs="Times New Roman"/>
                      <w:sz w:val="21"/>
                      <w:szCs w:val="21"/>
                      <w:highlight w:val="none"/>
                    </w:rPr>
                    <w:t>标准限值</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7" w:type="dxa"/>
                  <w:bottom w:w="0" w:type="dxa"/>
                  <w:right w:w="57" w:type="dxa"/>
                </w:tblCellMar>
              </w:tblPrEx>
              <w:trPr>
                <w:trHeight w:val="397" w:hRule="atLeast"/>
              </w:trPr>
              <w:tc>
                <w:tcPr>
                  <w:tcW w:w="425" w:type="pct"/>
                  <w:tcBorders>
                    <w:tl2br w:val="nil"/>
                    <w:tr2bl w:val="nil"/>
                  </w:tcBorders>
                  <w:noWrap w:val="0"/>
                  <w:vAlign w:val="center"/>
                </w:tcPr>
                <w:p>
                  <w:pPr>
                    <w:spacing w:line="320" w:lineRule="exact"/>
                    <w:ind w:firstLine="0" w:firstLineChars="0"/>
                    <w:jc w:val="center"/>
                    <w:rPr>
                      <w:rFonts w:hint="default" w:ascii="Times New Roman" w:hAnsi="Times New Roman" w:cs="Times New Roman" w:eastAsiaTheme="minorEastAsia"/>
                      <w:sz w:val="21"/>
                      <w:szCs w:val="21"/>
                      <w:highlight w:val="none"/>
                      <w:lang w:val="en-US" w:eastAsia="zh-CN"/>
                    </w:rPr>
                  </w:pPr>
                  <w:r>
                    <w:rPr>
                      <w:rFonts w:hint="eastAsia" w:ascii="Times New Roman" w:hAnsi="Times New Roman" w:cs="Times New Roman"/>
                      <w:sz w:val="21"/>
                      <w:szCs w:val="21"/>
                      <w:highlight w:val="none"/>
                      <w:lang w:val="en-US" w:eastAsia="zh-CN"/>
                    </w:rPr>
                    <w:t>废气</w:t>
                  </w:r>
                </w:p>
              </w:tc>
              <w:tc>
                <w:tcPr>
                  <w:tcW w:w="2139" w:type="pct"/>
                  <w:tcBorders>
                    <w:tl2br w:val="nil"/>
                    <w:tr2bl w:val="nil"/>
                  </w:tcBorders>
                  <w:noWrap w:val="0"/>
                  <w:vAlign w:val="center"/>
                </w:tcPr>
                <w:p>
                  <w:pPr>
                    <w:spacing w:line="320" w:lineRule="exact"/>
                    <w:ind w:firstLine="0" w:firstLineChars="0"/>
                    <w:jc w:val="left"/>
                    <w:rPr>
                      <w:rFonts w:hint="eastAsia" w:ascii="Times New Roman" w:hAnsi="Times New Roman" w:cs="Times New Roman"/>
                      <w:sz w:val="21"/>
                      <w:szCs w:val="21"/>
                      <w:highlight w:val="none"/>
                    </w:rPr>
                  </w:pPr>
                  <w:r>
                    <w:rPr>
                      <w:rFonts w:hint="eastAsia" w:ascii="Times New Roman" w:hAnsi="Times New Roman" w:cs="Times New Roman"/>
                      <w:sz w:val="21"/>
                      <w:szCs w:val="21"/>
                      <w:highlight w:val="none"/>
                    </w:rPr>
                    <w:t>河南省</w:t>
                  </w:r>
                  <w:r>
                    <w:rPr>
                      <w:rFonts w:hint="eastAsia" w:ascii="Times New Roman" w:hAnsi="Times New Roman" w:cs="Times New Roman"/>
                      <w:sz w:val="21"/>
                      <w:szCs w:val="21"/>
                      <w:highlight w:val="none"/>
                      <w:lang w:val="en-US" w:eastAsia="zh-CN"/>
                    </w:rPr>
                    <w:t>地标</w:t>
                  </w:r>
                  <w:r>
                    <w:rPr>
                      <w:rFonts w:hint="eastAsia" w:ascii="Times New Roman" w:hAnsi="Times New Roman" w:cs="Times New Roman"/>
                      <w:sz w:val="21"/>
                      <w:szCs w:val="21"/>
                      <w:highlight w:val="none"/>
                    </w:rPr>
                    <w:t>《餐饮业油烟污染物排放标准》(DB41/1604-2018) 表1</w:t>
                  </w:r>
                </w:p>
              </w:tc>
              <w:tc>
                <w:tcPr>
                  <w:tcW w:w="880" w:type="pct"/>
                  <w:tcBorders>
                    <w:tl2br w:val="nil"/>
                    <w:tr2bl w:val="nil"/>
                  </w:tcBorders>
                  <w:noWrap w:val="0"/>
                  <w:vAlign w:val="center"/>
                </w:tcPr>
                <w:p>
                  <w:pPr>
                    <w:spacing w:line="320" w:lineRule="exact"/>
                    <w:ind w:firstLine="0" w:firstLineChars="0"/>
                    <w:jc w:val="center"/>
                    <w:rPr>
                      <w:rFonts w:hint="eastAsia" w:ascii="Times New Roman" w:hAnsi="Times New Roman" w:cs="Times New Roman"/>
                      <w:sz w:val="21"/>
                      <w:szCs w:val="21"/>
                      <w:highlight w:val="none"/>
                    </w:rPr>
                  </w:pPr>
                  <w:r>
                    <w:rPr>
                      <w:rFonts w:hint="eastAsia" w:ascii="Times New Roman" w:hAnsi="Times New Roman" w:cs="Times New Roman"/>
                      <w:sz w:val="21"/>
                      <w:szCs w:val="21"/>
                      <w:highlight w:val="none"/>
                    </w:rPr>
                    <w:t>油烟</w:t>
                  </w:r>
                </w:p>
              </w:tc>
              <w:tc>
                <w:tcPr>
                  <w:tcW w:w="1554" w:type="pct"/>
                  <w:gridSpan w:val="2"/>
                  <w:tcBorders>
                    <w:tl2br w:val="nil"/>
                    <w:tr2bl w:val="nil"/>
                  </w:tcBorders>
                  <w:noWrap w:val="0"/>
                  <w:vAlign w:val="center"/>
                </w:tcPr>
                <w:p>
                  <w:pPr>
                    <w:spacing w:line="320" w:lineRule="exact"/>
                    <w:ind w:firstLine="0" w:firstLineChars="0"/>
                    <w:jc w:val="center"/>
                    <w:rPr>
                      <w:rFonts w:hint="default" w:ascii="Times New Roman" w:hAnsi="Times New Roman" w:cs="Times New Roman"/>
                      <w:sz w:val="21"/>
                      <w:szCs w:val="21"/>
                      <w:highlight w:val="none"/>
                    </w:rPr>
                  </w:pPr>
                  <w:r>
                    <w:rPr>
                      <w:rFonts w:hint="eastAsia" w:ascii="Times New Roman" w:hAnsi="Times New Roman" w:cs="Times New Roman"/>
                      <w:sz w:val="21"/>
                      <w:szCs w:val="21"/>
                      <w:highlight w:val="none"/>
                    </w:rPr>
                    <w:t>排放浓度：1.</w:t>
                  </w:r>
                  <w:r>
                    <w:rPr>
                      <w:rFonts w:hint="eastAsia" w:cs="Times New Roman"/>
                      <w:sz w:val="21"/>
                      <w:szCs w:val="21"/>
                      <w:highlight w:val="none"/>
                      <w:lang w:val="en-US" w:eastAsia="zh-CN"/>
                    </w:rPr>
                    <w:t>5</w:t>
                  </w:r>
                  <w:r>
                    <w:rPr>
                      <w:rFonts w:hint="default" w:ascii="Times New Roman" w:hAnsi="Times New Roman" w:cs="Times New Roman"/>
                      <w:sz w:val="21"/>
                      <w:szCs w:val="21"/>
                      <w:highlight w:val="none"/>
                    </w:rPr>
                    <w:t>mg/m</w:t>
                  </w:r>
                  <w:r>
                    <w:rPr>
                      <w:rFonts w:hint="default" w:ascii="Times New Roman" w:hAnsi="Times New Roman" w:cs="Times New Roman"/>
                      <w:sz w:val="21"/>
                      <w:szCs w:val="21"/>
                      <w:highlight w:val="none"/>
                      <w:vertAlign w:val="superscript"/>
                    </w:rPr>
                    <w:t>3</w:t>
                  </w:r>
                </w:p>
                <w:p>
                  <w:pPr>
                    <w:spacing w:line="320" w:lineRule="exact"/>
                    <w:ind w:firstLine="0" w:firstLineChars="0"/>
                    <w:jc w:val="center"/>
                    <w:rPr>
                      <w:rFonts w:hint="default" w:ascii="Times New Roman" w:hAnsi="Times New Roman" w:cs="Times New Roman"/>
                      <w:sz w:val="21"/>
                      <w:szCs w:val="21"/>
                      <w:highlight w:val="none"/>
                    </w:rPr>
                  </w:pPr>
                  <w:r>
                    <w:rPr>
                      <w:rFonts w:hint="default" w:ascii="Times New Roman" w:hAnsi="Times New Roman" w:cs="Times New Roman"/>
                      <w:sz w:val="21"/>
                      <w:szCs w:val="21"/>
                      <w:highlight w:val="none"/>
                    </w:rPr>
                    <w:t>处理效率</w:t>
                  </w:r>
                  <w:r>
                    <w:rPr>
                      <w:rFonts w:hint="eastAsia" w:ascii="Times New Roman" w:hAnsi="Times New Roman" w:cs="Times New Roman"/>
                      <w:sz w:val="21"/>
                      <w:szCs w:val="21"/>
                      <w:highlight w:val="none"/>
                    </w:rPr>
                    <w:t>90</w:t>
                  </w:r>
                  <w:r>
                    <w:rPr>
                      <w:rFonts w:hint="default" w:ascii="Times New Roman" w:hAnsi="Times New Roman" w:cs="Times New Roman"/>
                      <w:sz w:val="21"/>
                      <w:szCs w:val="21"/>
                      <w:highlight w:val="none"/>
                    </w:rPr>
                    <w:t>%</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7" w:type="dxa"/>
                  <w:bottom w:w="0" w:type="dxa"/>
                  <w:right w:w="57" w:type="dxa"/>
                </w:tblCellMar>
              </w:tblPrEx>
              <w:trPr>
                <w:trHeight w:val="397" w:hRule="atLeast"/>
              </w:trPr>
              <w:tc>
                <w:tcPr>
                  <w:tcW w:w="425" w:type="pct"/>
                  <w:tcBorders>
                    <w:tl2br w:val="nil"/>
                    <w:tr2bl w:val="nil"/>
                  </w:tcBorders>
                  <w:noWrap w:val="0"/>
                  <w:vAlign w:val="center"/>
                </w:tcPr>
                <w:p>
                  <w:pPr>
                    <w:spacing w:line="320" w:lineRule="exact"/>
                    <w:ind w:firstLine="0" w:firstLineChars="0"/>
                    <w:jc w:val="center"/>
                    <w:rPr>
                      <w:rFonts w:hint="default" w:ascii="Times New Roman" w:hAnsi="Times New Roman" w:cs="Times New Roman"/>
                      <w:sz w:val="21"/>
                      <w:szCs w:val="21"/>
                    </w:rPr>
                  </w:pPr>
                  <w:r>
                    <w:rPr>
                      <w:rFonts w:hint="default" w:ascii="Times New Roman" w:hAnsi="Times New Roman" w:cs="Times New Roman"/>
                      <w:sz w:val="21"/>
                      <w:szCs w:val="21"/>
                    </w:rPr>
                    <w:t>废水</w:t>
                  </w:r>
                </w:p>
              </w:tc>
              <w:tc>
                <w:tcPr>
                  <w:tcW w:w="4574" w:type="pct"/>
                  <w:gridSpan w:val="4"/>
                  <w:tcBorders>
                    <w:tl2br w:val="nil"/>
                    <w:tr2bl w:val="nil"/>
                  </w:tcBorders>
                  <w:noWrap w:val="0"/>
                  <w:vAlign w:val="center"/>
                </w:tcPr>
                <w:p>
                  <w:pPr>
                    <w:spacing w:line="320" w:lineRule="exact"/>
                    <w:ind w:firstLine="0" w:firstLineChars="0"/>
                    <w:jc w:val="center"/>
                    <w:rPr>
                      <w:rFonts w:hint="eastAsia" w:ascii="Times New Roman" w:hAnsi="Times New Roman" w:cs="Times New Roman"/>
                      <w:sz w:val="21"/>
                      <w:szCs w:val="21"/>
                    </w:rPr>
                  </w:pPr>
                  <w:r>
                    <w:rPr>
                      <w:rFonts w:hint="eastAsia" w:ascii="Times New Roman" w:hAnsi="Times New Roman" w:cs="Times New Roman"/>
                      <w:sz w:val="21"/>
                      <w:szCs w:val="21"/>
                      <w:lang w:val="en-US" w:eastAsia="zh-CN"/>
                    </w:rPr>
                    <w:t>生活污水经污水处理设备处理后，回用于站内绿化、道路洒水，不外排</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7" w:type="dxa"/>
                  <w:bottom w:w="0" w:type="dxa"/>
                  <w:right w:w="57" w:type="dxa"/>
                </w:tblCellMar>
              </w:tblPrEx>
              <w:trPr>
                <w:trHeight w:val="397" w:hRule="atLeast"/>
              </w:trPr>
              <w:tc>
                <w:tcPr>
                  <w:tcW w:w="425" w:type="pct"/>
                  <w:vMerge w:val="restart"/>
                  <w:tcBorders>
                    <w:tl2br w:val="nil"/>
                    <w:tr2bl w:val="nil"/>
                  </w:tcBorders>
                  <w:noWrap w:val="0"/>
                  <w:vAlign w:val="center"/>
                </w:tcPr>
                <w:p>
                  <w:pPr>
                    <w:spacing w:line="320" w:lineRule="exact"/>
                    <w:ind w:firstLine="0" w:firstLineChars="0"/>
                    <w:jc w:val="center"/>
                    <w:rPr>
                      <w:rFonts w:hint="default" w:ascii="Times New Roman" w:hAnsi="Times New Roman" w:cs="Times New Roman"/>
                      <w:sz w:val="21"/>
                      <w:szCs w:val="21"/>
                    </w:rPr>
                  </w:pPr>
                  <w:r>
                    <w:rPr>
                      <w:rFonts w:hint="default" w:ascii="Times New Roman" w:hAnsi="Times New Roman" w:cs="Times New Roman"/>
                      <w:sz w:val="21"/>
                      <w:szCs w:val="21"/>
                    </w:rPr>
                    <w:t>噪声</w:t>
                  </w:r>
                </w:p>
              </w:tc>
              <w:tc>
                <w:tcPr>
                  <w:tcW w:w="2139" w:type="pct"/>
                  <w:vMerge w:val="restart"/>
                  <w:tcBorders>
                    <w:tl2br w:val="nil"/>
                    <w:tr2bl w:val="nil"/>
                  </w:tcBorders>
                  <w:noWrap w:val="0"/>
                  <w:vAlign w:val="center"/>
                </w:tcPr>
                <w:p>
                  <w:pPr>
                    <w:spacing w:line="320" w:lineRule="exact"/>
                    <w:ind w:firstLine="0" w:firstLineChars="0"/>
                    <w:jc w:val="center"/>
                    <w:rPr>
                      <w:rFonts w:hint="default" w:ascii="Times New Roman" w:hAnsi="Times New Roman" w:cs="Times New Roman"/>
                      <w:sz w:val="21"/>
                      <w:szCs w:val="21"/>
                    </w:rPr>
                  </w:pPr>
                  <w:r>
                    <w:rPr>
                      <w:rFonts w:hint="default" w:ascii="Times New Roman" w:hAnsi="Times New Roman" w:cs="Times New Roman"/>
                      <w:sz w:val="21"/>
                      <w:szCs w:val="21"/>
                    </w:rPr>
                    <w:t>《建筑施工场界环境噪声排放标准》（GB12523-2011）</w:t>
                  </w:r>
                </w:p>
              </w:tc>
              <w:tc>
                <w:tcPr>
                  <w:tcW w:w="880" w:type="pct"/>
                  <w:vMerge w:val="restart"/>
                  <w:tcBorders>
                    <w:tl2br w:val="nil"/>
                    <w:tr2bl w:val="nil"/>
                  </w:tcBorders>
                  <w:noWrap w:val="0"/>
                  <w:vAlign w:val="center"/>
                </w:tcPr>
                <w:p>
                  <w:pPr>
                    <w:spacing w:line="320" w:lineRule="exact"/>
                    <w:ind w:firstLine="0" w:firstLineChars="0"/>
                    <w:jc w:val="center"/>
                    <w:rPr>
                      <w:rFonts w:hint="default" w:ascii="Times New Roman" w:hAnsi="Times New Roman" w:cs="Times New Roman"/>
                      <w:sz w:val="21"/>
                      <w:szCs w:val="21"/>
                    </w:rPr>
                  </w:pPr>
                  <w:r>
                    <w:rPr>
                      <w:rFonts w:hint="default" w:ascii="Times New Roman" w:hAnsi="Times New Roman" w:cs="Times New Roman"/>
                      <w:sz w:val="21"/>
                      <w:szCs w:val="21"/>
                    </w:rPr>
                    <w:t>建筑施工场界噪声</w:t>
                  </w:r>
                </w:p>
              </w:tc>
              <w:tc>
                <w:tcPr>
                  <w:tcW w:w="740" w:type="pct"/>
                  <w:tcBorders>
                    <w:tl2br w:val="nil"/>
                    <w:tr2bl w:val="nil"/>
                  </w:tcBorders>
                  <w:noWrap w:val="0"/>
                  <w:vAlign w:val="center"/>
                </w:tcPr>
                <w:p>
                  <w:pPr>
                    <w:spacing w:line="320" w:lineRule="exact"/>
                    <w:ind w:firstLine="0" w:firstLineChars="0"/>
                    <w:jc w:val="center"/>
                    <w:rPr>
                      <w:rFonts w:hint="default" w:ascii="Times New Roman" w:hAnsi="Times New Roman" w:cs="Times New Roman"/>
                      <w:sz w:val="21"/>
                      <w:szCs w:val="21"/>
                    </w:rPr>
                  </w:pPr>
                  <w:r>
                    <w:rPr>
                      <w:rFonts w:hint="default" w:ascii="Times New Roman" w:hAnsi="Times New Roman" w:cs="Times New Roman"/>
                      <w:sz w:val="21"/>
                      <w:szCs w:val="21"/>
                    </w:rPr>
                    <w:t>昼间</w:t>
                  </w:r>
                </w:p>
              </w:tc>
              <w:tc>
                <w:tcPr>
                  <w:tcW w:w="813" w:type="pct"/>
                  <w:tcBorders>
                    <w:tl2br w:val="nil"/>
                    <w:tr2bl w:val="nil"/>
                  </w:tcBorders>
                  <w:noWrap w:val="0"/>
                  <w:vAlign w:val="center"/>
                </w:tcPr>
                <w:p>
                  <w:pPr>
                    <w:spacing w:line="320" w:lineRule="exact"/>
                    <w:ind w:firstLine="0" w:firstLineChars="0"/>
                    <w:jc w:val="center"/>
                    <w:rPr>
                      <w:rFonts w:hint="default" w:ascii="Times New Roman" w:hAnsi="Times New Roman" w:cs="Times New Roman"/>
                      <w:sz w:val="21"/>
                      <w:szCs w:val="21"/>
                    </w:rPr>
                  </w:pPr>
                  <w:r>
                    <w:rPr>
                      <w:rFonts w:hint="default" w:ascii="Times New Roman" w:hAnsi="Times New Roman" w:cs="Times New Roman"/>
                      <w:sz w:val="21"/>
                      <w:szCs w:val="21"/>
                    </w:rPr>
                    <w:t>70dB(A)</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7" w:type="dxa"/>
                  <w:bottom w:w="0" w:type="dxa"/>
                  <w:right w:w="57" w:type="dxa"/>
                </w:tblCellMar>
              </w:tblPrEx>
              <w:trPr>
                <w:trHeight w:val="397" w:hRule="atLeast"/>
              </w:trPr>
              <w:tc>
                <w:tcPr>
                  <w:tcW w:w="425" w:type="pct"/>
                  <w:vMerge w:val="continue"/>
                  <w:tcBorders>
                    <w:tl2br w:val="nil"/>
                    <w:tr2bl w:val="nil"/>
                  </w:tcBorders>
                  <w:noWrap w:val="0"/>
                  <w:vAlign w:val="center"/>
                </w:tcPr>
                <w:p>
                  <w:pPr>
                    <w:spacing w:line="320" w:lineRule="exact"/>
                    <w:ind w:firstLine="0" w:firstLineChars="0"/>
                    <w:jc w:val="center"/>
                    <w:rPr>
                      <w:rFonts w:hint="default" w:ascii="Times New Roman" w:hAnsi="Times New Roman" w:cs="Times New Roman"/>
                      <w:sz w:val="21"/>
                      <w:szCs w:val="21"/>
                    </w:rPr>
                  </w:pPr>
                </w:p>
              </w:tc>
              <w:tc>
                <w:tcPr>
                  <w:tcW w:w="2139" w:type="pct"/>
                  <w:vMerge w:val="continue"/>
                  <w:tcBorders>
                    <w:tl2br w:val="nil"/>
                    <w:tr2bl w:val="nil"/>
                  </w:tcBorders>
                  <w:noWrap w:val="0"/>
                  <w:vAlign w:val="center"/>
                </w:tcPr>
                <w:p>
                  <w:pPr>
                    <w:spacing w:line="320" w:lineRule="exact"/>
                    <w:ind w:firstLine="0" w:firstLineChars="0"/>
                    <w:jc w:val="center"/>
                    <w:rPr>
                      <w:rFonts w:hint="default" w:ascii="Times New Roman" w:hAnsi="Times New Roman" w:cs="Times New Roman"/>
                      <w:sz w:val="21"/>
                      <w:szCs w:val="21"/>
                    </w:rPr>
                  </w:pPr>
                </w:p>
              </w:tc>
              <w:tc>
                <w:tcPr>
                  <w:tcW w:w="880" w:type="pct"/>
                  <w:vMerge w:val="continue"/>
                  <w:tcBorders>
                    <w:tl2br w:val="nil"/>
                    <w:tr2bl w:val="nil"/>
                  </w:tcBorders>
                  <w:noWrap w:val="0"/>
                  <w:vAlign w:val="center"/>
                </w:tcPr>
                <w:p>
                  <w:pPr>
                    <w:spacing w:line="320" w:lineRule="exact"/>
                    <w:ind w:firstLine="0" w:firstLineChars="0"/>
                    <w:jc w:val="center"/>
                    <w:rPr>
                      <w:rFonts w:hint="default" w:ascii="Times New Roman" w:hAnsi="Times New Roman" w:cs="Times New Roman"/>
                      <w:sz w:val="21"/>
                      <w:szCs w:val="21"/>
                    </w:rPr>
                  </w:pPr>
                </w:p>
              </w:tc>
              <w:tc>
                <w:tcPr>
                  <w:tcW w:w="740" w:type="pct"/>
                  <w:tcBorders>
                    <w:tl2br w:val="nil"/>
                    <w:tr2bl w:val="nil"/>
                  </w:tcBorders>
                  <w:noWrap w:val="0"/>
                  <w:vAlign w:val="center"/>
                </w:tcPr>
                <w:p>
                  <w:pPr>
                    <w:spacing w:line="320" w:lineRule="exact"/>
                    <w:ind w:firstLine="0" w:firstLineChars="0"/>
                    <w:jc w:val="center"/>
                    <w:rPr>
                      <w:rFonts w:hint="default" w:ascii="Times New Roman" w:hAnsi="Times New Roman" w:cs="Times New Roman"/>
                      <w:sz w:val="21"/>
                      <w:szCs w:val="21"/>
                    </w:rPr>
                  </w:pPr>
                  <w:r>
                    <w:rPr>
                      <w:rFonts w:hint="default" w:ascii="Times New Roman" w:hAnsi="Times New Roman" w:cs="Times New Roman"/>
                      <w:sz w:val="21"/>
                      <w:szCs w:val="21"/>
                    </w:rPr>
                    <w:t>夜间</w:t>
                  </w:r>
                </w:p>
              </w:tc>
              <w:tc>
                <w:tcPr>
                  <w:tcW w:w="813" w:type="pct"/>
                  <w:tcBorders>
                    <w:tl2br w:val="nil"/>
                    <w:tr2bl w:val="nil"/>
                  </w:tcBorders>
                  <w:noWrap w:val="0"/>
                  <w:vAlign w:val="center"/>
                </w:tcPr>
                <w:p>
                  <w:pPr>
                    <w:spacing w:line="320" w:lineRule="exact"/>
                    <w:ind w:firstLine="0" w:firstLineChars="0"/>
                    <w:jc w:val="center"/>
                    <w:rPr>
                      <w:rFonts w:hint="default" w:ascii="Times New Roman" w:hAnsi="Times New Roman" w:cs="Times New Roman"/>
                      <w:sz w:val="21"/>
                      <w:szCs w:val="21"/>
                    </w:rPr>
                  </w:pPr>
                  <w:r>
                    <w:rPr>
                      <w:rFonts w:hint="default" w:ascii="Times New Roman" w:hAnsi="Times New Roman" w:cs="Times New Roman"/>
                      <w:sz w:val="21"/>
                      <w:szCs w:val="21"/>
                    </w:rPr>
                    <w:t>55dB(A)</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7" w:type="dxa"/>
                  <w:bottom w:w="0" w:type="dxa"/>
                  <w:right w:w="57" w:type="dxa"/>
                </w:tblCellMar>
              </w:tblPrEx>
              <w:trPr>
                <w:trHeight w:val="397" w:hRule="atLeast"/>
              </w:trPr>
              <w:tc>
                <w:tcPr>
                  <w:tcW w:w="425" w:type="pct"/>
                  <w:vMerge w:val="continue"/>
                  <w:tcBorders>
                    <w:tl2br w:val="nil"/>
                    <w:tr2bl w:val="nil"/>
                  </w:tcBorders>
                  <w:noWrap w:val="0"/>
                  <w:vAlign w:val="center"/>
                </w:tcPr>
                <w:p>
                  <w:pPr>
                    <w:spacing w:line="320" w:lineRule="exact"/>
                    <w:ind w:firstLine="0" w:firstLineChars="0"/>
                    <w:jc w:val="center"/>
                    <w:rPr>
                      <w:rFonts w:hint="default" w:ascii="Times New Roman" w:hAnsi="Times New Roman" w:cs="Times New Roman"/>
                      <w:sz w:val="21"/>
                      <w:szCs w:val="21"/>
                    </w:rPr>
                  </w:pPr>
                </w:p>
              </w:tc>
              <w:tc>
                <w:tcPr>
                  <w:tcW w:w="2139" w:type="pct"/>
                  <w:vMerge w:val="restart"/>
                  <w:tcBorders>
                    <w:tl2br w:val="nil"/>
                    <w:tr2bl w:val="nil"/>
                  </w:tcBorders>
                  <w:noWrap w:val="0"/>
                  <w:vAlign w:val="center"/>
                </w:tcPr>
                <w:p>
                  <w:pPr>
                    <w:spacing w:line="320" w:lineRule="exact"/>
                    <w:ind w:firstLine="0" w:firstLineChars="0"/>
                    <w:jc w:val="center"/>
                    <w:rPr>
                      <w:rFonts w:hint="default" w:ascii="Times New Roman" w:hAnsi="Times New Roman" w:cs="Times New Roman"/>
                      <w:sz w:val="21"/>
                      <w:szCs w:val="21"/>
                    </w:rPr>
                  </w:pPr>
                  <w:r>
                    <w:rPr>
                      <w:rFonts w:hint="default" w:ascii="Times New Roman" w:hAnsi="Times New Roman" w:cs="Times New Roman"/>
                      <w:sz w:val="21"/>
                      <w:szCs w:val="21"/>
                    </w:rPr>
                    <w:t>《工业企业厂界环境噪声排放标准》（GB12348-2008）</w:t>
                  </w:r>
                  <w:r>
                    <w:rPr>
                      <w:rFonts w:hint="eastAsia" w:ascii="Times New Roman" w:hAnsi="Times New Roman" w:cs="Times New Roman"/>
                      <w:sz w:val="21"/>
                      <w:szCs w:val="21"/>
                      <w:lang w:val="en-US" w:eastAsia="zh-CN"/>
                    </w:rPr>
                    <w:t>1</w:t>
                  </w:r>
                  <w:r>
                    <w:rPr>
                      <w:rFonts w:hint="default" w:ascii="Times New Roman" w:hAnsi="Times New Roman" w:cs="Times New Roman"/>
                      <w:sz w:val="21"/>
                      <w:szCs w:val="21"/>
                    </w:rPr>
                    <w:t>类</w:t>
                  </w:r>
                </w:p>
              </w:tc>
              <w:tc>
                <w:tcPr>
                  <w:tcW w:w="880" w:type="pct"/>
                  <w:vMerge w:val="restart"/>
                  <w:tcBorders>
                    <w:tl2br w:val="nil"/>
                    <w:tr2bl w:val="nil"/>
                  </w:tcBorders>
                  <w:noWrap w:val="0"/>
                  <w:vAlign w:val="center"/>
                </w:tcPr>
                <w:p>
                  <w:pPr>
                    <w:spacing w:line="320" w:lineRule="exact"/>
                    <w:ind w:firstLine="0" w:firstLineChars="0"/>
                    <w:jc w:val="center"/>
                    <w:rPr>
                      <w:rFonts w:hint="default" w:ascii="Times New Roman" w:hAnsi="Times New Roman" w:cs="Times New Roman"/>
                      <w:sz w:val="21"/>
                      <w:szCs w:val="21"/>
                    </w:rPr>
                  </w:pPr>
                  <w:r>
                    <w:rPr>
                      <w:rFonts w:hint="default" w:ascii="Times New Roman" w:hAnsi="Times New Roman" w:cs="Times New Roman"/>
                      <w:sz w:val="21"/>
                      <w:szCs w:val="21"/>
                    </w:rPr>
                    <w:t>厂界噪声</w:t>
                  </w:r>
                </w:p>
              </w:tc>
              <w:tc>
                <w:tcPr>
                  <w:tcW w:w="740" w:type="pct"/>
                  <w:tcBorders>
                    <w:tl2br w:val="nil"/>
                    <w:tr2bl w:val="nil"/>
                  </w:tcBorders>
                  <w:noWrap w:val="0"/>
                  <w:vAlign w:val="center"/>
                </w:tcPr>
                <w:p>
                  <w:pPr>
                    <w:spacing w:line="320" w:lineRule="exact"/>
                    <w:ind w:firstLine="0" w:firstLineChars="0"/>
                    <w:jc w:val="center"/>
                    <w:rPr>
                      <w:rFonts w:hint="default" w:ascii="Times New Roman" w:hAnsi="Times New Roman" w:cs="Times New Roman"/>
                      <w:sz w:val="21"/>
                      <w:szCs w:val="21"/>
                    </w:rPr>
                  </w:pPr>
                  <w:r>
                    <w:rPr>
                      <w:rFonts w:hint="default" w:ascii="Times New Roman" w:hAnsi="Times New Roman" w:cs="Times New Roman"/>
                      <w:sz w:val="21"/>
                      <w:szCs w:val="21"/>
                    </w:rPr>
                    <w:t>昼间</w:t>
                  </w:r>
                </w:p>
              </w:tc>
              <w:tc>
                <w:tcPr>
                  <w:tcW w:w="813" w:type="pct"/>
                  <w:tcBorders>
                    <w:tl2br w:val="nil"/>
                    <w:tr2bl w:val="nil"/>
                  </w:tcBorders>
                  <w:noWrap w:val="0"/>
                  <w:vAlign w:val="center"/>
                </w:tcPr>
                <w:p>
                  <w:pPr>
                    <w:spacing w:line="320" w:lineRule="exact"/>
                    <w:ind w:firstLine="0" w:firstLineChars="0"/>
                    <w:jc w:val="center"/>
                    <w:rPr>
                      <w:rFonts w:hint="default" w:ascii="Times New Roman" w:hAnsi="Times New Roman" w:cs="Times New Roman"/>
                      <w:sz w:val="21"/>
                      <w:szCs w:val="21"/>
                    </w:rPr>
                  </w:pPr>
                  <w:r>
                    <w:rPr>
                      <w:rFonts w:hint="eastAsia" w:ascii="Times New Roman" w:hAnsi="Times New Roman" w:cs="Times New Roman"/>
                      <w:sz w:val="21"/>
                      <w:szCs w:val="21"/>
                      <w:lang w:val="en-US" w:eastAsia="zh-CN"/>
                    </w:rPr>
                    <w:t>55</w:t>
                  </w:r>
                  <w:r>
                    <w:rPr>
                      <w:rFonts w:hint="default" w:ascii="Times New Roman" w:hAnsi="Times New Roman" w:cs="Times New Roman"/>
                      <w:sz w:val="21"/>
                      <w:szCs w:val="21"/>
                    </w:rPr>
                    <w:t>dB(A)</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7" w:type="dxa"/>
                  <w:bottom w:w="0" w:type="dxa"/>
                  <w:right w:w="57" w:type="dxa"/>
                </w:tblCellMar>
              </w:tblPrEx>
              <w:trPr>
                <w:trHeight w:val="397" w:hRule="atLeast"/>
              </w:trPr>
              <w:tc>
                <w:tcPr>
                  <w:tcW w:w="425" w:type="pct"/>
                  <w:vMerge w:val="continue"/>
                  <w:tcBorders>
                    <w:tl2br w:val="nil"/>
                    <w:tr2bl w:val="nil"/>
                  </w:tcBorders>
                  <w:noWrap w:val="0"/>
                  <w:vAlign w:val="center"/>
                </w:tcPr>
                <w:p>
                  <w:pPr>
                    <w:spacing w:line="320" w:lineRule="exact"/>
                    <w:ind w:firstLine="0" w:firstLineChars="0"/>
                    <w:jc w:val="center"/>
                    <w:rPr>
                      <w:rFonts w:hint="default" w:ascii="Times New Roman" w:hAnsi="Times New Roman" w:cs="Times New Roman"/>
                      <w:sz w:val="21"/>
                      <w:szCs w:val="21"/>
                    </w:rPr>
                  </w:pPr>
                </w:p>
              </w:tc>
              <w:tc>
                <w:tcPr>
                  <w:tcW w:w="2139" w:type="pct"/>
                  <w:vMerge w:val="continue"/>
                  <w:tcBorders>
                    <w:tl2br w:val="nil"/>
                    <w:tr2bl w:val="nil"/>
                  </w:tcBorders>
                  <w:noWrap w:val="0"/>
                  <w:vAlign w:val="center"/>
                </w:tcPr>
                <w:p>
                  <w:pPr>
                    <w:spacing w:line="320" w:lineRule="exact"/>
                    <w:ind w:firstLine="0" w:firstLineChars="0"/>
                    <w:jc w:val="center"/>
                    <w:rPr>
                      <w:rFonts w:hint="default" w:ascii="Times New Roman" w:hAnsi="Times New Roman" w:cs="Times New Roman"/>
                      <w:sz w:val="21"/>
                      <w:szCs w:val="21"/>
                    </w:rPr>
                  </w:pPr>
                </w:p>
              </w:tc>
              <w:tc>
                <w:tcPr>
                  <w:tcW w:w="880" w:type="pct"/>
                  <w:vMerge w:val="continue"/>
                  <w:tcBorders>
                    <w:tl2br w:val="nil"/>
                    <w:tr2bl w:val="nil"/>
                  </w:tcBorders>
                  <w:noWrap w:val="0"/>
                  <w:vAlign w:val="center"/>
                </w:tcPr>
                <w:p>
                  <w:pPr>
                    <w:spacing w:line="320" w:lineRule="exact"/>
                    <w:ind w:firstLine="0" w:firstLineChars="0"/>
                    <w:jc w:val="center"/>
                    <w:rPr>
                      <w:rFonts w:hint="default" w:ascii="Times New Roman" w:hAnsi="Times New Roman" w:cs="Times New Roman"/>
                      <w:sz w:val="21"/>
                      <w:szCs w:val="21"/>
                    </w:rPr>
                  </w:pPr>
                </w:p>
              </w:tc>
              <w:tc>
                <w:tcPr>
                  <w:tcW w:w="740" w:type="pct"/>
                  <w:tcBorders>
                    <w:tl2br w:val="nil"/>
                    <w:tr2bl w:val="nil"/>
                  </w:tcBorders>
                  <w:noWrap w:val="0"/>
                  <w:vAlign w:val="center"/>
                </w:tcPr>
                <w:p>
                  <w:pPr>
                    <w:spacing w:line="320" w:lineRule="exact"/>
                    <w:ind w:firstLine="0" w:firstLineChars="0"/>
                    <w:jc w:val="center"/>
                    <w:rPr>
                      <w:rFonts w:hint="default" w:ascii="Times New Roman" w:hAnsi="Times New Roman" w:cs="Times New Roman"/>
                      <w:sz w:val="21"/>
                      <w:szCs w:val="21"/>
                    </w:rPr>
                  </w:pPr>
                  <w:r>
                    <w:rPr>
                      <w:rFonts w:hint="default" w:ascii="Times New Roman" w:hAnsi="Times New Roman" w:cs="Times New Roman"/>
                      <w:sz w:val="21"/>
                      <w:szCs w:val="21"/>
                    </w:rPr>
                    <w:t>夜间</w:t>
                  </w:r>
                </w:p>
              </w:tc>
              <w:tc>
                <w:tcPr>
                  <w:tcW w:w="813" w:type="pct"/>
                  <w:tcBorders>
                    <w:tl2br w:val="nil"/>
                    <w:tr2bl w:val="nil"/>
                  </w:tcBorders>
                  <w:noWrap w:val="0"/>
                  <w:vAlign w:val="center"/>
                </w:tcPr>
                <w:p>
                  <w:pPr>
                    <w:spacing w:line="320" w:lineRule="exact"/>
                    <w:ind w:firstLine="0" w:firstLineChars="0"/>
                    <w:jc w:val="center"/>
                    <w:rPr>
                      <w:rFonts w:hint="default" w:ascii="Times New Roman" w:hAnsi="Times New Roman" w:cs="Times New Roman"/>
                      <w:sz w:val="21"/>
                      <w:szCs w:val="21"/>
                    </w:rPr>
                  </w:pPr>
                  <w:r>
                    <w:rPr>
                      <w:rFonts w:hint="eastAsia" w:ascii="Times New Roman" w:hAnsi="Times New Roman" w:cs="Times New Roman"/>
                      <w:sz w:val="21"/>
                      <w:szCs w:val="21"/>
                      <w:lang w:val="en-US" w:eastAsia="zh-CN"/>
                    </w:rPr>
                    <w:t>45</w:t>
                  </w:r>
                  <w:r>
                    <w:rPr>
                      <w:rFonts w:hint="default" w:ascii="Times New Roman" w:hAnsi="Times New Roman" w:cs="Times New Roman"/>
                      <w:sz w:val="21"/>
                      <w:szCs w:val="21"/>
                    </w:rPr>
                    <w:t>dB(A)</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7" w:type="dxa"/>
                  <w:bottom w:w="0" w:type="dxa"/>
                  <w:right w:w="57" w:type="dxa"/>
                </w:tblCellMar>
              </w:tblPrEx>
              <w:trPr>
                <w:trHeight w:val="397" w:hRule="atLeast"/>
              </w:trPr>
              <w:tc>
                <w:tcPr>
                  <w:tcW w:w="425" w:type="pct"/>
                  <w:vMerge w:val="restart"/>
                  <w:tcBorders>
                    <w:tl2br w:val="nil"/>
                    <w:tr2bl w:val="nil"/>
                  </w:tcBorders>
                  <w:noWrap w:val="0"/>
                  <w:vAlign w:val="center"/>
                </w:tcPr>
                <w:p>
                  <w:pPr>
                    <w:spacing w:line="320" w:lineRule="exact"/>
                    <w:ind w:firstLine="0" w:firstLineChars="0"/>
                    <w:jc w:val="center"/>
                    <w:rPr>
                      <w:rFonts w:hint="default" w:ascii="Times New Roman" w:hAnsi="Times New Roman" w:cs="Times New Roman"/>
                      <w:sz w:val="21"/>
                      <w:szCs w:val="21"/>
                    </w:rPr>
                  </w:pPr>
                  <w:r>
                    <w:rPr>
                      <w:rFonts w:hint="default" w:ascii="Times New Roman" w:hAnsi="Times New Roman" w:cs="Times New Roman"/>
                      <w:sz w:val="21"/>
                      <w:szCs w:val="21"/>
                    </w:rPr>
                    <w:t>固废</w:t>
                  </w:r>
                </w:p>
              </w:tc>
              <w:tc>
                <w:tcPr>
                  <w:tcW w:w="4574" w:type="pct"/>
                  <w:gridSpan w:val="4"/>
                  <w:tcBorders>
                    <w:tl2br w:val="nil"/>
                    <w:tr2bl w:val="nil"/>
                  </w:tcBorders>
                  <w:noWrap w:val="0"/>
                  <w:vAlign w:val="center"/>
                </w:tcPr>
                <w:p>
                  <w:pPr>
                    <w:spacing w:line="320" w:lineRule="exact"/>
                    <w:ind w:firstLine="0" w:firstLineChars="0"/>
                    <w:jc w:val="center"/>
                    <w:rPr>
                      <w:rFonts w:hint="default" w:ascii="Times New Roman" w:hAnsi="Times New Roman" w:cs="Times New Roman"/>
                      <w:sz w:val="21"/>
                      <w:szCs w:val="21"/>
                    </w:rPr>
                  </w:pPr>
                  <w:r>
                    <w:rPr>
                      <w:rFonts w:hint="default" w:ascii="Times New Roman" w:hAnsi="Times New Roman" w:cs="Times New Roman"/>
                      <w:sz w:val="21"/>
                      <w:szCs w:val="21"/>
                    </w:rPr>
                    <w:t>《一般工业固体废物贮存和填埋污染控制标准》（GB18599-2020）</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7" w:type="dxa"/>
                  <w:bottom w:w="0" w:type="dxa"/>
                  <w:right w:w="57" w:type="dxa"/>
                </w:tblCellMar>
              </w:tblPrEx>
              <w:trPr>
                <w:trHeight w:val="397" w:hRule="atLeast"/>
              </w:trPr>
              <w:tc>
                <w:tcPr>
                  <w:tcW w:w="425" w:type="pct"/>
                  <w:vMerge w:val="continue"/>
                  <w:tcBorders>
                    <w:tl2br w:val="nil"/>
                    <w:tr2bl w:val="nil"/>
                  </w:tcBorders>
                  <w:noWrap w:val="0"/>
                  <w:vAlign w:val="center"/>
                </w:tcPr>
                <w:p>
                  <w:pPr>
                    <w:spacing w:line="320" w:lineRule="exact"/>
                    <w:ind w:firstLine="0" w:firstLineChars="0"/>
                    <w:jc w:val="center"/>
                    <w:rPr>
                      <w:rFonts w:hint="default" w:ascii="Times New Roman" w:hAnsi="Times New Roman" w:cs="Times New Roman"/>
                      <w:sz w:val="21"/>
                      <w:szCs w:val="21"/>
                    </w:rPr>
                  </w:pPr>
                </w:p>
              </w:tc>
              <w:tc>
                <w:tcPr>
                  <w:tcW w:w="4574" w:type="pct"/>
                  <w:gridSpan w:val="4"/>
                  <w:tcBorders>
                    <w:tl2br w:val="nil"/>
                    <w:tr2bl w:val="nil"/>
                  </w:tcBorders>
                  <w:noWrap w:val="0"/>
                  <w:vAlign w:val="center"/>
                </w:tcPr>
                <w:p>
                  <w:pPr>
                    <w:spacing w:line="320" w:lineRule="exact"/>
                    <w:ind w:firstLine="0" w:firstLineChars="0"/>
                    <w:jc w:val="center"/>
                    <w:rPr>
                      <w:rFonts w:hint="default" w:ascii="Times New Roman" w:hAnsi="Times New Roman" w:cs="Times New Roman"/>
                      <w:sz w:val="21"/>
                      <w:szCs w:val="21"/>
                    </w:rPr>
                  </w:pPr>
                  <w:r>
                    <w:rPr>
                      <w:rFonts w:hint="default" w:ascii="Times New Roman" w:hAnsi="Times New Roman" w:cs="Times New Roman"/>
                      <w:sz w:val="21"/>
                      <w:szCs w:val="21"/>
                    </w:rPr>
                    <w:t>《危险废物贮存污染控制标准》（GB18597-2001）（2013年修订）</w:t>
                  </w:r>
                </w:p>
              </w:tc>
            </w:tr>
          </w:tbl>
          <w:p>
            <w:pPr>
              <w:rPr>
                <w:rFonts w:hint="default"/>
              </w:rPr>
            </w:pPr>
          </w:p>
          <w:p>
            <w:pPr>
              <w:pStyle w:val="4"/>
              <w:ind w:left="121" w:leftChars="0" w:firstLine="560" w:firstLineChars="200"/>
              <w:rPr>
                <w:rFonts w:hint="default" w:ascii="Times New Roman" w:hAnsi="Times New Roman" w:eastAsia="宋体" w:cs="Times New Roman"/>
                <w:kern w:val="2"/>
                <w:sz w:val="28"/>
                <w:szCs w:val="24"/>
                <w:lang w:val="en-US" w:eastAsia="zh-CN" w:bidi="ar-SA"/>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999" w:hRule="atLeast"/>
          <w:jc w:val="center"/>
        </w:trPr>
        <w:tc>
          <w:tcPr>
            <w:tcW w:w="407" w:type="pct"/>
            <w:vAlign w:val="center"/>
          </w:tcPr>
          <w:p>
            <w:pPr>
              <w:adjustRightInd w:val="0"/>
              <w:snapToGrid w:val="0"/>
              <w:spacing w:line="240" w:lineRule="auto"/>
              <w:ind w:firstLine="0" w:firstLineChars="0"/>
              <w:jc w:val="center"/>
              <w:rPr>
                <w:rFonts w:hint="default" w:ascii="Times New Roman" w:hAnsi="Times New Roman" w:cs="Times New Roman" w:eastAsiaTheme="minorEastAsia"/>
                <w:color w:val="0000FF"/>
                <w:kern w:val="0"/>
                <w:sz w:val="24"/>
                <w:szCs w:val="21"/>
                <w:lang w:val="en-US" w:eastAsia="zh-CN" w:bidi="ar-SA"/>
              </w:rPr>
            </w:pPr>
            <w:r>
              <w:rPr>
                <w:rFonts w:hint="default" w:ascii="Times New Roman" w:hAnsi="Times New Roman" w:cs="Times New Roman"/>
                <w:color w:val="auto"/>
                <w:kern w:val="0"/>
                <w:szCs w:val="21"/>
              </w:rPr>
              <w:t>其他</w:t>
            </w:r>
          </w:p>
        </w:tc>
        <w:tc>
          <w:tcPr>
            <w:tcW w:w="4592" w:type="pct"/>
            <w:vAlign w:val="center"/>
          </w:tcPr>
          <w:p>
            <w:pPr>
              <w:spacing w:line="360" w:lineRule="auto"/>
              <w:ind w:firstLine="480"/>
              <w:contextualSpacing/>
              <w:rPr>
                <w:rFonts w:hint="default" w:ascii="Times New Roman" w:hAnsi="Times New Roman" w:cs="Times New Roman"/>
                <w:lang w:val="zh-CN"/>
              </w:rPr>
            </w:pPr>
          </w:p>
          <w:p>
            <w:pPr>
              <w:spacing w:line="360" w:lineRule="auto"/>
              <w:ind w:firstLine="480"/>
              <w:contextualSpacing/>
              <w:rPr>
                <w:rFonts w:hint="default" w:ascii="Times New Roman" w:hAnsi="Times New Roman" w:cs="Times New Roman"/>
                <w:lang w:val="zh-CN"/>
              </w:rPr>
            </w:pPr>
            <w:r>
              <w:rPr>
                <w:rFonts w:hint="default" w:ascii="Times New Roman" w:hAnsi="Times New Roman" w:cs="Times New Roman"/>
                <w:lang w:val="zh-CN"/>
              </w:rPr>
              <w:t>本项目不涉及总量控制指标。</w:t>
            </w:r>
          </w:p>
          <w:p>
            <w:pPr>
              <w:pStyle w:val="4"/>
              <w:ind w:left="121" w:leftChars="0" w:firstLine="560" w:firstLineChars="200"/>
              <w:rPr>
                <w:rFonts w:hint="default" w:ascii="Times New Roman" w:hAnsi="Times New Roman" w:eastAsia="宋体" w:cs="Times New Roman"/>
                <w:kern w:val="2"/>
                <w:sz w:val="28"/>
                <w:szCs w:val="24"/>
                <w:lang w:val="en-US" w:eastAsia="zh-CN" w:bidi="ar-SA"/>
              </w:rPr>
            </w:pPr>
          </w:p>
        </w:tc>
      </w:tr>
    </w:tbl>
    <w:p>
      <w:pPr>
        <w:keepNext w:val="0"/>
        <w:keepLines w:val="0"/>
        <w:pageBreakBefore w:val="0"/>
        <w:widowControl w:val="0"/>
        <w:kinsoku/>
        <w:wordWrap/>
        <w:overflowPunct/>
        <w:topLinePunct w:val="0"/>
        <w:autoSpaceDE/>
        <w:autoSpaceDN/>
        <w:bidi w:val="0"/>
        <w:adjustRightInd w:val="0"/>
        <w:snapToGrid w:val="0"/>
        <w:spacing w:line="240" w:lineRule="auto"/>
        <w:ind w:firstLine="480"/>
        <w:jc w:val="center"/>
        <w:textAlignment w:val="top"/>
        <w:rPr>
          <w:rFonts w:hint="default" w:ascii="Times New Roman" w:hAnsi="Times New Roman" w:cs="Times New Roman"/>
          <w:color w:val="0000FF"/>
          <w:kern w:val="0"/>
          <w:sz w:val="10"/>
          <w:szCs w:val="10"/>
        </w:rPr>
      </w:pPr>
    </w:p>
    <w:p>
      <w:pPr>
        <w:ind w:firstLine="480"/>
        <w:rPr>
          <w:rFonts w:hint="default" w:ascii="Times New Roman" w:hAnsi="Times New Roman" w:cs="Times New Roman"/>
          <w:color w:val="0000FF"/>
        </w:rPr>
        <w:sectPr>
          <w:pgSz w:w="11906" w:h="16838"/>
          <w:pgMar w:top="1418" w:right="1134" w:bottom="1247" w:left="1247" w:header="851" w:footer="283" w:gutter="0"/>
          <w:pgBorders>
            <w:top w:val="none" w:sz="0" w:space="0"/>
            <w:left w:val="none" w:sz="0" w:space="0"/>
            <w:bottom w:val="none" w:sz="0" w:space="0"/>
            <w:right w:val="none" w:sz="0" w:space="0"/>
          </w:pgBorders>
          <w:pgNumType w:fmt="decimal"/>
          <w:cols w:space="425" w:num="1"/>
          <w:docGrid w:type="lines" w:linePitch="326" w:charSpace="0"/>
        </w:sectPr>
      </w:pPr>
    </w:p>
    <w:p>
      <w:pPr>
        <w:pStyle w:val="6"/>
        <w:numPr>
          <w:ilvl w:val="0"/>
          <w:numId w:val="9"/>
        </w:numPr>
        <w:ind w:firstLine="0" w:firstLineChars="0"/>
        <w:jc w:val="center"/>
        <w:rPr>
          <w:rFonts w:hint="default" w:ascii="Times New Roman" w:hAnsi="Times New Roman" w:cs="Times New Roman"/>
          <w:color w:val="auto"/>
        </w:rPr>
      </w:pPr>
      <w:bookmarkStart w:id="3" w:name="_Toc69745420"/>
      <w:r>
        <w:rPr>
          <w:rFonts w:hint="default" w:ascii="Times New Roman" w:hAnsi="Times New Roman" w:cs="Times New Roman"/>
          <w:color w:val="auto"/>
        </w:rPr>
        <w:t>生态环境影响分析</w:t>
      </w:r>
      <w:bookmarkEnd w:id="3"/>
    </w:p>
    <w:tbl>
      <w:tblPr>
        <w:tblStyle w:val="22"/>
        <w:tblW w:w="5123" w:type="pct"/>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833"/>
        <w:gridCol w:w="9066"/>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4976" w:hRule="atLeast"/>
          <w:jc w:val="center"/>
        </w:trPr>
        <w:tc>
          <w:tcPr>
            <w:tcW w:w="424" w:type="pct"/>
            <w:tcMar>
              <w:left w:w="28" w:type="dxa"/>
              <w:right w:w="28" w:type="dxa"/>
            </w:tcMar>
            <w:vAlign w:val="center"/>
          </w:tcPr>
          <w:p>
            <w:pPr>
              <w:pStyle w:val="20"/>
              <w:adjustRightInd w:val="0"/>
              <w:snapToGrid w:val="0"/>
              <w:spacing w:before="0" w:beforeAutospacing="0" w:after="0" w:afterAutospacing="0" w:line="240" w:lineRule="auto"/>
              <w:ind w:firstLine="0" w:firstLineChars="0"/>
              <w:jc w:val="center"/>
              <w:rPr>
                <w:rFonts w:hint="default" w:ascii="Times New Roman" w:hAnsi="Times New Roman" w:cs="Times New Roman"/>
                <w:bCs/>
                <w:color w:val="0000FF"/>
                <w:kern w:val="2"/>
              </w:rPr>
            </w:pPr>
            <w:bookmarkStart w:id="4" w:name="_Hlk49796138"/>
            <w:r>
              <w:rPr>
                <w:rFonts w:hint="default" w:ascii="Times New Roman" w:hAnsi="Times New Roman" w:cs="Times New Roman"/>
                <w:bCs/>
                <w:color w:val="auto"/>
                <w:spacing w:val="10"/>
                <w:kern w:val="2"/>
              </w:rPr>
              <w:t>施工期生态环境影响分析</w:t>
            </w:r>
            <w:bookmarkEnd w:id="4"/>
          </w:p>
        </w:tc>
        <w:tc>
          <w:tcPr>
            <w:tcW w:w="4575" w:type="pct"/>
          </w:tcPr>
          <w:p>
            <w:pPr>
              <w:ind w:firstLine="0" w:firstLineChars="0"/>
              <w:rPr>
                <w:rFonts w:hint="default" w:ascii="Times New Roman" w:hAnsi="Times New Roman" w:cs="Times New Roman"/>
                <w:b/>
                <w:bCs/>
              </w:rPr>
            </w:pPr>
            <w:r>
              <w:rPr>
                <w:rFonts w:hint="default" w:ascii="Times New Roman" w:hAnsi="Times New Roman" w:cs="Times New Roman"/>
                <w:b/>
                <w:bCs/>
              </w:rPr>
              <w:t>1、施工期产污环节</w:t>
            </w:r>
          </w:p>
          <w:p>
            <w:pPr>
              <w:ind w:firstLine="480"/>
              <w:rPr>
                <w:rFonts w:hint="default" w:ascii="Times New Roman" w:hAnsi="Times New Roman" w:cs="Times New Roman"/>
              </w:rPr>
            </w:pPr>
            <w:r>
              <w:rPr>
                <w:rFonts w:hint="default" w:ascii="Times New Roman" w:hAnsi="Times New Roman" w:cs="Times New Roman"/>
              </w:rPr>
              <w:t>本项目的施工包括升压站</w:t>
            </w:r>
            <w:r>
              <w:rPr>
                <w:rFonts w:hint="eastAsia" w:cs="Times New Roman"/>
                <w:lang w:val="en-US" w:eastAsia="zh-CN"/>
              </w:rPr>
              <w:t>内围墙及</w:t>
            </w:r>
            <w:r>
              <w:rPr>
                <w:rFonts w:hint="default" w:ascii="Times New Roman" w:hAnsi="Times New Roman" w:cs="Times New Roman"/>
              </w:rPr>
              <w:t>构筑物的建设及设备的安装和调试。</w:t>
            </w:r>
          </w:p>
          <w:p>
            <w:pPr>
              <w:spacing w:line="240" w:lineRule="auto"/>
              <w:ind w:firstLine="0" w:firstLineChars="0"/>
              <w:jc w:val="center"/>
              <w:rPr>
                <w:rFonts w:hint="eastAsia" w:ascii="Times New Roman" w:hAnsi="Times New Roman" w:cs="Times New Roman" w:eastAsiaTheme="minorEastAsia"/>
                <w:lang w:eastAsia="zh-CN"/>
              </w:rPr>
            </w:pPr>
            <w:r>
              <w:rPr>
                <w:rFonts w:hint="eastAsia" w:ascii="Times New Roman" w:hAnsi="Times New Roman" w:cs="Times New Roman" w:eastAsiaTheme="minorEastAsia"/>
                <w:lang w:eastAsia="zh-CN"/>
              </w:rPr>
              <w:drawing>
                <wp:inline distT="0" distB="0" distL="114300" distR="114300">
                  <wp:extent cx="4862195" cy="2413000"/>
                  <wp:effectExtent l="0" t="0" r="14605" b="6350"/>
                  <wp:docPr id="1" name="图片 1" descr="16553719745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1655371974596"/>
                          <pic:cNvPicPr>
                            <a:picLocks noChangeAspect="1"/>
                          </pic:cNvPicPr>
                        </pic:nvPicPr>
                        <pic:blipFill>
                          <a:blip r:embed="rId10"/>
                          <a:stretch>
                            <a:fillRect/>
                          </a:stretch>
                        </pic:blipFill>
                        <pic:spPr>
                          <a:xfrm>
                            <a:off x="0" y="0"/>
                            <a:ext cx="4862195" cy="2413000"/>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ind w:firstLine="0" w:firstLineChars="0"/>
              <w:jc w:val="center"/>
              <w:textAlignment w:val="top"/>
              <w:rPr>
                <w:rFonts w:hint="default" w:ascii="Times New Roman" w:hAnsi="Times New Roman" w:cs="Times New Roman"/>
                <w:b/>
                <w:bCs/>
                <w:highlight w:val="none"/>
              </w:rPr>
            </w:pPr>
            <w:r>
              <w:rPr>
                <w:rFonts w:hint="default" w:ascii="Times New Roman" w:hAnsi="Times New Roman" w:cs="Times New Roman"/>
                <w:b/>
                <w:bCs/>
                <w:highlight w:val="none"/>
              </w:rPr>
              <w:t>图4-1  本项目施工期工艺流程及产污环节</w:t>
            </w:r>
          </w:p>
          <w:p>
            <w:pPr>
              <w:ind w:firstLine="480"/>
              <w:rPr>
                <w:rFonts w:hint="default" w:ascii="Times New Roman" w:hAnsi="Times New Roman" w:cs="Times New Roman"/>
              </w:rPr>
            </w:pPr>
            <w:r>
              <w:rPr>
                <w:rFonts w:hint="default" w:ascii="Times New Roman" w:hAnsi="Times New Roman" w:cs="Times New Roman"/>
              </w:rPr>
              <w:t>施工期主要污染源有：施工期机械噪声、扬尘、运输及动力设备运行产生的燃油废气、固体废物、施工作业对评价区生态环境破坏可能导致的水土流失和植被破坏、施工人员生活废水、生活垃圾等。</w:t>
            </w:r>
          </w:p>
          <w:p>
            <w:pPr>
              <w:ind w:firstLine="0" w:firstLineChars="0"/>
              <w:rPr>
                <w:rFonts w:hint="default" w:ascii="Times New Roman" w:hAnsi="Times New Roman" w:cs="Times New Roman"/>
                <w:b/>
                <w:bCs/>
              </w:rPr>
            </w:pPr>
            <w:r>
              <w:rPr>
                <w:rFonts w:hint="default" w:ascii="Times New Roman" w:hAnsi="Times New Roman" w:cs="Times New Roman"/>
                <w:b/>
                <w:bCs/>
              </w:rPr>
              <w:t>2、施工期环境影响</w:t>
            </w:r>
          </w:p>
          <w:p>
            <w:pPr>
              <w:ind w:firstLine="480"/>
              <w:rPr>
                <w:rFonts w:hint="default" w:ascii="Times New Roman" w:hAnsi="Times New Roman" w:cs="Times New Roman"/>
              </w:rPr>
            </w:pPr>
            <w:r>
              <w:rPr>
                <w:rFonts w:hint="default" w:ascii="Times New Roman" w:hAnsi="Times New Roman" w:cs="Times New Roman"/>
              </w:rPr>
              <w:t>（1）生态环境影响分析</w:t>
            </w:r>
          </w:p>
          <w:p>
            <w:pPr>
              <w:ind w:firstLine="480"/>
              <w:rPr>
                <w:rFonts w:hint="default" w:ascii="Times New Roman" w:hAnsi="Times New Roman" w:cs="Times New Roman"/>
              </w:rPr>
            </w:pPr>
            <w:r>
              <w:rPr>
                <w:rFonts w:hint="default" w:ascii="Times New Roman" w:hAnsi="Times New Roman" w:cs="Times New Roman"/>
              </w:rPr>
              <w:t>1）土地占用</w:t>
            </w:r>
            <w:r>
              <w:rPr>
                <w:rFonts w:hint="eastAsia" w:cs="Times New Roman"/>
                <w:lang w:eastAsia="zh-CN"/>
              </w:rPr>
              <w:t>：</w:t>
            </w:r>
            <w:r>
              <w:rPr>
                <w:rFonts w:hint="default" w:ascii="Times New Roman" w:hAnsi="Times New Roman" w:cs="Times New Roman"/>
              </w:rPr>
              <w:t>升压站施工需要全部破坏占地范围的土地，原占地类型为</w:t>
            </w:r>
            <w:r>
              <w:rPr>
                <w:rFonts w:hint="default" w:ascii="Times New Roman" w:hAnsi="Times New Roman" w:cs="Times New Roman"/>
                <w:lang w:val="en-US" w:eastAsia="zh-CN"/>
              </w:rPr>
              <w:t>林</w:t>
            </w:r>
            <w:r>
              <w:rPr>
                <w:rFonts w:hint="default" w:ascii="Times New Roman" w:hAnsi="Times New Roman" w:cs="Times New Roman"/>
              </w:rPr>
              <w:t>地，施工结束后将全部转变为建设用地，土地利用将发生明显改变，由于升压站占地范围小，对区域土地利用格局影响范围有限。</w:t>
            </w:r>
          </w:p>
          <w:p>
            <w:pPr>
              <w:ind w:firstLine="480"/>
              <w:rPr>
                <w:rFonts w:hint="default" w:ascii="Times New Roman" w:hAnsi="Times New Roman" w:cs="Times New Roman"/>
              </w:rPr>
            </w:pPr>
            <w:r>
              <w:rPr>
                <w:rFonts w:hint="default" w:ascii="Times New Roman" w:hAnsi="Times New Roman" w:cs="Times New Roman"/>
              </w:rPr>
              <w:t>2）植被破坏</w:t>
            </w:r>
            <w:r>
              <w:rPr>
                <w:rFonts w:hint="eastAsia" w:cs="Times New Roman"/>
                <w:lang w:eastAsia="zh-CN"/>
              </w:rPr>
              <w:t>：</w:t>
            </w:r>
            <w:r>
              <w:rPr>
                <w:rFonts w:hint="default" w:ascii="Times New Roman" w:hAnsi="Times New Roman" w:cs="Times New Roman"/>
                <w:lang w:val="en-US" w:eastAsia="zh-CN"/>
              </w:rPr>
              <w:t>项目占地</w:t>
            </w:r>
            <w:r>
              <w:rPr>
                <w:rFonts w:hint="default" w:ascii="Times New Roman" w:hAnsi="Times New Roman" w:cs="Times New Roman"/>
              </w:rPr>
              <w:t>对植被的影响</w:t>
            </w:r>
            <w:r>
              <w:rPr>
                <w:rFonts w:hint="default" w:ascii="Times New Roman" w:hAnsi="Times New Roman" w:cs="Times New Roman"/>
                <w:lang w:val="en-US" w:eastAsia="zh-CN"/>
              </w:rPr>
              <w:t>主要为</w:t>
            </w:r>
            <w:r>
              <w:rPr>
                <w:rFonts w:hint="default" w:ascii="Times New Roman" w:hAnsi="Times New Roman" w:cs="Times New Roman"/>
              </w:rPr>
              <w:t>周围</w:t>
            </w:r>
            <w:r>
              <w:rPr>
                <w:rFonts w:hint="default" w:ascii="Times New Roman" w:hAnsi="Times New Roman" w:cs="Times New Roman"/>
                <w:lang w:val="en-US" w:eastAsia="zh-CN"/>
              </w:rPr>
              <w:t>林木</w:t>
            </w:r>
            <w:r>
              <w:rPr>
                <w:rFonts w:hint="default" w:ascii="Times New Roman" w:hAnsi="Times New Roman" w:cs="Times New Roman"/>
              </w:rPr>
              <w:t>面积和覆盖度的减少</w:t>
            </w:r>
            <w:r>
              <w:rPr>
                <w:rFonts w:hint="default" w:ascii="Times New Roman" w:hAnsi="Times New Roman" w:cs="Times New Roman"/>
                <w:lang w:eastAsia="zh-CN"/>
              </w:rPr>
              <w:t>。</w:t>
            </w:r>
            <w:r>
              <w:rPr>
                <w:rFonts w:hint="default" w:ascii="Times New Roman" w:hAnsi="Times New Roman" w:cs="Times New Roman"/>
                <w:lang w:val="en-US" w:eastAsia="zh-CN"/>
              </w:rPr>
              <w:t>根据济源产城融合示范区林业局出具的项目选址意见，本项目不涉及林地禁建区域。项目</w:t>
            </w:r>
            <w:r>
              <w:rPr>
                <w:rFonts w:hint="default" w:ascii="Times New Roman" w:hAnsi="Times New Roman" w:cs="Times New Roman"/>
              </w:rPr>
              <w:t>破坏植被面积有限且没有受保护植物，项目施工不会造成某种植物种类在评价区灭绝，施工对区域植被影响较小。</w:t>
            </w:r>
          </w:p>
          <w:p>
            <w:pPr>
              <w:ind w:firstLine="480"/>
              <w:rPr>
                <w:rFonts w:hint="default" w:ascii="Times New Roman" w:hAnsi="Times New Roman" w:cs="Times New Roman"/>
                <w:lang w:val="en-US" w:eastAsia="zh-CN"/>
              </w:rPr>
            </w:pPr>
            <w:r>
              <w:rPr>
                <w:rFonts w:hint="eastAsia" w:ascii="Times New Roman" w:hAnsi="Times New Roman" w:cs="Times New Roman"/>
                <w:lang w:val="en-US" w:eastAsia="zh-CN"/>
              </w:rPr>
              <w:t>3</w:t>
            </w:r>
            <w:r>
              <w:rPr>
                <w:rFonts w:hint="default" w:ascii="Times New Roman" w:hAnsi="Times New Roman" w:cs="Times New Roman"/>
              </w:rPr>
              <w:t>）水土流失</w:t>
            </w:r>
            <w:r>
              <w:rPr>
                <w:rFonts w:hint="eastAsia" w:ascii="Times New Roman" w:hAnsi="Times New Roman" w:cs="Times New Roman"/>
                <w:lang w:eastAsia="zh-CN"/>
              </w:rPr>
              <w:t>：</w:t>
            </w:r>
            <w:r>
              <w:rPr>
                <w:rFonts w:hint="default" w:ascii="Times New Roman" w:hAnsi="Times New Roman" w:cs="Times New Roman"/>
              </w:rPr>
              <w:t>升压站在开挖和回填等活动的过程中不可避免地对原地貌、植被与地表组成物造成破环。场地边坡施工和支架基础施工时，若不加以防护、容易产生水土流失。</w:t>
            </w:r>
          </w:p>
          <w:p>
            <w:pPr>
              <w:ind w:firstLine="480"/>
              <w:rPr>
                <w:rFonts w:hint="default" w:ascii="Times New Roman" w:hAnsi="Times New Roman" w:cs="Times New Roman"/>
              </w:rPr>
            </w:pPr>
            <w:r>
              <w:rPr>
                <w:rFonts w:hint="default" w:ascii="Times New Roman" w:hAnsi="Times New Roman" w:cs="Times New Roman"/>
              </w:rPr>
              <w:t>（2）大气环境影响分析</w:t>
            </w:r>
          </w:p>
          <w:p>
            <w:pPr>
              <w:ind w:firstLine="480"/>
              <w:rPr>
                <w:rFonts w:hint="default" w:ascii="Times New Roman" w:hAnsi="Times New Roman" w:cs="Times New Roman"/>
                <w:highlight w:val="none"/>
              </w:rPr>
            </w:pPr>
            <w:r>
              <w:rPr>
                <w:rFonts w:hint="eastAsia" w:cs="Times New Roman"/>
                <w:highlight w:val="none"/>
                <w:lang w:val="en-US" w:eastAsia="zh-CN"/>
              </w:rPr>
              <w:t>施工期</w:t>
            </w:r>
            <w:r>
              <w:rPr>
                <w:rFonts w:hint="default" w:ascii="Times New Roman" w:hAnsi="Times New Roman" w:cs="Times New Roman"/>
                <w:highlight w:val="none"/>
              </w:rPr>
              <w:t>空气污染源主要是施工扬尘，主要来自基础开挖</w:t>
            </w:r>
            <w:r>
              <w:rPr>
                <w:rFonts w:hint="eastAsia" w:ascii="Times New Roman" w:hAnsi="Times New Roman" w:cs="Times New Roman"/>
                <w:highlight w:val="none"/>
                <w:lang w:eastAsia="zh-CN"/>
              </w:rPr>
              <w:t>、</w:t>
            </w:r>
            <w:r>
              <w:rPr>
                <w:rFonts w:hint="default" w:ascii="Times New Roman" w:hAnsi="Times New Roman" w:cs="Times New Roman"/>
                <w:highlight w:val="none"/>
              </w:rPr>
              <w:t>建筑材料的运输装卸、施工现场内车辆行驶等。施工开挖、车辆运输等产生的粉尘短期内将使局部区域内空气中的总悬浮颗粒物(TSP)明显增加。由于扬尘源多且分散，受施工方式、设备、气候等因素制约，产生的随机性和波动性较大</w:t>
            </w:r>
            <w:r>
              <w:rPr>
                <w:rFonts w:hint="eastAsia" w:ascii="Times New Roman" w:hAnsi="Times New Roman" w:cs="Times New Roman"/>
                <w:highlight w:val="none"/>
                <w:lang w:eastAsia="zh-CN"/>
              </w:rPr>
              <w:t>，</w:t>
            </w:r>
            <w:r>
              <w:rPr>
                <w:rFonts w:hint="default" w:ascii="Times New Roman" w:hAnsi="Times New Roman" w:cs="Times New Roman"/>
                <w:highlight w:val="none"/>
              </w:rPr>
              <w:t>源高一般在1.5m以下，属无组织排放。</w:t>
            </w:r>
          </w:p>
          <w:p>
            <w:pPr>
              <w:ind w:firstLine="480"/>
              <w:rPr>
                <w:rFonts w:hint="default" w:ascii="Times New Roman" w:hAnsi="Times New Roman" w:cs="Times New Roman"/>
                <w:highlight w:val="none"/>
              </w:rPr>
            </w:pPr>
            <w:r>
              <w:rPr>
                <w:rFonts w:hint="default" w:ascii="Times New Roman" w:hAnsi="Times New Roman" w:cs="Times New Roman"/>
                <w:highlight w:val="none"/>
              </w:rPr>
              <w:t>施工扬尘的影响是短时间的，当建设期结束，此问题亦会消失</w:t>
            </w:r>
            <w:r>
              <w:rPr>
                <w:rFonts w:hint="eastAsia" w:cs="Times New Roman"/>
                <w:highlight w:val="none"/>
                <w:lang w:eastAsia="zh-CN"/>
              </w:rPr>
              <w:t>，</w:t>
            </w:r>
            <w:r>
              <w:rPr>
                <w:rFonts w:hint="eastAsia" w:cs="Times New Roman"/>
                <w:highlight w:val="none"/>
                <w:lang w:val="en-US" w:eastAsia="zh-CN"/>
              </w:rPr>
              <w:t>且施工过程在</w:t>
            </w:r>
            <w:r>
              <w:rPr>
                <w:rFonts w:hint="default" w:ascii="Times New Roman" w:hAnsi="Times New Roman" w:cs="Times New Roman"/>
                <w:highlight w:val="none"/>
              </w:rPr>
              <w:t>采取覆盖、</w:t>
            </w:r>
            <w:r>
              <w:rPr>
                <w:rFonts w:hint="eastAsia" w:cs="Times New Roman"/>
                <w:highlight w:val="none"/>
                <w:lang w:val="en-US" w:eastAsia="zh-CN"/>
              </w:rPr>
              <w:t>洒</w:t>
            </w:r>
            <w:r>
              <w:rPr>
                <w:rFonts w:hint="default" w:ascii="Times New Roman" w:hAnsi="Times New Roman" w:cs="Times New Roman"/>
                <w:highlight w:val="none"/>
              </w:rPr>
              <w:t>水降尘</w:t>
            </w:r>
            <w:r>
              <w:rPr>
                <w:rFonts w:hint="eastAsia" w:cs="Times New Roman"/>
                <w:highlight w:val="none"/>
                <w:lang w:eastAsia="zh-CN"/>
              </w:rPr>
              <w:t>、</w:t>
            </w:r>
            <w:r>
              <w:rPr>
                <w:rFonts w:hint="eastAsia" w:cs="Times New Roman"/>
                <w:highlight w:val="none"/>
                <w:lang w:val="en-US" w:eastAsia="zh-CN"/>
              </w:rPr>
              <w:t>车辆冲洗</w:t>
            </w:r>
            <w:r>
              <w:rPr>
                <w:rFonts w:hint="default" w:ascii="Times New Roman" w:hAnsi="Times New Roman" w:cs="Times New Roman"/>
                <w:highlight w:val="none"/>
              </w:rPr>
              <w:t>等环境保护措施后，</w:t>
            </w:r>
            <w:r>
              <w:rPr>
                <w:rFonts w:hint="eastAsia" w:cs="Times New Roman"/>
                <w:highlight w:val="none"/>
                <w:lang w:val="en-US" w:eastAsia="zh-CN"/>
              </w:rPr>
              <w:t>施工扬尘</w:t>
            </w:r>
            <w:r>
              <w:rPr>
                <w:rFonts w:hint="default" w:ascii="Times New Roman" w:hAnsi="Times New Roman" w:cs="Times New Roman"/>
                <w:highlight w:val="none"/>
              </w:rPr>
              <w:t>对附近区域环境空气质量</w:t>
            </w:r>
            <w:r>
              <w:rPr>
                <w:rFonts w:hint="eastAsia" w:cs="Times New Roman"/>
                <w:highlight w:val="none"/>
                <w:lang w:val="en-US" w:eastAsia="zh-CN"/>
              </w:rPr>
              <w:t>影响较小</w:t>
            </w:r>
            <w:r>
              <w:rPr>
                <w:rFonts w:hint="default" w:ascii="Times New Roman" w:hAnsi="Times New Roman" w:cs="Times New Roman"/>
                <w:highlight w:val="none"/>
              </w:rPr>
              <w:t>。</w:t>
            </w:r>
          </w:p>
          <w:p>
            <w:pPr>
              <w:ind w:firstLine="480"/>
              <w:rPr>
                <w:rFonts w:hint="default" w:ascii="Times New Roman" w:hAnsi="Times New Roman" w:cs="Times New Roman"/>
              </w:rPr>
            </w:pPr>
            <w:r>
              <w:rPr>
                <w:rFonts w:hint="default" w:ascii="Times New Roman" w:hAnsi="Times New Roman" w:cs="Times New Roman"/>
              </w:rPr>
              <w:t>（3）水环境影响分析</w:t>
            </w:r>
          </w:p>
          <w:p>
            <w:pPr>
              <w:ind w:firstLine="480"/>
              <w:rPr>
                <w:rFonts w:hint="default" w:ascii="Times New Roman" w:hAnsi="Times New Roman" w:cs="Times New Roman"/>
              </w:rPr>
            </w:pPr>
            <w:r>
              <w:rPr>
                <w:rFonts w:hint="default" w:ascii="Times New Roman" w:hAnsi="Times New Roman" w:cs="Times New Roman"/>
              </w:rPr>
              <w:t>本工程施工污水主要来自施工人员的生活污水和少量施工废水。</w:t>
            </w:r>
          </w:p>
          <w:p>
            <w:pPr>
              <w:ind w:firstLine="480"/>
              <w:rPr>
                <w:rFonts w:hint="default" w:ascii="Times New Roman" w:hAnsi="Times New Roman" w:cs="Times New Roman"/>
              </w:rPr>
            </w:pPr>
            <w:r>
              <w:rPr>
                <w:rFonts w:hint="default" w:ascii="Times New Roman" w:hAnsi="Times New Roman" w:cs="Times New Roman"/>
              </w:rPr>
              <w:t>1）施工废水</w:t>
            </w:r>
          </w:p>
          <w:p>
            <w:pPr>
              <w:ind w:firstLine="480"/>
              <w:rPr>
                <w:rFonts w:hint="default" w:ascii="Times New Roman" w:hAnsi="Times New Roman" w:cs="Times New Roman"/>
                <w:highlight w:val="none"/>
              </w:rPr>
            </w:pPr>
            <w:r>
              <w:rPr>
                <w:rFonts w:hint="default" w:ascii="Times New Roman" w:hAnsi="Times New Roman" w:cs="Times New Roman"/>
              </w:rPr>
              <w:t>施工废水主要为清洗废水等。</w:t>
            </w:r>
            <w:r>
              <w:rPr>
                <w:rFonts w:hint="eastAsia" w:cs="Times New Roman"/>
                <w:lang w:val="en-US" w:eastAsia="zh-CN"/>
              </w:rPr>
              <w:t>由于本项目升压站内主要建筑物采用预制舱式，不涉及现场土建，项目施工期主要为</w:t>
            </w:r>
            <w:r>
              <w:rPr>
                <w:rFonts w:hint="eastAsia" w:cs="Times New Roman"/>
                <w:color w:val="auto"/>
                <w:highlight w:val="none"/>
                <w:lang w:val="en-US" w:eastAsia="zh-CN"/>
              </w:rPr>
              <w:t>围墙、水池、</w:t>
            </w:r>
            <w:r>
              <w:rPr>
                <w:rFonts w:hint="default" w:ascii="Times New Roman" w:hAnsi="Times New Roman" w:cs="Times New Roman"/>
                <w:color w:val="auto"/>
                <w:lang w:val="en-US" w:eastAsia="zh-CN"/>
              </w:rPr>
              <w:t>少量电缆</w:t>
            </w:r>
            <w:r>
              <w:rPr>
                <w:rFonts w:hint="eastAsia" w:cs="Times New Roman"/>
                <w:color w:val="auto"/>
                <w:lang w:val="en-US" w:eastAsia="zh-CN"/>
              </w:rPr>
              <w:t>及</w:t>
            </w:r>
            <w:r>
              <w:rPr>
                <w:rFonts w:hint="default" w:ascii="Times New Roman" w:hAnsi="Times New Roman" w:cs="Times New Roman"/>
                <w:color w:val="auto"/>
                <w:lang w:val="en-US" w:eastAsia="zh-CN"/>
              </w:rPr>
              <w:t>管道连接</w:t>
            </w:r>
            <w:r>
              <w:rPr>
                <w:rFonts w:hint="eastAsia" w:ascii="Times New Roman" w:hAnsi="Times New Roman" w:cs="Times New Roman"/>
                <w:color w:val="auto"/>
                <w:lang w:val="en-US" w:eastAsia="zh-CN"/>
              </w:rPr>
              <w:t>现场施工，设备安装</w:t>
            </w:r>
            <w:r>
              <w:rPr>
                <w:rFonts w:hint="eastAsia" w:cs="Times New Roman"/>
                <w:color w:val="auto"/>
                <w:lang w:val="en-US" w:eastAsia="zh-CN"/>
              </w:rPr>
              <w:t>，施工废水较少。经类比，</w:t>
            </w:r>
            <w:r>
              <w:rPr>
                <w:rFonts w:hint="default" w:ascii="Times New Roman" w:hAnsi="Times New Roman" w:cs="Times New Roman"/>
              </w:rPr>
              <w:t>则施工废水产生量约为</w:t>
            </w:r>
            <w:r>
              <w:rPr>
                <w:rFonts w:hint="eastAsia" w:cs="Times New Roman"/>
                <w:lang w:val="en-US" w:eastAsia="zh-CN"/>
              </w:rPr>
              <w:t>10</w:t>
            </w:r>
            <w:r>
              <w:rPr>
                <w:rFonts w:hint="default" w:ascii="Times New Roman" w:hAnsi="Times New Roman" w:cs="Times New Roman"/>
              </w:rPr>
              <w:t>m</w:t>
            </w:r>
            <w:r>
              <w:rPr>
                <w:rFonts w:hint="default" w:ascii="Times New Roman" w:hAnsi="Times New Roman" w:cs="Times New Roman"/>
                <w:vertAlign w:val="superscript"/>
              </w:rPr>
              <w:t>3</w:t>
            </w:r>
            <w:r>
              <w:rPr>
                <w:rFonts w:hint="default" w:ascii="Times New Roman" w:hAnsi="Times New Roman" w:cs="Times New Roman"/>
              </w:rPr>
              <w:t>。废水中所含污染物主要为SS，浓度约为3000mg/L左右</w:t>
            </w:r>
            <w:r>
              <w:rPr>
                <w:rFonts w:hint="eastAsia" w:cs="Times New Roman"/>
                <w:lang w:eastAsia="zh-CN"/>
              </w:rPr>
              <w:t>。</w:t>
            </w:r>
            <w:r>
              <w:rPr>
                <w:rFonts w:hint="default" w:ascii="Times New Roman" w:hAnsi="Times New Roman" w:cs="Times New Roman"/>
              </w:rPr>
              <w:t>施工废水经沉淀池处理后，回用于施工</w:t>
            </w:r>
            <w:r>
              <w:rPr>
                <w:color w:val="auto"/>
                <w:kern w:val="0"/>
                <w:szCs w:val="20"/>
              </w:rPr>
              <w:t>场地</w:t>
            </w:r>
            <w:r>
              <w:rPr>
                <w:color w:val="auto"/>
                <w:kern w:val="0"/>
                <w:szCs w:val="20"/>
                <w:highlight w:val="none"/>
              </w:rPr>
              <w:t>洒水降尘</w:t>
            </w:r>
            <w:r>
              <w:rPr>
                <w:rFonts w:hint="default" w:ascii="Times New Roman" w:hAnsi="Times New Roman" w:cs="Times New Roman"/>
                <w:highlight w:val="none"/>
              </w:rPr>
              <w:t>，不外排，不会对周围水环境产生影响。</w:t>
            </w:r>
          </w:p>
          <w:p>
            <w:pPr>
              <w:ind w:firstLine="480"/>
              <w:rPr>
                <w:rFonts w:hint="default" w:ascii="Times New Roman" w:hAnsi="Times New Roman" w:cs="Times New Roman"/>
                <w:highlight w:val="none"/>
              </w:rPr>
            </w:pPr>
            <w:r>
              <w:rPr>
                <w:rFonts w:hint="default" w:ascii="Times New Roman" w:hAnsi="Times New Roman" w:cs="Times New Roman"/>
                <w:highlight w:val="none"/>
              </w:rPr>
              <w:t>2）生活污水</w:t>
            </w:r>
          </w:p>
          <w:p>
            <w:pPr>
              <w:ind w:firstLine="480"/>
              <w:rPr>
                <w:sz w:val="24"/>
                <w:highlight w:val="none"/>
              </w:rPr>
            </w:pPr>
            <w:r>
              <w:rPr>
                <w:rFonts w:hint="default" w:ascii="Times New Roman" w:hAnsi="Times New Roman" w:cs="Times New Roman"/>
                <w:highlight w:val="none"/>
              </w:rPr>
              <w:t>本项目升压站施工人员约为20人，会产生一定量的生活污水，</w:t>
            </w:r>
            <w:r>
              <w:rPr>
                <w:sz w:val="24"/>
                <w:highlight w:val="none"/>
              </w:rPr>
              <w:t>用水量按</w:t>
            </w:r>
            <w:r>
              <w:rPr>
                <w:rFonts w:hint="eastAsia"/>
                <w:sz w:val="24"/>
                <w:highlight w:val="none"/>
              </w:rPr>
              <w:t>5</w:t>
            </w:r>
            <w:r>
              <w:rPr>
                <w:sz w:val="24"/>
                <w:highlight w:val="none"/>
              </w:rPr>
              <w:t>0L/人•日计，则日生活用水量为</w:t>
            </w:r>
            <w:r>
              <w:rPr>
                <w:rFonts w:hint="eastAsia"/>
                <w:sz w:val="24"/>
                <w:highlight w:val="none"/>
                <w:lang w:val="en-US" w:eastAsia="zh-CN"/>
              </w:rPr>
              <w:t>1</w:t>
            </w:r>
            <w:r>
              <w:rPr>
                <w:sz w:val="24"/>
                <w:highlight w:val="none"/>
              </w:rPr>
              <w:t>m</w:t>
            </w:r>
            <w:r>
              <w:rPr>
                <w:sz w:val="24"/>
                <w:highlight w:val="none"/>
                <w:vertAlign w:val="superscript"/>
              </w:rPr>
              <w:t>3</w:t>
            </w:r>
            <w:r>
              <w:rPr>
                <w:sz w:val="24"/>
                <w:highlight w:val="none"/>
              </w:rPr>
              <w:t>/d。排放量按用水量的80%计算，则生活污水排放量为</w:t>
            </w:r>
            <w:r>
              <w:rPr>
                <w:rFonts w:hint="eastAsia"/>
                <w:sz w:val="24"/>
                <w:highlight w:val="none"/>
                <w:lang w:val="en-US" w:eastAsia="zh-CN"/>
              </w:rPr>
              <w:t>0.8</w:t>
            </w:r>
            <w:r>
              <w:rPr>
                <w:sz w:val="24"/>
                <w:highlight w:val="none"/>
              </w:rPr>
              <w:t>m</w:t>
            </w:r>
            <w:r>
              <w:rPr>
                <w:sz w:val="24"/>
                <w:highlight w:val="none"/>
                <w:vertAlign w:val="superscript"/>
              </w:rPr>
              <w:t>3</w:t>
            </w:r>
            <w:r>
              <w:rPr>
                <w:sz w:val="24"/>
                <w:highlight w:val="none"/>
              </w:rPr>
              <w:t>/d</w:t>
            </w:r>
            <w:r>
              <w:rPr>
                <w:rFonts w:hint="eastAsia"/>
                <w:sz w:val="24"/>
                <w:highlight w:val="none"/>
                <w:lang w:eastAsia="zh-CN"/>
              </w:rPr>
              <w:t>。</w:t>
            </w:r>
            <w:r>
              <w:rPr>
                <w:rFonts w:ascii="宋体" w:hAnsi="宋体" w:cs="宋体"/>
                <w:kern w:val="0"/>
                <w:sz w:val="24"/>
                <w:highlight w:val="none"/>
              </w:rPr>
              <w:t>施工人员粪便污水考虑采用旱厕进行收集，并定期清掏作为绿化肥料，施工结束后拆除并填埋；施工人员其它生活污水拟采用沉淀池沉淀处理后用于场区洒水抑尘。</w:t>
            </w:r>
          </w:p>
          <w:p>
            <w:pPr>
              <w:ind w:firstLine="480"/>
              <w:rPr>
                <w:rFonts w:hint="default" w:ascii="Times New Roman" w:hAnsi="Times New Roman" w:cs="Times New Roman"/>
              </w:rPr>
            </w:pPr>
            <w:r>
              <w:rPr>
                <w:rFonts w:hint="default" w:ascii="Times New Roman" w:hAnsi="Times New Roman" w:cs="Times New Roman"/>
              </w:rPr>
              <w:t>（4）声环境影响分析</w:t>
            </w:r>
          </w:p>
          <w:p>
            <w:pPr>
              <w:ind w:firstLine="480"/>
              <w:rPr>
                <w:rFonts w:hint="default" w:ascii="Times New Roman" w:hAnsi="Times New Roman" w:cs="Times New Roman"/>
              </w:rPr>
            </w:pPr>
            <w:r>
              <w:rPr>
                <w:rFonts w:hint="default" w:ascii="Times New Roman" w:hAnsi="Times New Roman" w:cs="Times New Roman"/>
              </w:rPr>
              <w:t>本项目施工期噪声源主要为运输车辆、施工机械等。施工期噪声有突发性、冲击性、不连续性等特点，其噪声源强为80~100dB（A）。施工期间噪声会对周围环境产生一定的影响，但该噪声问题只是暂时的，当建设期结束，此问题亦会消失，对附近区域声环境质量不会造成长期影响。</w:t>
            </w:r>
          </w:p>
          <w:p>
            <w:pPr>
              <w:ind w:firstLine="480"/>
              <w:rPr>
                <w:rFonts w:hint="default" w:ascii="Times New Roman" w:hAnsi="Times New Roman" w:cs="Times New Roman"/>
              </w:rPr>
            </w:pPr>
            <w:r>
              <w:rPr>
                <w:rFonts w:hint="default" w:ascii="Times New Roman" w:hAnsi="Times New Roman" w:cs="Times New Roman"/>
              </w:rPr>
              <w:t>（5）固废影响分析</w:t>
            </w:r>
          </w:p>
          <w:p>
            <w:pPr>
              <w:ind w:firstLine="480"/>
              <w:rPr>
                <w:rFonts w:hint="default" w:ascii="Times New Roman" w:hAnsi="Times New Roman" w:cs="Times New Roman"/>
              </w:rPr>
            </w:pPr>
            <w:r>
              <w:rPr>
                <w:rFonts w:hint="eastAsia" w:cs="Times New Roman"/>
                <w:lang w:val="en-US" w:eastAsia="zh-CN"/>
              </w:rPr>
              <w:t>项目</w:t>
            </w:r>
            <w:r>
              <w:rPr>
                <w:rFonts w:hint="default" w:ascii="Times New Roman" w:hAnsi="Times New Roman" w:cs="Times New Roman"/>
              </w:rPr>
              <w:t>施工期</w:t>
            </w:r>
            <w:r>
              <w:rPr>
                <w:rFonts w:hint="eastAsia" w:cs="Times New Roman"/>
                <w:lang w:val="en-US" w:eastAsia="zh-CN"/>
              </w:rPr>
              <w:t>建筑废料产生量较少。</w:t>
            </w:r>
            <w:r>
              <w:rPr>
                <w:rFonts w:hint="default" w:ascii="Times New Roman" w:hAnsi="Times New Roman" w:cs="Times New Roman"/>
              </w:rPr>
              <w:t>建设单位应要求施工单位规范运输，禁止随意倾倒建筑垃圾；建筑垃圾收集后运送至指定的建筑垃圾堆存场。</w:t>
            </w:r>
          </w:p>
          <w:p>
            <w:pPr>
              <w:ind w:firstLine="480"/>
              <w:rPr>
                <w:rFonts w:hint="default" w:ascii="Times New Roman" w:hAnsi="Times New Roman" w:cs="Times New Roman"/>
              </w:rPr>
            </w:pPr>
            <w:r>
              <w:rPr>
                <w:rFonts w:hint="default" w:ascii="Times New Roman" w:hAnsi="Times New Roman" w:cs="Times New Roman"/>
              </w:rPr>
              <w:t>施工人员的生活垃圾按每人每天0.5kg计，施工人员约20人，则每天生活垃圾共约0.01t。生活垃圾定点收集，由环卫部门定期清运。经采取以上措施后，施工期各类固废均可得到妥善处置，对周边环境影响较小。</w:t>
            </w:r>
          </w:p>
          <w:p>
            <w:pPr>
              <w:ind w:firstLine="480"/>
              <w:rPr>
                <w:rFonts w:hint="default" w:ascii="Times New Roman" w:hAnsi="Times New Roman" w:cs="Times New Roman"/>
                <w:highlight w:val="none"/>
                <w:lang w:val="en-US" w:eastAsia="zh-CN"/>
              </w:rPr>
            </w:pPr>
            <w:r>
              <w:rPr>
                <w:rFonts w:hint="eastAsia" w:ascii="Times New Roman" w:hAnsi="Times New Roman" w:cs="Times New Roman"/>
                <w:highlight w:val="none"/>
                <w:lang w:val="en-US" w:eastAsia="zh-CN"/>
              </w:rPr>
              <w:t>升压站场地平整挖出的多余土石依托风电项目进行处置，用于道路修建等。</w:t>
            </w:r>
          </w:p>
          <w:p>
            <w:pPr>
              <w:pStyle w:val="4"/>
              <w:rPr>
                <w:rFonts w:hint="default" w:ascii="Times New Roman" w:hAnsi="Times New Roman" w:cs="Times New Roma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24" w:type="pct"/>
            <w:tcMar>
              <w:left w:w="28" w:type="dxa"/>
              <w:right w:w="28" w:type="dxa"/>
            </w:tcMar>
            <w:vAlign w:val="center"/>
          </w:tcPr>
          <w:p>
            <w:pPr>
              <w:pStyle w:val="20"/>
              <w:adjustRightInd w:val="0"/>
              <w:snapToGrid w:val="0"/>
              <w:spacing w:before="0" w:beforeAutospacing="0" w:after="0" w:afterAutospacing="0" w:line="240" w:lineRule="auto"/>
              <w:ind w:firstLine="0" w:firstLineChars="0"/>
              <w:jc w:val="center"/>
              <w:rPr>
                <w:rFonts w:hint="default" w:ascii="Times New Roman" w:hAnsi="Times New Roman" w:cs="Times New Roman"/>
                <w:bCs/>
                <w:color w:val="0000FF"/>
                <w:kern w:val="2"/>
              </w:rPr>
            </w:pPr>
            <w:r>
              <w:rPr>
                <w:rFonts w:hint="default" w:ascii="Times New Roman" w:hAnsi="Times New Roman" w:cs="Times New Roman"/>
                <w:bCs/>
                <w:color w:val="auto"/>
                <w:spacing w:val="10"/>
                <w:kern w:val="2"/>
              </w:rPr>
              <w:t>运营期生态环境影响分析</w:t>
            </w:r>
          </w:p>
        </w:tc>
        <w:tc>
          <w:tcPr>
            <w:tcW w:w="4575" w:type="pct"/>
          </w:tcPr>
          <w:p>
            <w:pPr>
              <w:ind w:firstLine="0" w:firstLineChars="0"/>
              <w:rPr>
                <w:rFonts w:hint="default"/>
              </w:rPr>
            </w:pPr>
          </w:p>
          <w:p>
            <w:pPr>
              <w:ind w:firstLine="0" w:firstLineChars="0"/>
              <w:rPr>
                <w:rFonts w:hint="default"/>
                <w:b/>
                <w:bCs/>
              </w:rPr>
            </w:pPr>
            <w:r>
              <w:rPr>
                <w:rFonts w:hint="default"/>
                <w:b/>
                <w:bCs/>
              </w:rPr>
              <w:t>1、运营期产污环节</w:t>
            </w:r>
          </w:p>
          <w:p>
            <w:pPr>
              <w:spacing w:before="163" w:beforeLines="50" w:line="360" w:lineRule="auto"/>
              <w:ind w:firstLine="480"/>
              <w:contextualSpacing/>
              <w:rPr>
                <w:rFonts w:hint="default"/>
              </w:rPr>
            </w:pPr>
            <w:r>
              <w:rPr>
                <w:rFonts w:hint="default"/>
              </w:rPr>
              <w:t>根据输变电工程的项目特点，运营期可能产生环境污染的主要环节及影响因素见图4-2、表4-1。</w:t>
            </w:r>
          </w:p>
          <w:p>
            <w:pPr>
              <w:spacing w:before="163" w:beforeLines="50" w:line="360" w:lineRule="auto"/>
              <w:ind w:firstLine="0" w:firstLineChars="0"/>
              <w:contextualSpacing/>
              <w:jc w:val="center"/>
              <w:rPr>
                <w:rFonts w:hint="eastAsia"/>
                <w:lang w:eastAsia="zh-CN"/>
              </w:rPr>
            </w:pPr>
            <w:r>
              <w:rPr>
                <w:rFonts w:hint="eastAsia"/>
                <w:lang w:eastAsia="zh-CN"/>
              </w:rPr>
              <w:drawing>
                <wp:inline distT="0" distB="0" distL="114300" distR="114300">
                  <wp:extent cx="5608320" cy="3977640"/>
                  <wp:effectExtent l="0" t="0" r="11430" b="3810"/>
                  <wp:docPr id="14" name="图片 14" descr="16757397130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1675739713077"/>
                          <pic:cNvPicPr>
                            <a:picLocks noChangeAspect="1"/>
                          </pic:cNvPicPr>
                        </pic:nvPicPr>
                        <pic:blipFill>
                          <a:blip r:embed="rId11"/>
                          <a:stretch>
                            <a:fillRect/>
                          </a:stretch>
                        </pic:blipFill>
                        <pic:spPr>
                          <a:xfrm>
                            <a:off x="0" y="0"/>
                            <a:ext cx="5608320" cy="3977640"/>
                          </a:xfrm>
                          <a:prstGeom prst="rect">
                            <a:avLst/>
                          </a:prstGeom>
                        </pic:spPr>
                      </pic:pic>
                    </a:graphicData>
                  </a:graphic>
                </wp:inline>
              </w:drawing>
            </w:r>
          </w:p>
          <w:p>
            <w:pPr>
              <w:spacing w:before="163" w:beforeLines="50" w:line="360" w:lineRule="auto"/>
              <w:ind w:firstLine="480"/>
              <w:contextualSpacing/>
              <w:jc w:val="center"/>
              <w:rPr>
                <w:rFonts w:hint="default"/>
                <w:b/>
                <w:bCs/>
              </w:rPr>
            </w:pPr>
            <w:r>
              <w:rPr>
                <w:rFonts w:hint="default"/>
                <w:b/>
                <w:bCs/>
              </w:rPr>
              <w:t>图4-</w:t>
            </w:r>
            <w:r>
              <w:rPr>
                <w:rFonts w:hint="eastAsia"/>
                <w:b/>
                <w:bCs/>
                <w:lang w:val="en-US" w:eastAsia="zh-CN"/>
              </w:rPr>
              <w:t>2</w:t>
            </w:r>
            <w:r>
              <w:rPr>
                <w:rFonts w:hint="default"/>
                <w:b/>
                <w:bCs/>
              </w:rPr>
              <w:t xml:space="preserve">  运</w:t>
            </w:r>
            <w:r>
              <w:rPr>
                <w:rFonts w:hint="eastAsia"/>
                <w:b/>
                <w:bCs/>
                <w:lang w:val="en-US" w:eastAsia="zh-CN"/>
              </w:rPr>
              <w:t>营</w:t>
            </w:r>
            <w:r>
              <w:rPr>
                <w:rFonts w:hint="default"/>
                <w:b/>
                <w:bCs/>
              </w:rPr>
              <w:t>期主要产污环节示意图</w:t>
            </w:r>
          </w:p>
          <w:p>
            <w:pPr>
              <w:pStyle w:val="70"/>
              <w:ind w:firstLineChars="0"/>
              <w:textAlignment w:val="auto"/>
              <w:rPr>
                <w:rFonts w:hint="default"/>
              </w:rPr>
            </w:pPr>
            <w:r>
              <w:rPr>
                <w:rFonts w:hint="default"/>
              </w:rPr>
              <w:t xml:space="preserve">  </w:t>
            </w:r>
            <w:r>
              <w:rPr>
                <w:rFonts w:hint="eastAsia"/>
                <w:lang w:eastAsia="zh-CN"/>
              </w:rPr>
              <w:t>运营期</w:t>
            </w:r>
            <w:r>
              <w:rPr>
                <w:rFonts w:hint="default"/>
              </w:rPr>
              <w:t>环境影响因素</w:t>
            </w:r>
            <w:r>
              <w:rPr>
                <w:rFonts w:hint="eastAsia"/>
                <w:lang w:val="en-US" w:eastAsia="zh-CN"/>
              </w:rPr>
              <w:t>一览表</w:t>
            </w:r>
          </w:p>
          <w:tbl>
            <w:tblPr>
              <w:tblStyle w:val="22"/>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27"/>
              <w:gridCol w:w="2145"/>
              <w:gridCol w:w="58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68" w:type="pct"/>
                  <w:tcBorders>
                    <w:left w:val="nil"/>
                  </w:tcBorders>
                  <w:vAlign w:val="center"/>
                </w:tcPr>
                <w:p>
                  <w:pPr>
                    <w:spacing w:line="320" w:lineRule="exact"/>
                    <w:ind w:firstLine="0" w:firstLineChars="0"/>
                    <w:contextualSpacing/>
                    <w:jc w:val="center"/>
                    <w:rPr>
                      <w:rFonts w:hint="default" w:ascii="Times New Roman" w:hAnsi="Times New Roman" w:eastAsiaTheme="minorEastAsia" w:cstheme="minorBidi"/>
                      <w:kern w:val="2"/>
                      <w:sz w:val="21"/>
                      <w:szCs w:val="21"/>
                      <w:lang w:val="en-US" w:eastAsia="zh-CN" w:bidi="ar-SA"/>
                    </w:rPr>
                  </w:pPr>
                  <w:r>
                    <w:rPr>
                      <w:rFonts w:hint="default"/>
                      <w:sz w:val="21"/>
                      <w:szCs w:val="21"/>
                    </w:rPr>
                    <w:t>序号</w:t>
                  </w:r>
                </w:p>
              </w:tc>
              <w:tc>
                <w:tcPr>
                  <w:tcW w:w="1213" w:type="pct"/>
                  <w:vAlign w:val="center"/>
                </w:tcPr>
                <w:p>
                  <w:pPr>
                    <w:spacing w:line="320" w:lineRule="exact"/>
                    <w:ind w:firstLine="0" w:firstLineChars="0"/>
                    <w:contextualSpacing/>
                    <w:jc w:val="center"/>
                    <w:rPr>
                      <w:rFonts w:hint="default" w:ascii="Times New Roman" w:hAnsi="Times New Roman" w:eastAsiaTheme="minorEastAsia" w:cstheme="minorBidi"/>
                      <w:kern w:val="2"/>
                      <w:sz w:val="21"/>
                      <w:szCs w:val="21"/>
                      <w:lang w:val="en-US" w:eastAsia="zh-CN" w:bidi="ar-SA"/>
                    </w:rPr>
                  </w:pPr>
                  <w:r>
                    <w:rPr>
                      <w:rFonts w:hint="default"/>
                      <w:sz w:val="21"/>
                      <w:szCs w:val="21"/>
                    </w:rPr>
                    <w:t>影响因素</w:t>
                  </w:r>
                </w:p>
              </w:tc>
              <w:tc>
                <w:tcPr>
                  <w:tcW w:w="3318" w:type="pct"/>
                  <w:tcBorders>
                    <w:right w:val="nil"/>
                  </w:tcBorders>
                  <w:vAlign w:val="center"/>
                </w:tcPr>
                <w:p>
                  <w:pPr>
                    <w:spacing w:line="320" w:lineRule="exact"/>
                    <w:ind w:firstLine="0" w:firstLineChars="0"/>
                    <w:contextualSpacing/>
                    <w:jc w:val="center"/>
                    <w:rPr>
                      <w:rFonts w:hint="default" w:ascii="Times New Roman" w:hAnsi="Times New Roman" w:eastAsiaTheme="minorEastAsia" w:cstheme="minorBidi"/>
                      <w:kern w:val="2"/>
                      <w:sz w:val="21"/>
                      <w:szCs w:val="21"/>
                      <w:lang w:val="en-US" w:eastAsia="zh-CN" w:bidi="ar-SA"/>
                    </w:rPr>
                  </w:pPr>
                  <w:r>
                    <w:rPr>
                      <w:rFonts w:hint="default"/>
                      <w:sz w:val="21"/>
                      <w:szCs w:val="21"/>
                    </w:rPr>
                    <w:t>环境影响分析内容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68" w:type="pct"/>
                  <w:tcBorders>
                    <w:left w:val="nil"/>
                  </w:tcBorders>
                  <w:vAlign w:val="center"/>
                </w:tcPr>
                <w:p>
                  <w:pPr>
                    <w:spacing w:line="320" w:lineRule="exact"/>
                    <w:ind w:firstLine="0" w:firstLineChars="0"/>
                    <w:contextualSpacing/>
                    <w:jc w:val="center"/>
                    <w:rPr>
                      <w:rFonts w:hint="default" w:ascii="Times New Roman" w:hAnsi="Times New Roman" w:eastAsiaTheme="minorEastAsia" w:cstheme="minorBidi"/>
                      <w:kern w:val="2"/>
                      <w:sz w:val="21"/>
                      <w:szCs w:val="21"/>
                      <w:lang w:val="en-US" w:eastAsia="zh-CN" w:bidi="ar-SA"/>
                    </w:rPr>
                  </w:pPr>
                  <w:r>
                    <w:rPr>
                      <w:rFonts w:hint="default"/>
                      <w:sz w:val="21"/>
                      <w:szCs w:val="21"/>
                    </w:rPr>
                    <w:t>1</w:t>
                  </w:r>
                </w:p>
              </w:tc>
              <w:tc>
                <w:tcPr>
                  <w:tcW w:w="1213" w:type="pct"/>
                  <w:vAlign w:val="center"/>
                </w:tcPr>
                <w:p>
                  <w:pPr>
                    <w:spacing w:line="320" w:lineRule="exact"/>
                    <w:ind w:firstLine="0" w:firstLineChars="0"/>
                    <w:contextualSpacing/>
                    <w:jc w:val="center"/>
                    <w:rPr>
                      <w:rFonts w:hint="default" w:ascii="Times New Roman" w:hAnsi="Times New Roman" w:eastAsiaTheme="minorEastAsia" w:cstheme="minorBidi"/>
                      <w:kern w:val="2"/>
                      <w:sz w:val="21"/>
                      <w:szCs w:val="21"/>
                      <w:lang w:val="en-US" w:eastAsia="zh-CN" w:bidi="ar-SA"/>
                    </w:rPr>
                  </w:pPr>
                  <w:r>
                    <w:rPr>
                      <w:rFonts w:hint="default"/>
                      <w:sz w:val="21"/>
                      <w:szCs w:val="21"/>
                    </w:rPr>
                    <w:t>电磁环境</w:t>
                  </w:r>
                </w:p>
              </w:tc>
              <w:tc>
                <w:tcPr>
                  <w:tcW w:w="3318" w:type="pct"/>
                  <w:tcBorders>
                    <w:right w:val="nil"/>
                  </w:tcBorders>
                  <w:vAlign w:val="center"/>
                </w:tcPr>
                <w:p>
                  <w:pPr>
                    <w:spacing w:line="320" w:lineRule="exact"/>
                    <w:ind w:firstLine="0" w:firstLineChars="0"/>
                    <w:contextualSpacing/>
                    <w:jc w:val="center"/>
                    <w:rPr>
                      <w:rFonts w:hint="default" w:ascii="Times New Roman" w:hAnsi="Times New Roman" w:eastAsiaTheme="minorEastAsia" w:cstheme="minorBidi"/>
                      <w:kern w:val="2"/>
                      <w:sz w:val="21"/>
                      <w:szCs w:val="21"/>
                      <w:lang w:val="en-US" w:eastAsia="zh-CN" w:bidi="ar-SA"/>
                    </w:rPr>
                  </w:pPr>
                  <w:r>
                    <w:rPr>
                      <w:rFonts w:hint="default"/>
                      <w:sz w:val="21"/>
                      <w:szCs w:val="21"/>
                    </w:rPr>
                    <w:t>工频电场、工频磁场公众曝露限值，重点评价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68" w:type="pct"/>
                  <w:tcBorders>
                    <w:left w:val="nil"/>
                  </w:tcBorders>
                  <w:vAlign w:val="center"/>
                </w:tcPr>
                <w:p>
                  <w:pPr>
                    <w:spacing w:line="320" w:lineRule="exact"/>
                    <w:ind w:firstLine="0" w:firstLineChars="0"/>
                    <w:contextualSpacing/>
                    <w:jc w:val="center"/>
                    <w:rPr>
                      <w:rFonts w:hint="eastAsia"/>
                      <w:sz w:val="21"/>
                      <w:szCs w:val="21"/>
                      <w:lang w:val="en-US" w:eastAsia="zh-CN"/>
                    </w:rPr>
                  </w:pPr>
                  <w:r>
                    <w:rPr>
                      <w:rFonts w:hint="eastAsia"/>
                      <w:sz w:val="21"/>
                      <w:szCs w:val="21"/>
                      <w:lang w:val="en-US" w:eastAsia="zh-CN"/>
                    </w:rPr>
                    <w:t>2</w:t>
                  </w:r>
                </w:p>
              </w:tc>
              <w:tc>
                <w:tcPr>
                  <w:tcW w:w="1213" w:type="pct"/>
                  <w:vAlign w:val="center"/>
                </w:tcPr>
                <w:p>
                  <w:pPr>
                    <w:spacing w:line="320" w:lineRule="exact"/>
                    <w:ind w:firstLine="0" w:firstLineChars="0"/>
                    <w:contextualSpacing/>
                    <w:jc w:val="center"/>
                    <w:rPr>
                      <w:rFonts w:hint="default"/>
                      <w:sz w:val="21"/>
                      <w:szCs w:val="21"/>
                      <w:lang w:val="en-US" w:eastAsia="zh-CN"/>
                    </w:rPr>
                  </w:pPr>
                  <w:r>
                    <w:rPr>
                      <w:rFonts w:hint="eastAsia"/>
                      <w:sz w:val="21"/>
                      <w:szCs w:val="21"/>
                      <w:lang w:val="en-US" w:eastAsia="zh-CN"/>
                    </w:rPr>
                    <w:t>环境空气</w:t>
                  </w:r>
                </w:p>
              </w:tc>
              <w:tc>
                <w:tcPr>
                  <w:tcW w:w="3318" w:type="pct"/>
                  <w:tcBorders>
                    <w:right w:val="nil"/>
                  </w:tcBorders>
                  <w:vAlign w:val="center"/>
                </w:tcPr>
                <w:p>
                  <w:pPr>
                    <w:spacing w:line="320" w:lineRule="exact"/>
                    <w:ind w:firstLine="0" w:firstLineChars="0"/>
                    <w:contextualSpacing/>
                    <w:jc w:val="center"/>
                    <w:rPr>
                      <w:rFonts w:hint="default"/>
                      <w:sz w:val="21"/>
                      <w:szCs w:val="21"/>
                      <w:lang w:val="en-US" w:eastAsia="zh-CN"/>
                    </w:rPr>
                  </w:pPr>
                  <w:r>
                    <w:rPr>
                      <w:rFonts w:hint="eastAsia"/>
                      <w:sz w:val="21"/>
                      <w:szCs w:val="21"/>
                      <w:lang w:val="en-US" w:eastAsia="zh-CN"/>
                    </w:rPr>
                    <w:t>食堂油烟净化</w:t>
                  </w:r>
                  <w:r>
                    <w:rPr>
                      <w:rFonts w:hint="default"/>
                      <w:sz w:val="21"/>
                      <w:szCs w:val="21"/>
                    </w:rPr>
                    <w:t>处置情况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68" w:type="pct"/>
                  <w:tcBorders>
                    <w:left w:val="nil"/>
                  </w:tcBorders>
                  <w:vAlign w:val="center"/>
                </w:tcPr>
                <w:p>
                  <w:pPr>
                    <w:spacing w:line="320" w:lineRule="exact"/>
                    <w:ind w:firstLine="0" w:firstLineChars="0"/>
                    <w:contextualSpacing/>
                    <w:jc w:val="center"/>
                    <w:rPr>
                      <w:rFonts w:hint="default"/>
                      <w:sz w:val="21"/>
                      <w:szCs w:val="21"/>
                      <w:lang w:val="en-US" w:eastAsia="zh-CN"/>
                    </w:rPr>
                  </w:pPr>
                  <w:r>
                    <w:rPr>
                      <w:rFonts w:hint="eastAsia"/>
                      <w:sz w:val="21"/>
                      <w:szCs w:val="21"/>
                      <w:lang w:val="en-US" w:eastAsia="zh-CN"/>
                    </w:rPr>
                    <w:t>3</w:t>
                  </w:r>
                </w:p>
              </w:tc>
              <w:tc>
                <w:tcPr>
                  <w:tcW w:w="1213" w:type="pct"/>
                  <w:vAlign w:val="center"/>
                </w:tcPr>
                <w:p>
                  <w:pPr>
                    <w:spacing w:line="320" w:lineRule="exact"/>
                    <w:ind w:firstLine="0" w:firstLineChars="0"/>
                    <w:contextualSpacing/>
                    <w:jc w:val="center"/>
                    <w:rPr>
                      <w:rFonts w:hint="eastAsia"/>
                      <w:sz w:val="21"/>
                      <w:szCs w:val="21"/>
                      <w:lang w:val="en-US" w:eastAsia="zh-CN"/>
                    </w:rPr>
                  </w:pPr>
                  <w:r>
                    <w:rPr>
                      <w:rFonts w:hint="default"/>
                      <w:sz w:val="21"/>
                      <w:szCs w:val="21"/>
                    </w:rPr>
                    <w:t>地表水环境</w:t>
                  </w:r>
                </w:p>
              </w:tc>
              <w:tc>
                <w:tcPr>
                  <w:tcW w:w="3318" w:type="pct"/>
                  <w:tcBorders>
                    <w:right w:val="nil"/>
                  </w:tcBorders>
                  <w:vAlign w:val="center"/>
                </w:tcPr>
                <w:p>
                  <w:pPr>
                    <w:spacing w:line="320" w:lineRule="exact"/>
                    <w:ind w:firstLine="0" w:firstLineChars="0"/>
                    <w:contextualSpacing/>
                    <w:jc w:val="center"/>
                    <w:rPr>
                      <w:rFonts w:hint="eastAsia"/>
                      <w:sz w:val="21"/>
                      <w:szCs w:val="21"/>
                      <w:lang w:val="en-US" w:eastAsia="zh-CN"/>
                    </w:rPr>
                  </w:pPr>
                  <w:r>
                    <w:rPr>
                      <w:rFonts w:hint="default"/>
                      <w:sz w:val="21"/>
                      <w:szCs w:val="21"/>
                    </w:rPr>
                    <w:t>生活污水处置情况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68" w:type="pct"/>
                  <w:tcBorders>
                    <w:left w:val="nil"/>
                  </w:tcBorders>
                  <w:vAlign w:val="center"/>
                </w:tcPr>
                <w:p>
                  <w:pPr>
                    <w:spacing w:line="320" w:lineRule="exact"/>
                    <w:ind w:firstLine="0" w:firstLineChars="0"/>
                    <w:contextualSpacing/>
                    <w:jc w:val="center"/>
                    <w:rPr>
                      <w:rFonts w:hint="eastAsia"/>
                      <w:sz w:val="21"/>
                      <w:szCs w:val="21"/>
                      <w:lang w:eastAsia="zh-CN"/>
                    </w:rPr>
                  </w:pPr>
                  <w:r>
                    <w:rPr>
                      <w:rFonts w:hint="eastAsia"/>
                      <w:sz w:val="21"/>
                      <w:szCs w:val="21"/>
                      <w:lang w:val="en-US" w:eastAsia="zh-CN"/>
                    </w:rPr>
                    <w:t>4</w:t>
                  </w:r>
                </w:p>
              </w:tc>
              <w:tc>
                <w:tcPr>
                  <w:tcW w:w="1213" w:type="pct"/>
                  <w:vAlign w:val="center"/>
                </w:tcPr>
                <w:p>
                  <w:pPr>
                    <w:spacing w:line="320" w:lineRule="exact"/>
                    <w:ind w:firstLine="0" w:firstLineChars="0"/>
                    <w:contextualSpacing/>
                    <w:jc w:val="center"/>
                    <w:rPr>
                      <w:rFonts w:hint="default"/>
                      <w:sz w:val="21"/>
                      <w:szCs w:val="21"/>
                    </w:rPr>
                  </w:pPr>
                  <w:r>
                    <w:rPr>
                      <w:rFonts w:hint="default"/>
                      <w:sz w:val="21"/>
                      <w:szCs w:val="21"/>
                    </w:rPr>
                    <w:t>噪声</w:t>
                  </w:r>
                </w:p>
              </w:tc>
              <w:tc>
                <w:tcPr>
                  <w:tcW w:w="3318" w:type="pct"/>
                  <w:tcBorders>
                    <w:right w:val="nil"/>
                  </w:tcBorders>
                  <w:vAlign w:val="center"/>
                </w:tcPr>
                <w:p>
                  <w:pPr>
                    <w:spacing w:line="320" w:lineRule="exact"/>
                    <w:ind w:firstLine="0" w:firstLineChars="0"/>
                    <w:contextualSpacing/>
                    <w:jc w:val="center"/>
                    <w:rPr>
                      <w:rFonts w:hint="default"/>
                      <w:sz w:val="21"/>
                      <w:szCs w:val="21"/>
                    </w:rPr>
                  </w:pPr>
                  <w:r>
                    <w:rPr>
                      <w:rFonts w:hint="default"/>
                      <w:sz w:val="21"/>
                      <w:szCs w:val="21"/>
                    </w:rPr>
                    <w:t>厂界噪声达标情况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68" w:type="pct"/>
                  <w:tcBorders>
                    <w:left w:val="nil"/>
                  </w:tcBorders>
                  <w:vAlign w:val="center"/>
                </w:tcPr>
                <w:p>
                  <w:pPr>
                    <w:spacing w:line="320" w:lineRule="exact"/>
                    <w:ind w:firstLine="0" w:firstLineChars="0"/>
                    <w:contextualSpacing/>
                    <w:jc w:val="center"/>
                    <w:rPr>
                      <w:rFonts w:hint="eastAsia"/>
                      <w:sz w:val="21"/>
                      <w:szCs w:val="21"/>
                      <w:lang w:eastAsia="zh-CN"/>
                    </w:rPr>
                  </w:pPr>
                  <w:r>
                    <w:rPr>
                      <w:rFonts w:hint="eastAsia"/>
                      <w:sz w:val="21"/>
                      <w:szCs w:val="21"/>
                      <w:lang w:val="en-US" w:eastAsia="zh-CN"/>
                    </w:rPr>
                    <w:t>5</w:t>
                  </w:r>
                </w:p>
              </w:tc>
              <w:tc>
                <w:tcPr>
                  <w:tcW w:w="1213" w:type="pct"/>
                  <w:vAlign w:val="center"/>
                </w:tcPr>
                <w:p>
                  <w:pPr>
                    <w:spacing w:line="320" w:lineRule="exact"/>
                    <w:ind w:firstLine="0" w:firstLineChars="0"/>
                    <w:contextualSpacing/>
                    <w:jc w:val="center"/>
                    <w:rPr>
                      <w:rFonts w:hint="default"/>
                      <w:sz w:val="21"/>
                      <w:szCs w:val="21"/>
                    </w:rPr>
                  </w:pPr>
                  <w:r>
                    <w:rPr>
                      <w:rFonts w:hint="default"/>
                      <w:sz w:val="21"/>
                      <w:szCs w:val="21"/>
                    </w:rPr>
                    <w:t>固体废物</w:t>
                  </w:r>
                </w:p>
              </w:tc>
              <w:tc>
                <w:tcPr>
                  <w:tcW w:w="3318" w:type="pct"/>
                  <w:tcBorders>
                    <w:right w:val="nil"/>
                  </w:tcBorders>
                  <w:vAlign w:val="center"/>
                </w:tcPr>
                <w:p>
                  <w:pPr>
                    <w:spacing w:line="320" w:lineRule="exact"/>
                    <w:ind w:firstLine="0" w:firstLineChars="0"/>
                    <w:contextualSpacing/>
                    <w:jc w:val="center"/>
                    <w:rPr>
                      <w:rFonts w:hint="default"/>
                      <w:sz w:val="21"/>
                      <w:szCs w:val="21"/>
                    </w:rPr>
                  </w:pPr>
                  <w:r>
                    <w:rPr>
                      <w:rFonts w:hint="default"/>
                      <w:sz w:val="21"/>
                      <w:szCs w:val="21"/>
                    </w:rPr>
                    <w:t>生活垃圾、废电池等</w:t>
                  </w:r>
                  <w:r>
                    <w:rPr>
                      <w:rFonts w:hint="eastAsia"/>
                      <w:sz w:val="21"/>
                      <w:szCs w:val="21"/>
                      <w:lang w:val="en-US" w:eastAsia="zh-CN"/>
                    </w:rPr>
                    <w:t>的</w:t>
                  </w:r>
                  <w:r>
                    <w:rPr>
                      <w:rFonts w:hint="default"/>
                      <w:sz w:val="21"/>
                      <w:szCs w:val="21"/>
                    </w:rPr>
                    <w:t>处置情况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68" w:type="pct"/>
                  <w:tcBorders>
                    <w:left w:val="nil"/>
                  </w:tcBorders>
                  <w:vAlign w:val="center"/>
                </w:tcPr>
                <w:p>
                  <w:pPr>
                    <w:spacing w:line="320" w:lineRule="exact"/>
                    <w:ind w:firstLine="0" w:firstLineChars="0"/>
                    <w:contextualSpacing/>
                    <w:jc w:val="center"/>
                    <w:rPr>
                      <w:rFonts w:hint="eastAsia"/>
                      <w:sz w:val="21"/>
                      <w:szCs w:val="21"/>
                      <w:lang w:eastAsia="zh-CN"/>
                    </w:rPr>
                  </w:pPr>
                  <w:r>
                    <w:rPr>
                      <w:rFonts w:hint="eastAsia"/>
                      <w:sz w:val="21"/>
                      <w:szCs w:val="21"/>
                      <w:lang w:val="en-US" w:eastAsia="zh-CN"/>
                    </w:rPr>
                    <w:t>6</w:t>
                  </w:r>
                </w:p>
              </w:tc>
              <w:tc>
                <w:tcPr>
                  <w:tcW w:w="1213" w:type="pct"/>
                  <w:vAlign w:val="center"/>
                </w:tcPr>
                <w:p>
                  <w:pPr>
                    <w:spacing w:line="320" w:lineRule="exact"/>
                    <w:ind w:firstLine="0" w:firstLineChars="0"/>
                    <w:contextualSpacing/>
                    <w:jc w:val="center"/>
                    <w:rPr>
                      <w:rFonts w:hint="default"/>
                      <w:sz w:val="21"/>
                      <w:szCs w:val="21"/>
                    </w:rPr>
                  </w:pPr>
                  <w:r>
                    <w:rPr>
                      <w:rFonts w:hint="default"/>
                      <w:sz w:val="21"/>
                      <w:szCs w:val="21"/>
                    </w:rPr>
                    <w:t>环境风险</w:t>
                  </w:r>
                </w:p>
              </w:tc>
              <w:tc>
                <w:tcPr>
                  <w:tcW w:w="3318" w:type="pct"/>
                  <w:tcBorders>
                    <w:right w:val="nil"/>
                  </w:tcBorders>
                  <w:vAlign w:val="center"/>
                </w:tcPr>
                <w:p>
                  <w:pPr>
                    <w:spacing w:line="320" w:lineRule="exact"/>
                    <w:ind w:firstLine="0" w:firstLineChars="0"/>
                    <w:contextualSpacing/>
                    <w:jc w:val="center"/>
                    <w:rPr>
                      <w:rFonts w:hint="default"/>
                      <w:sz w:val="21"/>
                      <w:szCs w:val="21"/>
                    </w:rPr>
                  </w:pPr>
                  <w:r>
                    <w:rPr>
                      <w:rFonts w:hint="default"/>
                      <w:sz w:val="21"/>
                      <w:szCs w:val="21"/>
                    </w:rPr>
                    <w:t>事故状态下漏油产生的环境风险，油池设置要求</w:t>
                  </w:r>
                </w:p>
              </w:tc>
            </w:tr>
          </w:tbl>
          <w:p>
            <w:pPr>
              <w:ind w:firstLine="0" w:firstLineChars="0"/>
              <w:jc w:val="left"/>
              <w:rPr>
                <w:rFonts w:hint="default"/>
                <w:b/>
                <w:bCs/>
              </w:rPr>
            </w:pPr>
            <w:r>
              <w:rPr>
                <w:rFonts w:hint="default"/>
                <w:b/>
                <w:bCs/>
              </w:rPr>
              <w:t>2、运营期电磁环境影响分析</w:t>
            </w:r>
          </w:p>
          <w:p>
            <w:pPr>
              <w:ind w:firstLine="480"/>
              <w:rPr>
                <w:rFonts w:hint="eastAsia"/>
                <w:b w:val="0"/>
                <w:bCs w:val="0"/>
                <w:highlight w:val="none"/>
                <w:u w:val="none"/>
                <w:lang w:val="en-US" w:eastAsia="zh-CN"/>
              </w:rPr>
            </w:pPr>
            <w:r>
              <w:rPr>
                <w:rFonts w:hint="eastAsia"/>
                <w:b w:val="0"/>
                <w:bCs w:val="0"/>
                <w:highlight w:val="none"/>
                <w:u w:val="none"/>
                <w:lang w:val="en-US" w:eastAsia="zh-CN"/>
              </w:rPr>
              <w:t>储能变流升压一体机内含整流器及逆变器。风电机组所发电量需进行电量调控，减少并网电量时，35KV交流电降压至0.4KV交流电，经整流器变为1.5KV直流电存储在储能设施内;增加并网电量时，储能设施内1.5KV直流电经逆变器转变为0.4KV交流电，再经升压至35KV交流电，输送至</w:t>
            </w:r>
            <w:r>
              <w:rPr>
                <w:rFonts w:hint="default"/>
                <w:b w:val="0"/>
                <w:bCs w:val="0"/>
                <w:highlight w:val="none"/>
                <w:u w:val="none"/>
                <w:lang w:val="en-US" w:eastAsia="zh-CN"/>
              </w:rPr>
              <w:t>110kV</w:t>
            </w:r>
            <w:r>
              <w:rPr>
                <w:rFonts w:hint="eastAsia"/>
                <w:b w:val="0"/>
                <w:bCs w:val="0"/>
                <w:highlight w:val="none"/>
                <w:u w:val="none"/>
                <w:lang w:val="en-US" w:eastAsia="zh-CN"/>
              </w:rPr>
              <w:t>升压站内主变。直流储能电压等级为1.5KV，小于100kV，按照</w:t>
            </w:r>
            <w:r>
              <w:rPr>
                <w:rFonts w:hint="eastAsia" w:ascii="Times New Roman" w:hAnsi="Times New Roman" w:cs="Times New Roman"/>
                <w:b w:val="0"/>
                <w:bCs w:val="0"/>
                <w:color w:val="auto"/>
                <w:highlight w:val="none"/>
                <w:u w:val="none"/>
                <w:lang w:val="en-US" w:eastAsia="zh-CN"/>
              </w:rPr>
              <w:t>《环境影响评价技术导则</w:t>
            </w:r>
            <w:r>
              <w:rPr>
                <w:rFonts w:hint="eastAsia" w:cs="Times New Roman"/>
                <w:b w:val="0"/>
                <w:bCs w:val="0"/>
                <w:color w:val="auto"/>
                <w:highlight w:val="none"/>
                <w:u w:val="none"/>
                <w:lang w:val="en-US" w:eastAsia="zh-CN"/>
              </w:rPr>
              <w:t xml:space="preserve"> </w:t>
            </w:r>
            <w:r>
              <w:rPr>
                <w:rFonts w:hint="eastAsia" w:ascii="Times New Roman" w:hAnsi="Times New Roman" w:cs="Times New Roman"/>
                <w:b w:val="0"/>
                <w:bCs w:val="0"/>
                <w:color w:val="auto"/>
                <w:highlight w:val="none"/>
                <w:u w:val="none"/>
                <w:lang w:val="en-US" w:eastAsia="zh-CN"/>
              </w:rPr>
              <w:t>输变电》（HJ 24-2020）</w:t>
            </w:r>
            <w:r>
              <w:rPr>
                <w:rFonts w:hint="eastAsia" w:cs="Times New Roman"/>
                <w:b w:val="0"/>
                <w:bCs w:val="0"/>
                <w:color w:val="auto"/>
                <w:highlight w:val="none"/>
                <w:u w:val="none"/>
                <w:lang w:val="en-US" w:eastAsia="zh-CN"/>
              </w:rPr>
              <w:t>，</w:t>
            </w:r>
            <w:r>
              <w:rPr>
                <w:rFonts w:hint="eastAsia"/>
                <w:b w:val="0"/>
                <w:bCs w:val="0"/>
                <w:highlight w:val="none"/>
                <w:u w:val="none"/>
                <w:lang w:val="en-US" w:eastAsia="zh-CN"/>
              </w:rPr>
              <w:t>本次评价不进行合成电场分析。</w:t>
            </w:r>
          </w:p>
          <w:p>
            <w:pPr>
              <w:ind w:firstLine="480"/>
              <w:rPr>
                <w:rFonts w:hint="default"/>
              </w:rPr>
            </w:pPr>
            <w:r>
              <w:rPr>
                <w:rFonts w:hint="default"/>
              </w:rPr>
              <w:t>升压站在运行中会形成一定强度的工频电场、工频磁场，产生电磁场的主要设备有主变压器、配电装置等。</w:t>
            </w:r>
          </w:p>
          <w:p>
            <w:pPr>
              <w:ind w:firstLine="480"/>
              <w:rPr>
                <w:rFonts w:hint="default"/>
              </w:rPr>
            </w:pPr>
            <w:r>
              <w:rPr>
                <w:rFonts w:hint="default"/>
              </w:rPr>
              <w:t>本项目电磁环境影响分析详见电磁环境影响专题评价。根据评价结果，本项目在认真落实电磁环境保护措施后，工频电场、工频磁场对周围环境的影响很小，投入运行后对周围环境的影响能够满足相应评价标准要求。</w:t>
            </w:r>
          </w:p>
          <w:p>
            <w:pPr>
              <w:ind w:firstLine="0" w:firstLineChars="0"/>
              <w:jc w:val="left"/>
              <w:rPr>
                <w:rFonts w:hint="default"/>
                <w:b/>
                <w:bCs/>
              </w:rPr>
            </w:pPr>
            <w:r>
              <w:rPr>
                <w:rFonts w:hint="eastAsia"/>
                <w:b/>
                <w:bCs/>
                <w:lang w:val="en-US" w:eastAsia="zh-CN"/>
              </w:rPr>
              <w:t>3</w:t>
            </w:r>
            <w:r>
              <w:rPr>
                <w:rFonts w:hint="default"/>
                <w:b/>
                <w:bCs/>
              </w:rPr>
              <w:t>、运营期</w:t>
            </w:r>
            <w:r>
              <w:rPr>
                <w:rFonts w:hint="eastAsia"/>
                <w:b/>
                <w:bCs/>
                <w:lang w:val="en-US" w:eastAsia="zh-CN"/>
              </w:rPr>
              <w:t>大气</w:t>
            </w:r>
            <w:r>
              <w:rPr>
                <w:rFonts w:hint="default"/>
                <w:b/>
                <w:bCs/>
              </w:rPr>
              <w:t>环境影响分析</w:t>
            </w:r>
          </w:p>
          <w:p>
            <w:pPr>
              <w:ind w:firstLine="480"/>
              <w:rPr>
                <w:rFonts w:hint="default"/>
                <w:lang w:val="en-US" w:eastAsia="zh-CN"/>
              </w:rPr>
            </w:pPr>
            <w:r>
              <w:rPr>
                <w:rFonts w:hint="eastAsia"/>
                <w:lang w:val="en-US" w:eastAsia="zh-CN"/>
              </w:rPr>
              <w:t>本项目正常情况废气为食堂油烟。</w:t>
            </w:r>
            <w:r>
              <w:rPr>
                <w:rFonts w:hint="eastAsia"/>
                <w:b w:val="0"/>
                <w:bCs w:val="0"/>
                <w:u w:val="none"/>
                <w:lang w:val="en-US" w:eastAsia="zh-CN"/>
              </w:rPr>
              <w:t>变压器故障情况下会产生废气。</w:t>
            </w:r>
          </w:p>
          <w:p>
            <w:pPr>
              <w:autoSpaceDE w:val="0"/>
              <w:autoSpaceDN w:val="0"/>
              <w:adjustRightInd w:val="0"/>
              <w:spacing w:line="520" w:lineRule="exact"/>
              <w:ind w:firstLine="480" w:firstLineChars="200"/>
              <w:rPr>
                <w:rFonts w:hint="eastAsia"/>
              </w:rPr>
            </w:pPr>
            <w:r>
              <w:rPr>
                <w:rFonts w:hint="eastAsia"/>
                <w:lang w:val="en-US" w:eastAsia="zh-CN"/>
              </w:rPr>
              <w:t>升压站设</w:t>
            </w:r>
            <w:r>
              <w:rPr>
                <w:rFonts w:hint="eastAsia"/>
              </w:rPr>
              <w:t>职工食堂为员工提供三餐。职工食堂会产生少量油烟。</w:t>
            </w:r>
            <w:r>
              <w:rPr>
                <w:rFonts w:hint="default"/>
              </w:rPr>
              <w:t>项目营运期工作人员为15人，</w:t>
            </w:r>
            <w:r>
              <w:rPr>
                <w:rFonts w:hint="eastAsia"/>
                <w:lang w:val="en-US" w:eastAsia="zh-CN"/>
              </w:rPr>
              <w:t>食堂</w:t>
            </w:r>
            <w:r>
              <w:rPr>
                <w:rFonts w:hint="default"/>
              </w:rPr>
              <w:t>每天油烟量约0.0315kg/d，年产生油烟量为11.50kg/a。</w:t>
            </w:r>
            <w:r>
              <w:rPr>
                <w:rFonts w:hint="eastAsia"/>
              </w:rPr>
              <w:t>根据类比调查和有关资料显示，每人每次耗食用油量约20g，根据不同的烹饪方法，食用油挥发量的占耗油量的2%~4%，本次评价以</w:t>
            </w:r>
            <w:r>
              <w:rPr>
                <w:rFonts w:hint="eastAsia"/>
                <w:lang w:val="en-US" w:eastAsia="zh-CN"/>
              </w:rPr>
              <w:t>3</w:t>
            </w:r>
            <w:r>
              <w:rPr>
                <w:rFonts w:hint="eastAsia"/>
              </w:rPr>
              <w:t>%计，则工程油烟产生量为</w:t>
            </w:r>
            <w:r>
              <w:rPr>
                <w:rFonts w:hint="eastAsia"/>
                <w:lang w:val="en-US" w:eastAsia="zh-CN"/>
              </w:rPr>
              <w:t>9.855kg/</w:t>
            </w:r>
            <w:r>
              <w:rPr>
                <w:rFonts w:hint="eastAsia"/>
              </w:rPr>
              <w:t>a。</w:t>
            </w:r>
            <w:r>
              <w:rPr>
                <w:rFonts w:hint="default"/>
              </w:rPr>
              <w:t>根据项目规模，职工食堂可规划一个灶头</w:t>
            </w:r>
            <w:r>
              <w:rPr>
                <w:rFonts w:hint="eastAsia"/>
                <w:lang w:eastAsia="zh-CN"/>
              </w:rPr>
              <w:t>，</w:t>
            </w:r>
            <w:r>
              <w:rPr>
                <w:rFonts w:hint="default"/>
              </w:rPr>
              <w:t>单个灶头基准排风量按2000m</w:t>
            </w:r>
            <w:r>
              <w:rPr>
                <w:rFonts w:hint="default"/>
                <w:vertAlign w:val="superscript"/>
              </w:rPr>
              <w:t>3</w:t>
            </w:r>
            <w:r>
              <w:rPr>
                <w:rFonts w:hint="default"/>
              </w:rPr>
              <w:t>/h计</w:t>
            </w:r>
            <w:r>
              <w:rPr>
                <w:rFonts w:hint="eastAsia"/>
                <w:lang w:eastAsia="zh-CN"/>
              </w:rPr>
              <w:t>，</w:t>
            </w:r>
            <w:r>
              <w:rPr>
                <w:rFonts w:hint="eastAsia"/>
                <w:lang w:val="en-US" w:eastAsia="zh-CN"/>
              </w:rPr>
              <w:t>油烟收集效率按照90%计，使用历时按3h计，</w:t>
            </w:r>
            <w:r>
              <w:rPr>
                <w:rFonts w:hint="default"/>
              </w:rPr>
              <w:t>则项目职工食堂油烟产生浓度为</w:t>
            </w:r>
            <w:r>
              <w:rPr>
                <w:rFonts w:hint="eastAsia"/>
                <w:lang w:val="en-US" w:eastAsia="zh-CN"/>
              </w:rPr>
              <w:t>4.05</w:t>
            </w:r>
            <w:r>
              <w:rPr>
                <w:rFonts w:hint="default"/>
              </w:rPr>
              <w:t>mg/m</w:t>
            </w:r>
            <w:r>
              <w:rPr>
                <w:rFonts w:hint="default"/>
                <w:vertAlign w:val="superscript"/>
              </w:rPr>
              <w:t>3</w:t>
            </w:r>
            <w:r>
              <w:rPr>
                <w:rFonts w:hint="eastAsia"/>
              </w:rPr>
              <w:t>。</w:t>
            </w:r>
          </w:p>
          <w:p>
            <w:pPr>
              <w:ind w:firstLine="480"/>
              <w:rPr>
                <w:rFonts w:hint="eastAsia"/>
              </w:rPr>
            </w:pPr>
            <w:r>
              <w:rPr>
                <w:rFonts w:hint="default"/>
              </w:rPr>
              <w:t>本项目职工食堂根据设计要求加装</w:t>
            </w:r>
            <w:r>
              <w:rPr>
                <w:rFonts w:hint="eastAsia"/>
              </w:rPr>
              <w:t>烟气集气罩</w:t>
            </w:r>
            <w:r>
              <w:rPr>
                <w:rFonts w:hint="eastAsia"/>
                <w:lang w:val="en-US" w:eastAsia="zh-CN"/>
              </w:rPr>
              <w:t>+</w:t>
            </w:r>
            <w:r>
              <w:rPr>
                <w:rFonts w:hint="default"/>
              </w:rPr>
              <w:t>油烟净化器（处理效率：小型≥</w:t>
            </w:r>
            <w:r>
              <w:rPr>
                <w:rFonts w:hint="eastAsia"/>
              </w:rPr>
              <w:t>9</w:t>
            </w:r>
            <w:r>
              <w:rPr>
                <w:rFonts w:hint="default"/>
              </w:rPr>
              <w:t>0%），项目餐饮油烟经油烟净化系统处理</w:t>
            </w:r>
            <w:r>
              <w:rPr>
                <w:rFonts w:hint="eastAsia"/>
              </w:rPr>
              <w:t>后</w:t>
            </w:r>
            <w:r>
              <w:rPr>
                <w:rFonts w:hint="default"/>
              </w:rPr>
              <w:t>通过烟道</w:t>
            </w:r>
            <w:r>
              <w:rPr>
                <w:rFonts w:hint="eastAsia"/>
              </w:rPr>
              <w:t>经房顶排放。油烟经处理后</w:t>
            </w:r>
            <w:r>
              <w:rPr>
                <w:rFonts w:hint="eastAsia"/>
                <w:lang w:val="en-US" w:eastAsia="zh-CN"/>
              </w:rPr>
              <w:t>排</w:t>
            </w:r>
            <w:r>
              <w:rPr>
                <w:rFonts w:hint="eastAsia"/>
              </w:rPr>
              <w:t>放浓度</w:t>
            </w:r>
            <w:r>
              <w:rPr>
                <w:rFonts w:hint="eastAsia"/>
                <w:lang w:val="en-US" w:eastAsia="zh-CN"/>
              </w:rPr>
              <w:t>约</w:t>
            </w:r>
            <w:r>
              <w:rPr>
                <w:rFonts w:hint="eastAsia"/>
              </w:rPr>
              <w:t>0.</w:t>
            </w:r>
            <w:r>
              <w:rPr>
                <w:rFonts w:hint="eastAsia"/>
                <w:lang w:val="en-US" w:eastAsia="zh-CN"/>
              </w:rPr>
              <w:t>4</w:t>
            </w:r>
            <w:r>
              <w:rPr>
                <w:rFonts w:hint="eastAsia"/>
              </w:rPr>
              <w:t>mg/m</w:t>
            </w:r>
            <w:r>
              <w:rPr>
                <w:rFonts w:hint="eastAsia"/>
                <w:vertAlign w:val="superscript"/>
              </w:rPr>
              <w:t>3</w:t>
            </w:r>
            <w:r>
              <w:rPr>
                <w:rFonts w:hint="eastAsia"/>
              </w:rPr>
              <w:t>，</w:t>
            </w:r>
            <w:r>
              <w:rPr>
                <w:rFonts w:hint="eastAsia"/>
                <w:lang w:val="en-US" w:eastAsia="zh-CN"/>
              </w:rPr>
              <w:t>可</w:t>
            </w:r>
            <w:r>
              <w:rPr>
                <w:rFonts w:hint="eastAsia"/>
              </w:rPr>
              <w:t>满足河南省</w:t>
            </w:r>
            <w:r>
              <w:rPr>
                <w:rFonts w:hint="eastAsia"/>
                <w:lang w:val="en-US" w:eastAsia="zh-CN"/>
              </w:rPr>
              <w:t>地方标准</w:t>
            </w:r>
            <w:r>
              <w:rPr>
                <w:rFonts w:hint="eastAsia"/>
              </w:rPr>
              <w:t>《餐饮业油烟污染物排放标准》(DB41/1604-2018) 表1标准要求（处理后排放浓度1.5mg/m</w:t>
            </w:r>
            <w:r>
              <w:rPr>
                <w:rFonts w:hint="eastAsia"/>
                <w:vertAlign w:val="superscript"/>
              </w:rPr>
              <w:t>3</w:t>
            </w:r>
            <w:r>
              <w:rPr>
                <w:rFonts w:hint="eastAsia"/>
              </w:rPr>
              <w:t>，处理效率90%）。</w:t>
            </w:r>
          </w:p>
          <w:p>
            <w:pPr>
              <w:autoSpaceDE w:val="0"/>
              <w:autoSpaceDN w:val="0"/>
              <w:adjustRightInd w:val="0"/>
              <w:spacing w:line="520" w:lineRule="exact"/>
              <w:ind w:firstLine="480" w:firstLineChars="200"/>
              <w:rPr>
                <w:rFonts w:hint="default"/>
                <w:b w:val="0"/>
                <w:bCs w:val="0"/>
                <w:u w:val="none"/>
                <w:lang w:val="en-US" w:eastAsia="zh-CN"/>
              </w:rPr>
            </w:pPr>
            <w:r>
              <w:rPr>
                <w:rFonts w:hint="eastAsia"/>
                <w:b w:val="0"/>
                <w:bCs w:val="0"/>
                <w:u w:val="none"/>
                <w:lang w:val="en-US" w:eastAsia="zh-CN"/>
              </w:rPr>
              <w:t>根据《一起变压器内部发生电弧放电故障的案例分析》（徐康健，应高亮，《华中电力》2008年第4期），变压器内部的放电性故障一般可分为电弧放电、火花放电和局部放电，其中以电弧放电对设备的危害最大。电弧放电常以电子崩的形式冲击电介质，使绝缘纸穿孔、烧焦或炭化，或使金属材料变形、熔化、烧毁，严重时造成设备烧坏，甚至发生爆炸事故。电弧放电又称高能放电，常常无先兆，较难预测，最终以突发性事故暴露出来。当变压器内部发生电弧放电故障时，会产生以H</w:t>
            </w:r>
            <w:r>
              <w:rPr>
                <w:rFonts w:hint="eastAsia"/>
                <w:b w:val="0"/>
                <w:bCs w:val="0"/>
                <w:u w:val="none"/>
                <w:vertAlign w:val="subscript"/>
                <w:lang w:val="en-US" w:eastAsia="zh-CN"/>
              </w:rPr>
              <w:t>2</w:t>
            </w:r>
            <w:r>
              <w:rPr>
                <w:rFonts w:hint="eastAsia"/>
                <w:b w:val="0"/>
                <w:bCs w:val="0"/>
                <w:u w:val="none"/>
                <w:lang w:val="en-US" w:eastAsia="zh-CN"/>
              </w:rPr>
              <w:t>、C</w:t>
            </w:r>
            <w:r>
              <w:rPr>
                <w:rFonts w:hint="eastAsia"/>
                <w:b w:val="0"/>
                <w:bCs w:val="0"/>
                <w:u w:val="none"/>
                <w:vertAlign w:val="subscript"/>
                <w:lang w:val="en-US" w:eastAsia="zh-CN"/>
              </w:rPr>
              <w:t>2</w:t>
            </w:r>
            <w:r>
              <w:rPr>
                <w:rFonts w:hint="eastAsia"/>
                <w:b w:val="0"/>
                <w:bCs w:val="0"/>
                <w:u w:val="none"/>
                <w:lang w:val="en-US" w:eastAsia="zh-CN"/>
              </w:rPr>
              <w:t>H</w:t>
            </w:r>
            <w:r>
              <w:rPr>
                <w:rFonts w:hint="eastAsia"/>
                <w:b w:val="0"/>
                <w:bCs w:val="0"/>
                <w:u w:val="none"/>
                <w:vertAlign w:val="subscript"/>
                <w:lang w:val="en-US" w:eastAsia="zh-CN"/>
              </w:rPr>
              <w:t>2</w:t>
            </w:r>
            <w:r>
              <w:rPr>
                <w:rFonts w:hint="eastAsia"/>
                <w:b w:val="0"/>
                <w:bCs w:val="0"/>
                <w:u w:val="none"/>
                <w:lang w:val="en-US" w:eastAsia="zh-CN"/>
              </w:rPr>
              <w:t>为主的故障气体，如果故障涉及到固体绝缘，油中还会产生较多的CO和CO</w:t>
            </w:r>
            <w:r>
              <w:rPr>
                <w:rFonts w:hint="eastAsia"/>
                <w:b w:val="0"/>
                <w:bCs w:val="0"/>
                <w:u w:val="none"/>
                <w:vertAlign w:val="subscript"/>
                <w:lang w:val="en-US" w:eastAsia="zh-CN"/>
              </w:rPr>
              <w:t>2</w:t>
            </w:r>
            <w:r>
              <w:rPr>
                <w:rFonts w:hint="eastAsia"/>
                <w:b w:val="0"/>
                <w:bCs w:val="0"/>
                <w:u w:val="none"/>
                <w:lang w:val="en-US" w:eastAsia="zh-CN"/>
              </w:rPr>
              <w:t>。</w:t>
            </w:r>
          </w:p>
          <w:p>
            <w:pPr>
              <w:autoSpaceDE w:val="0"/>
              <w:autoSpaceDN w:val="0"/>
              <w:adjustRightInd w:val="0"/>
              <w:spacing w:line="520" w:lineRule="exact"/>
              <w:ind w:firstLine="480" w:firstLineChars="200"/>
              <w:rPr>
                <w:rFonts w:hint="default"/>
                <w:b w:val="0"/>
                <w:bCs w:val="0"/>
                <w:u w:val="none"/>
                <w:lang w:val="en-US" w:eastAsia="zh-CN"/>
              </w:rPr>
            </w:pPr>
            <w:r>
              <w:rPr>
                <w:rFonts w:hint="eastAsia"/>
                <w:b w:val="0"/>
                <w:bCs w:val="0"/>
                <w:u w:val="none"/>
                <w:lang w:val="en-US" w:eastAsia="zh-CN"/>
              </w:rPr>
              <w:t>设计采用设接地变压器、采用六氟化硫断路器等方式，提高配电系统的供电可靠性、减少项目运行过程中高压电弧产生频次。另外，</w:t>
            </w:r>
            <w:r>
              <w:rPr>
                <w:rFonts w:hint="eastAsia"/>
                <w:b w:val="0"/>
                <w:bCs w:val="0"/>
                <w:u w:val="none"/>
              </w:rPr>
              <w:t>在变压器安装、使用过程中，</w:t>
            </w:r>
            <w:r>
              <w:rPr>
                <w:rFonts w:hint="eastAsia"/>
                <w:b w:val="0"/>
                <w:bCs w:val="0"/>
                <w:u w:val="none"/>
                <w:lang w:val="en-US" w:eastAsia="zh-CN"/>
              </w:rPr>
              <w:t>建设单位应</w:t>
            </w:r>
            <w:r>
              <w:rPr>
                <w:rFonts w:hint="eastAsia"/>
                <w:b w:val="0"/>
                <w:bCs w:val="0"/>
                <w:u w:val="none"/>
              </w:rPr>
              <w:t>时刻关注变压器内部运行状态，如果发现疑似故障需要及时做好检查工作，避免</w:t>
            </w:r>
            <w:r>
              <w:rPr>
                <w:rFonts w:hint="eastAsia"/>
                <w:b w:val="0"/>
                <w:bCs w:val="0"/>
                <w:u w:val="none"/>
                <w:lang w:val="en-US" w:eastAsia="zh-CN"/>
              </w:rPr>
              <w:t>较大事故产生，减少故障废气排放。</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top"/>
            </w:pPr>
            <w:r>
              <w:rPr>
                <w:rFonts w:hint="eastAsia"/>
                <w:lang w:val="en-US" w:eastAsia="zh-CN"/>
              </w:rPr>
              <w:t>综上所述，在做好污染防治措施及检修工作的基础上，</w:t>
            </w:r>
            <w:r>
              <w:t>拟建项目对周围环境空气影响</w:t>
            </w:r>
            <w:r>
              <w:rPr>
                <w:rFonts w:hint="eastAsia"/>
                <w:lang w:val="en-US" w:eastAsia="zh-CN"/>
              </w:rPr>
              <w:t>较小</w:t>
            </w:r>
            <w:r>
              <w:t>。</w:t>
            </w:r>
          </w:p>
          <w:p>
            <w:pPr>
              <w:ind w:firstLine="0" w:firstLineChars="0"/>
              <w:jc w:val="left"/>
              <w:rPr>
                <w:rFonts w:hint="default"/>
                <w:b/>
                <w:bCs/>
              </w:rPr>
            </w:pPr>
            <w:r>
              <w:rPr>
                <w:rFonts w:hint="eastAsia"/>
                <w:b/>
                <w:bCs/>
                <w:lang w:val="en-US" w:eastAsia="zh-CN"/>
              </w:rPr>
              <w:t>4</w:t>
            </w:r>
            <w:r>
              <w:rPr>
                <w:rFonts w:hint="default"/>
                <w:b/>
                <w:bCs/>
              </w:rPr>
              <w:t>、运营期</w:t>
            </w:r>
            <w:r>
              <w:rPr>
                <w:rFonts w:hint="eastAsia"/>
                <w:b/>
                <w:bCs/>
                <w:lang w:val="en-US" w:eastAsia="zh-CN"/>
              </w:rPr>
              <w:t>地表水</w:t>
            </w:r>
            <w:r>
              <w:rPr>
                <w:rFonts w:hint="default"/>
                <w:b/>
                <w:bCs/>
              </w:rPr>
              <w:t>环境影响分析</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textAlignment w:val="top"/>
              <w:rPr>
                <w:rFonts w:hint="default"/>
              </w:rPr>
            </w:pPr>
            <w:r>
              <w:rPr>
                <w:rFonts w:hint="default"/>
              </w:rPr>
              <w:t>本项目</w:t>
            </w:r>
            <w:r>
              <w:rPr>
                <w:rFonts w:hint="default"/>
                <w:lang w:val="en-US" w:eastAsia="zh-CN"/>
              </w:rPr>
              <w:t>劳动定员15人，</w:t>
            </w:r>
            <w:r>
              <w:rPr>
                <w:rFonts w:hint="default"/>
              </w:rPr>
              <w:t>全部在升压站吃住，用水定额按120L/d核算，</w:t>
            </w:r>
            <w:r>
              <w:t>则日生活用水量为</w:t>
            </w:r>
            <w:r>
              <w:rPr>
                <w:rFonts w:hint="eastAsia"/>
                <w:lang w:val="en-US" w:eastAsia="zh-CN"/>
              </w:rPr>
              <w:t>1.8</w:t>
            </w:r>
            <w:r>
              <w:t>m</w:t>
            </w:r>
            <w:r>
              <w:rPr>
                <w:vertAlign w:val="superscript"/>
              </w:rPr>
              <w:t>3</w:t>
            </w:r>
            <w:r>
              <w:t>/d</w:t>
            </w:r>
            <w:r>
              <w:rPr>
                <w:rFonts w:hint="eastAsia"/>
                <w:lang w:eastAsia="zh-CN"/>
              </w:rPr>
              <w:t>，</w:t>
            </w:r>
            <w:r>
              <w:rPr>
                <w:rFonts w:hint="eastAsia"/>
                <w:lang w:val="en-US" w:eastAsia="zh-CN"/>
              </w:rPr>
              <w:t>污水产生</w:t>
            </w:r>
            <w:r>
              <w:t>量按用水量的80%计算，则生活污水</w:t>
            </w:r>
            <w:r>
              <w:rPr>
                <w:rFonts w:hint="eastAsia"/>
                <w:lang w:val="en-US" w:eastAsia="zh-CN"/>
              </w:rPr>
              <w:t>生产</w:t>
            </w:r>
            <w:r>
              <w:t>量为</w:t>
            </w:r>
            <w:r>
              <w:rPr>
                <w:rFonts w:hint="eastAsia"/>
                <w:lang w:val="en-US" w:eastAsia="zh-CN"/>
              </w:rPr>
              <w:t>1.44</w:t>
            </w:r>
            <w:r>
              <w:t>m</w:t>
            </w:r>
            <w:r>
              <w:rPr>
                <w:vertAlign w:val="superscript"/>
              </w:rPr>
              <w:t>3</w:t>
            </w:r>
            <w:r>
              <w:t>/d</w:t>
            </w:r>
            <w:r>
              <w:rPr>
                <w:rFonts w:hint="default"/>
              </w:rPr>
              <w:t>、525.6m</w:t>
            </w:r>
            <w:r>
              <w:rPr>
                <w:rFonts w:hint="default"/>
                <w:vertAlign w:val="superscript"/>
              </w:rPr>
              <w:t>3</w:t>
            </w:r>
            <w:r>
              <w:rPr>
                <w:rFonts w:hint="default"/>
              </w:rPr>
              <w:t>/a，</w:t>
            </w:r>
            <w:r>
              <w:rPr>
                <w:rFonts w:hint="eastAsia"/>
                <w:lang w:val="en-US" w:eastAsia="zh-CN"/>
              </w:rPr>
              <w:t>经</w:t>
            </w:r>
            <w:r>
              <w:rPr>
                <w:rFonts w:hint="default"/>
              </w:rPr>
              <w:t>类比可知，日常生活污水水质COD 350mg/L、BOD</w:t>
            </w:r>
            <w:r>
              <w:rPr>
                <w:rFonts w:hint="default"/>
                <w:vertAlign w:val="subscript"/>
              </w:rPr>
              <w:t>5</w:t>
            </w:r>
            <w:r>
              <w:rPr>
                <w:rFonts w:hint="default"/>
              </w:rPr>
              <w:t xml:space="preserve"> 180mg/L、SS200mg/L、NH</w:t>
            </w:r>
            <w:r>
              <w:rPr>
                <w:rFonts w:hint="default"/>
                <w:vertAlign w:val="subscript"/>
              </w:rPr>
              <w:t>3</w:t>
            </w:r>
            <w:r>
              <w:rPr>
                <w:rFonts w:hint="default"/>
              </w:rPr>
              <w:t>-N35mg/L</w:t>
            </w:r>
            <w:r>
              <w:rPr>
                <w:rFonts w:hint="eastAsia"/>
                <w:lang w:eastAsia="zh-CN"/>
              </w:rPr>
              <w:t>。</w:t>
            </w:r>
            <w:r>
              <w:rPr>
                <w:rFonts w:hint="default"/>
              </w:rPr>
              <w:t>升压站区食堂废水经隔油池处理后，同其他生活污水混合后通过站区内的地埋式一体化生活污水处理装置处理达标后用于绿化和道路洒水，不外排。</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textAlignment w:val="top"/>
              <w:rPr>
                <w:rFonts w:hint="eastAsia" w:cs="Times New Roman"/>
                <w:b w:val="0"/>
                <w:bCs w:val="0"/>
                <w:sz w:val="24"/>
                <w:highlight w:val="none"/>
                <w:u w:val="none"/>
                <w:lang w:val="en-US" w:eastAsia="zh-CN"/>
              </w:rPr>
            </w:pPr>
            <w:r>
              <w:rPr>
                <w:rFonts w:hint="eastAsia" w:cs="Times New Roman"/>
                <w:b w:val="0"/>
                <w:bCs w:val="0"/>
                <w:sz w:val="24"/>
                <w:highlight w:val="none"/>
                <w:u w:val="none"/>
                <w:lang w:val="en-US" w:eastAsia="zh-CN"/>
              </w:rPr>
              <w:t>项目区域雨水会沿沟谷流经6.4km后于砚瓦河村附近进入砚瓦河，自汇入口向南在砚瓦河流经22km后汇入黄河。砚瓦河入黄河的汇入口位于小浪底水库大坝下游约5.2km。项目区域雨水不会进入小浪底水库库区。</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textAlignment w:val="top"/>
              <w:rPr>
                <w:rFonts w:hint="default" w:ascii="Times New Roman" w:hAnsi="Times New Roman" w:cs="Times New Roman"/>
                <w:b w:val="0"/>
                <w:bCs w:val="0"/>
                <w:sz w:val="24"/>
                <w:highlight w:val="none"/>
                <w:u w:val="none"/>
                <w:lang w:val="en-US" w:eastAsia="zh-CN"/>
              </w:rPr>
            </w:pPr>
            <w:r>
              <w:rPr>
                <w:rFonts w:hint="default" w:ascii="Times New Roman" w:hAnsi="Times New Roman" w:cs="Times New Roman"/>
                <w:b w:val="0"/>
                <w:bCs w:val="0"/>
                <w:sz w:val="24"/>
                <w:highlight w:val="none"/>
                <w:u w:val="none"/>
                <w:lang w:val="en-US" w:eastAsia="zh-CN"/>
              </w:rPr>
              <w:t>升压站</w:t>
            </w:r>
            <w:r>
              <w:rPr>
                <w:rFonts w:hint="eastAsia" w:ascii="Times New Roman" w:hAnsi="Times New Roman" w:cs="Times New Roman"/>
                <w:b w:val="0"/>
                <w:bCs w:val="0"/>
                <w:sz w:val="24"/>
                <w:highlight w:val="none"/>
                <w:u w:val="none"/>
                <w:lang w:val="en-US" w:eastAsia="zh-CN"/>
              </w:rPr>
              <w:t>周边纳污水系情况见附图</w:t>
            </w:r>
            <w:r>
              <w:rPr>
                <w:rFonts w:hint="eastAsia" w:cs="Times New Roman"/>
                <w:b w:val="0"/>
                <w:bCs w:val="0"/>
                <w:sz w:val="24"/>
                <w:highlight w:val="none"/>
                <w:u w:val="none"/>
                <w:lang w:val="en-US" w:eastAsia="zh-CN"/>
              </w:rPr>
              <w:t>3</w:t>
            </w:r>
            <w:r>
              <w:rPr>
                <w:rFonts w:hint="eastAsia" w:ascii="Times New Roman" w:hAnsi="Times New Roman" w:cs="Times New Roman"/>
                <w:b w:val="0"/>
                <w:bCs w:val="0"/>
                <w:sz w:val="24"/>
                <w:highlight w:val="none"/>
                <w:u w:val="none"/>
                <w:lang w:val="en-US" w:eastAsia="zh-CN"/>
              </w:rPr>
              <w:t>。</w:t>
            </w:r>
          </w:p>
          <w:p>
            <w:pPr>
              <w:ind w:firstLine="0" w:firstLineChars="0"/>
              <w:jc w:val="left"/>
              <w:rPr>
                <w:rFonts w:hint="default"/>
                <w:b/>
                <w:bCs/>
              </w:rPr>
            </w:pPr>
            <w:r>
              <w:rPr>
                <w:rFonts w:hint="eastAsia"/>
                <w:b/>
                <w:bCs/>
                <w:lang w:val="en-US" w:eastAsia="zh-CN"/>
              </w:rPr>
              <w:t>5</w:t>
            </w:r>
            <w:r>
              <w:rPr>
                <w:rFonts w:hint="default"/>
                <w:b/>
                <w:bCs/>
              </w:rPr>
              <w:t>、运营期</w:t>
            </w:r>
            <w:r>
              <w:rPr>
                <w:rFonts w:hint="eastAsia"/>
                <w:b/>
                <w:bCs/>
                <w:lang w:val="en-US" w:eastAsia="zh-CN"/>
              </w:rPr>
              <w:t>声</w:t>
            </w:r>
            <w:r>
              <w:rPr>
                <w:rFonts w:hint="default"/>
                <w:b/>
                <w:bCs/>
              </w:rPr>
              <w:t>环境影响分析</w:t>
            </w:r>
          </w:p>
          <w:p>
            <w:pPr>
              <w:keepNext w:val="0"/>
              <w:keepLines w:val="0"/>
              <w:pageBreakBefore w:val="0"/>
              <w:widowControl w:val="0"/>
              <w:kinsoku/>
              <w:wordWrap/>
              <w:overflowPunct/>
              <w:topLinePunct w:val="0"/>
              <w:autoSpaceDE/>
              <w:autoSpaceDN/>
              <w:bidi w:val="0"/>
              <w:adjustRightInd w:val="0"/>
              <w:snapToGrid w:val="0"/>
              <w:ind w:firstLine="482"/>
              <w:textAlignment w:val="top"/>
              <w:rPr>
                <w:rFonts w:hint="default"/>
              </w:rPr>
            </w:pPr>
            <w:r>
              <w:rPr>
                <w:rFonts w:hint="default"/>
              </w:rPr>
              <w:t>本项目</w:t>
            </w:r>
            <w:r>
              <w:rPr>
                <w:rFonts w:hint="default"/>
                <w:lang w:val="en-US" w:eastAsia="zh-CN"/>
              </w:rPr>
              <w:t>11</w:t>
            </w:r>
            <w:r>
              <w:rPr>
                <w:rFonts w:hint="default"/>
                <w:lang w:eastAsia="zh-CN"/>
              </w:rPr>
              <w:t>0</w:t>
            </w:r>
            <w:r>
              <w:rPr>
                <w:rFonts w:hint="default"/>
              </w:rPr>
              <w:t>kV升压站</w:t>
            </w:r>
            <w:r>
              <w:rPr>
                <w:rFonts w:hint="eastAsia"/>
                <w:lang w:eastAsia="zh-CN"/>
              </w:rPr>
              <w:t>运营期</w:t>
            </w:r>
            <w:r>
              <w:rPr>
                <w:rFonts w:hint="default"/>
              </w:rPr>
              <w:t>的噪声源主要来自变压器运行噪声，根据目前国内外电气设备的制造水平和运行情况，本工程主变压器噪声源强按保守原则取值65dB（A）。</w:t>
            </w:r>
            <w:r>
              <w:rPr>
                <w:rFonts w:hint="default"/>
                <w:lang w:val="en-US" w:eastAsia="zh-CN"/>
              </w:rPr>
              <w:t>另外，项目设泵房，内设</w:t>
            </w:r>
            <w:r>
              <w:rPr>
                <w:rFonts w:hint="eastAsia"/>
                <w:lang w:val="en-US" w:eastAsia="zh-CN"/>
              </w:rPr>
              <w:t>1</w:t>
            </w:r>
            <w:r>
              <w:rPr>
                <w:rFonts w:hint="default"/>
                <w:lang w:val="en-US" w:eastAsia="zh-CN"/>
              </w:rPr>
              <w:t>台</w:t>
            </w:r>
            <w:r>
              <w:rPr>
                <w:rFonts w:hint="eastAsia"/>
                <w:lang w:val="en-US" w:eastAsia="zh-CN"/>
              </w:rPr>
              <w:t>给</w:t>
            </w:r>
            <w:r>
              <w:rPr>
                <w:rFonts w:hint="default"/>
                <w:lang w:val="en-US" w:eastAsia="zh-CN"/>
              </w:rPr>
              <w:t>水泵，</w:t>
            </w:r>
            <w:r>
              <w:rPr>
                <w:rFonts w:hint="default"/>
              </w:rPr>
              <w:t>噪声源强</w:t>
            </w:r>
            <w:r>
              <w:rPr>
                <w:rFonts w:hint="default"/>
                <w:lang w:val="en-US" w:eastAsia="zh-CN"/>
              </w:rPr>
              <w:t>约</w:t>
            </w:r>
            <w:r>
              <w:rPr>
                <w:rFonts w:hint="eastAsia"/>
                <w:lang w:val="en-US" w:eastAsia="zh-CN"/>
              </w:rPr>
              <w:t>70</w:t>
            </w:r>
            <w:r>
              <w:rPr>
                <w:rFonts w:hint="default"/>
              </w:rPr>
              <w:t>dB（A）。</w:t>
            </w:r>
          </w:p>
          <w:p>
            <w:pPr>
              <w:keepNext w:val="0"/>
              <w:keepLines w:val="0"/>
              <w:pageBreakBefore w:val="0"/>
              <w:kinsoku/>
              <w:wordWrap/>
              <w:overflowPunct/>
              <w:topLinePunct w:val="0"/>
              <w:autoSpaceDE/>
              <w:autoSpaceDN/>
              <w:bidi w:val="0"/>
              <w:adjustRightInd w:val="0"/>
              <w:snapToGrid w:val="0"/>
              <w:spacing w:line="520" w:lineRule="exact"/>
              <w:ind w:firstLine="480"/>
              <w:rPr>
                <w:rFonts w:hint="default"/>
                <w:b w:val="0"/>
                <w:bCs w:val="0"/>
                <w:u w:val="none"/>
                <w:lang w:val="en-US" w:eastAsia="zh-CN"/>
              </w:rPr>
            </w:pPr>
            <w:r>
              <w:rPr>
                <w:rFonts w:hint="default"/>
                <w:b w:val="0"/>
                <w:bCs w:val="0"/>
                <w:u w:val="none"/>
                <w:lang w:eastAsia="zh-CN"/>
              </w:rPr>
              <w:t>济源大岭四期100MW风电场项目</w:t>
            </w:r>
            <w:r>
              <w:rPr>
                <w:rFonts w:hint="eastAsia"/>
                <w:b w:val="0"/>
                <w:bCs w:val="0"/>
                <w:u w:val="none"/>
                <w:lang w:val="en-US" w:eastAsia="zh-CN"/>
              </w:rPr>
              <w:t>风机各点位与</w:t>
            </w:r>
            <w:r>
              <w:rPr>
                <w:rFonts w:hint="default"/>
                <w:b w:val="0"/>
                <w:bCs w:val="0"/>
                <w:u w:val="none"/>
                <w:lang w:eastAsia="zh-CN"/>
              </w:rPr>
              <w:t>配套110kV升压站</w:t>
            </w:r>
            <w:r>
              <w:rPr>
                <w:rFonts w:hint="eastAsia"/>
                <w:b w:val="0"/>
                <w:bCs w:val="0"/>
                <w:u w:val="none"/>
                <w:lang w:val="en-US" w:eastAsia="zh-CN"/>
              </w:rPr>
              <w:t>站址最近距离为2070m，升压站厂界噪声不考虑风机影响。</w:t>
            </w:r>
          </w:p>
          <w:p>
            <w:pPr>
              <w:pStyle w:val="2"/>
              <w:spacing w:after="0" w:line="520" w:lineRule="exact"/>
              <w:ind w:left="0" w:leftChars="0" w:firstLine="480"/>
              <w:rPr>
                <w:rFonts w:hint="default" w:ascii="Times New Roman" w:hAnsi="Times New Roman" w:cs="Times New Roman"/>
                <w:b w:val="0"/>
                <w:bCs w:val="0"/>
                <w:color w:val="auto"/>
                <w:szCs w:val="24"/>
                <w:highlight w:val="none"/>
                <w:u w:val="none"/>
                <w:lang w:bidi="ar"/>
              </w:rPr>
            </w:pPr>
            <w:r>
              <w:rPr>
                <w:rFonts w:hint="default" w:ascii="Times New Roman" w:hAnsi="Times New Roman" w:cs="Times New Roman"/>
                <w:b w:val="0"/>
                <w:bCs w:val="0"/>
                <w:color w:val="auto"/>
                <w:szCs w:val="24"/>
                <w:highlight w:val="none"/>
                <w:u w:val="none"/>
                <w:lang w:bidi="ar"/>
              </w:rPr>
              <w:t>噪声源强见表</w:t>
            </w:r>
            <w:r>
              <w:rPr>
                <w:rFonts w:hint="eastAsia" w:ascii="Times New Roman" w:hAnsi="Times New Roman" w:cs="Times New Roman"/>
                <w:b w:val="0"/>
                <w:bCs w:val="0"/>
                <w:color w:val="auto"/>
                <w:szCs w:val="24"/>
                <w:highlight w:val="none"/>
                <w:u w:val="none"/>
                <w:lang w:val="en-US" w:eastAsia="zh-CN" w:bidi="ar"/>
              </w:rPr>
              <w:t>4-2及表4-3</w:t>
            </w:r>
            <w:r>
              <w:rPr>
                <w:rFonts w:hint="default" w:ascii="Times New Roman" w:hAnsi="Times New Roman" w:cs="Times New Roman"/>
                <w:b w:val="0"/>
                <w:bCs w:val="0"/>
                <w:color w:val="auto"/>
                <w:szCs w:val="24"/>
                <w:highlight w:val="none"/>
                <w:u w:val="none"/>
                <w:lang w:bidi="ar"/>
              </w:rPr>
              <w:t>。</w:t>
            </w:r>
          </w:p>
          <w:p>
            <w:pPr>
              <w:pStyle w:val="70"/>
              <w:ind w:firstLineChars="0"/>
              <w:textAlignment w:val="auto"/>
              <w:rPr>
                <w:rFonts w:hint="default"/>
              </w:rPr>
            </w:pPr>
            <w:r>
              <w:rPr>
                <w:rFonts w:hint="default"/>
                <w:lang w:val="en-US" w:eastAsia="zh-CN"/>
              </w:rPr>
              <w:t>工业企业噪声源强调查清单（室</w:t>
            </w:r>
            <w:r>
              <w:rPr>
                <w:rFonts w:hint="eastAsia"/>
                <w:lang w:val="en-US" w:eastAsia="zh-CN"/>
              </w:rPr>
              <w:t>外</w:t>
            </w:r>
            <w:r>
              <w:rPr>
                <w:rFonts w:hint="default"/>
                <w:lang w:val="en-US" w:eastAsia="zh-CN"/>
              </w:rPr>
              <w:t>声源）</w:t>
            </w:r>
          </w:p>
          <w:tbl>
            <w:tblPr>
              <w:tblStyle w:val="23"/>
              <w:tblW w:w="4997" w:type="pct"/>
              <w:jc w:val="center"/>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autofit"/>
              <w:tblCellMar>
                <w:top w:w="0" w:type="dxa"/>
                <w:left w:w="51" w:type="dxa"/>
                <w:bottom w:w="0" w:type="dxa"/>
                <w:right w:w="51" w:type="dxa"/>
              </w:tblCellMar>
            </w:tblPr>
            <w:tblGrid>
              <w:gridCol w:w="409"/>
              <w:gridCol w:w="1272"/>
              <w:gridCol w:w="1677"/>
              <w:gridCol w:w="580"/>
              <w:gridCol w:w="688"/>
              <w:gridCol w:w="669"/>
              <w:gridCol w:w="840"/>
              <w:gridCol w:w="1942"/>
              <w:gridCol w:w="768"/>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jc w:val="center"/>
              </w:trPr>
              <w:tc>
                <w:tcPr>
                  <w:tcW w:w="231" w:type="pct"/>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top"/>
                    <w:rPr>
                      <w:b w:val="0"/>
                      <w:bCs w:val="0"/>
                      <w:sz w:val="21"/>
                      <w:szCs w:val="21"/>
                      <w:highlight w:val="none"/>
                      <w:u w:val="none"/>
                    </w:rPr>
                  </w:pPr>
                  <w:r>
                    <w:rPr>
                      <w:rFonts w:hint="eastAsia" w:ascii="宋体" w:hAnsi="宋体" w:eastAsia="宋体" w:cs="宋体"/>
                      <w:b w:val="0"/>
                      <w:bCs w:val="0"/>
                      <w:color w:val="000000"/>
                      <w:kern w:val="0"/>
                      <w:sz w:val="21"/>
                      <w:szCs w:val="21"/>
                      <w:highlight w:val="none"/>
                      <w:u w:val="none"/>
                      <w:lang w:val="en-US" w:eastAsia="zh-CN" w:bidi="ar"/>
                    </w:rPr>
                    <w:t>序号</w:t>
                  </w:r>
                </w:p>
              </w:tc>
              <w:tc>
                <w:tcPr>
                  <w:tcW w:w="719" w:type="pct"/>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top"/>
                    <w:rPr>
                      <w:b w:val="0"/>
                      <w:bCs w:val="0"/>
                      <w:sz w:val="21"/>
                      <w:szCs w:val="21"/>
                      <w:highlight w:val="none"/>
                      <w:u w:val="none"/>
                    </w:rPr>
                  </w:pPr>
                  <w:r>
                    <w:rPr>
                      <w:rFonts w:hint="eastAsia" w:ascii="宋体" w:hAnsi="宋体" w:eastAsia="宋体" w:cs="宋体"/>
                      <w:b w:val="0"/>
                      <w:bCs w:val="0"/>
                      <w:color w:val="000000"/>
                      <w:kern w:val="0"/>
                      <w:sz w:val="21"/>
                      <w:szCs w:val="21"/>
                      <w:highlight w:val="none"/>
                      <w:u w:val="none"/>
                      <w:lang w:val="en-US" w:eastAsia="zh-CN" w:bidi="ar"/>
                    </w:rPr>
                    <w:t>声源名称</w:t>
                  </w:r>
                </w:p>
              </w:tc>
              <w:tc>
                <w:tcPr>
                  <w:tcW w:w="948" w:type="pct"/>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top"/>
                    <w:rPr>
                      <w:b w:val="0"/>
                      <w:bCs w:val="0"/>
                      <w:sz w:val="21"/>
                      <w:szCs w:val="21"/>
                      <w:highlight w:val="none"/>
                      <w:u w:val="none"/>
                    </w:rPr>
                  </w:pPr>
                  <w:r>
                    <w:rPr>
                      <w:rFonts w:hint="eastAsia" w:ascii="宋体" w:hAnsi="宋体" w:eastAsia="宋体" w:cs="宋体"/>
                      <w:b w:val="0"/>
                      <w:bCs w:val="0"/>
                      <w:color w:val="000000"/>
                      <w:kern w:val="0"/>
                      <w:sz w:val="21"/>
                      <w:szCs w:val="21"/>
                      <w:highlight w:val="none"/>
                      <w:u w:val="none"/>
                      <w:lang w:val="en-US" w:eastAsia="zh-CN" w:bidi="ar"/>
                    </w:rPr>
                    <w:t>型号</w:t>
                  </w:r>
                </w:p>
              </w:tc>
              <w:tc>
                <w:tcPr>
                  <w:tcW w:w="1095" w:type="pct"/>
                  <w:gridSpan w:val="3"/>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top"/>
                    <w:rPr>
                      <w:b w:val="0"/>
                      <w:bCs w:val="0"/>
                      <w:sz w:val="21"/>
                      <w:szCs w:val="21"/>
                      <w:highlight w:val="none"/>
                      <w:u w:val="none"/>
                    </w:rPr>
                  </w:pPr>
                  <w:r>
                    <w:rPr>
                      <w:rFonts w:hint="eastAsia" w:ascii="宋体" w:hAnsi="宋体" w:eastAsia="宋体" w:cs="宋体"/>
                      <w:b w:val="0"/>
                      <w:bCs w:val="0"/>
                      <w:color w:val="000000"/>
                      <w:kern w:val="0"/>
                      <w:sz w:val="21"/>
                      <w:szCs w:val="21"/>
                      <w:highlight w:val="none"/>
                      <w:u w:val="none"/>
                      <w:lang w:val="en-US" w:eastAsia="zh-CN" w:bidi="ar"/>
                    </w:rPr>
                    <w:t>空间相对位置</w:t>
                  </w:r>
                  <w:r>
                    <w:rPr>
                      <w:rFonts w:hint="default" w:ascii="Times New Roman" w:hAnsi="Times New Roman" w:eastAsia="宋体" w:cs="Times New Roman"/>
                      <w:b w:val="0"/>
                      <w:bCs w:val="0"/>
                      <w:color w:val="000000"/>
                      <w:kern w:val="0"/>
                      <w:sz w:val="21"/>
                      <w:szCs w:val="21"/>
                      <w:highlight w:val="none"/>
                      <w:u w:val="none"/>
                      <w:lang w:val="en-US" w:eastAsia="zh-CN" w:bidi="ar"/>
                    </w:rPr>
                    <w:t>/m</w:t>
                  </w:r>
                </w:p>
              </w:tc>
              <w:tc>
                <w:tcPr>
                  <w:tcW w:w="475" w:type="pct"/>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top"/>
                    <w:rPr>
                      <w:b w:val="0"/>
                      <w:bCs w:val="0"/>
                      <w:sz w:val="21"/>
                      <w:szCs w:val="21"/>
                      <w:highlight w:val="none"/>
                      <w:u w:val="none"/>
                    </w:rPr>
                  </w:pPr>
                  <w:r>
                    <w:rPr>
                      <w:rFonts w:hint="eastAsia" w:ascii="宋体" w:hAnsi="宋体" w:eastAsia="宋体" w:cs="宋体"/>
                      <w:b w:val="0"/>
                      <w:bCs w:val="0"/>
                      <w:color w:val="000000"/>
                      <w:kern w:val="0"/>
                      <w:sz w:val="21"/>
                      <w:szCs w:val="21"/>
                      <w:highlight w:val="none"/>
                      <w:u w:val="none"/>
                      <w:lang w:val="en-US" w:eastAsia="zh-CN" w:bidi="ar"/>
                    </w:rPr>
                    <w:t>声源源强</w:t>
                  </w:r>
                  <w:r>
                    <w:rPr>
                      <w:rFonts w:hint="eastAsia" w:ascii="Times New Roman" w:hAnsi="Times New Roman" w:cs="Times New Roman"/>
                      <w:b w:val="0"/>
                      <w:bCs w:val="0"/>
                      <w:color w:val="auto"/>
                      <w:sz w:val="21"/>
                      <w:szCs w:val="21"/>
                      <w:highlight w:val="none"/>
                      <w:u w:val="none"/>
                      <w:vertAlign w:val="baseline"/>
                      <w:lang w:val="en-US" w:eastAsia="zh-CN"/>
                    </w:rPr>
                    <w:t>/dB（A）</w:t>
                  </w:r>
                </w:p>
              </w:tc>
              <w:tc>
                <w:tcPr>
                  <w:tcW w:w="1098" w:type="pct"/>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top"/>
                    <w:rPr>
                      <w:b w:val="0"/>
                      <w:bCs w:val="0"/>
                      <w:sz w:val="21"/>
                      <w:szCs w:val="21"/>
                      <w:highlight w:val="none"/>
                      <w:u w:val="none"/>
                    </w:rPr>
                  </w:pPr>
                  <w:r>
                    <w:rPr>
                      <w:rFonts w:hint="eastAsia" w:ascii="宋体" w:hAnsi="宋体" w:eastAsia="宋体" w:cs="宋体"/>
                      <w:b w:val="0"/>
                      <w:bCs w:val="0"/>
                      <w:color w:val="000000"/>
                      <w:kern w:val="0"/>
                      <w:sz w:val="21"/>
                      <w:szCs w:val="21"/>
                      <w:highlight w:val="none"/>
                      <w:u w:val="none"/>
                      <w:lang w:val="en-US" w:eastAsia="zh-CN" w:bidi="ar"/>
                    </w:rPr>
                    <w:t>声源控制措施</w:t>
                  </w:r>
                </w:p>
              </w:tc>
              <w:tc>
                <w:tcPr>
                  <w:tcW w:w="432" w:type="pct"/>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top"/>
                    <w:rPr>
                      <w:b w:val="0"/>
                      <w:bCs w:val="0"/>
                      <w:sz w:val="21"/>
                      <w:szCs w:val="21"/>
                      <w:highlight w:val="none"/>
                      <w:u w:val="none"/>
                    </w:rPr>
                  </w:pPr>
                  <w:r>
                    <w:rPr>
                      <w:rFonts w:hint="eastAsia" w:ascii="宋体" w:hAnsi="宋体" w:eastAsia="宋体" w:cs="宋体"/>
                      <w:b w:val="0"/>
                      <w:bCs w:val="0"/>
                      <w:color w:val="000000"/>
                      <w:kern w:val="0"/>
                      <w:sz w:val="21"/>
                      <w:szCs w:val="21"/>
                      <w:highlight w:val="none"/>
                      <w:u w:val="none"/>
                      <w:lang w:val="en-US" w:eastAsia="zh-CN" w:bidi="ar"/>
                    </w:rPr>
                    <w:t>运行时段</w:t>
                  </w:r>
                  <w:r>
                    <w:rPr>
                      <w:rFonts w:hint="default" w:ascii="Times New Roman" w:hAnsi="Times New Roman" w:cs="Times New Roman"/>
                      <w:b w:val="0"/>
                      <w:bCs w:val="0"/>
                      <w:color w:val="auto"/>
                      <w:kern w:val="0"/>
                      <w:sz w:val="21"/>
                      <w:szCs w:val="21"/>
                      <w:highlight w:val="none"/>
                      <w:u w:val="none"/>
                    </w:rPr>
                    <w:t>/h</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jc w:val="center"/>
              </w:trPr>
              <w:tc>
                <w:tcPr>
                  <w:tcW w:w="231" w:type="pct"/>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top"/>
                    <w:rPr>
                      <w:rFonts w:hint="default" w:ascii="宋体" w:hAnsi="宋体" w:eastAsia="宋体" w:cs="宋体"/>
                      <w:b w:val="0"/>
                      <w:bCs w:val="0"/>
                      <w:color w:val="000000"/>
                      <w:kern w:val="0"/>
                      <w:sz w:val="21"/>
                      <w:szCs w:val="21"/>
                      <w:highlight w:val="none"/>
                      <w:u w:val="none"/>
                      <w:lang w:val="en-US" w:eastAsia="zh-CN" w:bidi="ar"/>
                    </w:rPr>
                  </w:pPr>
                </w:p>
              </w:tc>
              <w:tc>
                <w:tcPr>
                  <w:tcW w:w="719" w:type="pct"/>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top"/>
                    <w:rPr>
                      <w:rFonts w:hint="eastAsia" w:ascii="宋体" w:hAnsi="宋体" w:eastAsia="宋体" w:cs="宋体"/>
                      <w:b w:val="0"/>
                      <w:bCs w:val="0"/>
                      <w:color w:val="000000"/>
                      <w:kern w:val="0"/>
                      <w:sz w:val="21"/>
                      <w:szCs w:val="21"/>
                      <w:highlight w:val="none"/>
                      <w:u w:val="none"/>
                      <w:lang w:val="en-US" w:eastAsia="zh-CN" w:bidi="ar"/>
                    </w:rPr>
                  </w:pPr>
                </w:p>
              </w:tc>
              <w:tc>
                <w:tcPr>
                  <w:tcW w:w="948" w:type="pct"/>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top"/>
                    <w:rPr>
                      <w:rFonts w:hint="eastAsia" w:ascii="宋体" w:hAnsi="宋体" w:eastAsia="宋体" w:cs="宋体"/>
                      <w:b w:val="0"/>
                      <w:bCs w:val="0"/>
                      <w:color w:val="000000"/>
                      <w:kern w:val="0"/>
                      <w:sz w:val="21"/>
                      <w:szCs w:val="21"/>
                      <w:highlight w:val="none"/>
                      <w:u w:val="none"/>
                      <w:lang w:val="en-US" w:eastAsia="zh-CN" w:bidi="ar"/>
                    </w:rPr>
                  </w:pPr>
                </w:p>
              </w:tc>
              <w:tc>
                <w:tcPr>
                  <w:tcW w:w="328"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top"/>
                    <w:rPr>
                      <w:rFonts w:hint="default" w:ascii="宋体" w:hAnsi="宋体" w:eastAsia="宋体" w:cs="宋体"/>
                      <w:b w:val="0"/>
                      <w:bCs w:val="0"/>
                      <w:color w:val="000000"/>
                      <w:kern w:val="0"/>
                      <w:sz w:val="21"/>
                      <w:szCs w:val="21"/>
                      <w:highlight w:val="none"/>
                      <w:u w:val="none"/>
                      <w:lang w:val="en-US" w:eastAsia="zh-CN" w:bidi="ar"/>
                    </w:rPr>
                  </w:pPr>
                  <w:r>
                    <w:rPr>
                      <w:rFonts w:hint="eastAsia" w:ascii="宋体" w:hAnsi="宋体" w:eastAsia="宋体" w:cs="宋体"/>
                      <w:b w:val="0"/>
                      <w:bCs w:val="0"/>
                      <w:color w:val="000000"/>
                      <w:kern w:val="0"/>
                      <w:sz w:val="21"/>
                      <w:szCs w:val="21"/>
                      <w:highlight w:val="none"/>
                      <w:u w:val="none"/>
                      <w:lang w:val="en-US" w:eastAsia="zh-CN" w:bidi="ar"/>
                    </w:rPr>
                    <w:t>X</w:t>
                  </w:r>
                </w:p>
              </w:tc>
              <w:tc>
                <w:tcPr>
                  <w:tcW w:w="38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top"/>
                    <w:rPr>
                      <w:rFonts w:hint="default" w:ascii="宋体" w:hAnsi="宋体" w:eastAsia="宋体" w:cs="宋体"/>
                      <w:b w:val="0"/>
                      <w:bCs w:val="0"/>
                      <w:color w:val="000000"/>
                      <w:kern w:val="0"/>
                      <w:sz w:val="21"/>
                      <w:szCs w:val="21"/>
                      <w:highlight w:val="none"/>
                      <w:u w:val="none"/>
                      <w:lang w:val="en-US" w:eastAsia="zh-CN" w:bidi="ar"/>
                    </w:rPr>
                  </w:pPr>
                  <w:r>
                    <w:rPr>
                      <w:rFonts w:hint="eastAsia" w:ascii="宋体" w:hAnsi="宋体" w:eastAsia="宋体" w:cs="宋体"/>
                      <w:b w:val="0"/>
                      <w:bCs w:val="0"/>
                      <w:color w:val="000000"/>
                      <w:kern w:val="0"/>
                      <w:sz w:val="21"/>
                      <w:szCs w:val="21"/>
                      <w:highlight w:val="none"/>
                      <w:u w:val="none"/>
                      <w:lang w:val="en-US" w:eastAsia="zh-CN" w:bidi="ar"/>
                    </w:rPr>
                    <w:t>Y</w:t>
                  </w:r>
                </w:p>
              </w:tc>
              <w:tc>
                <w:tcPr>
                  <w:tcW w:w="377"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top"/>
                    <w:rPr>
                      <w:rFonts w:hint="default" w:ascii="宋体" w:hAnsi="宋体" w:eastAsia="宋体" w:cs="宋体"/>
                      <w:b w:val="0"/>
                      <w:bCs w:val="0"/>
                      <w:color w:val="000000"/>
                      <w:kern w:val="0"/>
                      <w:sz w:val="21"/>
                      <w:szCs w:val="21"/>
                      <w:highlight w:val="none"/>
                      <w:u w:val="none"/>
                      <w:lang w:val="en-US" w:eastAsia="zh-CN" w:bidi="ar"/>
                    </w:rPr>
                  </w:pPr>
                  <w:r>
                    <w:rPr>
                      <w:rFonts w:hint="eastAsia" w:ascii="宋体" w:hAnsi="宋体" w:eastAsia="宋体" w:cs="宋体"/>
                      <w:b w:val="0"/>
                      <w:bCs w:val="0"/>
                      <w:color w:val="000000"/>
                      <w:kern w:val="0"/>
                      <w:sz w:val="21"/>
                      <w:szCs w:val="21"/>
                      <w:highlight w:val="none"/>
                      <w:u w:val="none"/>
                      <w:lang w:val="en-US" w:eastAsia="zh-CN" w:bidi="ar"/>
                    </w:rPr>
                    <w:t>Z</w:t>
                  </w:r>
                </w:p>
              </w:tc>
              <w:tc>
                <w:tcPr>
                  <w:tcW w:w="475" w:type="pct"/>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top"/>
                    <w:rPr>
                      <w:rFonts w:hint="eastAsia" w:ascii="宋体" w:hAnsi="宋体" w:eastAsia="宋体" w:cs="宋体"/>
                      <w:b w:val="0"/>
                      <w:bCs w:val="0"/>
                      <w:color w:val="000000"/>
                      <w:kern w:val="0"/>
                      <w:sz w:val="21"/>
                      <w:szCs w:val="21"/>
                      <w:highlight w:val="none"/>
                      <w:u w:val="none"/>
                      <w:lang w:val="en-US" w:eastAsia="zh-CN" w:bidi="ar"/>
                    </w:rPr>
                  </w:pPr>
                </w:p>
              </w:tc>
              <w:tc>
                <w:tcPr>
                  <w:tcW w:w="1098" w:type="pct"/>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top"/>
                    <w:rPr>
                      <w:rFonts w:hint="eastAsia" w:ascii="宋体" w:hAnsi="宋体" w:eastAsia="宋体" w:cs="宋体"/>
                      <w:b w:val="0"/>
                      <w:bCs w:val="0"/>
                      <w:color w:val="000000"/>
                      <w:kern w:val="0"/>
                      <w:sz w:val="21"/>
                      <w:szCs w:val="21"/>
                      <w:highlight w:val="none"/>
                      <w:u w:val="none"/>
                      <w:lang w:val="en-US" w:eastAsia="zh-CN" w:bidi="ar"/>
                    </w:rPr>
                  </w:pPr>
                </w:p>
              </w:tc>
              <w:tc>
                <w:tcPr>
                  <w:tcW w:w="432" w:type="pct"/>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top"/>
                    <w:rPr>
                      <w:rFonts w:hint="eastAsia" w:ascii="宋体" w:hAnsi="宋体" w:eastAsia="宋体" w:cs="宋体"/>
                      <w:b w:val="0"/>
                      <w:bCs w:val="0"/>
                      <w:color w:val="000000"/>
                      <w:kern w:val="0"/>
                      <w:sz w:val="21"/>
                      <w:szCs w:val="21"/>
                      <w:highlight w:val="none"/>
                      <w:u w:val="none"/>
                      <w:lang w:val="en-US" w:eastAsia="zh-CN" w:bidi="ar"/>
                    </w:rPr>
                  </w:p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jc w:val="center"/>
              </w:trPr>
              <w:tc>
                <w:tcPr>
                  <w:tcW w:w="23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eastAsia="宋体" w:cs="Times New Roman"/>
                      <w:b w:val="0"/>
                      <w:bCs w:val="0"/>
                      <w:color w:val="auto"/>
                      <w:kern w:val="0"/>
                      <w:sz w:val="21"/>
                      <w:szCs w:val="21"/>
                      <w:highlight w:val="none"/>
                      <w:u w:val="none"/>
                      <w:lang w:val="en-US" w:eastAsia="zh-CN"/>
                    </w:rPr>
                  </w:pPr>
                  <w:r>
                    <w:rPr>
                      <w:rFonts w:hint="eastAsia" w:ascii="Times New Roman" w:hAnsi="Times New Roman" w:eastAsia="宋体" w:cs="Times New Roman"/>
                      <w:b w:val="0"/>
                      <w:bCs w:val="0"/>
                      <w:color w:val="auto"/>
                      <w:kern w:val="0"/>
                      <w:sz w:val="21"/>
                      <w:szCs w:val="21"/>
                      <w:highlight w:val="none"/>
                      <w:u w:val="none"/>
                      <w:lang w:val="en-US" w:eastAsia="zh-CN"/>
                    </w:rPr>
                    <w:t>1</w:t>
                  </w:r>
                </w:p>
              </w:tc>
              <w:tc>
                <w:tcPr>
                  <w:tcW w:w="71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top"/>
                    <w:rPr>
                      <w:rFonts w:hint="eastAsia" w:ascii="宋体" w:hAnsi="宋体" w:eastAsia="宋体" w:cs="宋体"/>
                      <w:b w:val="0"/>
                      <w:bCs w:val="0"/>
                      <w:color w:val="000000"/>
                      <w:kern w:val="0"/>
                      <w:sz w:val="21"/>
                      <w:szCs w:val="21"/>
                      <w:highlight w:val="none"/>
                      <w:u w:val="none"/>
                      <w:lang w:val="en-US" w:eastAsia="zh-CN" w:bidi="ar"/>
                    </w:rPr>
                  </w:pPr>
                  <w:r>
                    <w:rPr>
                      <w:rFonts w:hint="default"/>
                      <w:b w:val="0"/>
                      <w:bCs w:val="0"/>
                      <w:sz w:val="21"/>
                      <w:szCs w:val="21"/>
                      <w:u w:val="none"/>
                    </w:rPr>
                    <w:t>主变压器</w:t>
                  </w:r>
                </w:p>
              </w:tc>
              <w:tc>
                <w:tcPr>
                  <w:tcW w:w="948"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top"/>
                    <w:rPr>
                      <w:rFonts w:hint="eastAsia" w:ascii="宋体" w:hAnsi="宋体" w:eastAsia="宋体" w:cs="宋体"/>
                      <w:b w:val="0"/>
                      <w:bCs w:val="0"/>
                      <w:color w:val="000000"/>
                      <w:kern w:val="0"/>
                      <w:sz w:val="21"/>
                      <w:szCs w:val="21"/>
                      <w:highlight w:val="none"/>
                      <w:u w:val="none"/>
                      <w:lang w:val="en-US" w:eastAsia="zh-CN" w:bidi="ar"/>
                    </w:rPr>
                  </w:pPr>
                  <w:r>
                    <w:rPr>
                      <w:rFonts w:hint="default" w:ascii="Times New Roman" w:hAnsi="Times New Roman" w:cs="Times New Roman" w:eastAsiaTheme="minorEastAsia"/>
                      <w:b w:val="0"/>
                      <w:bCs w:val="0"/>
                      <w:color w:val="000000"/>
                      <w:kern w:val="0"/>
                      <w:sz w:val="21"/>
                      <w:szCs w:val="21"/>
                      <w:highlight w:val="none"/>
                      <w:u w:val="none"/>
                      <w:lang w:val="en-US" w:eastAsia="zh-CN" w:bidi="ar"/>
                    </w:rPr>
                    <w:t>SZ11-100000/110</w:t>
                  </w:r>
                </w:p>
              </w:tc>
              <w:tc>
                <w:tcPr>
                  <w:tcW w:w="328"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eastAsia="宋体" w:cs="Times New Roman"/>
                      <w:b w:val="0"/>
                      <w:bCs w:val="0"/>
                      <w:color w:val="auto"/>
                      <w:kern w:val="0"/>
                      <w:sz w:val="21"/>
                      <w:szCs w:val="21"/>
                      <w:highlight w:val="none"/>
                      <w:u w:val="none"/>
                      <w:lang w:val="en-US" w:eastAsia="zh-CN"/>
                    </w:rPr>
                  </w:pPr>
                  <w:r>
                    <w:rPr>
                      <w:rFonts w:hint="eastAsia" w:ascii="Times New Roman" w:hAnsi="Times New Roman" w:eastAsia="宋体" w:cs="Times New Roman"/>
                      <w:b w:val="0"/>
                      <w:bCs w:val="0"/>
                      <w:color w:val="auto"/>
                      <w:kern w:val="0"/>
                      <w:sz w:val="21"/>
                      <w:szCs w:val="21"/>
                      <w:highlight w:val="none"/>
                      <w:u w:val="none"/>
                      <w:lang w:val="en-US" w:eastAsia="zh-CN"/>
                    </w:rPr>
                    <w:t>13</w:t>
                  </w:r>
                </w:p>
              </w:tc>
              <w:tc>
                <w:tcPr>
                  <w:tcW w:w="38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eastAsia="宋体" w:cs="Times New Roman"/>
                      <w:b w:val="0"/>
                      <w:bCs w:val="0"/>
                      <w:color w:val="auto"/>
                      <w:kern w:val="0"/>
                      <w:sz w:val="21"/>
                      <w:szCs w:val="21"/>
                      <w:highlight w:val="none"/>
                      <w:u w:val="none"/>
                      <w:lang w:val="en-US" w:eastAsia="zh-CN"/>
                    </w:rPr>
                  </w:pPr>
                  <w:r>
                    <w:rPr>
                      <w:rFonts w:hint="eastAsia" w:ascii="Times New Roman" w:hAnsi="Times New Roman" w:eastAsia="宋体" w:cs="Times New Roman"/>
                      <w:b w:val="0"/>
                      <w:bCs w:val="0"/>
                      <w:color w:val="auto"/>
                      <w:kern w:val="0"/>
                      <w:sz w:val="21"/>
                      <w:szCs w:val="21"/>
                      <w:highlight w:val="none"/>
                      <w:u w:val="none"/>
                      <w:lang w:val="en-US" w:eastAsia="zh-CN"/>
                    </w:rPr>
                    <w:t>28</w:t>
                  </w:r>
                </w:p>
              </w:tc>
              <w:tc>
                <w:tcPr>
                  <w:tcW w:w="377"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eastAsia="宋体" w:cs="Times New Roman"/>
                      <w:b w:val="0"/>
                      <w:bCs w:val="0"/>
                      <w:color w:val="auto"/>
                      <w:kern w:val="0"/>
                      <w:sz w:val="21"/>
                      <w:szCs w:val="21"/>
                      <w:highlight w:val="none"/>
                      <w:u w:val="none"/>
                      <w:lang w:val="en-US" w:eastAsia="zh-CN"/>
                    </w:rPr>
                  </w:pPr>
                  <w:r>
                    <w:rPr>
                      <w:rFonts w:hint="eastAsia" w:ascii="Times New Roman" w:hAnsi="Times New Roman" w:eastAsia="宋体" w:cs="Times New Roman"/>
                      <w:b w:val="0"/>
                      <w:bCs w:val="0"/>
                      <w:color w:val="auto"/>
                      <w:kern w:val="0"/>
                      <w:sz w:val="21"/>
                      <w:szCs w:val="21"/>
                      <w:highlight w:val="none"/>
                      <w:u w:val="none"/>
                      <w:lang w:val="en-US" w:eastAsia="zh-CN"/>
                    </w:rPr>
                    <w:t>0</w:t>
                  </w:r>
                </w:p>
              </w:tc>
              <w:tc>
                <w:tcPr>
                  <w:tcW w:w="475"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eastAsia="宋体" w:cs="Times New Roman"/>
                      <w:b w:val="0"/>
                      <w:bCs w:val="0"/>
                      <w:color w:val="auto"/>
                      <w:kern w:val="0"/>
                      <w:sz w:val="21"/>
                      <w:szCs w:val="21"/>
                      <w:highlight w:val="none"/>
                      <w:u w:val="none"/>
                      <w:lang w:val="en-US" w:eastAsia="zh-CN"/>
                    </w:rPr>
                  </w:pPr>
                  <w:r>
                    <w:rPr>
                      <w:rFonts w:hint="eastAsia" w:ascii="Times New Roman" w:hAnsi="Times New Roman" w:eastAsia="宋体" w:cs="Times New Roman"/>
                      <w:b w:val="0"/>
                      <w:bCs w:val="0"/>
                      <w:color w:val="auto"/>
                      <w:kern w:val="0"/>
                      <w:sz w:val="21"/>
                      <w:szCs w:val="21"/>
                      <w:highlight w:val="none"/>
                      <w:u w:val="none"/>
                      <w:lang w:val="en-US" w:eastAsia="zh-CN"/>
                    </w:rPr>
                    <w:t>65</w:t>
                  </w:r>
                </w:p>
              </w:tc>
              <w:tc>
                <w:tcPr>
                  <w:tcW w:w="1098"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top"/>
                    <w:rPr>
                      <w:rFonts w:hint="eastAsia" w:ascii="宋体" w:hAnsi="宋体" w:eastAsia="宋体" w:cs="宋体"/>
                      <w:b w:val="0"/>
                      <w:bCs w:val="0"/>
                      <w:color w:val="000000"/>
                      <w:kern w:val="0"/>
                      <w:sz w:val="21"/>
                      <w:szCs w:val="21"/>
                      <w:highlight w:val="none"/>
                      <w:u w:val="none"/>
                      <w:lang w:val="en-US" w:eastAsia="zh-CN" w:bidi="ar"/>
                    </w:rPr>
                  </w:pPr>
                  <w:r>
                    <w:rPr>
                      <w:rFonts w:hint="default" w:ascii="Times New Roman" w:hAnsi="Times New Roman" w:eastAsia="宋体" w:cs="Times New Roman"/>
                      <w:b w:val="0"/>
                      <w:bCs w:val="0"/>
                      <w:color w:val="auto"/>
                      <w:kern w:val="0"/>
                      <w:sz w:val="21"/>
                      <w:szCs w:val="21"/>
                      <w:highlight w:val="none"/>
                      <w:u w:val="none"/>
                      <w:lang w:val="en-US" w:eastAsia="zh-CN" w:bidi="ar"/>
                    </w:rPr>
                    <w:t>合理布局及选型、</w:t>
                  </w:r>
                  <w:r>
                    <w:rPr>
                      <w:rFonts w:hint="default" w:ascii="Times New Roman" w:hAnsi="Times New Roman" w:eastAsia="宋体" w:cs="Times New Roman"/>
                      <w:b w:val="0"/>
                      <w:bCs w:val="0"/>
                      <w:color w:val="auto"/>
                      <w:sz w:val="21"/>
                      <w:szCs w:val="21"/>
                      <w:highlight w:val="none"/>
                      <w:u w:val="none"/>
                    </w:rPr>
                    <w:t>基础减振</w:t>
                  </w:r>
                  <w:r>
                    <w:rPr>
                      <w:rFonts w:hint="eastAsia" w:ascii="Times New Roman" w:hAnsi="Times New Roman" w:eastAsia="宋体" w:cs="Times New Roman"/>
                      <w:b w:val="0"/>
                      <w:bCs w:val="0"/>
                      <w:color w:val="auto"/>
                      <w:sz w:val="21"/>
                      <w:szCs w:val="21"/>
                      <w:highlight w:val="none"/>
                      <w:u w:val="none"/>
                      <w:lang w:eastAsia="zh-CN"/>
                    </w:rPr>
                    <w:t>、</w:t>
                  </w:r>
                  <w:r>
                    <w:rPr>
                      <w:rFonts w:hint="default" w:ascii="Times New Roman" w:hAnsi="Times New Roman" w:eastAsia="宋体" w:cs="Times New Roman"/>
                      <w:b w:val="0"/>
                      <w:bCs w:val="0"/>
                      <w:color w:val="auto"/>
                      <w:sz w:val="21"/>
                      <w:szCs w:val="21"/>
                      <w:highlight w:val="none"/>
                      <w:u w:val="none"/>
                      <w:lang w:val="en-US" w:eastAsia="zh-CN"/>
                    </w:rPr>
                    <w:t>围墙隔声</w:t>
                  </w:r>
                </w:p>
              </w:tc>
              <w:tc>
                <w:tcPr>
                  <w:tcW w:w="432"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top"/>
                    <w:rPr>
                      <w:rFonts w:hint="eastAsia" w:ascii="Times New Roman" w:hAnsi="Times New Roman" w:cs="Times New Roman"/>
                      <w:b w:val="0"/>
                      <w:bCs w:val="0"/>
                      <w:color w:val="auto"/>
                      <w:kern w:val="0"/>
                      <w:sz w:val="21"/>
                      <w:szCs w:val="21"/>
                      <w:highlight w:val="none"/>
                      <w:u w:val="none"/>
                      <w:lang w:val="en-US" w:eastAsia="zh-CN" w:bidi="ar-SA"/>
                    </w:rPr>
                  </w:pPr>
                  <w:r>
                    <w:rPr>
                      <w:rFonts w:hint="default" w:ascii="Times New Roman" w:hAnsi="Times New Roman" w:cs="Times New Roman"/>
                      <w:b w:val="0"/>
                      <w:bCs w:val="0"/>
                      <w:color w:val="auto"/>
                      <w:kern w:val="0"/>
                      <w:sz w:val="21"/>
                      <w:szCs w:val="21"/>
                      <w:highlight w:val="none"/>
                      <w:u w:val="none"/>
                      <w:lang w:val="en-US" w:eastAsia="zh-CN"/>
                    </w:rPr>
                    <w:t>24</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jc w:val="center"/>
              </w:trPr>
              <w:tc>
                <w:tcPr>
                  <w:tcW w:w="5000" w:type="pct"/>
                  <w:gridSpan w:val="9"/>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left"/>
                    <w:textAlignment w:val="top"/>
                    <w:rPr>
                      <w:rFonts w:hint="default" w:ascii="Times New Roman" w:hAnsi="Times New Roman" w:cs="Times New Roman"/>
                      <w:b w:val="0"/>
                      <w:bCs w:val="0"/>
                      <w:color w:val="auto"/>
                      <w:kern w:val="0"/>
                      <w:sz w:val="21"/>
                      <w:szCs w:val="21"/>
                      <w:highlight w:val="none"/>
                      <w:u w:val="none"/>
                      <w:lang w:val="en-US" w:eastAsia="zh-CN"/>
                    </w:rPr>
                  </w:pPr>
                  <w:r>
                    <w:rPr>
                      <w:rFonts w:hint="eastAsia" w:ascii="Times New Roman" w:hAnsi="Times New Roman" w:cs="Times New Roman"/>
                      <w:b w:val="0"/>
                      <w:bCs w:val="0"/>
                      <w:color w:val="auto"/>
                      <w:kern w:val="0"/>
                      <w:sz w:val="21"/>
                      <w:szCs w:val="21"/>
                      <w:highlight w:val="none"/>
                      <w:u w:val="none"/>
                      <w:lang w:val="en-US" w:eastAsia="zh-CN"/>
                    </w:rPr>
                    <w:t>注：定义厂界西南角X=0，Y=0，Z=0。</w:t>
                  </w:r>
                </w:p>
              </w:tc>
            </w:tr>
          </w:tbl>
          <w:p>
            <w:pPr>
              <w:pStyle w:val="70"/>
              <w:ind w:firstLineChars="0"/>
              <w:textAlignment w:val="auto"/>
              <w:rPr>
                <w:rFonts w:hint="default"/>
                <w:lang w:val="en-US" w:eastAsia="zh-CN"/>
              </w:rPr>
            </w:pPr>
            <w:r>
              <w:rPr>
                <w:rFonts w:hint="default"/>
                <w:lang w:val="en-US" w:eastAsia="zh-CN"/>
              </w:rPr>
              <w:t>工业企业噪声源强调查清单（室内声源）</w:t>
            </w:r>
          </w:p>
          <w:tbl>
            <w:tblPr>
              <w:tblStyle w:val="23"/>
              <w:tblW w:w="4997" w:type="pct"/>
              <w:tblInd w:w="0" w:type="dxa"/>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autofit"/>
              <w:tblCellMar>
                <w:top w:w="0" w:type="dxa"/>
                <w:left w:w="51" w:type="dxa"/>
                <w:bottom w:w="0" w:type="dxa"/>
                <w:right w:w="51" w:type="dxa"/>
              </w:tblCellMar>
            </w:tblPr>
            <w:tblGrid>
              <w:gridCol w:w="386"/>
              <w:gridCol w:w="812"/>
              <w:gridCol w:w="759"/>
              <w:gridCol w:w="985"/>
              <w:gridCol w:w="991"/>
              <w:gridCol w:w="716"/>
              <w:gridCol w:w="739"/>
              <w:gridCol w:w="716"/>
              <w:gridCol w:w="1983"/>
              <w:gridCol w:w="758"/>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218" w:type="pct"/>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center"/>
                    <w:textAlignment w:val="auto"/>
                    <w:rPr>
                      <w:rFonts w:hint="eastAsia" w:ascii="Times New Roman" w:hAnsi="Times New Roman" w:eastAsia="宋体" w:cs="Times New Roman"/>
                      <w:b w:val="0"/>
                      <w:bCs w:val="0"/>
                      <w:color w:val="auto"/>
                      <w:sz w:val="21"/>
                      <w:szCs w:val="21"/>
                      <w:highlight w:val="none"/>
                      <w:u w:val="none"/>
                      <w:vertAlign w:val="baseline"/>
                      <w:lang w:val="en-US" w:eastAsia="zh-CN"/>
                    </w:rPr>
                  </w:pPr>
                  <w:r>
                    <w:rPr>
                      <w:rFonts w:hint="eastAsia" w:ascii="Times New Roman" w:hAnsi="Times New Roman" w:cs="Times New Roman"/>
                      <w:b w:val="0"/>
                      <w:bCs w:val="0"/>
                      <w:color w:val="auto"/>
                      <w:sz w:val="21"/>
                      <w:szCs w:val="21"/>
                      <w:highlight w:val="none"/>
                      <w:u w:val="none"/>
                      <w:vertAlign w:val="baseline"/>
                      <w:lang w:val="en-US" w:eastAsia="zh-CN"/>
                    </w:rPr>
                    <w:t>序号</w:t>
                  </w:r>
                </w:p>
              </w:tc>
              <w:tc>
                <w:tcPr>
                  <w:tcW w:w="459" w:type="pct"/>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center"/>
                    <w:textAlignment w:val="auto"/>
                    <w:rPr>
                      <w:rFonts w:hint="default" w:ascii="Times New Roman" w:hAnsi="Times New Roman" w:eastAsia="宋体" w:cs="Times New Roman"/>
                      <w:b w:val="0"/>
                      <w:bCs w:val="0"/>
                      <w:color w:val="auto"/>
                      <w:sz w:val="21"/>
                      <w:szCs w:val="21"/>
                      <w:highlight w:val="none"/>
                      <w:u w:val="none"/>
                      <w:vertAlign w:val="baseline"/>
                      <w:lang w:val="en-US" w:eastAsia="zh-CN"/>
                    </w:rPr>
                  </w:pPr>
                  <w:r>
                    <w:rPr>
                      <w:rFonts w:hint="eastAsia" w:ascii="Times New Roman" w:hAnsi="Times New Roman" w:cs="Times New Roman"/>
                      <w:b w:val="0"/>
                      <w:bCs w:val="0"/>
                      <w:color w:val="auto"/>
                      <w:sz w:val="21"/>
                      <w:szCs w:val="21"/>
                      <w:highlight w:val="none"/>
                      <w:u w:val="none"/>
                      <w:vertAlign w:val="baseline"/>
                      <w:lang w:val="en-US" w:eastAsia="zh-CN"/>
                    </w:rPr>
                    <w:t>建筑物名称</w:t>
                  </w:r>
                </w:p>
              </w:tc>
              <w:tc>
                <w:tcPr>
                  <w:tcW w:w="429" w:type="pct"/>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center"/>
                    <w:textAlignment w:val="auto"/>
                    <w:rPr>
                      <w:rFonts w:hint="default" w:ascii="Times New Roman" w:hAnsi="Times New Roman" w:eastAsia="宋体" w:cs="Times New Roman"/>
                      <w:b w:val="0"/>
                      <w:bCs w:val="0"/>
                      <w:color w:val="auto"/>
                      <w:sz w:val="21"/>
                      <w:szCs w:val="21"/>
                      <w:highlight w:val="none"/>
                      <w:u w:val="none"/>
                      <w:vertAlign w:val="baseline"/>
                      <w:lang w:val="en-US" w:eastAsia="zh-CN"/>
                    </w:rPr>
                  </w:pPr>
                  <w:r>
                    <w:rPr>
                      <w:rFonts w:hint="eastAsia" w:ascii="Times New Roman" w:hAnsi="Times New Roman" w:cs="Times New Roman"/>
                      <w:b w:val="0"/>
                      <w:bCs w:val="0"/>
                      <w:color w:val="auto"/>
                      <w:sz w:val="21"/>
                      <w:szCs w:val="21"/>
                      <w:highlight w:val="none"/>
                      <w:u w:val="none"/>
                      <w:vertAlign w:val="baseline"/>
                      <w:lang w:val="en-US" w:eastAsia="zh-CN"/>
                    </w:rPr>
                    <w:t>声源名称</w:t>
                  </w:r>
                </w:p>
              </w:tc>
              <w:tc>
                <w:tcPr>
                  <w:tcW w:w="557" w:type="pct"/>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center"/>
                    <w:textAlignment w:val="auto"/>
                    <w:rPr>
                      <w:rFonts w:hint="eastAsia" w:ascii="Times New Roman" w:hAnsi="Times New Roman" w:eastAsia="宋体" w:cs="Times New Roman"/>
                      <w:b w:val="0"/>
                      <w:bCs w:val="0"/>
                      <w:color w:val="auto"/>
                      <w:sz w:val="21"/>
                      <w:szCs w:val="21"/>
                      <w:highlight w:val="none"/>
                      <w:u w:val="none"/>
                      <w:vertAlign w:val="baseline"/>
                      <w:lang w:val="en-US" w:eastAsia="zh-CN"/>
                    </w:rPr>
                  </w:pPr>
                  <w:r>
                    <w:rPr>
                      <w:rFonts w:hint="eastAsia" w:ascii="Times New Roman" w:hAnsi="Times New Roman" w:cs="Times New Roman"/>
                      <w:b w:val="0"/>
                      <w:bCs w:val="0"/>
                      <w:color w:val="auto"/>
                      <w:sz w:val="21"/>
                      <w:szCs w:val="21"/>
                      <w:highlight w:val="none"/>
                      <w:u w:val="none"/>
                      <w:vertAlign w:val="baseline"/>
                      <w:lang w:val="en-US" w:eastAsia="zh-CN"/>
                    </w:rPr>
                    <w:t>型号</w:t>
                  </w:r>
                </w:p>
              </w:tc>
              <w:tc>
                <w:tcPr>
                  <w:tcW w:w="560" w:type="pct"/>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center"/>
                    <w:textAlignment w:val="auto"/>
                    <w:rPr>
                      <w:rFonts w:hint="default" w:ascii="Times New Roman" w:hAnsi="Times New Roman" w:eastAsia="宋体" w:cs="Times New Roman"/>
                      <w:b w:val="0"/>
                      <w:bCs w:val="0"/>
                      <w:color w:val="auto"/>
                      <w:sz w:val="21"/>
                      <w:szCs w:val="21"/>
                      <w:highlight w:val="none"/>
                      <w:u w:val="none"/>
                      <w:vertAlign w:val="baseline"/>
                      <w:lang w:val="en-US" w:eastAsia="zh-CN"/>
                    </w:rPr>
                  </w:pPr>
                  <w:r>
                    <w:rPr>
                      <w:rFonts w:hint="eastAsia" w:ascii="Times New Roman" w:hAnsi="Times New Roman" w:cs="Times New Roman"/>
                      <w:b w:val="0"/>
                      <w:bCs w:val="0"/>
                      <w:color w:val="auto"/>
                      <w:sz w:val="21"/>
                      <w:szCs w:val="21"/>
                      <w:highlight w:val="none"/>
                      <w:u w:val="none"/>
                      <w:vertAlign w:val="baseline"/>
                      <w:lang w:val="en-US" w:eastAsia="zh-CN"/>
                    </w:rPr>
                    <w:t>声源源强/dB（A）</w:t>
                  </w:r>
                </w:p>
              </w:tc>
              <w:tc>
                <w:tcPr>
                  <w:tcW w:w="1228" w:type="pct"/>
                  <w:gridSpan w:val="3"/>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center"/>
                    <w:textAlignment w:val="auto"/>
                    <w:rPr>
                      <w:rFonts w:hint="eastAsia" w:ascii="Times New Roman" w:hAnsi="Times New Roman" w:cs="Times New Roman"/>
                      <w:b w:val="0"/>
                      <w:bCs w:val="0"/>
                      <w:color w:val="auto"/>
                      <w:sz w:val="21"/>
                      <w:szCs w:val="21"/>
                      <w:highlight w:val="none"/>
                      <w:u w:val="none"/>
                      <w:vertAlign w:val="baseline"/>
                      <w:lang w:val="en-US" w:eastAsia="zh-CN"/>
                    </w:rPr>
                  </w:pPr>
                  <w:r>
                    <w:rPr>
                      <w:rFonts w:hint="eastAsia" w:ascii="Times New Roman" w:hAnsi="Times New Roman" w:cs="Times New Roman"/>
                      <w:b w:val="0"/>
                      <w:bCs w:val="0"/>
                      <w:color w:val="auto"/>
                      <w:sz w:val="21"/>
                      <w:szCs w:val="21"/>
                      <w:highlight w:val="none"/>
                      <w:u w:val="none"/>
                      <w:vertAlign w:val="baseline"/>
                      <w:lang w:val="en-US" w:eastAsia="zh-CN"/>
                    </w:rPr>
                    <w:t>空间相对位置/m</w:t>
                  </w:r>
                </w:p>
              </w:tc>
              <w:tc>
                <w:tcPr>
                  <w:tcW w:w="1121" w:type="pct"/>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center"/>
                    <w:textAlignment w:val="auto"/>
                    <w:rPr>
                      <w:rFonts w:hint="eastAsia" w:ascii="Times New Roman" w:hAnsi="Times New Roman" w:cs="Times New Roman"/>
                      <w:b w:val="0"/>
                      <w:bCs w:val="0"/>
                      <w:color w:val="auto"/>
                      <w:sz w:val="21"/>
                      <w:szCs w:val="21"/>
                      <w:highlight w:val="none"/>
                      <w:u w:val="none"/>
                      <w:vertAlign w:val="baseline"/>
                      <w:lang w:val="en-US" w:eastAsia="zh-CN"/>
                    </w:rPr>
                  </w:pPr>
                  <w:r>
                    <w:rPr>
                      <w:rFonts w:hint="eastAsia" w:ascii="Times New Roman" w:hAnsi="Times New Roman" w:cs="Times New Roman"/>
                      <w:b w:val="0"/>
                      <w:bCs w:val="0"/>
                      <w:color w:val="auto"/>
                      <w:sz w:val="21"/>
                      <w:szCs w:val="21"/>
                      <w:highlight w:val="none"/>
                      <w:u w:val="none"/>
                      <w:vertAlign w:val="baseline"/>
                      <w:lang w:val="en-US" w:eastAsia="zh-CN"/>
                    </w:rPr>
                    <w:t>声源控制措施</w:t>
                  </w:r>
                </w:p>
              </w:tc>
              <w:tc>
                <w:tcPr>
                  <w:tcW w:w="423" w:type="pct"/>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center"/>
                    <w:textAlignment w:val="auto"/>
                    <w:rPr>
                      <w:rFonts w:hint="default" w:ascii="Times New Roman" w:hAnsi="Times New Roman" w:cs="Times New Roman"/>
                      <w:b w:val="0"/>
                      <w:bCs w:val="0"/>
                      <w:color w:val="auto"/>
                      <w:sz w:val="21"/>
                      <w:szCs w:val="21"/>
                      <w:highlight w:val="none"/>
                      <w:u w:val="none"/>
                      <w:vertAlign w:val="baseline"/>
                    </w:rPr>
                  </w:pPr>
                  <w:r>
                    <w:rPr>
                      <w:rFonts w:hint="eastAsia" w:ascii="Times New Roman" w:hAnsi="Times New Roman" w:cs="Times New Roman"/>
                      <w:b w:val="0"/>
                      <w:bCs w:val="0"/>
                      <w:color w:val="auto"/>
                      <w:sz w:val="21"/>
                      <w:szCs w:val="21"/>
                      <w:highlight w:val="none"/>
                      <w:u w:val="none"/>
                      <w:vertAlign w:val="baseline"/>
                      <w:lang w:val="en-US" w:eastAsia="zh-CN"/>
                    </w:rPr>
                    <w:t>运行时段</w:t>
                  </w:r>
                  <w:r>
                    <w:rPr>
                      <w:rFonts w:hint="default" w:ascii="Times New Roman" w:hAnsi="Times New Roman" w:cs="Times New Roman"/>
                      <w:b w:val="0"/>
                      <w:bCs w:val="0"/>
                      <w:color w:val="auto"/>
                      <w:kern w:val="0"/>
                      <w:sz w:val="21"/>
                      <w:szCs w:val="21"/>
                      <w:highlight w:val="none"/>
                      <w:u w:val="none"/>
                    </w:rPr>
                    <w:t>/h</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218"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center"/>
                    <w:textAlignment w:val="auto"/>
                    <w:rPr>
                      <w:rFonts w:hint="eastAsia" w:ascii="Times New Roman" w:hAnsi="Times New Roman" w:eastAsia="宋体" w:cs="Times New Roman"/>
                      <w:b w:val="0"/>
                      <w:bCs w:val="0"/>
                      <w:color w:val="auto"/>
                      <w:sz w:val="21"/>
                      <w:szCs w:val="21"/>
                      <w:highlight w:val="none"/>
                      <w:u w:val="none"/>
                      <w:vertAlign w:val="baseline"/>
                      <w:lang w:val="en-US" w:eastAsia="zh-CN"/>
                    </w:rPr>
                  </w:pPr>
                </w:p>
              </w:tc>
              <w:tc>
                <w:tcPr>
                  <w:tcW w:w="459"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center"/>
                    <w:textAlignment w:val="auto"/>
                    <w:rPr>
                      <w:rFonts w:hint="default" w:ascii="Times New Roman" w:hAnsi="Times New Roman" w:cs="Times New Roman"/>
                      <w:b w:val="0"/>
                      <w:bCs w:val="0"/>
                      <w:color w:val="auto"/>
                      <w:sz w:val="21"/>
                      <w:szCs w:val="21"/>
                      <w:highlight w:val="none"/>
                      <w:u w:val="none"/>
                      <w:vertAlign w:val="baseline"/>
                    </w:rPr>
                  </w:pPr>
                </w:p>
              </w:tc>
              <w:tc>
                <w:tcPr>
                  <w:tcW w:w="429"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center"/>
                    <w:textAlignment w:val="auto"/>
                    <w:rPr>
                      <w:rFonts w:hint="default" w:ascii="Times New Roman" w:hAnsi="Times New Roman" w:cs="Times New Roman"/>
                      <w:b w:val="0"/>
                      <w:bCs w:val="0"/>
                      <w:color w:val="auto"/>
                      <w:sz w:val="21"/>
                      <w:szCs w:val="21"/>
                      <w:highlight w:val="none"/>
                      <w:u w:val="none"/>
                      <w:vertAlign w:val="baseline"/>
                    </w:rPr>
                  </w:pPr>
                </w:p>
              </w:tc>
              <w:tc>
                <w:tcPr>
                  <w:tcW w:w="557"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center"/>
                    <w:textAlignment w:val="auto"/>
                    <w:rPr>
                      <w:rFonts w:hint="default" w:ascii="Times New Roman" w:hAnsi="Times New Roman" w:cs="Times New Roman"/>
                      <w:b w:val="0"/>
                      <w:bCs w:val="0"/>
                      <w:color w:val="auto"/>
                      <w:sz w:val="21"/>
                      <w:szCs w:val="21"/>
                      <w:highlight w:val="none"/>
                      <w:u w:val="none"/>
                      <w:vertAlign w:val="baseline"/>
                    </w:rPr>
                  </w:pPr>
                </w:p>
              </w:tc>
              <w:tc>
                <w:tcPr>
                  <w:tcW w:w="560"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center"/>
                    <w:textAlignment w:val="auto"/>
                    <w:rPr>
                      <w:rFonts w:hint="default" w:ascii="Times New Roman" w:hAnsi="Times New Roman" w:cs="Times New Roman"/>
                      <w:b w:val="0"/>
                      <w:bCs w:val="0"/>
                      <w:color w:val="auto"/>
                      <w:sz w:val="21"/>
                      <w:szCs w:val="21"/>
                      <w:highlight w:val="none"/>
                      <w:u w:val="none"/>
                      <w:vertAlign w:val="baseline"/>
                    </w:rPr>
                  </w:pPr>
                </w:p>
              </w:tc>
              <w:tc>
                <w:tcPr>
                  <w:tcW w:w="40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center"/>
                    <w:textAlignment w:val="auto"/>
                    <w:rPr>
                      <w:rFonts w:hint="default" w:ascii="Times New Roman" w:hAnsi="Times New Roman" w:eastAsia="宋体" w:cs="Times New Roman"/>
                      <w:b w:val="0"/>
                      <w:bCs w:val="0"/>
                      <w:color w:val="auto"/>
                      <w:kern w:val="2"/>
                      <w:sz w:val="21"/>
                      <w:szCs w:val="21"/>
                      <w:highlight w:val="none"/>
                      <w:u w:val="none"/>
                      <w:vertAlign w:val="baseline"/>
                      <w:lang w:val="en-US" w:eastAsia="zh-CN" w:bidi="ar-SA"/>
                    </w:rPr>
                  </w:pPr>
                  <w:r>
                    <w:rPr>
                      <w:rFonts w:hint="eastAsia" w:ascii="Times New Roman" w:hAnsi="Times New Roman" w:cs="Times New Roman"/>
                      <w:b w:val="0"/>
                      <w:bCs w:val="0"/>
                      <w:color w:val="auto"/>
                      <w:sz w:val="21"/>
                      <w:szCs w:val="21"/>
                      <w:highlight w:val="none"/>
                      <w:u w:val="none"/>
                      <w:vertAlign w:val="baseline"/>
                      <w:lang w:val="en-US" w:eastAsia="zh-CN"/>
                    </w:rPr>
                    <w:t>X</w:t>
                  </w:r>
                </w:p>
              </w:tc>
              <w:tc>
                <w:tcPr>
                  <w:tcW w:w="41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center"/>
                    <w:textAlignment w:val="auto"/>
                    <w:rPr>
                      <w:rFonts w:hint="eastAsia" w:ascii="Times New Roman" w:hAnsi="Times New Roman" w:cs="Times New Roman"/>
                      <w:b w:val="0"/>
                      <w:bCs w:val="0"/>
                      <w:color w:val="auto"/>
                      <w:kern w:val="2"/>
                      <w:sz w:val="21"/>
                      <w:szCs w:val="21"/>
                      <w:highlight w:val="none"/>
                      <w:u w:val="none"/>
                      <w:vertAlign w:val="baseline"/>
                      <w:lang w:val="en-US" w:eastAsia="zh-CN" w:bidi="ar-SA"/>
                    </w:rPr>
                  </w:pPr>
                  <w:r>
                    <w:rPr>
                      <w:rFonts w:hint="eastAsia" w:ascii="Times New Roman" w:hAnsi="Times New Roman" w:cs="Times New Roman"/>
                      <w:b w:val="0"/>
                      <w:bCs w:val="0"/>
                      <w:color w:val="auto"/>
                      <w:sz w:val="21"/>
                      <w:szCs w:val="21"/>
                      <w:highlight w:val="none"/>
                      <w:u w:val="none"/>
                      <w:vertAlign w:val="baseline"/>
                      <w:lang w:val="en-US" w:eastAsia="zh-CN"/>
                    </w:rPr>
                    <w:t>Y</w:t>
                  </w:r>
                </w:p>
              </w:tc>
              <w:tc>
                <w:tcPr>
                  <w:tcW w:w="40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center"/>
                    <w:textAlignment w:val="auto"/>
                    <w:rPr>
                      <w:rFonts w:hint="default" w:ascii="Times New Roman" w:hAnsi="Times New Roman" w:cs="Times New Roman"/>
                      <w:b w:val="0"/>
                      <w:bCs w:val="0"/>
                      <w:color w:val="auto"/>
                      <w:kern w:val="2"/>
                      <w:sz w:val="21"/>
                      <w:szCs w:val="21"/>
                      <w:highlight w:val="none"/>
                      <w:u w:val="none"/>
                      <w:vertAlign w:val="baseline"/>
                      <w:lang w:val="en-US" w:eastAsia="zh-CN" w:bidi="ar-SA"/>
                    </w:rPr>
                  </w:pPr>
                  <w:r>
                    <w:rPr>
                      <w:rFonts w:hint="eastAsia" w:ascii="Times New Roman" w:hAnsi="Times New Roman" w:cs="Times New Roman"/>
                      <w:b w:val="0"/>
                      <w:bCs w:val="0"/>
                      <w:color w:val="auto"/>
                      <w:sz w:val="21"/>
                      <w:szCs w:val="21"/>
                      <w:highlight w:val="none"/>
                      <w:u w:val="none"/>
                      <w:vertAlign w:val="baseline"/>
                      <w:lang w:val="en-US" w:eastAsia="zh-CN"/>
                    </w:rPr>
                    <w:t>Z</w:t>
                  </w:r>
                </w:p>
              </w:tc>
              <w:tc>
                <w:tcPr>
                  <w:tcW w:w="1121"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center"/>
                    <w:textAlignment w:val="auto"/>
                    <w:rPr>
                      <w:rFonts w:hint="default" w:ascii="Times New Roman" w:hAnsi="Times New Roman" w:cs="Times New Roman"/>
                      <w:b w:val="0"/>
                      <w:bCs w:val="0"/>
                      <w:color w:val="auto"/>
                      <w:sz w:val="21"/>
                      <w:szCs w:val="21"/>
                      <w:highlight w:val="none"/>
                      <w:u w:val="none"/>
                      <w:vertAlign w:val="baseline"/>
                    </w:rPr>
                  </w:pPr>
                </w:p>
              </w:tc>
              <w:tc>
                <w:tcPr>
                  <w:tcW w:w="423"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center"/>
                    <w:textAlignment w:val="auto"/>
                    <w:rPr>
                      <w:rFonts w:hint="default" w:ascii="Times New Roman" w:hAnsi="Times New Roman" w:cs="Times New Roman"/>
                      <w:b w:val="0"/>
                      <w:bCs w:val="0"/>
                      <w:color w:val="auto"/>
                      <w:sz w:val="21"/>
                      <w:szCs w:val="21"/>
                      <w:highlight w:val="none"/>
                      <w:u w:val="none"/>
                      <w:vertAlign w:val="baseline"/>
                    </w:rPr>
                  </w:p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trPr>
              <w:tc>
                <w:tcPr>
                  <w:tcW w:w="21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center"/>
                    <w:textAlignment w:val="auto"/>
                    <w:rPr>
                      <w:rFonts w:hint="default" w:ascii="Times New Roman" w:hAnsi="Times New Roman" w:cs="Times New Roman"/>
                      <w:b w:val="0"/>
                      <w:bCs w:val="0"/>
                      <w:color w:val="auto"/>
                      <w:sz w:val="21"/>
                      <w:szCs w:val="21"/>
                      <w:highlight w:val="none"/>
                      <w:u w:val="none"/>
                      <w:vertAlign w:val="baseline"/>
                      <w:lang w:val="en-US" w:eastAsia="zh-CN"/>
                    </w:rPr>
                  </w:pPr>
                  <w:r>
                    <w:rPr>
                      <w:rFonts w:hint="eastAsia" w:ascii="Times New Roman" w:hAnsi="Times New Roman" w:cs="Times New Roman"/>
                      <w:b w:val="0"/>
                      <w:bCs w:val="0"/>
                      <w:color w:val="auto"/>
                      <w:sz w:val="21"/>
                      <w:szCs w:val="21"/>
                      <w:highlight w:val="none"/>
                      <w:u w:val="none"/>
                      <w:vertAlign w:val="baseline"/>
                      <w:lang w:val="en-US" w:eastAsia="zh-CN"/>
                    </w:rPr>
                    <w:t>1</w:t>
                  </w:r>
                </w:p>
              </w:tc>
              <w:tc>
                <w:tcPr>
                  <w:tcW w:w="459" w:type="pct"/>
                  <w:tcBorders>
                    <w:tl2br w:val="nil"/>
                    <w:tr2bl w:val="nil"/>
                  </w:tcBorders>
                  <w:noWrap w:val="0"/>
                  <w:vAlign w:val="center"/>
                </w:tcPr>
                <w:p>
                  <w:pPr>
                    <w:keepNext w:val="0"/>
                    <w:pageBreakBefore w:val="0"/>
                    <w:kinsoku/>
                    <w:wordWrap/>
                    <w:overflowPunct/>
                    <w:topLinePunct w:val="0"/>
                    <w:autoSpaceDE/>
                    <w:autoSpaceDN/>
                    <w:bidi w:val="0"/>
                    <w:adjustRightInd w:val="0"/>
                    <w:snapToGrid w:val="0"/>
                    <w:spacing w:line="240" w:lineRule="auto"/>
                    <w:ind w:left="0" w:right="0" w:firstLine="0" w:firstLineChars="0"/>
                    <w:jc w:val="center"/>
                    <w:rPr>
                      <w:rFonts w:hint="default" w:ascii="Times New Roman" w:hAnsi="Times New Roman" w:cs="Times New Roman"/>
                      <w:b w:val="0"/>
                      <w:bCs w:val="0"/>
                      <w:color w:val="auto"/>
                      <w:sz w:val="21"/>
                      <w:szCs w:val="21"/>
                      <w:highlight w:val="none"/>
                      <w:u w:val="none"/>
                      <w:lang w:val="en-US" w:eastAsia="zh-CN"/>
                    </w:rPr>
                  </w:pPr>
                  <w:r>
                    <w:rPr>
                      <w:rFonts w:hint="default" w:ascii="Times New Roman" w:hAnsi="Times New Roman" w:cs="Times New Roman"/>
                      <w:b w:val="0"/>
                      <w:bCs w:val="0"/>
                      <w:color w:val="auto"/>
                      <w:sz w:val="21"/>
                      <w:szCs w:val="21"/>
                      <w:highlight w:val="none"/>
                      <w:u w:val="none"/>
                      <w:lang w:val="en-US" w:eastAsia="zh-CN"/>
                    </w:rPr>
                    <w:t>泵房</w:t>
                  </w:r>
                </w:p>
              </w:tc>
              <w:tc>
                <w:tcPr>
                  <w:tcW w:w="42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center"/>
                    <w:textAlignment w:val="auto"/>
                    <w:rPr>
                      <w:rFonts w:hint="default" w:ascii="Times New Roman" w:hAnsi="Times New Roman" w:cs="Times New Roman"/>
                      <w:b w:val="0"/>
                      <w:bCs w:val="0"/>
                      <w:color w:val="auto"/>
                      <w:sz w:val="21"/>
                      <w:szCs w:val="21"/>
                      <w:highlight w:val="none"/>
                      <w:u w:val="none"/>
                      <w:lang w:val="en-US" w:eastAsia="zh-CN"/>
                    </w:rPr>
                  </w:pPr>
                  <w:r>
                    <w:rPr>
                      <w:rFonts w:hint="default" w:ascii="Times New Roman" w:hAnsi="Times New Roman" w:cs="Times New Roman"/>
                      <w:b w:val="0"/>
                      <w:bCs w:val="0"/>
                      <w:color w:val="auto"/>
                      <w:sz w:val="21"/>
                      <w:szCs w:val="21"/>
                      <w:highlight w:val="none"/>
                      <w:u w:val="none"/>
                      <w:lang w:val="en-US" w:eastAsia="zh-CN"/>
                    </w:rPr>
                    <w:t>水泵</w:t>
                  </w:r>
                </w:p>
              </w:tc>
              <w:tc>
                <w:tcPr>
                  <w:tcW w:w="557" w:type="pct"/>
                  <w:tcBorders>
                    <w:tl2br w:val="nil"/>
                    <w:tr2bl w:val="nil"/>
                  </w:tcBorders>
                  <w:noWrap w:val="0"/>
                  <w:vAlign w:val="center"/>
                </w:tcPr>
                <w:p>
                  <w:pPr>
                    <w:keepNext w:val="0"/>
                    <w:keepLines/>
                    <w:pageBreakBefore w:val="0"/>
                    <w:widowControl w:val="0"/>
                    <w:kinsoku/>
                    <w:wordWrap/>
                    <w:overflowPunct/>
                    <w:topLinePunct w:val="0"/>
                    <w:autoSpaceDE/>
                    <w:autoSpaceDN/>
                    <w:bidi w:val="0"/>
                    <w:adjustRightInd w:val="0"/>
                    <w:snapToGrid w:val="0"/>
                    <w:spacing w:line="240" w:lineRule="auto"/>
                    <w:ind w:left="0" w:right="0" w:firstLine="0" w:firstLineChars="0"/>
                    <w:jc w:val="center"/>
                    <w:textAlignment w:val="auto"/>
                    <w:rPr>
                      <w:rFonts w:hint="default" w:ascii="Times New Roman" w:hAnsi="Times New Roman" w:cs="Times New Roman"/>
                      <w:b w:val="0"/>
                      <w:bCs w:val="0"/>
                      <w:color w:val="auto"/>
                      <w:sz w:val="21"/>
                      <w:szCs w:val="21"/>
                      <w:highlight w:val="none"/>
                      <w:u w:val="none"/>
                      <w:lang w:val="en-US" w:eastAsia="zh-CN"/>
                    </w:rPr>
                  </w:pPr>
                  <w:r>
                    <w:rPr>
                      <w:rFonts w:hint="default" w:ascii="Times New Roman" w:hAnsi="Times New Roman" w:cs="Times New Roman"/>
                      <w:b w:val="0"/>
                      <w:bCs w:val="0"/>
                      <w:color w:val="auto"/>
                      <w:sz w:val="21"/>
                      <w:szCs w:val="21"/>
                      <w:highlight w:val="none"/>
                      <w:u w:val="none"/>
                      <w:lang w:val="en-US" w:eastAsia="zh-CN"/>
                    </w:rPr>
                    <w:t>Q=</w:t>
                  </w:r>
                  <w:r>
                    <w:rPr>
                      <w:rFonts w:hint="eastAsia" w:ascii="Times New Roman" w:hAnsi="Times New Roman" w:cs="Times New Roman"/>
                      <w:b w:val="0"/>
                      <w:bCs w:val="0"/>
                      <w:color w:val="auto"/>
                      <w:sz w:val="21"/>
                      <w:szCs w:val="21"/>
                      <w:highlight w:val="none"/>
                      <w:u w:val="none"/>
                      <w:lang w:val="en-US" w:eastAsia="zh-CN"/>
                    </w:rPr>
                    <w:t>5</w:t>
                  </w:r>
                  <w:r>
                    <w:rPr>
                      <w:rFonts w:hint="default" w:ascii="Times New Roman" w:hAnsi="Times New Roman" w:cs="Times New Roman"/>
                      <w:b w:val="0"/>
                      <w:bCs w:val="0"/>
                      <w:color w:val="auto"/>
                      <w:sz w:val="21"/>
                      <w:szCs w:val="21"/>
                      <w:highlight w:val="none"/>
                      <w:u w:val="none"/>
                      <w:lang w:val="en-US" w:eastAsia="zh-CN"/>
                    </w:rPr>
                    <w:t>m</w:t>
                  </w:r>
                  <w:r>
                    <w:rPr>
                      <w:rFonts w:hint="default" w:ascii="Times New Roman" w:hAnsi="Times New Roman" w:cs="Times New Roman"/>
                      <w:b w:val="0"/>
                      <w:bCs w:val="0"/>
                      <w:color w:val="auto"/>
                      <w:sz w:val="21"/>
                      <w:szCs w:val="21"/>
                      <w:highlight w:val="none"/>
                      <w:u w:val="none"/>
                      <w:vertAlign w:val="superscript"/>
                      <w:lang w:val="en-US" w:eastAsia="zh-CN"/>
                    </w:rPr>
                    <w:t>3</w:t>
                  </w:r>
                  <w:r>
                    <w:rPr>
                      <w:rFonts w:hint="default" w:ascii="Times New Roman" w:hAnsi="Times New Roman" w:cs="Times New Roman"/>
                      <w:b w:val="0"/>
                      <w:bCs w:val="0"/>
                      <w:color w:val="auto"/>
                      <w:sz w:val="21"/>
                      <w:szCs w:val="21"/>
                      <w:highlight w:val="none"/>
                      <w:u w:val="none"/>
                      <w:lang w:val="en-US" w:eastAsia="zh-CN"/>
                    </w:rPr>
                    <w:t>/h</w:t>
                  </w:r>
                </w:p>
              </w:tc>
              <w:tc>
                <w:tcPr>
                  <w:tcW w:w="560" w:type="pct"/>
                  <w:tcBorders>
                    <w:tl2br w:val="nil"/>
                    <w:tr2bl w:val="nil"/>
                  </w:tcBorders>
                  <w:noWrap w:val="0"/>
                  <w:vAlign w:val="center"/>
                </w:tcPr>
                <w:p>
                  <w:pPr>
                    <w:keepNext w:val="0"/>
                    <w:pageBreakBefore w:val="0"/>
                    <w:widowControl/>
                    <w:kinsoku/>
                    <w:wordWrap/>
                    <w:overflowPunct/>
                    <w:topLinePunct w:val="0"/>
                    <w:autoSpaceDE/>
                    <w:autoSpaceDN/>
                    <w:bidi w:val="0"/>
                    <w:adjustRightInd w:val="0"/>
                    <w:snapToGrid w:val="0"/>
                    <w:spacing w:line="240" w:lineRule="auto"/>
                    <w:ind w:left="0" w:right="0" w:firstLine="0" w:firstLineChars="0"/>
                    <w:jc w:val="center"/>
                    <w:rPr>
                      <w:rFonts w:hint="default" w:ascii="Times New Roman" w:hAnsi="Times New Roman" w:cs="Times New Roman"/>
                      <w:b w:val="0"/>
                      <w:bCs w:val="0"/>
                      <w:color w:val="auto"/>
                      <w:kern w:val="0"/>
                      <w:sz w:val="21"/>
                      <w:szCs w:val="21"/>
                      <w:highlight w:val="none"/>
                      <w:u w:val="none"/>
                      <w:lang w:val="en-US" w:eastAsia="zh-CN"/>
                    </w:rPr>
                  </w:pPr>
                  <w:r>
                    <w:rPr>
                      <w:rFonts w:hint="eastAsia" w:ascii="Times New Roman" w:hAnsi="Times New Roman" w:cs="Times New Roman"/>
                      <w:b w:val="0"/>
                      <w:bCs w:val="0"/>
                      <w:color w:val="auto"/>
                      <w:kern w:val="0"/>
                      <w:sz w:val="21"/>
                      <w:szCs w:val="21"/>
                      <w:highlight w:val="none"/>
                      <w:u w:val="none"/>
                      <w:lang w:val="en-US" w:eastAsia="zh-CN"/>
                    </w:rPr>
                    <w:t>70</w:t>
                  </w:r>
                </w:p>
              </w:tc>
              <w:tc>
                <w:tcPr>
                  <w:tcW w:w="405" w:type="pct"/>
                  <w:tcBorders>
                    <w:tl2br w:val="nil"/>
                    <w:tr2bl w:val="nil"/>
                  </w:tcBorders>
                  <w:noWrap w:val="0"/>
                  <w:vAlign w:val="center"/>
                </w:tcPr>
                <w:p>
                  <w:pPr>
                    <w:pStyle w:val="4"/>
                    <w:keepNext w:val="0"/>
                    <w:keepLines w:val="0"/>
                    <w:pageBreakBefore w:val="0"/>
                    <w:kinsoku/>
                    <w:wordWrap/>
                    <w:overflowPunct/>
                    <w:topLinePunct w:val="0"/>
                    <w:autoSpaceDE/>
                    <w:autoSpaceDN/>
                    <w:bidi w:val="0"/>
                    <w:adjustRightInd w:val="0"/>
                    <w:snapToGrid w:val="0"/>
                    <w:spacing w:before="0" w:after="0" w:line="240" w:lineRule="auto"/>
                    <w:ind w:left="0" w:right="0" w:rightChars="0" w:firstLine="0" w:firstLineChars="0"/>
                    <w:jc w:val="center"/>
                    <w:textAlignment w:val="auto"/>
                    <w:rPr>
                      <w:rFonts w:hint="default" w:ascii="Times New Roman" w:hAnsi="Times New Roman" w:cs="Times New Roman"/>
                      <w:b w:val="0"/>
                      <w:bCs w:val="0"/>
                      <w:color w:val="auto"/>
                      <w:kern w:val="0"/>
                      <w:sz w:val="21"/>
                      <w:szCs w:val="21"/>
                      <w:highlight w:val="none"/>
                      <w:u w:val="none"/>
                      <w:lang w:val="en-US" w:eastAsia="zh-CN" w:bidi="ar-SA"/>
                    </w:rPr>
                  </w:pPr>
                  <w:r>
                    <w:rPr>
                      <w:rFonts w:hint="eastAsia" w:ascii="Times New Roman" w:hAnsi="Times New Roman" w:cs="Times New Roman"/>
                      <w:b w:val="0"/>
                      <w:bCs w:val="0"/>
                      <w:color w:val="auto"/>
                      <w:kern w:val="0"/>
                      <w:sz w:val="21"/>
                      <w:szCs w:val="21"/>
                      <w:highlight w:val="none"/>
                      <w:u w:val="none"/>
                      <w:lang w:val="en-US" w:eastAsia="zh-CN" w:bidi="ar-SA"/>
                    </w:rPr>
                    <w:t>11</w:t>
                  </w:r>
                </w:p>
              </w:tc>
              <w:tc>
                <w:tcPr>
                  <w:tcW w:w="418" w:type="pct"/>
                  <w:tcBorders>
                    <w:tl2br w:val="nil"/>
                    <w:tr2bl w:val="nil"/>
                  </w:tcBorders>
                  <w:noWrap w:val="0"/>
                  <w:vAlign w:val="center"/>
                </w:tcPr>
                <w:p>
                  <w:pPr>
                    <w:pStyle w:val="4"/>
                    <w:keepNext w:val="0"/>
                    <w:keepLines w:val="0"/>
                    <w:pageBreakBefore w:val="0"/>
                    <w:kinsoku/>
                    <w:wordWrap/>
                    <w:overflowPunct/>
                    <w:topLinePunct w:val="0"/>
                    <w:autoSpaceDE/>
                    <w:autoSpaceDN/>
                    <w:bidi w:val="0"/>
                    <w:adjustRightInd w:val="0"/>
                    <w:snapToGrid w:val="0"/>
                    <w:spacing w:before="0" w:after="0" w:line="240" w:lineRule="auto"/>
                    <w:ind w:left="0" w:right="0" w:rightChars="0" w:firstLine="0" w:firstLineChars="0"/>
                    <w:jc w:val="center"/>
                    <w:textAlignment w:val="auto"/>
                    <w:rPr>
                      <w:rFonts w:hint="default" w:ascii="Times New Roman" w:hAnsi="Times New Roman" w:eastAsia="宋体" w:cs="Times New Roman"/>
                      <w:b w:val="0"/>
                      <w:bCs w:val="0"/>
                      <w:color w:val="auto"/>
                      <w:kern w:val="0"/>
                      <w:sz w:val="21"/>
                      <w:szCs w:val="21"/>
                      <w:highlight w:val="none"/>
                      <w:u w:val="none"/>
                      <w:lang w:val="en-US" w:eastAsia="zh-CN" w:bidi="ar-SA"/>
                    </w:rPr>
                  </w:pPr>
                  <w:r>
                    <w:rPr>
                      <w:rFonts w:hint="eastAsia" w:ascii="Times New Roman" w:hAnsi="Times New Roman" w:cs="Times New Roman"/>
                      <w:b w:val="0"/>
                      <w:bCs w:val="0"/>
                      <w:color w:val="auto"/>
                      <w:kern w:val="0"/>
                      <w:sz w:val="21"/>
                      <w:szCs w:val="21"/>
                      <w:highlight w:val="none"/>
                      <w:u w:val="none"/>
                      <w:lang w:val="en-US" w:eastAsia="zh-CN" w:bidi="ar-SA"/>
                    </w:rPr>
                    <w:t>60</w:t>
                  </w:r>
                </w:p>
              </w:tc>
              <w:tc>
                <w:tcPr>
                  <w:tcW w:w="40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center"/>
                    <w:textAlignment w:val="auto"/>
                    <w:rPr>
                      <w:rFonts w:hint="default" w:ascii="Times New Roman" w:hAnsi="Times New Roman" w:eastAsia="宋体" w:cs="Times New Roman"/>
                      <w:b w:val="0"/>
                      <w:bCs w:val="0"/>
                      <w:color w:val="auto"/>
                      <w:kern w:val="0"/>
                      <w:sz w:val="21"/>
                      <w:szCs w:val="21"/>
                      <w:highlight w:val="none"/>
                      <w:u w:val="none"/>
                      <w:lang w:val="en-US" w:eastAsia="zh-CN" w:bidi="ar-SA"/>
                    </w:rPr>
                  </w:pPr>
                  <w:r>
                    <w:rPr>
                      <w:rFonts w:hint="eastAsia" w:ascii="Times New Roman" w:hAnsi="Times New Roman" w:eastAsia="宋体" w:cs="Times New Roman"/>
                      <w:b w:val="0"/>
                      <w:bCs w:val="0"/>
                      <w:color w:val="auto"/>
                      <w:kern w:val="0"/>
                      <w:sz w:val="21"/>
                      <w:szCs w:val="21"/>
                      <w:highlight w:val="none"/>
                      <w:u w:val="none"/>
                      <w:lang w:val="en-US" w:eastAsia="zh-CN" w:bidi="ar-SA"/>
                    </w:rPr>
                    <w:t>0</w:t>
                  </w:r>
                </w:p>
              </w:tc>
              <w:tc>
                <w:tcPr>
                  <w:tcW w:w="1121"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center"/>
                    <w:textAlignment w:val="auto"/>
                    <w:rPr>
                      <w:rFonts w:hint="default" w:ascii="Times New Roman" w:hAnsi="Times New Roman" w:cs="Times New Roman"/>
                      <w:b w:val="0"/>
                      <w:bCs w:val="0"/>
                      <w:color w:val="auto"/>
                      <w:sz w:val="21"/>
                      <w:szCs w:val="21"/>
                      <w:highlight w:val="none"/>
                      <w:u w:val="none"/>
                      <w:vertAlign w:val="baseline"/>
                    </w:rPr>
                  </w:pPr>
                  <w:r>
                    <w:rPr>
                      <w:rFonts w:hint="default" w:ascii="Times New Roman" w:hAnsi="Times New Roman" w:eastAsia="宋体" w:cs="Times New Roman"/>
                      <w:b w:val="0"/>
                      <w:bCs w:val="0"/>
                      <w:color w:val="auto"/>
                      <w:kern w:val="0"/>
                      <w:sz w:val="21"/>
                      <w:szCs w:val="21"/>
                      <w:highlight w:val="none"/>
                      <w:u w:val="none"/>
                      <w:lang w:val="en-US" w:eastAsia="zh-CN" w:bidi="ar"/>
                    </w:rPr>
                    <w:t>合理布局及选型、</w:t>
                  </w:r>
                  <w:r>
                    <w:rPr>
                      <w:rFonts w:hint="default" w:ascii="Times New Roman" w:hAnsi="Times New Roman" w:eastAsia="宋体" w:cs="Times New Roman"/>
                      <w:b w:val="0"/>
                      <w:bCs w:val="0"/>
                      <w:color w:val="auto"/>
                      <w:sz w:val="21"/>
                      <w:szCs w:val="21"/>
                      <w:highlight w:val="none"/>
                      <w:u w:val="none"/>
                    </w:rPr>
                    <w:t>基础减振</w:t>
                  </w:r>
                  <w:r>
                    <w:rPr>
                      <w:rFonts w:hint="default" w:ascii="Times New Roman" w:hAnsi="Times New Roman" w:eastAsia="宋体" w:cs="Times New Roman"/>
                      <w:b w:val="0"/>
                      <w:bCs w:val="0"/>
                      <w:color w:val="auto"/>
                      <w:sz w:val="21"/>
                      <w:szCs w:val="21"/>
                      <w:highlight w:val="none"/>
                      <w:u w:val="none"/>
                      <w:lang w:eastAsia="zh-CN"/>
                    </w:rPr>
                    <w:t>、</w:t>
                  </w:r>
                  <w:r>
                    <w:rPr>
                      <w:rFonts w:hint="default" w:ascii="Times New Roman" w:hAnsi="Times New Roman" w:eastAsia="宋体" w:cs="Times New Roman"/>
                      <w:b w:val="0"/>
                      <w:bCs w:val="0"/>
                      <w:color w:val="auto"/>
                      <w:sz w:val="21"/>
                      <w:szCs w:val="21"/>
                      <w:highlight w:val="none"/>
                      <w:u w:val="none"/>
                      <w:lang w:val="en-US" w:eastAsia="zh-CN"/>
                    </w:rPr>
                    <w:t>室内布置隔声</w:t>
                  </w:r>
                  <w:r>
                    <w:rPr>
                      <w:rFonts w:hint="eastAsia" w:ascii="Times New Roman" w:hAnsi="Times New Roman" w:eastAsia="宋体" w:cs="Times New Roman"/>
                      <w:b w:val="0"/>
                      <w:bCs w:val="0"/>
                      <w:color w:val="auto"/>
                      <w:sz w:val="21"/>
                      <w:szCs w:val="21"/>
                      <w:highlight w:val="none"/>
                      <w:u w:val="none"/>
                      <w:lang w:val="en-US" w:eastAsia="zh-CN"/>
                    </w:rPr>
                    <w:t>（设</w:t>
                  </w:r>
                  <w:r>
                    <w:rPr>
                      <w:rFonts w:hint="default" w:ascii="Times New Roman" w:hAnsi="Times New Roman" w:eastAsia="宋体" w:cs="Times New Roman"/>
                      <w:b w:val="0"/>
                      <w:bCs w:val="0"/>
                      <w:color w:val="auto"/>
                      <w:sz w:val="21"/>
                      <w:szCs w:val="21"/>
                      <w:highlight w:val="none"/>
                      <w:u w:val="none"/>
                      <w:lang w:val="en-US" w:eastAsia="zh-CN" w:bidi="ar"/>
                    </w:rPr>
                    <w:t>隔声门窗</w:t>
                  </w:r>
                  <w:r>
                    <w:rPr>
                      <w:rFonts w:hint="eastAsia" w:ascii="Times New Roman" w:hAnsi="Times New Roman" w:eastAsia="宋体" w:cs="Times New Roman"/>
                      <w:b w:val="0"/>
                      <w:bCs w:val="0"/>
                      <w:color w:val="auto"/>
                      <w:sz w:val="21"/>
                      <w:szCs w:val="21"/>
                      <w:highlight w:val="none"/>
                      <w:u w:val="none"/>
                      <w:lang w:val="en-US" w:eastAsia="zh-CN"/>
                    </w:rPr>
                    <w:t>）</w:t>
                  </w:r>
                  <w:r>
                    <w:rPr>
                      <w:rFonts w:hint="default" w:ascii="Times New Roman" w:hAnsi="Times New Roman" w:eastAsia="宋体" w:cs="Times New Roman"/>
                      <w:b w:val="0"/>
                      <w:bCs w:val="0"/>
                      <w:color w:val="auto"/>
                      <w:sz w:val="21"/>
                      <w:szCs w:val="21"/>
                      <w:highlight w:val="none"/>
                      <w:u w:val="none"/>
                      <w:lang w:val="en-US" w:eastAsia="zh-CN"/>
                    </w:rPr>
                    <w:t>、围墙隔声</w:t>
                  </w:r>
                </w:p>
              </w:tc>
              <w:tc>
                <w:tcPr>
                  <w:tcW w:w="42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center"/>
                    <w:textAlignment w:val="auto"/>
                    <w:rPr>
                      <w:rFonts w:hint="eastAsia" w:ascii="Times New Roman" w:hAnsi="Times New Roman" w:cs="Times New Roman"/>
                      <w:b w:val="0"/>
                      <w:bCs w:val="0"/>
                      <w:color w:val="auto"/>
                      <w:sz w:val="21"/>
                      <w:szCs w:val="21"/>
                      <w:highlight w:val="none"/>
                      <w:u w:val="none"/>
                      <w:vertAlign w:val="baseline"/>
                      <w:lang w:val="en-US" w:eastAsia="zh-CN"/>
                    </w:rPr>
                  </w:pPr>
                  <w:r>
                    <w:rPr>
                      <w:rFonts w:hint="eastAsia" w:ascii="Times New Roman" w:hAnsi="Times New Roman" w:cs="Times New Roman"/>
                      <w:b w:val="0"/>
                      <w:bCs w:val="0"/>
                      <w:color w:val="auto"/>
                      <w:sz w:val="21"/>
                      <w:szCs w:val="21"/>
                      <w:highlight w:val="none"/>
                      <w:u w:val="none"/>
                      <w:vertAlign w:val="baseline"/>
                      <w:lang w:val="en-US" w:eastAsia="zh-CN"/>
                    </w:rPr>
                    <w:t>24</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PrEx>
              <w:trPr>
                <w:trHeight w:val="397" w:hRule="atLeast"/>
              </w:trPr>
              <w:tc>
                <w:tcPr>
                  <w:tcW w:w="5000" w:type="pct"/>
                  <w:gridSpan w:val="10"/>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left"/>
                    <w:textAlignment w:val="auto"/>
                    <w:rPr>
                      <w:rFonts w:hint="default"/>
                      <w:b w:val="0"/>
                      <w:bCs w:val="0"/>
                      <w:sz w:val="21"/>
                      <w:szCs w:val="21"/>
                      <w:highlight w:val="none"/>
                      <w:u w:val="none"/>
                      <w:lang w:val="en-US"/>
                    </w:rPr>
                  </w:pPr>
                  <w:r>
                    <w:rPr>
                      <w:rFonts w:hint="eastAsia"/>
                      <w:b w:val="0"/>
                      <w:bCs w:val="0"/>
                      <w:sz w:val="21"/>
                      <w:szCs w:val="21"/>
                      <w:highlight w:val="none"/>
                      <w:u w:val="none"/>
                      <w:lang w:val="en-US" w:eastAsia="zh-CN"/>
                    </w:rPr>
                    <w:t>注：定义厂界西南角X=0，Y=0，Z=0。</w:t>
                  </w:r>
                </w:p>
              </w:tc>
            </w:tr>
          </w:tbl>
          <w:p>
            <w:pPr>
              <w:keepNext w:val="0"/>
              <w:keepLines w:val="0"/>
              <w:pageBreakBefore w:val="0"/>
              <w:kinsoku/>
              <w:wordWrap/>
              <w:overflowPunct/>
              <w:topLinePunct w:val="0"/>
              <w:autoSpaceDE/>
              <w:autoSpaceDN/>
              <w:bidi w:val="0"/>
              <w:adjustRightInd w:val="0"/>
              <w:snapToGrid w:val="0"/>
              <w:spacing w:line="520" w:lineRule="exact"/>
              <w:ind w:firstLine="480"/>
              <w:rPr>
                <w:rFonts w:hint="default"/>
                <w:b w:val="0"/>
                <w:bCs w:val="0"/>
                <w:u w:val="none"/>
              </w:rPr>
            </w:pPr>
            <w:r>
              <w:rPr>
                <w:rFonts w:hint="eastAsia"/>
                <w:b w:val="0"/>
                <w:bCs w:val="0"/>
                <w:u w:val="none"/>
              </w:rPr>
              <w:t>本次评价釆用六五软件工作室开发的EIAProN2021环境噪声预测评价模拟软件系统</w:t>
            </w:r>
            <w:r>
              <w:rPr>
                <w:rFonts w:hint="eastAsia"/>
                <w:b w:val="0"/>
                <w:bCs w:val="0"/>
                <w:u w:val="none"/>
                <w:lang w:eastAsia="zh-CN"/>
              </w:rPr>
              <w:t>，</w:t>
            </w:r>
            <w:r>
              <w:rPr>
                <w:rFonts w:hint="eastAsia"/>
                <w:b w:val="0"/>
                <w:bCs w:val="0"/>
                <w:u w:val="none"/>
              </w:rPr>
              <w:t>该软件计算工业噪声时采用的模型为《环境影响评价技术导则 声环境》(HJ2.4</w:t>
            </w:r>
            <w:r>
              <w:rPr>
                <w:rFonts w:hint="eastAsia"/>
                <w:b w:val="0"/>
                <w:bCs w:val="0"/>
                <w:u w:val="none"/>
                <w:lang w:eastAsia="zh-CN"/>
              </w:rPr>
              <w:t>—</w:t>
            </w:r>
            <w:r>
              <w:rPr>
                <w:rFonts w:hint="eastAsia"/>
                <w:b w:val="0"/>
                <w:bCs w:val="0"/>
                <w:u w:val="none"/>
              </w:rPr>
              <w:t>2021)附录A、附录B预测模式，具体如下：</w:t>
            </w:r>
          </w:p>
          <w:p>
            <w:pPr>
              <w:keepNext w:val="0"/>
              <w:keepLines w:val="0"/>
              <w:pageBreakBefore w:val="0"/>
              <w:widowControl w:val="0"/>
              <w:kinsoku/>
              <w:wordWrap/>
              <w:overflowPunct/>
              <w:topLinePunct w:val="0"/>
              <w:autoSpaceDE/>
              <w:autoSpaceDN/>
              <w:bidi w:val="0"/>
              <w:adjustRightInd w:val="0"/>
              <w:snapToGrid w:val="0"/>
              <w:spacing w:line="520" w:lineRule="exact"/>
              <w:ind w:firstLine="480"/>
              <w:textAlignment w:val="top"/>
              <w:rPr>
                <w:rFonts w:hint="default"/>
                <w:b w:val="0"/>
                <w:bCs w:val="0"/>
                <w:u w:val="none"/>
              </w:rPr>
            </w:pPr>
            <w:r>
              <w:rPr>
                <w:rFonts w:hint="default"/>
                <w:b w:val="0"/>
                <w:bCs w:val="0"/>
                <w:u w:val="none"/>
              </w:rPr>
              <w:t>A、户外声传播模式</w:t>
            </w:r>
          </w:p>
          <w:p>
            <w:pPr>
              <w:keepNext w:val="0"/>
              <w:keepLines w:val="0"/>
              <w:pageBreakBefore w:val="0"/>
              <w:widowControl/>
              <w:suppressLineNumbers w:val="0"/>
              <w:kinsoku/>
              <w:wordWrap/>
              <w:overflowPunct/>
              <w:topLinePunct w:val="0"/>
              <w:autoSpaceDE/>
              <w:autoSpaceDN/>
              <w:bidi w:val="0"/>
              <w:adjustRightInd w:val="0"/>
              <w:snapToGrid w:val="0"/>
              <w:spacing w:line="520" w:lineRule="exact"/>
              <w:ind w:firstLine="480" w:firstLineChars="200"/>
              <w:jc w:val="left"/>
              <w:textAlignment w:val="auto"/>
              <w:rPr>
                <w:rFonts w:hint="default"/>
                <w:b w:val="0"/>
                <w:bCs w:val="0"/>
                <w:u w:val="none"/>
              </w:rPr>
            </w:pPr>
            <w:r>
              <w:rPr>
                <w:rFonts w:hint="default"/>
                <w:b w:val="0"/>
                <w:bCs w:val="0"/>
                <w:u w:val="none"/>
                <w:lang w:val="en-US" w:eastAsia="zh-CN"/>
              </w:rPr>
              <w:t>户外声传播衰减包括几何发散（A</w:t>
            </w:r>
            <w:r>
              <w:rPr>
                <w:rFonts w:hint="default"/>
                <w:b w:val="0"/>
                <w:bCs w:val="0"/>
                <w:u w:val="none"/>
                <w:vertAlign w:val="subscript"/>
                <w:lang w:val="en-US" w:eastAsia="zh-CN"/>
              </w:rPr>
              <w:t>div</w:t>
            </w:r>
            <w:r>
              <w:rPr>
                <w:rFonts w:hint="default"/>
                <w:b w:val="0"/>
                <w:bCs w:val="0"/>
                <w:u w:val="none"/>
                <w:lang w:val="en-US" w:eastAsia="zh-CN"/>
              </w:rPr>
              <w:t>）、大气吸收（A</w:t>
            </w:r>
            <w:r>
              <w:rPr>
                <w:rFonts w:hint="default"/>
                <w:b w:val="0"/>
                <w:bCs w:val="0"/>
                <w:u w:val="none"/>
                <w:vertAlign w:val="subscript"/>
                <w:lang w:val="en-US" w:eastAsia="zh-CN"/>
              </w:rPr>
              <w:t>atm</w:t>
            </w:r>
            <w:r>
              <w:rPr>
                <w:rFonts w:hint="default"/>
                <w:b w:val="0"/>
                <w:bCs w:val="0"/>
                <w:u w:val="none"/>
                <w:lang w:val="en-US" w:eastAsia="zh-CN"/>
              </w:rPr>
              <w:t>）、地面效应（A</w:t>
            </w:r>
            <w:r>
              <w:rPr>
                <w:rFonts w:hint="default"/>
                <w:b w:val="0"/>
                <w:bCs w:val="0"/>
                <w:u w:val="none"/>
                <w:vertAlign w:val="subscript"/>
                <w:lang w:val="en-US" w:eastAsia="zh-CN"/>
              </w:rPr>
              <w:t>gr</w:t>
            </w:r>
            <w:r>
              <w:rPr>
                <w:rFonts w:hint="default"/>
                <w:b w:val="0"/>
                <w:bCs w:val="0"/>
                <w:u w:val="none"/>
                <w:lang w:val="en-US" w:eastAsia="zh-CN"/>
              </w:rPr>
              <w:t>）、障碍物屏蔽（A</w:t>
            </w:r>
            <w:r>
              <w:rPr>
                <w:rFonts w:hint="default"/>
                <w:b w:val="0"/>
                <w:bCs w:val="0"/>
                <w:u w:val="none"/>
                <w:vertAlign w:val="subscript"/>
                <w:lang w:val="en-US" w:eastAsia="zh-CN"/>
              </w:rPr>
              <w:t>bar</w:t>
            </w:r>
            <w:r>
              <w:rPr>
                <w:rFonts w:hint="default"/>
                <w:b w:val="0"/>
                <w:bCs w:val="0"/>
                <w:u w:val="none"/>
                <w:lang w:val="en-US" w:eastAsia="zh-CN"/>
              </w:rPr>
              <w:t>）、其他多方面效应（A</w:t>
            </w:r>
            <w:r>
              <w:rPr>
                <w:rFonts w:hint="default"/>
                <w:b w:val="0"/>
                <w:bCs w:val="0"/>
                <w:u w:val="none"/>
                <w:vertAlign w:val="subscript"/>
                <w:lang w:val="en-US" w:eastAsia="zh-CN"/>
              </w:rPr>
              <w:t>misc</w:t>
            </w:r>
            <w:r>
              <w:rPr>
                <w:rFonts w:hint="default"/>
                <w:b w:val="0"/>
                <w:bCs w:val="0"/>
                <w:u w:val="none"/>
                <w:lang w:val="en-US" w:eastAsia="zh-CN"/>
              </w:rPr>
              <w:t xml:space="preserve">）引起的衰减。 </w:t>
            </w:r>
          </w:p>
          <w:p>
            <w:pPr>
              <w:pStyle w:val="71"/>
              <w:keepNext w:val="0"/>
              <w:keepLines w:val="0"/>
              <w:pageBreakBefore w:val="0"/>
              <w:widowControl/>
              <w:kinsoku/>
              <w:wordWrap/>
              <w:overflowPunct/>
              <w:topLinePunct w:val="0"/>
              <w:autoSpaceDE/>
              <w:autoSpaceDN/>
              <w:bidi w:val="0"/>
              <w:adjustRightInd w:val="0"/>
              <w:snapToGrid w:val="0"/>
              <w:spacing w:line="520" w:lineRule="exact"/>
              <w:ind w:firstLine="480"/>
              <w:rPr>
                <w:rFonts w:hint="default"/>
                <w:b w:val="0"/>
                <w:bCs w:val="0"/>
                <w:u w:val="none"/>
              </w:rPr>
            </w:pPr>
            <w:r>
              <w:rPr>
                <w:rFonts w:hint="default"/>
                <w:b w:val="0"/>
                <w:bCs w:val="0"/>
                <w:u w:val="none"/>
              </w:rPr>
              <w:t>户外声传播衰减预测模式如下：</w:t>
            </w:r>
          </w:p>
          <w:p>
            <w:pPr>
              <w:pStyle w:val="71"/>
              <w:keepNext w:val="0"/>
              <w:keepLines w:val="0"/>
              <w:pageBreakBefore w:val="0"/>
              <w:widowControl/>
              <w:kinsoku/>
              <w:wordWrap/>
              <w:overflowPunct/>
              <w:topLinePunct w:val="0"/>
              <w:autoSpaceDE/>
              <w:autoSpaceDN/>
              <w:bidi w:val="0"/>
              <w:adjustRightInd w:val="0"/>
              <w:snapToGrid w:val="0"/>
              <w:spacing w:line="520" w:lineRule="exact"/>
              <w:ind w:firstLine="0" w:firstLineChars="0"/>
              <w:jc w:val="center"/>
              <w:textAlignment w:val="auto"/>
              <w:rPr>
                <w:rFonts w:hint="default"/>
                <w:b w:val="0"/>
                <w:bCs w:val="0"/>
                <w:u w:val="none"/>
              </w:rPr>
            </w:pPr>
            <w:r>
              <w:rPr>
                <w:rFonts w:hint="default"/>
                <w:b w:val="0"/>
                <w:bCs w:val="0"/>
                <w:u w:val="none"/>
                <w:lang w:eastAsia="zh-CN"/>
              </w:rPr>
              <w:object>
                <v:shape id="_x0000_i1025" o:spt="75" type="#_x0000_t75" style="height:19pt;width:247.95pt;" o:ole="t" filled="f" o:preferrelative="t" stroked="f" coordsize="21600,21600">
                  <v:path/>
                  <v:fill on="f" focussize="0,0"/>
                  <v:stroke on="f"/>
                  <v:imagedata r:id="rId13" o:title=""/>
                  <o:lock v:ext="edit" aspectratio="t"/>
                  <w10:wrap type="none"/>
                  <w10:anchorlock/>
                </v:shape>
                <o:OLEObject Type="Embed" ProgID="Equation.KSEE3" ShapeID="_x0000_i1025" DrawAspect="Content" ObjectID="_1468075725" r:id="rId12">
                  <o:LockedField>false</o:LockedField>
                </o:OLEObject>
              </w:object>
            </w:r>
          </w:p>
          <w:p>
            <w:pPr>
              <w:pStyle w:val="71"/>
              <w:keepNext w:val="0"/>
              <w:keepLines w:val="0"/>
              <w:pageBreakBefore w:val="0"/>
              <w:kinsoku/>
              <w:wordWrap/>
              <w:overflowPunct/>
              <w:topLinePunct w:val="0"/>
              <w:autoSpaceDE/>
              <w:autoSpaceDN/>
              <w:bidi w:val="0"/>
              <w:adjustRightInd w:val="0"/>
              <w:snapToGrid w:val="0"/>
              <w:spacing w:line="520" w:lineRule="exact"/>
              <w:ind w:left="0" w:leftChars="0" w:firstLine="0" w:firstLineChars="0"/>
              <w:rPr>
                <w:rFonts w:hint="default"/>
                <w:b w:val="0"/>
                <w:bCs w:val="0"/>
                <w:u w:val="none"/>
              </w:rPr>
            </w:pPr>
            <w:r>
              <w:rPr>
                <w:rFonts w:hint="default"/>
                <w:b w:val="0"/>
                <w:bCs w:val="0"/>
                <w:u w:val="none"/>
              </w:rPr>
              <w:t>式中：L</w:t>
            </w:r>
            <w:r>
              <w:rPr>
                <w:rFonts w:hint="default"/>
                <w:b w:val="0"/>
                <w:bCs w:val="0"/>
                <w:u w:val="none"/>
                <w:vertAlign w:val="subscript"/>
              </w:rPr>
              <w:t>A</w:t>
            </w:r>
            <w:r>
              <w:rPr>
                <w:rFonts w:hint="default"/>
                <w:b w:val="0"/>
                <w:bCs w:val="0"/>
                <w:u w:val="none"/>
              </w:rPr>
              <w:t>（r）——距声源r处的A声级；</w:t>
            </w:r>
          </w:p>
          <w:p>
            <w:pPr>
              <w:pStyle w:val="71"/>
              <w:keepNext w:val="0"/>
              <w:keepLines w:val="0"/>
              <w:pageBreakBefore w:val="0"/>
              <w:kinsoku/>
              <w:wordWrap/>
              <w:overflowPunct/>
              <w:topLinePunct w:val="0"/>
              <w:autoSpaceDE/>
              <w:autoSpaceDN/>
              <w:bidi w:val="0"/>
              <w:adjustRightInd w:val="0"/>
              <w:snapToGrid w:val="0"/>
              <w:spacing w:line="520" w:lineRule="exact"/>
              <w:ind w:firstLine="720" w:firstLineChars="300"/>
              <w:rPr>
                <w:rFonts w:hint="default"/>
                <w:b w:val="0"/>
                <w:bCs w:val="0"/>
                <w:u w:val="none"/>
              </w:rPr>
            </w:pPr>
            <w:r>
              <w:rPr>
                <w:rFonts w:hint="default"/>
                <w:b w:val="0"/>
                <w:bCs w:val="0"/>
                <w:u w:val="none"/>
              </w:rPr>
              <w:t>L</w:t>
            </w:r>
            <w:r>
              <w:rPr>
                <w:rFonts w:hint="default"/>
                <w:b w:val="0"/>
                <w:bCs w:val="0"/>
                <w:u w:val="none"/>
                <w:vertAlign w:val="subscript"/>
              </w:rPr>
              <w:t>A</w:t>
            </w:r>
            <w:r>
              <w:rPr>
                <w:rFonts w:hint="default"/>
                <w:b w:val="0"/>
                <w:bCs w:val="0"/>
                <w:u w:val="none"/>
              </w:rPr>
              <w:t>(r</w:t>
            </w:r>
            <w:r>
              <w:rPr>
                <w:rFonts w:hint="default"/>
                <w:b w:val="0"/>
                <w:bCs w:val="0"/>
                <w:u w:val="none"/>
                <w:vertAlign w:val="subscript"/>
              </w:rPr>
              <w:t>0</w:t>
            </w:r>
            <w:r>
              <w:rPr>
                <w:rFonts w:hint="default"/>
                <w:b w:val="0"/>
                <w:bCs w:val="0"/>
                <w:u w:val="none"/>
              </w:rPr>
              <w:t>)——参考位置r</w:t>
            </w:r>
            <w:r>
              <w:rPr>
                <w:rFonts w:hint="default"/>
                <w:b w:val="0"/>
                <w:bCs w:val="0"/>
                <w:u w:val="none"/>
                <w:vertAlign w:val="subscript"/>
              </w:rPr>
              <w:t>0</w:t>
            </w:r>
            <w:r>
              <w:rPr>
                <w:rFonts w:hint="default"/>
                <w:b w:val="0"/>
                <w:bCs w:val="0"/>
                <w:u w:val="none"/>
              </w:rPr>
              <w:t>处的A声级；</w:t>
            </w:r>
          </w:p>
          <w:p>
            <w:pPr>
              <w:pStyle w:val="71"/>
              <w:keepNext w:val="0"/>
              <w:keepLines w:val="0"/>
              <w:pageBreakBefore w:val="0"/>
              <w:kinsoku/>
              <w:wordWrap/>
              <w:overflowPunct/>
              <w:topLinePunct w:val="0"/>
              <w:autoSpaceDE/>
              <w:autoSpaceDN/>
              <w:bidi w:val="0"/>
              <w:adjustRightInd w:val="0"/>
              <w:snapToGrid w:val="0"/>
              <w:spacing w:line="520" w:lineRule="exact"/>
              <w:ind w:firstLine="720" w:firstLineChars="300"/>
              <w:rPr>
                <w:rFonts w:hint="default"/>
                <w:b w:val="0"/>
                <w:bCs w:val="0"/>
                <w:u w:val="none"/>
              </w:rPr>
            </w:pPr>
            <w:r>
              <w:rPr>
                <w:rFonts w:hint="default"/>
                <w:b w:val="0"/>
                <w:bCs w:val="0"/>
                <w:u w:val="none"/>
              </w:rPr>
              <w:t>r——受声点到声源的距离，m；</w:t>
            </w:r>
          </w:p>
          <w:p>
            <w:pPr>
              <w:pStyle w:val="71"/>
              <w:keepNext w:val="0"/>
              <w:keepLines w:val="0"/>
              <w:pageBreakBefore w:val="0"/>
              <w:kinsoku/>
              <w:wordWrap/>
              <w:overflowPunct/>
              <w:topLinePunct w:val="0"/>
              <w:autoSpaceDE/>
              <w:autoSpaceDN/>
              <w:bidi w:val="0"/>
              <w:adjustRightInd w:val="0"/>
              <w:snapToGrid w:val="0"/>
              <w:spacing w:line="520" w:lineRule="exact"/>
              <w:ind w:firstLine="720" w:firstLineChars="300"/>
              <w:rPr>
                <w:rFonts w:hint="default"/>
                <w:b w:val="0"/>
                <w:bCs w:val="0"/>
                <w:u w:val="none"/>
              </w:rPr>
            </w:pPr>
            <w:r>
              <w:rPr>
                <w:rFonts w:hint="default"/>
                <w:b w:val="0"/>
                <w:bCs w:val="0"/>
                <w:u w:val="none"/>
              </w:rPr>
              <w:t>r</w:t>
            </w:r>
            <w:r>
              <w:rPr>
                <w:rFonts w:hint="default"/>
                <w:b w:val="0"/>
                <w:bCs w:val="0"/>
                <w:u w:val="none"/>
                <w:vertAlign w:val="subscript"/>
              </w:rPr>
              <w:t>0</w:t>
            </w:r>
            <w:r>
              <w:rPr>
                <w:rFonts w:hint="default"/>
                <w:b w:val="0"/>
                <w:bCs w:val="0"/>
                <w:u w:val="none"/>
              </w:rPr>
              <w:t>——参考点到声源的距离，r</w:t>
            </w:r>
            <w:r>
              <w:rPr>
                <w:rFonts w:hint="default"/>
                <w:b w:val="0"/>
                <w:bCs w:val="0"/>
                <w:u w:val="none"/>
                <w:vertAlign w:val="subscript"/>
              </w:rPr>
              <w:t>0</w:t>
            </w:r>
            <w:r>
              <w:rPr>
                <w:rFonts w:hint="default"/>
                <w:b w:val="0"/>
                <w:bCs w:val="0"/>
                <w:u w:val="none"/>
              </w:rPr>
              <w:t>取1m；</w:t>
            </w:r>
          </w:p>
          <w:p>
            <w:pPr>
              <w:pStyle w:val="71"/>
              <w:spacing w:line="520" w:lineRule="exact"/>
              <w:ind w:firstLine="720" w:firstLineChars="300"/>
              <w:rPr>
                <w:rFonts w:hint="default"/>
                <w:b w:val="0"/>
                <w:bCs w:val="0"/>
                <w:u w:val="none"/>
              </w:rPr>
            </w:pPr>
            <w:r>
              <w:rPr>
                <w:rFonts w:hint="default"/>
                <w:b w:val="0"/>
                <w:bCs w:val="0"/>
                <w:u w:val="none"/>
              </w:rPr>
              <w:t>D</w:t>
            </w:r>
            <w:r>
              <w:rPr>
                <w:rFonts w:hint="default"/>
                <w:b w:val="0"/>
                <w:bCs w:val="0"/>
                <w:u w:val="none"/>
                <w:vertAlign w:val="subscript"/>
              </w:rPr>
              <w:t>C</w:t>
            </w:r>
            <w:r>
              <w:rPr>
                <w:rFonts w:hint="default"/>
                <w:b w:val="0"/>
                <w:bCs w:val="0"/>
                <w:u w:val="none"/>
              </w:rPr>
              <w:t>——指向性校正，它描述点声源的等效连续声压级与产生声功率级Lw的全向点声源在规定方向的声级的偏差程度，dB；</w:t>
            </w:r>
          </w:p>
          <w:p>
            <w:pPr>
              <w:pStyle w:val="71"/>
              <w:spacing w:line="520" w:lineRule="exact"/>
              <w:ind w:firstLine="720" w:firstLineChars="300"/>
              <w:rPr>
                <w:rFonts w:hint="default"/>
                <w:b w:val="0"/>
                <w:bCs w:val="0"/>
                <w:u w:val="none"/>
              </w:rPr>
            </w:pPr>
            <w:r>
              <w:rPr>
                <w:rFonts w:hint="default"/>
                <w:b w:val="0"/>
                <w:bCs w:val="0"/>
                <w:u w:val="none"/>
              </w:rPr>
              <w:t>A</w:t>
            </w:r>
            <w:r>
              <w:rPr>
                <w:rFonts w:hint="default"/>
                <w:b w:val="0"/>
                <w:bCs w:val="0"/>
                <w:u w:val="none"/>
                <w:vertAlign w:val="subscript"/>
              </w:rPr>
              <w:t>div</w:t>
            </w:r>
            <w:r>
              <w:rPr>
                <w:rFonts w:hint="default"/>
                <w:b w:val="0"/>
                <w:bCs w:val="0"/>
                <w:u w:val="none"/>
              </w:rPr>
              <w:t>——几何发散引起的衰减，dB；几何发散衰减计算公式：</w:t>
            </w:r>
          </w:p>
          <w:p>
            <w:pPr>
              <w:pStyle w:val="71"/>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b w:val="0"/>
                <w:bCs w:val="0"/>
                <w:u w:val="none"/>
              </w:rPr>
            </w:pPr>
            <w:r>
              <w:rPr>
                <w:rFonts w:hint="default"/>
                <w:b w:val="0"/>
                <w:bCs w:val="0"/>
                <w:u w:val="none"/>
                <w:lang w:eastAsia="zh-CN"/>
              </w:rPr>
              <w:object>
                <v:shape id="_x0000_i1026" o:spt="75" type="#_x0000_t75" style="height:34pt;width:67pt;" o:ole="t" filled="f" o:preferrelative="t" stroked="f" coordsize="21600,21600">
                  <v:path/>
                  <v:fill on="f" focussize="0,0"/>
                  <v:stroke on="f"/>
                  <v:imagedata r:id="rId15" o:title=""/>
                  <o:lock v:ext="edit" aspectratio="t"/>
                  <w10:wrap type="none"/>
                  <w10:anchorlock/>
                </v:shape>
                <o:OLEObject Type="Embed" ProgID="Equation.KSEE3" ShapeID="_x0000_i1026" DrawAspect="Content" ObjectID="_1468075726" r:id="rId14">
                  <o:LockedField>false</o:LockedField>
                </o:OLEObject>
              </w:object>
            </w:r>
          </w:p>
          <w:p>
            <w:pPr>
              <w:pStyle w:val="71"/>
              <w:spacing w:line="520" w:lineRule="exact"/>
              <w:ind w:firstLine="720" w:firstLineChars="300"/>
              <w:rPr>
                <w:rFonts w:hint="default"/>
                <w:b w:val="0"/>
                <w:bCs w:val="0"/>
                <w:u w:val="none"/>
              </w:rPr>
            </w:pPr>
            <w:r>
              <w:rPr>
                <w:rFonts w:hint="default"/>
                <w:b w:val="0"/>
                <w:bCs w:val="0"/>
                <w:u w:val="none"/>
              </w:rPr>
              <w:t>A</w:t>
            </w:r>
            <w:r>
              <w:rPr>
                <w:rFonts w:hint="default"/>
                <w:b w:val="0"/>
                <w:bCs w:val="0"/>
                <w:u w:val="none"/>
                <w:vertAlign w:val="subscript"/>
              </w:rPr>
              <w:t>atm</w:t>
            </w:r>
            <w:r>
              <w:rPr>
                <w:rFonts w:hint="default"/>
                <w:b w:val="0"/>
                <w:bCs w:val="0"/>
                <w:u w:val="none"/>
              </w:rPr>
              <w:t>——大气吸收引起的衰减，dB；</w:t>
            </w:r>
          </w:p>
          <w:p>
            <w:pPr>
              <w:pStyle w:val="71"/>
              <w:spacing w:line="520" w:lineRule="exact"/>
              <w:ind w:firstLine="720" w:firstLineChars="300"/>
              <w:rPr>
                <w:rFonts w:hint="default"/>
                <w:b w:val="0"/>
                <w:bCs w:val="0"/>
                <w:u w:val="none"/>
              </w:rPr>
            </w:pPr>
            <w:r>
              <w:rPr>
                <w:rFonts w:hint="default"/>
                <w:b w:val="0"/>
                <w:bCs w:val="0"/>
                <w:u w:val="none"/>
              </w:rPr>
              <w:t>A</w:t>
            </w:r>
            <w:r>
              <w:rPr>
                <w:rFonts w:hint="default"/>
                <w:b w:val="0"/>
                <w:bCs w:val="0"/>
                <w:u w:val="none"/>
                <w:vertAlign w:val="subscript"/>
              </w:rPr>
              <w:t>gr</w:t>
            </w:r>
            <w:r>
              <w:rPr>
                <w:rFonts w:hint="default"/>
                <w:b w:val="0"/>
                <w:bCs w:val="0"/>
                <w:u w:val="none"/>
              </w:rPr>
              <w:t>——地面效应引起的衰减，dB；</w:t>
            </w:r>
          </w:p>
          <w:p>
            <w:pPr>
              <w:pStyle w:val="71"/>
              <w:spacing w:line="520" w:lineRule="exact"/>
              <w:ind w:firstLine="720" w:firstLineChars="300"/>
              <w:rPr>
                <w:rFonts w:hint="default"/>
                <w:b w:val="0"/>
                <w:bCs w:val="0"/>
                <w:u w:val="none"/>
                <w:lang w:eastAsia="zh-CN"/>
              </w:rPr>
            </w:pPr>
            <w:r>
              <w:rPr>
                <w:rFonts w:hint="default"/>
                <w:b w:val="0"/>
                <w:bCs w:val="0"/>
                <w:u w:val="none"/>
              </w:rPr>
              <w:t>A</w:t>
            </w:r>
            <w:r>
              <w:rPr>
                <w:rFonts w:hint="default"/>
                <w:b w:val="0"/>
                <w:bCs w:val="0"/>
                <w:u w:val="none"/>
                <w:vertAlign w:val="subscript"/>
              </w:rPr>
              <w:t>misc</w:t>
            </w:r>
            <w:r>
              <w:rPr>
                <w:rFonts w:hint="default"/>
                <w:b w:val="0"/>
                <w:bCs w:val="0"/>
                <w:u w:val="none"/>
              </w:rPr>
              <w:t>——其他多方面效应引起的衰减，dB</w:t>
            </w:r>
            <w:r>
              <w:rPr>
                <w:rFonts w:hint="default"/>
                <w:b w:val="0"/>
                <w:bCs w:val="0"/>
                <w:u w:val="none"/>
                <w:lang w:eastAsia="zh-CN"/>
              </w:rPr>
              <w:t>；</w:t>
            </w:r>
          </w:p>
          <w:p>
            <w:pPr>
              <w:pStyle w:val="71"/>
              <w:keepNext w:val="0"/>
              <w:keepLines w:val="0"/>
              <w:pageBreakBefore w:val="0"/>
              <w:widowControl/>
              <w:kinsoku/>
              <w:wordWrap/>
              <w:overflowPunct/>
              <w:topLinePunct w:val="0"/>
              <w:autoSpaceDE/>
              <w:autoSpaceDN/>
              <w:bidi w:val="0"/>
              <w:adjustRightInd/>
              <w:snapToGrid/>
              <w:spacing w:line="520" w:lineRule="exact"/>
              <w:ind w:left="0" w:leftChars="0" w:firstLine="720" w:firstLineChars="300"/>
              <w:textAlignment w:val="auto"/>
              <w:rPr>
                <w:rFonts w:hint="default"/>
                <w:b w:val="0"/>
                <w:bCs w:val="0"/>
                <w:u w:val="none"/>
              </w:rPr>
            </w:pPr>
            <w:r>
              <w:rPr>
                <w:rFonts w:hint="default"/>
                <w:b w:val="0"/>
                <w:bCs w:val="0"/>
                <w:u w:val="none"/>
              </w:rPr>
              <w:t>A</w:t>
            </w:r>
            <w:r>
              <w:rPr>
                <w:rFonts w:hint="default"/>
                <w:b w:val="0"/>
                <w:bCs w:val="0"/>
                <w:u w:val="none"/>
                <w:vertAlign w:val="subscript"/>
              </w:rPr>
              <w:t>bar</w:t>
            </w:r>
            <w:r>
              <w:rPr>
                <w:rFonts w:hint="default"/>
                <w:b w:val="0"/>
                <w:bCs w:val="0"/>
                <w:u w:val="none"/>
              </w:rPr>
              <w:t>——障碍物屏蔽引起的衰减，dB；</w:t>
            </w:r>
            <w:r>
              <w:rPr>
                <w:rFonts w:hint="default"/>
                <w:b w:val="0"/>
                <w:bCs w:val="0"/>
                <w:u w:val="none"/>
                <w:lang w:val="en-US" w:eastAsia="zh-CN"/>
              </w:rPr>
              <w:t>在环境影响评价中，可将各种形式的屏障简化为具有一定高度的薄屏障。本项目区四周设围墙，仅考虑顶端绕射衰减。衰减模式如下，其中N</w:t>
            </w:r>
            <w:r>
              <w:rPr>
                <w:rFonts w:hint="default"/>
                <w:b w:val="0"/>
                <w:bCs w:val="0"/>
                <w:u w:val="none"/>
                <w:vertAlign w:val="subscript"/>
                <w:lang w:val="en-US" w:eastAsia="zh-CN"/>
              </w:rPr>
              <w:t>1</w:t>
            </w:r>
            <w:r>
              <w:rPr>
                <w:rFonts w:hint="default"/>
                <w:b w:val="0"/>
                <w:bCs w:val="0"/>
                <w:u w:val="none"/>
                <w:lang w:val="en-US" w:eastAsia="zh-CN"/>
              </w:rPr>
              <w:t>为顶端绕射的声程差δ</w:t>
            </w:r>
            <w:r>
              <w:rPr>
                <w:rFonts w:hint="default"/>
                <w:b w:val="0"/>
                <w:bCs w:val="0"/>
                <w:u w:val="none"/>
                <w:vertAlign w:val="subscript"/>
                <w:lang w:val="en-US" w:eastAsia="zh-CN"/>
              </w:rPr>
              <w:t>1</w:t>
            </w:r>
            <w:r>
              <w:rPr>
                <w:rFonts w:hint="default"/>
                <w:b w:val="0"/>
                <w:bCs w:val="0"/>
                <w:u w:val="none"/>
                <w:lang w:val="en-US" w:eastAsia="zh-CN"/>
              </w:rPr>
              <w:t>相应的菲涅尔数。</w:t>
            </w:r>
          </w:p>
          <w:p>
            <w:pPr>
              <w:pStyle w:val="71"/>
              <w:keepNext w:val="0"/>
              <w:keepLines w:val="0"/>
              <w:pageBreakBefore w:val="0"/>
              <w:widowControl/>
              <w:kinsoku/>
              <w:wordWrap/>
              <w:overflowPunct/>
              <w:topLinePunct w:val="0"/>
              <w:autoSpaceDE/>
              <w:autoSpaceDN/>
              <w:bidi w:val="0"/>
              <w:adjustRightInd/>
              <w:snapToGrid/>
              <w:spacing w:line="240" w:lineRule="auto"/>
              <w:ind w:firstLine="480" w:firstLineChars="200"/>
              <w:jc w:val="center"/>
              <w:textAlignment w:val="auto"/>
              <w:rPr>
                <w:rFonts w:hint="default"/>
                <w:b w:val="0"/>
                <w:bCs w:val="0"/>
                <w:u w:val="none"/>
              </w:rPr>
            </w:pPr>
            <w:r>
              <w:rPr>
                <w:rFonts w:hint="default"/>
                <w:b w:val="0"/>
                <w:bCs w:val="0"/>
                <w:u w:val="none"/>
                <w:lang w:eastAsia="zh-CN"/>
              </w:rPr>
              <w:object>
                <v:shape id="_x0000_i1027" o:spt="75" type="#_x0000_t75" style="height:38pt;width:116pt;" o:ole="t" filled="f" o:preferrelative="t" stroked="f" coordsize="21600,21600">
                  <v:path/>
                  <v:fill on="f" focussize="0,0"/>
                  <v:stroke on="f"/>
                  <v:imagedata r:id="rId17" o:title=""/>
                  <o:lock v:ext="edit" aspectratio="t"/>
                  <w10:wrap type="none"/>
                  <w10:anchorlock/>
                </v:shape>
                <o:OLEObject Type="Embed" ProgID="Equation.KSEE3" ShapeID="_x0000_i1027" DrawAspect="Content" ObjectID="_1468075727" r:id="rId16">
                  <o:LockedField>false</o:LockedField>
                </o:OLEObject>
              </w:object>
            </w:r>
          </w:p>
          <w:p>
            <w:pPr>
              <w:pStyle w:val="71"/>
              <w:spacing w:line="520" w:lineRule="exact"/>
              <w:ind w:firstLine="480"/>
              <w:rPr>
                <w:rFonts w:hint="default"/>
                <w:b w:val="0"/>
                <w:bCs w:val="0"/>
                <w:u w:val="none"/>
                <w:lang w:val="en-US" w:eastAsia="zh-CN"/>
              </w:rPr>
            </w:pPr>
            <w:r>
              <w:rPr>
                <w:rFonts w:hint="default"/>
                <w:b w:val="0"/>
                <w:bCs w:val="0"/>
                <w:u w:val="none"/>
                <w:lang w:val="en-US" w:eastAsia="zh-CN"/>
              </w:rPr>
              <w:t>B、室内声源等效室外声源声功率级计算方法</w:t>
            </w:r>
          </w:p>
          <w:p>
            <w:pPr>
              <w:pStyle w:val="71"/>
              <w:keepNext w:val="0"/>
              <w:keepLines w:val="0"/>
              <w:pageBreakBefore w:val="0"/>
              <w:widowControl/>
              <w:kinsoku/>
              <w:wordWrap/>
              <w:overflowPunct/>
              <w:topLinePunct w:val="0"/>
              <w:autoSpaceDE/>
              <w:autoSpaceDN/>
              <w:bidi w:val="0"/>
              <w:adjustRightInd/>
              <w:snapToGrid/>
              <w:spacing w:before="157" w:beforeLines="50" w:line="240" w:lineRule="auto"/>
              <w:ind w:left="0" w:leftChars="0" w:firstLine="0" w:firstLineChars="0"/>
              <w:jc w:val="center"/>
              <w:textAlignment w:val="auto"/>
              <w:rPr>
                <w:rFonts w:hint="default"/>
                <w:b w:val="0"/>
                <w:bCs w:val="0"/>
                <w:u w:val="none"/>
                <w:lang w:eastAsia="zh-CN"/>
              </w:rPr>
            </w:pPr>
            <w:r>
              <w:rPr>
                <w:rFonts w:hint="default"/>
                <w:b w:val="0"/>
                <w:bCs w:val="0"/>
                <w:u w:val="none"/>
                <w:lang w:eastAsia="zh-CN"/>
              </w:rPr>
              <w:object>
                <v:shape id="_x0000_i1028" o:spt="75" type="#_x0000_t75" style="height:34pt;width:139.95pt;" o:ole="t" filled="f" o:preferrelative="t" stroked="f" coordsize="21600,21600">
                  <v:path/>
                  <v:fill on="f" focussize="0,0"/>
                  <v:stroke on="f"/>
                  <v:imagedata r:id="rId19" o:title=""/>
                  <o:lock v:ext="edit" aspectratio="t"/>
                  <w10:wrap type="none"/>
                  <w10:anchorlock/>
                </v:shape>
                <o:OLEObject Type="Embed" ProgID="Equation.KSEE3" ShapeID="_x0000_i1028" DrawAspect="Content" ObjectID="_1468075728" r:id="rId18">
                  <o:LockedField>false</o:LockedField>
                </o:OLEObject>
              </w:object>
            </w:r>
          </w:p>
          <w:p>
            <w:pPr>
              <w:pStyle w:val="71"/>
              <w:keepNext w:val="0"/>
              <w:keepLines w:val="0"/>
              <w:pageBreakBefore w:val="0"/>
              <w:widowControl/>
              <w:kinsoku/>
              <w:wordWrap/>
              <w:overflowPunct/>
              <w:topLinePunct w:val="0"/>
              <w:autoSpaceDE/>
              <w:autoSpaceDN/>
              <w:bidi w:val="0"/>
              <w:adjustRightInd/>
              <w:snapToGrid/>
              <w:spacing w:before="157" w:beforeLines="50" w:line="240" w:lineRule="auto"/>
              <w:ind w:left="0" w:leftChars="0" w:firstLine="0" w:firstLineChars="0"/>
              <w:jc w:val="center"/>
              <w:textAlignment w:val="auto"/>
              <w:rPr>
                <w:rFonts w:hint="default"/>
                <w:b w:val="0"/>
                <w:bCs w:val="0"/>
                <w:u w:val="none"/>
                <w:lang w:val="en-US" w:eastAsia="zh-CN"/>
              </w:rPr>
            </w:pPr>
            <w:r>
              <w:rPr>
                <w:rFonts w:hint="default"/>
                <w:b w:val="0"/>
                <w:bCs w:val="0"/>
                <w:u w:val="none"/>
                <w:lang w:eastAsia="zh-CN"/>
              </w:rPr>
              <w:object>
                <v:shape id="_x0000_i1029" o:spt="75" type="#_x0000_t75" style="height:38pt;width:130pt;" o:ole="t" filled="f" o:preferrelative="t" stroked="f" coordsize="21600,21600">
                  <v:path/>
                  <v:fill on="f" focussize="0,0"/>
                  <v:stroke on="f"/>
                  <v:imagedata r:id="rId21" o:title=""/>
                  <o:lock v:ext="edit" aspectratio="t"/>
                  <w10:wrap type="none"/>
                  <w10:anchorlock/>
                </v:shape>
                <o:OLEObject Type="Embed" ProgID="Equation.KSEE3" ShapeID="_x0000_i1029" DrawAspect="Content" ObjectID="_1468075729" r:id="rId20">
                  <o:LockedField>false</o:LockedField>
                </o:OLEObject>
              </w:object>
            </w:r>
          </w:p>
          <w:p>
            <w:pPr>
              <w:pStyle w:val="71"/>
              <w:keepNext w:val="0"/>
              <w:keepLines w:val="0"/>
              <w:pageBreakBefore w:val="0"/>
              <w:widowControl/>
              <w:kinsoku/>
              <w:wordWrap/>
              <w:overflowPunct/>
              <w:topLinePunct w:val="0"/>
              <w:autoSpaceDE/>
              <w:autoSpaceDN/>
              <w:bidi w:val="0"/>
              <w:adjustRightInd/>
              <w:snapToGrid/>
              <w:spacing w:before="157" w:beforeLines="50" w:line="240" w:lineRule="auto"/>
              <w:ind w:left="0" w:leftChars="0" w:firstLine="0" w:firstLineChars="0"/>
              <w:jc w:val="center"/>
              <w:textAlignment w:val="auto"/>
              <w:rPr>
                <w:rFonts w:hint="default"/>
                <w:b w:val="0"/>
                <w:bCs w:val="0"/>
                <w:u w:val="none"/>
                <w:lang w:eastAsia="zh-CN"/>
              </w:rPr>
            </w:pPr>
            <w:r>
              <w:rPr>
                <w:rFonts w:hint="default"/>
                <w:b w:val="0"/>
                <w:bCs w:val="0"/>
                <w:u w:val="none"/>
                <w:lang w:eastAsia="zh-CN"/>
              </w:rPr>
              <w:object>
                <v:shape id="_x0000_i1030" o:spt="75" type="#_x0000_t75" style="height:18pt;width:134pt;" o:ole="t" filled="f" o:preferrelative="t" stroked="f" coordsize="21600,21600">
                  <v:path/>
                  <v:fill on="f" focussize="0,0"/>
                  <v:stroke on="f"/>
                  <v:imagedata r:id="rId23" o:title=""/>
                  <o:lock v:ext="edit" aspectratio="t"/>
                  <w10:wrap type="none"/>
                  <w10:anchorlock/>
                </v:shape>
                <o:OLEObject Type="Embed" ProgID="Equation.KSEE3" ShapeID="_x0000_i1030" DrawAspect="Content" ObjectID="_1468075730" r:id="rId22">
                  <o:LockedField>false</o:LockedField>
                </o:OLEObject>
              </w:object>
            </w:r>
          </w:p>
          <w:p>
            <w:pPr>
              <w:pStyle w:val="71"/>
              <w:keepNext w:val="0"/>
              <w:keepLines w:val="0"/>
              <w:pageBreakBefore w:val="0"/>
              <w:widowControl/>
              <w:kinsoku/>
              <w:wordWrap/>
              <w:overflowPunct/>
              <w:topLinePunct w:val="0"/>
              <w:autoSpaceDE/>
              <w:autoSpaceDN/>
              <w:bidi w:val="0"/>
              <w:adjustRightInd/>
              <w:snapToGrid/>
              <w:spacing w:before="157" w:beforeLines="50" w:line="240" w:lineRule="auto"/>
              <w:ind w:left="0" w:leftChars="0" w:firstLine="0" w:firstLineChars="0"/>
              <w:jc w:val="center"/>
              <w:textAlignment w:val="auto"/>
              <w:rPr>
                <w:rFonts w:hint="default"/>
                <w:b w:val="0"/>
                <w:bCs w:val="0"/>
                <w:u w:val="none"/>
                <w:lang w:val="en-US" w:eastAsia="zh-CN"/>
              </w:rPr>
            </w:pPr>
            <w:r>
              <w:rPr>
                <w:rFonts w:hint="default"/>
                <w:b w:val="0"/>
                <w:bCs w:val="0"/>
                <w:u w:val="none"/>
                <w:lang w:eastAsia="zh-CN"/>
              </w:rPr>
              <w:object>
                <v:shape id="_x0000_i1031" o:spt="75" type="#_x0000_t75" style="height:18pt;width:105pt;" o:ole="t" filled="f" o:preferrelative="t" stroked="f" coordsize="21600,21600">
                  <v:path/>
                  <v:fill on="f" focussize="0,0"/>
                  <v:stroke on="f"/>
                  <v:imagedata r:id="rId25" o:title=""/>
                  <o:lock v:ext="edit" aspectratio="t"/>
                  <w10:wrap type="none"/>
                  <w10:anchorlock/>
                </v:shape>
                <o:OLEObject Type="Embed" ProgID="Equation.KSEE3" ShapeID="_x0000_i1031" DrawAspect="Content" ObjectID="_1468075731" r:id="rId24">
                  <o:LockedField>false</o:LockedField>
                </o:OLEObject>
              </w:object>
            </w:r>
          </w:p>
          <w:p>
            <w:pPr>
              <w:pStyle w:val="71"/>
              <w:spacing w:line="520" w:lineRule="exact"/>
              <w:ind w:left="0" w:leftChars="0" w:firstLine="0" w:firstLineChars="0"/>
              <w:rPr>
                <w:rFonts w:hint="default"/>
                <w:b w:val="0"/>
                <w:bCs w:val="0"/>
                <w:u w:val="none"/>
                <w:lang w:val="en-US" w:eastAsia="zh-CN"/>
              </w:rPr>
            </w:pPr>
            <w:r>
              <w:rPr>
                <w:rFonts w:hint="default"/>
                <w:b w:val="0"/>
                <w:bCs w:val="0"/>
                <w:u w:val="none"/>
                <w:lang w:val="en-US" w:eastAsia="zh-CN"/>
              </w:rPr>
              <w:t>式中：L</w:t>
            </w:r>
            <w:r>
              <w:rPr>
                <w:rFonts w:hint="default"/>
                <w:b w:val="0"/>
                <w:bCs w:val="0"/>
                <w:u w:val="none"/>
                <w:vertAlign w:val="subscript"/>
                <w:lang w:val="en-US" w:eastAsia="zh-CN"/>
              </w:rPr>
              <w:t>w1</w:t>
            </w:r>
            <w:r>
              <w:rPr>
                <w:rFonts w:hint="default"/>
                <w:b w:val="0"/>
                <w:bCs w:val="0"/>
                <w:u w:val="none"/>
                <w:lang w:val="en-US" w:eastAsia="zh-CN"/>
              </w:rPr>
              <w:t xml:space="preserve"> ——点声源声功率级（A计权或倍频带），dB；</w:t>
            </w:r>
          </w:p>
          <w:p>
            <w:pPr>
              <w:pStyle w:val="71"/>
              <w:spacing w:line="520" w:lineRule="exact"/>
              <w:ind w:left="0" w:leftChars="0" w:firstLine="720" w:firstLineChars="300"/>
              <w:rPr>
                <w:rFonts w:hint="default"/>
                <w:b w:val="0"/>
                <w:bCs w:val="0"/>
                <w:u w:val="none"/>
                <w:lang w:val="en-US" w:eastAsia="zh-CN"/>
              </w:rPr>
            </w:pPr>
            <w:r>
              <w:rPr>
                <w:rFonts w:hint="default"/>
                <w:b w:val="0"/>
                <w:bCs w:val="0"/>
                <w:u w:val="none"/>
                <w:lang w:val="en-US" w:eastAsia="zh-CN"/>
              </w:rPr>
              <w:t>Q——指向性因数；通常对无指向性声源，当声源放在房间中心时，Q=1；当放在一面墙的中心时，Q=2；当放在两面墙夹角处时，Q=4；当放在三面墙夹角处时，Q=8；</w:t>
            </w:r>
          </w:p>
          <w:p>
            <w:pPr>
              <w:pStyle w:val="71"/>
              <w:spacing w:line="520" w:lineRule="exact"/>
              <w:ind w:left="0" w:leftChars="0" w:firstLine="720" w:firstLineChars="300"/>
              <w:rPr>
                <w:rFonts w:hint="default"/>
                <w:b w:val="0"/>
                <w:bCs w:val="0"/>
                <w:u w:val="none"/>
                <w:lang w:val="en-US" w:eastAsia="zh-CN"/>
              </w:rPr>
            </w:pPr>
            <w:r>
              <w:rPr>
                <w:rFonts w:hint="default"/>
                <w:b w:val="0"/>
                <w:bCs w:val="0"/>
                <w:u w:val="none"/>
                <w:lang w:val="en-US" w:eastAsia="zh-CN"/>
              </w:rPr>
              <w:t>R——房间常数；R=S</w:t>
            </w:r>
            <w:r>
              <w:rPr>
                <w:rFonts w:hint="default" w:ascii="Times New Roman" w:hAnsi="Times New Roman" w:cs="Times New Roman"/>
                <w:b w:val="0"/>
                <w:bCs w:val="0"/>
                <w:u w:val="none"/>
                <w:lang w:val="en-US" w:eastAsia="zh-CN"/>
              </w:rPr>
              <w:t>α</w:t>
            </w:r>
            <w:r>
              <w:rPr>
                <w:rFonts w:hint="default"/>
                <w:b w:val="0"/>
                <w:bCs w:val="0"/>
                <w:u w:val="none"/>
                <w:lang w:val="en-US" w:eastAsia="zh-CN"/>
              </w:rPr>
              <w:t>/（1-</w:t>
            </w:r>
            <w:r>
              <w:rPr>
                <w:rFonts w:hint="default" w:ascii="Times New Roman" w:hAnsi="Times New Roman" w:cs="Times New Roman"/>
                <w:b w:val="0"/>
                <w:bCs w:val="0"/>
                <w:u w:val="none"/>
                <w:lang w:val="en-US" w:eastAsia="zh-CN"/>
              </w:rPr>
              <w:t>α</w:t>
            </w:r>
            <w:r>
              <w:rPr>
                <w:rFonts w:hint="default"/>
                <w:b w:val="0"/>
                <w:bCs w:val="0"/>
                <w:u w:val="none"/>
                <w:lang w:val="en-US" w:eastAsia="zh-CN"/>
              </w:rPr>
              <w:t>），S为房间内表面面积，m</w:t>
            </w:r>
            <w:r>
              <w:rPr>
                <w:rFonts w:hint="default"/>
                <w:b w:val="0"/>
                <w:bCs w:val="0"/>
                <w:u w:val="none"/>
                <w:vertAlign w:val="superscript"/>
                <w:lang w:val="en-US" w:eastAsia="zh-CN"/>
              </w:rPr>
              <w:t>2</w:t>
            </w:r>
            <w:r>
              <w:rPr>
                <w:rFonts w:hint="default"/>
                <w:b w:val="0"/>
                <w:bCs w:val="0"/>
                <w:u w:val="none"/>
                <w:lang w:val="en-US" w:eastAsia="zh-CN"/>
              </w:rPr>
              <w:t>；</w:t>
            </w:r>
            <w:r>
              <w:rPr>
                <w:rFonts w:hint="default" w:ascii="Times New Roman" w:hAnsi="Times New Roman" w:cs="Times New Roman"/>
                <w:b w:val="0"/>
                <w:bCs w:val="0"/>
                <w:u w:val="none"/>
                <w:lang w:val="en-US" w:eastAsia="zh-CN"/>
              </w:rPr>
              <w:t>α</w:t>
            </w:r>
            <w:r>
              <w:rPr>
                <w:rFonts w:hint="default"/>
                <w:b w:val="0"/>
                <w:bCs w:val="0"/>
                <w:u w:val="none"/>
                <w:lang w:val="en-US" w:eastAsia="zh-CN"/>
              </w:rPr>
              <w:t>为平均吸声系数；</w:t>
            </w:r>
          </w:p>
          <w:p>
            <w:pPr>
              <w:pStyle w:val="71"/>
              <w:spacing w:line="520" w:lineRule="exact"/>
              <w:ind w:left="0" w:leftChars="0" w:firstLine="720" w:firstLineChars="300"/>
              <w:rPr>
                <w:rFonts w:hint="default"/>
                <w:b w:val="0"/>
                <w:bCs w:val="0"/>
                <w:u w:val="none"/>
                <w:lang w:val="en-US" w:eastAsia="zh-CN"/>
              </w:rPr>
            </w:pPr>
            <w:r>
              <w:rPr>
                <w:rFonts w:hint="default"/>
                <w:b w:val="0"/>
                <w:bCs w:val="0"/>
                <w:u w:val="none"/>
                <w:lang w:val="en-US" w:eastAsia="zh-CN"/>
              </w:rPr>
              <w:t xml:space="preserve">r——声源到靠近围护结构某点处的距离，m。 </w:t>
            </w:r>
          </w:p>
          <w:p>
            <w:pPr>
              <w:pStyle w:val="71"/>
              <w:spacing w:line="520" w:lineRule="exact"/>
              <w:ind w:left="0" w:leftChars="0" w:firstLine="720" w:firstLineChars="300"/>
              <w:rPr>
                <w:rFonts w:hint="default"/>
                <w:b w:val="0"/>
                <w:bCs w:val="0"/>
                <w:u w:val="none"/>
                <w:lang w:val="en-US" w:eastAsia="zh-CN"/>
              </w:rPr>
            </w:pPr>
            <w:r>
              <w:rPr>
                <w:rFonts w:hint="default"/>
                <w:b w:val="0"/>
                <w:bCs w:val="0"/>
                <w:u w:val="none"/>
                <w:lang w:val="en-US" w:eastAsia="zh-CN"/>
              </w:rPr>
              <w:t>L</w:t>
            </w:r>
            <w:r>
              <w:rPr>
                <w:rFonts w:hint="default"/>
                <w:b w:val="0"/>
                <w:bCs w:val="0"/>
                <w:u w:val="none"/>
                <w:vertAlign w:val="subscript"/>
                <w:lang w:val="en-US" w:eastAsia="zh-CN"/>
              </w:rPr>
              <w:t>A1i</w:t>
            </w:r>
            <w:r>
              <w:rPr>
                <w:rFonts w:hint="default"/>
                <w:b w:val="0"/>
                <w:bCs w:val="0"/>
                <w:u w:val="none"/>
                <w:lang w:val="en-US" w:eastAsia="zh-CN"/>
              </w:rPr>
              <w:t>（T）——靠近围护结构处室内N个声源i倍频带的叠加声压级，dB；</w:t>
            </w:r>
          </w:p>
          <w:p>
            <w:pPr>
              <w:pStyle w:val="71"/>
              <w:spacing w:line="520" w:lineRule="exact"/>
              <w:ind w:left="0" w:leftChars="0" w:firstLine="720" w:firstLineChars="300"/>
              <w:rPr>
                <w:rFonts w:hint="default"/>
                <w:b w:val="0"/>
                <w:bCs w:val="0"/>
                <w:u w:val="none"/>
                <w:lang w:val="en-US" w:eastAsia="zh-CN"/>
              </w:rPr>
            </w:pPr>
            <w:r>
              <w:rPr>
                <w:rFonts w:hint="default"/>
                <w:b w:val="0"/>
                <w:bCs w:val="0"/>
                <w:u w:val="none"/>
                <w:lang w:val="en-US" w:eastAsia="zh-CN"/>
              </w:rPr>
              <w:t>L</w:t>
            </w:r>
            <w:r>
              <w:rPr>
                <w:rFonts w:hint="default"/>
                <w:b w:val="0"/>
                <w:bCs w:val="0"/>
                <w:u w:val="none"/>
                <w:vertAlign w:val="subscript"/>
                <w:lang w:val="en-US" w:eastAsia="zh-CN"/>
              </w:rPr>
              <w:t>A1ij</w:t>
            </w:r>
            <w:r>
              <w:rPr>
                <w:rFonts w:hint="default"/>
                <w:b w:val="0"/>
                <w:bCs w:val="0"/>
                <w:u w:val="none"/>
                <w:lang w:val="en-US" w:eastAsia="zh-CN"/>
              </w:rPr>
              <w:t>——室内j声源i倍频带的声压级，dB；</w:t>
            </w:r>
          </w:p>
          <w:p>
            <w:pPr>
              <w:pStyle w:val="71"/>
              <w:spacing w:line="520" w:lineRule="exact"/>
              <w:ind w:left="0" w:leftChars="0" w:firstLine="720" w:firstLineChars="300"/>
              <w:rPr>
                <w:rFonts w:hint="default"/>
                <w:b w:val="0"/>
                <w:bCs w:val="0"/>
                <w:u w:val="none"/>
                <w:lang w:val="en-US" w:eastAsia="zh-CN"/>
              </w:rPr>
            </w:pPr>
            <w:r>
              <w:rPr>
                <w:rFonts w:hint="default"/>
                <w:b w:val="0"/>
                <w:bCs w:val="0"/>
                <w:u w:val="none"/>
                <w:lang w:val="en-US" w:eastAsia="zh-CN"/>
              </w:rPr>
              <w:t xml:space="preserve">N——室内声源总数。 </w:t>
            </w:r>
          </w:p>
          <w:p>
            <w:pPr>
              <w:pStyle w:val="71"/>
              <w:spacing w:line="520" w:lineRule="exact"/>
              <w:ind w:left="0" w:leftChars="0" w:firstLine="720" w:firstLineChars="300"/>
              <w:rPr>
                <w:rFonts w:hint="default"/>
                <w:b w:val="0"/>
                <w:bCs w:val="0"/>
                <w:u w:val="none"/>
                <w:lang w:val="en-US" w:eastAsia="zh-CN"/>
              </w:rPr>
            </w:pPr>
            <w:r>
              <w:rPr>
                <w:rFonts w:hint="default"/>
                <w:b w:val="0"/>
                <w:bCs w:val="0"/>
                <w:u w:val="none"/>
                <w:lang w:val="en-US" w:eastAsia="zh-CN"/>
              </w:rPr>
              <w:t>L</w:t>
            </w:r>
            <w:r>
              <w:rPr>
                <w:rFonts w:hint="default"/>
                <w:b w:val="0"/>
                <w:bCs w:val="0"/>
                <w:u w:val="none"/>
                <w:vertAlign w:val="subscript"/>
                <w:lang w:val="en-US" w:eastAsia="zh-CN"/>
              </w:rPr>
              <w:t>A2i</w:t>
            </w:r>
            <w:r>
              <w:rPr>
                <w:rFonts w:hint="default"/>
                <w:b w:val="0"/>
                <w:bCs w:val="0"/>
                <w:u w:val="none"/>
                <w:lang w:val="en-US" w:eastAsia="zh-CN"/>
              </w:rPr>
              <w:t>（T）——靠近围护结构处室外N个声源i倍频带的叠加声压级，dB；</w:t>
            </w:r>
          </w:p>
          <w:p>
            <w:pPr>
              <w:pStyle w:val="71"/>
              <w:spacing w:line="520" w:lineRule="exact"/>
              <w:ind w:left="0" w:leftChars="0" w:firstLine="720" w:firstLineChars="300"/>
              <w:rPr>
                <w:rFonts w:hint="default"/>
                <w:b w:val="0"/>
                <w:bCs w:val="0"/>
                <w:u w:val="none"/>
                <w:lang w:val="en-US" w:eastAsia="zh-CN"/>
              </w:rPr>
            </w:pPr>
            <w:r>
              <w:rPr>
                <w:rFonts w:hint="default"/>
                <w:b w:val="0"/>
                <w:bCs w:val="0"/>
                <w:u w:val="none"/>
                <w:lang w:val="en-US" w:eastAsia="zh-CN"/>
              </w:rPr>
              <w:t>TL——围护结构i倍频带的隔声量，dB。</w:t>
            </w:r>
          </w:p>
          <w:p>
            <w:pPr>
              <w:pStyle w:val="71"/>
              <w:spacing w:line="520" w:lineRule="exact"/>
              <w:ind w:left="0" w:leftChars="0" w:firstLine="720" w:firstLineChars="300"/>
              <w:rPr>
                <w:rFonts w:hint="default"/>
                <w:b w:val="0"/>
                <w:bCs w:val="0"/>
                <w:u w:val="none"/>
                <w:lang w:val="en-US" w:eastAsia="zh-CN"/>
              </w:rPr>
            </w:pPr>
            <w:r>
              <w:rPr>
                <w:rFonts w:hint="default"/>
                <w:b w:val="0"/>
                <w:bCs w:val="0"/>
                <w:u w:val="none"/>
                <w:lang w:val="en-US" w:eastAsia="zh-CN"/>
              </w:rPr>
              <w:t>L</w:t>
            </w:r>
            <w:r>
              <w:rPr>
                <w:rFonts w:hint="default"/>
                <w:b w:val="0"/>
                <w:bCs w:val="0"/>
                <w:u w:val="none"/>
                <w:vertAlign w:val="subscript"/>
                <w:lang w:val="en-US" w:eastAsia="zh-CN"/>
              </w:rPr>
              <w:t>w2</w:t>
            </w:r>
            <w:r>
              <w:rPr>
                <w:rFonts w:hint="default"/>
                <w:b w:val="0"/>
                <w:bCs w:val="0"/>
                <w:u w:val="none"/>
                <w:lang w:val="en-US" w:eastAsia="zh-CN"/>
              </w:rPr>
              <w:t>——中心位置位于透声面积（S）处的等效声源的倍频带声功率级，dB；</w:t>
            </w:r>
          </w:p>
          <w:p>
            <w:pPr>
              <w:pStyle w:val="71"/>
              <w:spacing w:line="520" w:lineRule="exact"/>
              <w:ind w:left="0" w:leftChars="0" w:firstLine="720" w:firstLineChars="300"/>
              <w:rPr>
                <w:rFonts w:hint="default"/>
                <w:b w:val="0"/>
                <w:bCs w:val="0"/>
                <w:u w:val="none"/>
                <w:lang w:val="en-US" w:eastAsia="zh-CN"/>
              </w:rPr>
            </w:pPr>
            <w:r>
              <w:rPr>
                <w:rFonts w:hint="default"/>
                <w:b w:val="0"/>
                <w:bCs w:val="0"/>
                <w:u w:val="none"/>
                <w:lang w:val="en-US" w:eastAsia="zh-CN"/>
              </w:rPr>
              <w:t>L</w:t>
            </w:r>
            <w:r>
              <w:rPr>
                <w:rFonts w:hint="default"/>
                <w:b w:val="0"/>
                <w:bCs w:val="0"/>
                <w:u w:val="none"/>
                <w:vertAlign w:val="subscript"/>
                <w:lang w:val="en-US" w:eastAsia="zh-CN"/>
              </w:rPr>
              <w:t>A2</w:t>
            </w:r>
            <w:r>
              <w:rPr>
                <w:rFonts w:hint="default"/>
                <w:b w:val="0"/>
                <w:bCs w:val="0"/>
                <w:u w:val="none"/>
                <w:vertAlign w:val="baseline"/>
                <w:lang w:val="en-US" w:eastAsia="zh-CN"/>
              </w:rPr>
              <w:t>(T)</w:t>
            </w:r>
            <w:r>
              <w:rPr>
                <w:rFonts w:hint="default"/>
                <w:b w:val="0"/>
                <w:bCs w:val="0"/>
                <w:u w:val="none"/>
                <w:lang w:val="en-US" w:eastAsia="zh-CN"/>
              </w:rPr>
              <w:t xml:space="preserve">——靠近围护结构处室外声源的声压级，dB； </w:t>
            </w:r>
          </w:p>
          <w:p>
            <w:pPr>
              <w:pStyle w:val="71"/>
              <w:spacing w:line="520" w:lineRule="exact"/>
              <w:ind w:left="0" w:leftChars="0" w:firstLine="720" w:firstLineChars="300"/>
              <w:rPr>
                <w:rFonts w:hint="default"/>
                <w:b w:val="0"/>
                <w:bCs w:val="0"/>
                <w:u w:val="none"/>
                <w:lang w:val="en-US" w:eastAsia="zh-CN"/>
              </w:rPr>
            </w:pPr>
            <w:r>
              <w:rPr>
                <w:rFonts w:hint="default"/>
                <w:b w:val="0"/>
                <w:bCs w:val="0"/>
                <w:u w:val="none"/>
                <w:lang w:val="en-US" w:eastAsia="zh-CN"/>
              </w:rPr>
              <w:t>S——透声面积，m</w:t>
            </w:r>
            <w:r>
              <w:rPr>
                <w:rFonts w:hint="default"/>
                <w:b w:val="0"/>
                <w:bCs w:val="0"/>
                <w:u w:val="none"/>
                <w:vertAlign w:val="superscript"/>
                <w:lang w:val="en-US" w:eastAsia="zh-CN"/>
              </w:rPr>
              <w:t>2</w:t>
            </w:r>
            <w:r>
              <w:rPr>
                <w:rFonts w:hint="default"/>
                <w:b w:val="0"/>
                <w:bCs w:val="0"/>
                <w:u w:val="none"/>
                <w:lang w:val="en-US" w:eastAsia="zh-CN"/>
              </w:rPr>
              <w:t>。</w:t>
            </w:r>
          </w:p>
          <w:p>
            <w:pPr>
              <w:pStyle w:val="71"/>
              <w:spacing w:line="520" w:lineRule="exact"/>
              <w:ind w:firstLine="480"/>
              <w:rPr>
                <w:rFonts w:hint="default"/>
                <w:b w:val="0"/>
                <w:bCs w:val="0"/>
                <w:u w:val="none"/>
                <w:lang w:val="en-US" w:eastAsia="zh-CN"/>
              </w:rPr>
            </w:pPr>
            <w:r>
              <w:rPr>
                <w:rFonts w:hint="default"/>
                <w:b w:val="0"/>
                <w:bCs w:val="0"/>
                <w:u w:val="none"/>
                <w:lang w:val="en-US" w:eastAsia="zh-CN"/>
              </w:rPr>
              <w:t>C</w:t>
            </w:r>
            <w:r>
              <w:rPr>
                <w:rFonts w:hint="default"/>
                <w:b w:val="0"/>
                <w:bCs w:val="0"/>
                <w:u w:val="none"/>
              </w:rPr>
              <w:t>、</w:t>
            </w:r>
            <w:r>
              <w:rPr>
                <w:rFonts w:hint="default"/>
                <w:b w:val="0"/>
                <w:bCs w:val="0"/>
                <w:u w:val="none"/>
                <w:lang w:val="en-US" w:eastAsia="zh-CN"/>
              </w:rPr>
              <w:t>工业企业噪声计算</w:t>
            </w:r>
          </w:p>
          <w:p>
            <w:pPr>
              <w:pStyle w:val="71"/>
              <w:spacing w:line="520" w:lineRule="exact"/>
              <w:ind w:firstLine="480"/>
              <w:rPr>
                <w:rFonts w:hint="default"/>
                <w:b w:val="0"/>
                <w:bCs w:val="0"/>
                <w:u w:val="none"/>
                <w:lang w:val="en-US" w:eastAsia="zh-CN"/>
              </w:rPr>
            </w:pPr>
            <w:r>
              <w:rPr>
                <w:rFonts w:hint="default"/>
                <w:b w:val="0"/>
                <w:bCs w:val="0"/>
                <w:u w:val="none"/>
                <w:lang w:val="en-US" w:eastAsia="zh-CN"/>
              </w:rPr>
              <w:t>设第i个室外声源在预测点产生的A声级为L</w:t>
            </w:r>
            <w:r>
              <w:rPr>
                <w:rFonts w:hint="default"/>
                <w:b w:val="0"/>
                <w:bCs w:val="0"/>
                <w:u w:val="none"/>
                <w:vertAlign w:val="subscript"/>
                <w:lang w:val="en-US" w:eastAsia="zh-CN"/>
              </w:rPr>
              <w:t>Ai</w:t>
            </w:r>
            <w:r>
              <w:rPr>
                <w:rFonts w:hint="default"/>
                <w:b w:val="0"/>
                <w:bCs w:val="0"/>
                <w:u w:val="none"/>
                <w:lang w:val="en-US" w:eastAsia="zh-CN"/>
              </w:rPr>
              <w:t>，在T时间内该声源工作时间为t</w:t>
            </w:r>
            <w:r>
              <w:rPr>
                <w:rFonts w:hint="default"/>
                <w:b w:val="0"/>
                <w:bCs w:val="0"/>
                <w:u w:val="none"/>
                <w:vertAlign w:val="subscript"/>
                <w:lang w:val="en-US" w:eastAsia="zh-CN"/>
              </w:rPr>
              <w:t>i</w:t>
            </w:r>
            <w:r>
              <w:rPr>
                <w:rFonts w:hint="default"/>
                <w:b w:val="0"/>
                <w:bCs w:val="0"/>
                <w:u w:val="none"/>
                <w:lang w:val="en-US" w:eastAsia="zh-CN"/>
              </w:rPr>
              <w:t>；第j个等效室外声源在预测点产生的A声级为L</w:t>
            </w:r>
            <w:r>
              <w:rPr>
                <w:rFonts w:hint="default"/>
                <w:b w:val="0"/>
                <w:bCs w:val="0"/>
                <w:u w:val="none"/>
                <w:vertAlign w:val="subscript"/>
                <w:lang w:val="en-US" w:eastAsia="zh-CN"/>
              </w:rPr>
              <w:t>Aj</w:t>
            </w:r>
            <w:r>
              <w:rPr>
                <w:rFonts w:hint="default"/>
                <w:b w:val="0"/>
                <w:bCs w:val="0"/>
                <w:u w:val="none"/>
                <w:lang w:val="en-US" w:eastAsia="zh-CN"/>
              </w:rPr>
              <w:t>，在T时间内该声源工作时间为t</w:t>
            </w:r>
            <w:r>
              <w:rPr>
                <w:rFonts w:hint="default"/>
                <w:b w:val="0"/>
                <w:bCs w:val="0"/>
                <w:u w:val="none"/>
                <w:vertAlign w:val="subscript"/>
                <w:lang w:val="en-US" w:eastAsia="zh-CN"/>
              </w:rPr>
              <w:t>j</w:t>
            </w:r>
            <w:r>
              <w:rPr>
                <w:rFonts w:hint="default"/>
                <w:b w:val="0"/>
                <w:bCs w:val="0"/>
                <w:u w:val="none"/>
                <w:lang w:val="en-US" w:eastAsia="zh-CN"/>
              </w:rPr>
              <w:t>，则拟建工程声源对预测点产生的贡献值（L</w:t>
            </w:r>
            <w:r>
              <w:rPr>
                <w:rFonts w:hint="default"/>
                <w:b w:val="0"/>
                <w:bCs w:val="0"/>
                <w:u w:val="none"/>
                <w:vertAlign w:val="subscript"/>
                <w:lang w:val="en-US" w:eastAsia="zh-CN"/>
              </w:rPr>
              <w:t>eqg</w:t>
            </w:r>
            <w:r>
              <w:rPr>
                <w:rFonts w:hint="default"/>
                <w:b w:val="0"/>
                <w:bCs w:val="0"/>
                <w:u w:val="none"/>
                <w:lang w:val="en-US" w:eastAsia="zh-CN"/>
              </w:rPr>
              <w:t>）为：</w:t>
            </w:r>
          </w:p>
          <w:p>
            <w:pPr>
              <w:pStyle w:val="71"/>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b w:val="0"/>
                <w:bCs w:val="0"/>
                <w:u w:val="none"/>
                <w:lang w:eastAsia="zh-CN"/>
              </w:rPr>
            </w:pPr>
            <w:r>
              <w:rPr>
                <w:rFonts w:hint="default"/>
                <w:b w:val="0"/>
                <w:bCs w:val="0"/>
                <w:u w:val="none"/>
                <w:lang w:eastAsia="zh-CN"/>
              </w:rPr>
              <w:object>
                <v:shape id="_x0000_i1032" o:spt="75" type="#_x0000_t75" style="height:40pt;width:204.95pt;" o:ole="t" filled="f" o:preferrelative="t" stroked="f" coordsize="21600,21600">
                  <v:path/>
                  <v:fill on="f" focussize="0,0"/>
                  <v:stroke on="f"/>
                  <v:imagedata r:id="rId27" o:title=""/>
                  <o:lock v:ext="edit" aspectratio="t"/>
                  <w10:wrap type="none"/>
                  <w10:anchorlock/>
                </v:shape>
                <o:OLEObject Type="Embed" ProgID="Equation.KSEE3" ShapeID="_x0000_i1032" DrawAspect="Content" ObjectID="_1468075732" r:id="rId26">
                  <o:LockedField>false</o:LockedField>
                </o:OLEObject>
              </w:object>
            </w:r>
          </w:p>
          <w:p>
            <w:pPr>
              <w:pStyle w:val="71"/>
              <w:keepNext w:val="0"/>
              <w:keepLines w:val="0"/>
              <w:pageBreakBefore w:val="0"/>
              <w:kinsoku/>
              <w:wordWrap/>
              <w:overflowPunct/>
              <w:topLinePunct w:val="0"/>
              <w:autoSpaceDE/>
              <w:autoSpaceDN/>
              <w:bidi w:val="0"/>
              <w:adjustRightInd w:val="0"/>
              <w:snapToGrid w:val="0"/>
              <w:spacing w:line="520" w:lineRule="exact"/>
              <w:ind w:left="0" w:leftChars="0" w:firstLine="0" w:firstLineChars="0"/>
              <w:textAlignment w:val="top"/>
              <w:rPr>
                <w:rFonts w:hint="default"/>
                <w:b w:val="0"/>
                <w:bCs w:val="0"/>
                <w:u w:val="none"/>
              </w:rPr>
            </w:pPr>
            <w:r>
              <w:rPr>
                <w:rFonts w:hint="default"/>
                <w:b w:val="0"/>
                <w:bCs w:val="0"/>
                <w:u w:val="none"/>
              </w:rPr>
              <w:t>式中：L</w:t>
            </w:r>
            <w:r>
              <w:rPr>
                <w:rFonts w:hint="default"/>
                <w:b w:val="0"/>
                <w:bCs w:val="0"/>
                <w:u w:val="none"/>
                <w:vertAlign w:val="subscript"/>
                <w:lang w:val="en-US" w:eastAsia="zh-CN"/>
              </w:rPr>
              <w:t>eqg</w:t>
            </w:r>
            <w:r>
              <w:rPr>
                <w:rFonts w:hint="default"/>
                <w:b w:val="0"/>
                <w:bCs w:val="0"/>
                <w:u w:val="none"/>
              </w:rPr>
              <w:t>——建设项目声源在预测点产生的噪声贡献值，dB；</w:t>
            </w:r>
          </w:p>
          <w:p>
            <w:pPr>
              <w:pStyle w:val="71"/>
              <w:keepNext w:val="0"/>
              <w:keepLines w:val="0"/>
              <w:pageBreakBefore w:val="0"/>
              <w:kinsoku/>
              <w:wordWrap/>
              <w:overflowPunct/>
              <w:topLinePunct w:val="0"/>
              <w:autoSpaceDE/>
              <w:autoSpaceDN/>
              <w:bidi w:val="0"/>
              <w:adjustRightInd w:val="0"/>
              <w:snapToGrid w:val="0"/>
              <w:spacing w:line="520" w:lineRule="exact"/>
              <w:ind w:firstLine="720" w:firstLineChars="300"/>
              <w:textAlignment w:val="top"/>
              <w:rPr>
                <w:rFonts w:hint="default"/>
                <w:b w:val="0"/>
                <w:bCs w:val="0"/>
                <w:u w:val="none"/>
              </w:rPr>
            </w:pPr>
            <w:r>
              <w:rPr>
                <w:rFonts w:hint="default"/>
                <w:b w:val="0"/>
                <w:bCs w:val="0"/>
                <w:u w:val="none"/>
                <w:lang w:val="en-US" w:eastAsia="zh-CN"/>
              </w:rPr>
              <w:t>T</w:t>
            </w:r>
            <w:r>
              <w:rPr>
                <w:rFonts w:hint="default"/>
                <w:b w:val="0"/>
                <w:bCs w:val="0"/>
                <w:u w:val="none"/>
              </w:rPr>
              <w:t>——用于计算等效声级的时间，s；</w:t>
            </w:r>
          </w:p>
          <w:p>
            <w:pPr>
              <w:pStyle w:val="71"/>
              <w:keepNext w:val="0"/>
              <w:keepLines w:val="0"/>
              <w:pageBreakBefore w:val="0"/>
              <w:kinsoku/>
              <w:wordWrap/>
              <w:overflowPunct/>
              <w:topLinePunct w:val="0"/>
              <w:autoSpaceDE/>
              <w:autoSpaceDN/>
              <w:bidi w:val="0"/>
              <w:adjustRightInd w:val="0"/>
              <w:snapToGrid w:val="0"/>
              <w:spacing w:line="520" w:lineRule="exact"/>
              <w:ind w:firstLine="720" w:firstLineChars="300"/>
              <w:textAlignment w:val="top"/>
              <w:rPr>
                <w:rFonts w:hint="default"/>
                <w:b w:val="0"/>
                <w:bCs w:val="0"/>
                <w:u w:val="none"/>
                <w:lang w:val="en-US" w:eastAsia="zh-CN"/>
              </w:rPr>
            </w:pPr>
            <w:r>
              <w:rPr>
                <w:rFonts w:hint="default"/>
                <w:b w:val="0"/>
                <w:bCs w:val="0"/>
                <w:u w:val="none"/>
                <w:lang w:val="en-US" w:eastAsia="zh-CN"/>
              </w:rPr>
              <w:t>N——室外声源个数；</w:t>
            </w:r>
          </w:p>
          <w:p>
            <w:pPr>
              <w:pStyle w:val="71"/>
              <w:keepNext w:val="0"/>
              <w:keepLines w:val="0"/>
              <w:pageBreakBefore w:val="0"/>
              <w:kinsoku/>
              <w:wordWrap/>
              <w:overflowPunct/>
              <w:topLinePunct w:val="0"/>
              <w:autoSpaceDE/>
              <w:autoSpaceDN/>
              <w:bidi w:val="0"/>
              <w:adjustRightInd w:val="0"/>
              <w:snapToGrid w:val="0"/>
              <w:spacing w:line="520" w:lineRule="exact"/>
              <w:ind w:firstLine="720" w:firstLineChars="300"/>
              <w:textAlignment w:val="top"/>
              <w:rPr>
                <w:rFonts w:hint="default"/>
                <w:b w:val="0"/>
                <w:bCs w:val="0"/>
                <w:u w:val="none"/>
                <w:lang w:val="en-US" w:eastAsia="zh-CN"/>
              </w:rPr>
            </w:pPr>
            <w:r>
              <w:rPr>
                <w:rFonts w:hint="default"/>
                <w:b w:val="0"/>
                <w:bCs w:val="0"/>
                <w:u w:val="none"/>
                <w:lang w:val="en-US" w:eastAsia="zh-CN"/>
              </w:rPr>
              <w:t>t</w:t>
            </w:r>
            <w:r>
              <w:rPr>
                <w:rFonts w:hint="default"/>
                <w:b w:val="0"/>
                <w:bCs w:val="0"/>
                <w:u w:val="none"/>
                <w:vertAlign w:val="subscript"/>
                <w:lang w:val="en-US" w:eastAsia="zh-CN"/>
              </w:rPr>
              <w:t>i</w:t>
            </w:r>
            <w:r>
              <w:rPr>
                <w:rFonts w:hint="default"/>
                <w:b w:val="0"/>
                <w:bCs w:val="0"/>
                <w:u w:val="none"/>
                <w:lang w:val="en-US" w:eastAsia="zh-CN"/>
              </w:rPr>
              <w:t>——在T时间内i声源工作时间，s；</w:t>
            </w:r>
          </w:p>
          <w:p>
            <w:pPr>
              <w:pStyle w:val="71"/>
              <w:keepNext w:val="0"/>
              <w:keepLines w:val="0"/>
              <w:pageBreakBefore w:val="0"/>
              <w:kinsoku/>
              <w:wordWrap/>
              <w:overflowPunct/>
              <w:topLinePunct w:val="0"/>
              <w:autoSpaceDE/>
              <w:autoSpaceDN/>
              <w:bidi w:val="0"/>
              <w:adjustRightInd w:val="0"/>
              <w:snapToGrid w:val="0"/>
              <w:spacing w:line="520" w:lineRule="exact"/>
              <w:ind w:firstLine="720" w:firstLineChars="300"/>
              <w:textAlignment w:val="top"/>
              <w:rPr>
                <w:rFonts w:hint="default"/>
                <w:b w:val="0"/>
                <w:bCs w:val="0"/>
                <w:u w:val="none"/>
                <w:lang w:val="en-US" w:eastAsia="zh-CN"/>
              </w:rPr>
            </w:pPr>
            <w:r>
              <w:rPr>
                <w:rFonts w:hint="default"/>
                <w:b w:val="0"/>
                <w:bCs w:val="0"/>
                <w:u w:val="none"/>
                <w:lang w:val="en-US" w:eastAsia="zh-CN"/>
              </w:rPr>
              <w:t>M——等效室外声源个数；</w:t>
            </w:r>
          </w:p>
          <w:p>
            <w:pPr>
              <w:pStyle w:val="71"/>
              <w:keepNext w:val="0"/>
              <w:keepLines w:val="0"/>
              <w:pageBreakBefore w:val="0"/>
              <w:kinsoku/>
              <w:wordWrap/>
              <w:overflowPunct/>
              <w:topLinePunct w:val="0"/>
              <w:autoSpaceDE/>
              <w:autoSpaceDN/>
              <w:bidi w:val="0"/>
              <w:adjustRightInd w:val="0"/>
              <w:snapToGrid w:val="0"/>
              <w:spacing w:line="520" w:lineRule="exact"/>
              <w:ind w:firstLine="720" w:firstLineChars="300"/>
              <w:textAlignment w:val="top"/>
              <w:rPr>
                <w:rFonts w:hint="default"/>
                <w:b w:val="0"/>
                <w:bCs w:val="0"/>
                <w:u w:val="none"/>
                <w:lang w:val="en-US" w:eastAsia="zh-CN"/>
              </w:rPr>
            </w:pPr>
            <w:r>
              <w:rPr>
                <w:rFonts w:hint="default"/>
                <w:b w:val="0"/>
                <w:bCs w:val="0"/>
                <w:u w:val="none"/>
                <w:lang w:val="en-US" w:eastAsia="zh-CN"/>
              </w:rPr>
              <w:t>t</w:t>
            </w:r>
            <w:r>
              <w:rPr>
                <w:rFonts w:hint="default"/>
                <w:b w:val="0"/>
                <w:bCs w:val="0"/>
                <w:u w:val="none"/>
                <w:vertAlign w:val="subscript"/>
                <w:lang w:val="en-US" w:eastAsia="zh-CN"/>
              </w:rPr>
              <w:t>j</w:t>
            </w:r>
            <w:r>
              <w:rPr>
                <w:rFonts w:hint="default"/>
                <w:b w:val="0"/>
                <w:bCs w:val="0"/>
                <w:u w:val="none"/>
                <w:lang w:val="en-US" w:eastAsia="zh-CN"/>
              </w:rPr>
              <w:t>——在T时间内j声源工作时间，s。</w:t>
            </w:r>
          </w:p>
          <w:p>
            <w:pPr>
              <w:keepNext w:val="0"/>
              <w:keepLines w:val="0"/>
              <w:pageBreakBefore w:val="0"/>
              <w:kinsoku/>
              <w:wordWrap/>
              <w:overflowPunct/>
              <w:topLinePunct w:val="0"/>
              <w:autoSpaceDE/>
              <w:autoSpaceDN/>
              <w:bidi w:val="0"/>
              <w:adjustRightInd w:val="0"/>
              <w:snapToGrid w:val="0"/>
              <w:ind w:firstLine="482"/>
              <w:textAlignment w:val="top"/>
              <w:rPr>
                <w:rFonts w:hint="default"/>
                <w:b w:val="0"/>
                <w:bCs w:val="0"/>
                <w:u w:val="none"/>
              </w:rPr>
            </w:pPr>
            <w:r>
              <w:rPr>
                <w:rFonts w:hint="eastAsia"/>
                <w:b w:val="0"/>
                <w:bCs w:val="0"/>
                <w:u w:val="none"/>
                <w:lang w:val="en-US" w:eastAsia="zh-CN"/>
              </w:rPr>
              <w:t>升压站厂界噪声</w:t>
            </w:r>
            <w:r>
              <w:rPr>
                <w:rFonts w:hint="default"/>
                <w:b w:val="0"/>
                <w:bCs w:val="0"/>
                <w:u w:val="none"/>
              </w:rPr>
              <w:t>预测结果见</w:t>
            </w:r>
            <w:r>
              <w:rPr>
                <w:rFonts w:hint="eastAsia"/>
                <w:b w:val="0"/>
                <w:bCs w:val="0"/>
                <w:u w:val="none"/>
                <w:lang w:val="en-US" w:eastAsia="zh-CN"/>
              </w:rPr>
              <w:t>下</w:t>
            </w:r>
            <w:r>
              <w:rPr>
                <w:rFonts w:hint="default"/>
                <w:b w:val="0"/>
                <w:bCs w:val="0"/>
                <w:u w:val="none"/>
              </w:rPr>
              <w:t>表</w:t>
            </w:r>
            <w:r>
              <w:rPr>
                <w:rFonts w:hint="eastAsia"/>
                <w:b w:val="0"/>
                <w:bCs w:val="0"/>
                <w:u w:val="none"/>
                <w:lang w:val="en-US" w:eastAsia="zh-CN"/>
              </w:rPr>
              <w:t>及附</w:t>
            </w:r>
            <w:r>
              <w:rPr>
                <w:rFonts w:hint="default"/>
                <w:b w:val="0"/>
                <w:bCs w:val="0"/>
                <w:u w:val="none"/>
              </w:rPr>
              <w:t>图</w:t>
            </w:r>
            <w:r>
              <w:rPr>
                <w:rFonts w:hint="eastAsia"/>
                <w:b w:val="0"/>
                <w:bCs w:val="0"/>
                <w:u w:val="none"/>
                <w:lang w:val="en-US" w:eastAsia="zh-CN"/>
              </w:rPr>
              <w:t>5</w:t>
            </w:r>
            <w:r>
              <w:rPr>
                <w:rFonts w:hint="default"/>
                <w:b w:val="0"/>
                <w:bCs w:val="0"/>
                <w:u w:val="none"/>
              </w:rPr>
              <w:t>。</w:t>
            </w:r>
          </w:p>
          <w:p>
            <w:pPr>
              <w:pStyle w:val="3"/>
              <w:keepNext w:val="0"/>
              <w:keepLines w:val="0"/>
              <w:pageBreakBefore w:val="0"/>
              <w:widowControl w:val="0"/>
              <w:kinsoku/>
              <w:wordWrap/>
              <w:overflowPunct/>
              <w:topLinePunct w:val="0"/>
              <w:autoSpaceDE/>
              <w:autoSpaceDN/>
              <w:bidi w:val="0"/>
              <w:adjustRightInd/>
              <w:snapToGrid/>
              <w:spacing w:after="0"/>
              <w:textAlignment w:val="top"/>
              <w:rPr>
                <w:rFonts w:hint="default"/>
                <w:b w:val="0"/>
                <w:bCs w:val="0"/>
                <w:u w:val="none"/>
              </w:rPr>
            </w:pPr>
          </w:p>
          <w:p>
            <w:pPr>
              <w:pStyle w:val="4"/>
              <w:keepNext w:val="0"/>
              <w:keepLines w:val="0"/>
              <w:pageBreakBefore w:val="0"/>
              <w:widowControl w:val="0"/>
              <w:kinsoku/>
              <w:wordWrap/>
              <w:overflowPunct/>
              <w:topLinePunct w:val="0"/>
              <w:autoSpaceDE/>
              <w:autoSpaceDN/>
              <w:bidi w:val="0"/>
              <w:adjustRightInd/>
              <w:snapToGrid/>
              <w:spacing w:before="0" w:line="240" w:lineRule="auto"/>
              <w:ind w:left="119"/>
              <w:textAlignment w:val="top"/>
              <w:rPr>
                <w:rFonts w:hint="default"/>
              </w:rPr>
            </w:pPr>
          </w:p>
          <w:p>
            <w:pPr>
              <w:pStyle w:val="5"/>
              <w:keepNext w:val="0"/>
              <w:keepLines w:val="0"/>
              <w:pageBreakBefore w:val="0"/>
              <w:widowControl w:val="0"/>
              <w:kinsoku/>
              <w:wordWrap/>
              <w:overflowPunct/>
              <w:topLinePunct w:val="0"/>
              <w:autoSpaceDE/>
              <w:autoSpaceDN/>
              <w:bidi w:val="0"/>
              <w:adjustRightInd/>
              <w:snapToGrid/>
              <w:spacing w:after="0" w:line="240" w:lineRule="auto"/>
              <w:textAlignment w:val="top"/>
              <w:rPr>
                <w:rFonts w:hint="default"/>
              </w:rPr>
            </w:pPr>
          </w:p>
          <w:p>
            <w:pPr>
              <w:pStyle w:val="70"/>
              <w:ind w:firstLineChars="0"/>
              <w:textAlignment w:val="auto"/>
              <w:rPr>
                <w:rFonts w:hint="default"/>
                <w:b/>
                <w:bCs/>
                <w:u w:val="none"/>
              </w:rPr>
            </w:pPr>
            <w:r>
              <w:rPr>
                <w:rFonts w:hint="default"/>
                <w:b/>
                <w:bCs/>
                <w:u w:val="none"/>
              </w:rPr>
              <w:t xml:space="preserve">  升压站厂界噪声预测贡献值</w:t>
            </w:r>
          </w:p>
          <w:tbl>
            <w:tblPr>
              <w:tblStyle w:val="23"/>
              <w:tblW w:w="4998" w:type="pct"/>
              <w:tblInd w:w="0" w:type="dxa"/>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4638"/>
              <w:gridCol w:w="4208"/>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621" w:type="pct"/>
                  <w:tcBorders>
                    <w:tl2br w:val="nil"/>
                    <w:tr2bl w:val="nil"/>
                  </w:tcBorders>
                  <w:vAlign w:val="center"/>
                </w:tcPr>
                <w:p>
                  <w:pPr>
                    <w:spacing w:line="320" w:lineRule="exact"/>
                    <w:ind w:firstLine="0" w:firstLineChars="0"/>
                    <w:jc w:val="center"/>
                    <w:rPr>
                      <w:rFonts w:hint="default"/>
                      <w:b w:val="0"/>
                      <w:bCs w:val="0"/>
                      <w:sz w:val="21"/>
                      <w:szCs w:val="21"/>
                      <w:u w:val="none"/>
                    </w:rPr>
                  </w:pPr>
                  <w:r>
                    <w:rPr>
                      <w:rFonts w:hint="default"/>
                      <w:b w:val="0"/>
                      <w:bCs w:val="0"/>
                      <w:sz w:val="21"/>
                      <w:szCs w:val="21"/>
                      <w:u w:val="none"/>
                    </w:rPr>
                    <w:t>位置</w:t>
                  </w:r>
                </w:p>
              </w:tc>
              <w:tc>
                <w:tcPr>
                  <w:tcW w:w="2378" w:type="pct"/>
                  <w:tcBorders>
                    <w:tl2br w:val="nil"/>
                    <w:tr2bl w:val="nil"/>
                  </w:tcBorders>
                  <w:vAlign w:val="center"/>
                </w:tcPr>
                <w:p>
                  <w:pPr>
                    <w:spacing w:line="320" w:lineRule="exact"/>
                    <w:ind w:firstLine="0" w:firstLineChars="0"/>
                    <w:jc w:val="center"/>
                    <w:rPr>
                      <w:rFonts w:hint="default"/>
                      <w:b w:val="0"/>
                      <w:bCs w:val="0"/>
                      <w:sz w:val="21"/>
                      <w:szCs w:val="21"/>
                      <w:u w:val="none"/>
                    </w:rPr>
                  </w:pPr>
                  <w:r>
                    <w:rPr>
                      <w:rFonts w:hint="default"/>
                      <w:b w:val="0"/>
                      <w:bCs w:val="0"/>
                      <w:sz w:val="21"/>
                      <w:szCs w:val="21"/>
                      <w:u w:val="none"/>
                    </w:rPr>
                    <w:t>贡献值dB(A)</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621" w:type="pct"/>
                  <w:tcBorders>
                    <w:tl2br w:val="nil"/>
                    <w:tr2bl w:val="nil"/>
                  </w:tcBorders>
                  <w:vAlign w:val="center"/>
                </w:tcPr>
                <w:p>
                  <w:pPr>
                    <w:spacing w:line="320" w:lineRule="exact"/>
                    <w:ind w:firstLine="0" w:firstLineChars="0"/>
                    <w:jc w:val="center"/>
                    <w:rPr>
                      <w:rFonts w:hint="default"/>
                      <w:b w:val="0"/>
                      <w:bCs w:val="0"/>
                      <w:sz w:val="21"/>
                      <w:szCs w:val="21"/>
                      <w:u w:val="none"/>
                    </w:rPr>
                  </w:pPr>
                  <w:r>
                    <w:rPr>
                      <w:rFonts w:hint="default"/>
                      <w:b w:val="0"/>
                      <w:bCs w:val="0"/>
                      <w:sz w:val="21"/>
                      <w:szCs w:val="21"/>
                      <w:u w:val="none"/>
                    </w:rPr>
                    <w:t>升压站东厂界</w:t>
                  </w:r>
                </w:p>
              </w:tc>
              <w:tc>
                <w:tcPr>
                  <w:tcW w:w="2378" w:type="pct"/>
                  <w:tcBorders>
                    <w:tl2br w:val="nil"/>
                    <w:tr2bl w:val="nil"/>
                  </w:tcBorders>
                  <w:vAlign w:val="center"/>
                </w:tcPr>
                <w:p>
                  <w:pPr>
                    <w:spacing w:line="320" w:lineRule="exact"/>
                    <w:ind w:firstLine="0" w:firstLineChars="0"/>
                    <w:jc w:val="center"/>
                    <w:rPr>
                      <w:rFonts w:hint="default"/>
                      <w:b w:val="0"/>
                      <w:bCs w:val="0"/>
                      <w:sz w:val="21"/>
                      <w:szCs w:val="21"/>
                      <w:u w:val="none"/>
                      <w:lang w:val="en-US" w:eastAsia="zh-CN"/>
                    </w:rPr>
                  </w:pPr>
                  <w:r>
                    <w:rPr>
                      <w:rFonts w:hint="eastAsia"/>
                      <w:b w:val="0"/>
                      <w:bCs w:val="0"/>
                      <w:sz w:val="21"/>
                      <w:szCs w:val="21"/>
                      <w:u w:val="none"/>
                      <w:lang w:val="en-US" w:eastAsia="zh-CN"/>
                    </w:rPr>
                    <w:t>29</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621" w:type="pct"/>
                  <w:tcBorders>
                    <w:tl2br w:val="nil"/>
                    <w:tr2bl w:val="nil"/>
                  </w:tcBorders>
                  <w:vAlign w:val="center"/>
                </w:tcPr>
                <w:p>
                  <w:pPr>
                    <w:spacing w:line="320" w:lineRule="exact"/>
                    <w:ind w:firstLine="0" w:firstLineChars="0"/>
                    <w:jc w:val="center"/>
                    <w:rPr>
                      <w:rFonts w:hint="default"/>
                      <w:b w:val="0"/>
                      <w:bCs w:val="0"/>
                      <w:sz w:val="21"/>
                      <w:szCs w:val="21"/>
                      <w:u w:val="none"/>
                    </w:rPr>
                  </w:pPr>
                  <w:r>
                    <w:rPr>
                      <w:rFonts w:hint="default"/>
                      <w:b w:val="0"/>
                      <w:bCs w:val="0"/>
                      <w:sz w:val="21"/>
                      <w:szCs w:val="21"/>
                      <w:u w:val="none"/>
                    </w:rPr>
                    <w:t>升压站</w:t>
                  </w:r>
                  <w:r>
                    <w:rPr>
                      <w:rFonts w:hint="default"/>
                      <w:b w:val="0"/>
                      <w:bCs w:val="0"/>
                      <w:sz w:val="21"/>
                      <w:szCs w:val="21"/>
                      <w:u w:val="none"/>
                      <w:lang w:val="en-US" w:eastAsia="zh-CN"/>
                    </w:rPr>
                    <w:t>南</w:t>
                  </w:r>
                  <w:r>
                    <w:rPr>
                      <w:rFonts w:hint="default"/>
                      <w:b w:val="0"/>
                      <w:bCs w:val="0"/>
                      <w:sz w:val="21"/>
                      <w:szCs w:val="21"/>
                      <w:u w:val="none"/>
                    </w:rPr>
                    <w:t>厂界</w:t>
                  </w:r>
                </w:p>
              </w:tc>
              <w:tc>
                <w:tcPr>
                  <w:tcW w:w="2378" w:type="pct"/>
                  <w:tcBorders>
                    <w:tl2br w:val="nil"/>
                    <w:tr2bl w:val="nil"/>
                  </w:tcBorders>
                  <w:vAlign w:val="center"/>
                </w:tcPr>
                <w:p>
                  <w:pPr>
                    <w:spacing w:line="320" w:lineRule="exact"/>
                    <w:ind w:firstLine="0" w:firstLineChars="0"/>
                    <w:jc w:val="center"/>
                    <w:rPr>
                      <w:rFonts w:hint="default"/>
                      <w:b w:val="0"/>
                      <w:bCs w:val="0"/>
                      <w:sz w:val="21"/>
                      <w:szCs w:val="21"/>
                      <w:u w:val="none"/>
                      <w:lang w:val="en-US" w:eastAsia="zh-CN"/>
                    </w:rPr>
                  </w:pPr>
                  <w:r>
                    <w:rPr>
                      <w:rFonts w:hint="eastAsia"/>
                      <w:b w:val="0"/>
                      <w:bCs w:val="0"/>
                      <w:sz w:val="21"/>
                      <w:szCs w:val="21"/>
                      <w:u w:val="none"/>
                      <w:lang w:val="en-US" w:eastAsia="zh-CN"/>
                    </w:rPr>
                    <w:t>36</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621" w:type="pct"/>
                  <w:tcBorders>
                    <w:tl2br w:val="nil"/>
                    <w:tr2bl w:val="nil"/>
                  </w:tcBorders>
                  <w:vAlign w:val="center"/>
                </w:tcPr>
                <w:p>
                  <w:pPr>
                    <w:spacing w:line="320" w:lineRule="exact"/>
                    <w:ind w:firstLine="0" w:firstLineChars="0"/>
                    <w:jc w:val="center"/>
                    <w:rPr>
                      <w:rFonts w:hint="default"/>
                      <w:b w:val="0"/>
                      <w:bCs w:val="0"/>
                      <w:sz w:val="21"/>
                      <w:szCs w:val="21"/>
                      <w:u w:val="none"/>
                    </w:rPr>
                  </w:pPr>
                  <w:r>
                    <w:rPr>
                      <w:rFonts w:hint="default"/>
                      <w:b w:val="0"/>
                      <w:bCs w:val="0"/>
                      <w:sz w:val="21"/>
                      <w:szCs w:val="21"/>
                      <w:u w:val="none"/>
                    </w:rPr>
                    <w:t>升压站</w:t>
                  </w:r>
                  <w:r>
                    <w:rPr>
                      <w:rFonts w:hint="default"/>
                      <w:b w:val="0"/>
                      <w:bCs w:val="0"/>
                      <w:sz w:val="21"/>
                      <w:szCs w:val="21"/>
                      <w:u w:val="none"/>
                      <w:lang w:val="en-US" w:eastAsia="zh-CN"/>
                    </w:rPr>
                    <w:t>西</w:t>
                  </w:r>
                  <w:r>
                    <w:rPr>
                      <w:rFonts w:hint="default"/>
                      <w:b w:val="0"/>
                      <w:bCs w:val="0"/>
                      <w:sz w:val="21"/>
                      <w:szCs w:val="21"/>
                      <w:u w:val="none"/>
                    </w:rPr>
                    <w:t>厂界</w:t>
                  </w:r>
                </w:p>
              </w:tc>
              <w:tc>
                <w:tcPr>
                  <w:tcW w:w="2378" w:type="pct"/>
                  <w:tcBorders>
                    <w:tl2br w:val="nil"/>
                    <w:tr2bl w:val="nil"/>
                  </w:tcBorders>
                  <w:vAlign w:val="center"/>
                </w:tcPr>
                <w:p>
                  <w:pPr>
                    <w:spacing w:line="320" w:lineRule="exact"/>
                    <w:ind w:firstLine="0" w:firstLineChars="0"/>
                    <w:jc w:val="center"/>
                    <w:rPr>
                      <w:rFonts w:hint="default"/>
                      <w:b w:val="0"/>
                      <w:bCs w:val="0"/>
                      <w:sz w:val="21"/>
                      <w:szCs w:val="21"/>
                      <w:u w:val="none"/>
                      <w:lang w:val="en-US" w:eastAsia="zh-CN"/>
                    </w:rPr>
                  </w:pPr>
                  <w:r>
                    <w:rPr>
                      <w:rFonts w:hint="eastAsia"/>
                      <w:b w:val="0"/>
                      <w:bCs w:val="0"/>
                      <w:sz w:val="21"/>
                      <w:szCs w:val="21"/>
                      <w:u w:val="none"/>
                      <w:lang w:val="en-US" w:eastAsia="zh-CN"/>
                    </w:rPr>
                    <w:t>44</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621" w:type="pct"/>
                  <w:tcBorders>
                    <w:tl2br w:val="nil"/>
                    <w:tr2bl w:val="nil"/>
                  </w:tcBorders>
                  <w:vAlign w:val="center"/>
                </w:tcPr>
                <w:p>
                  <w:pPr>
                    <w:spacing w:line="320" w:lineRule="exact"/>
                    <w:ind w:firstLine="0" w:firstLineChars="0"/>
                    <w:jc w:val="center"/>
                    <w:rPr>
                      <w:rFonts w:hint="default"/>
                      <w:b w:val="0"/>
                      <w:bCs w:val="0"/>
                      <w:sz w:val="21"/>
                      <w:szCs w:val="21"/>
                      <w:u w:val="none"/>
                    </w:rPr>
                  </w:pPr>
                  <w:r>
                    <w:rPr>
                      <w:rFonts w:hint="default"/>
                      <w:b w:val="0"/>
                      <w:bCs w:val="0"/>
                      <w:sz w:val="21"/>
                      <w:szCs w:val="21"/>
                      <w:u w:val="none"/>
                    </w:rPr>
                    <w:t>升压站</w:t>
                  </w:r>
                  <w:r>
                    <w:rPr>
                      <w:rFonts w:hint="default"/>
                      <w:b w:val="0"/>
                      <w:bCs w:val="0"/>
                      <w:sz w:val="21"/>
                      <w:szCs w:val="21"/>
                      <w:u w:val="none"/>
                      <w:lang w:val="en-US" w:eastAsia="zh-CN"/>
                    </w:rPr>
                    <w:t>北</w:t>
                  </w:r>
                  <w:r>
                    <w:rPr>
                      <w:rFonts w:hint="default"/>
                      <w:b w:val="0"/>
                      <w:bCs w:val="0"/>
                      <w:sz w:val="21"/>
                      <w:szCs w:val="21"/>
                      <w:u w:val="none"/>
                    </w:rPr>
                    <w:t>厂界</w:t>
                  </w:r>
                </w:p>
              </w:tc>
              <w:tc>
                <w:tcPr>
                  <w:tcW w:w="2378" w:type="pct"/>
                  <w:tcBorders>
                    <w:tl2br w:val="nil"/>
                    <w:tr2bl w:val="nil"/>
                  </w:tcBorders>
                  <w:vAlign w:val="center"/>
                </w:tcPr>
                <w:p>
                  <w:pPr>
                    <w:spacing w:line="320" w:lineRule="exact"/>
                    <w:ind w:firstLine="0" w:firstLineChars="0"/>
                    <w:jc w:val="center"/>
                    <w:rPr>
                      <w:rFonts w:hint="default"/>
                      <w:b w:val="0"/>
                      <w:bCs w:val="0"/>
                      <w:sz w:val="21"/>
                      <w:szCs w:val="21"/>
                      <w:u w:val="none"/>
                      <w:lang w:val="en-US" w:eastAsia="zh-CN"/>
                    </w:rPr>
                  </w:pPr>
                  <w:r>
                    <w:rPr>
                      <w:rFonts w:hint="eastAsia"/>
                      <w:b w:val="0"/>
                      <w:bCs w:val="0"/>
                      <w:sz w:val="21"/>
                      <w:szCs w:val="21"/>
                      <w:u w:val="none"/>
                      <w:lang w:val="en-US" w:eastAsia="zh-CN"/>
                    </w:rPr>
                    <w:t>24</w:t>
                  </w:r>
                </w:p>
              </w:tc>
            </w:tr>
          </w:tbl>
          <w:p>
            <w:pPr>
              <w:keepNext w:val="0"/>
              <w:keepLines w:val="0"/>
              <w:pageBreakBefore w:val="0"/>
              <w:widowControl w:val="0"/>
              <w:kinsoku/>
              <w:wordWrap/>
              <w:overflowPunct/>
              <w:topLinePunct w:val="0"/>
              <w:autoSpaceDE/>
              <w:autoSpaceDN/>
              <w:bidi w:val="0"/>
              <w:adjustRightInd w:val="0"/>
              <w:snapToGrid w:val="0"/>
              <w:spacing w:line="520" w:lineRule="exact"/>
              <w:ind w:firstLine="0" w:firstLineChars="0"/>
              <w:jc w:val="left"/>
              <w:textAlignment w:val="top"/>
              <w:rPr>
                <w:rFonts w:hint="default"/>
                <w:b/>
                <w:bCs/>
                <w:u w:val="single"/>
                <w:lang w:eastAsia="zh-CN"/>
              </w:rPr>
            </w:pPr>
            <w:r>
              <w:rPr>
                <w:rFonts w:hint="default"/>
                <w:b w:val="0"/>
                <w:bCs w:val="0"/>
                <w:u w:val="none"/>
              </w:rPr>
              <w:t>注：</w:t>
            </w:r>
            <w:r>
              <w:rPr>
                <w:rFonts w:hint="default"/>
                <w:b w:val="0"/>
                <w:bCs w:val="0"/>
                <w:u w:val="none"/>
                <w:lang w:val="en-US" w:eastAsia="zh-CN"/>
              </w:rPr>
              <w:t>表中贡献值为预测的各厂界最大值</w:t>
            </w:r>
            <w:r>
              <w:rPr>
                <w:rFonts w:hint="default"/>
                <w:b w:val="0"/>
                <w:bCs w:val="0"/>
                <w:u w:val="none"/>
              </w:rPr>
              <w:t>。</w:t>
            </w:r>
          </w:p>
          <w:p>
            <w:pPr>
              <w:keepNext w:val="0"/>
              <w:keepLines w:val="0"/>
              <w:pageBreakBefore w:val="0"/>
              <w:widowControl w:val="0"/>
              <w:kinsoku/>
              <w:wordWrap/>
              <w:overflowPunct/>
              <w:topLinePunct w:val="0"/>
              <w:autoSpaceDE/>
              <w:autoSpaceDN/>
              <w:bidi w:val="0"/>
              <w:adjustRightInd w:val="0"/>
              <w:snapToGrid w:val="0"/>
              <w:spacing w:line="520" w:lineRule="exact"/>
              <w:ind w:firstLine="480"/>
              <w:textAlignment w:val="top"/>
              <w:rPr>
                <w:rFonts w:hint="default"/>
              </w:rPr>
            </w:pPr>
            <w:r>
              <w:rPr>
                <w:rFonts w:hint="default"/>
              </w:rPr>
              <w:t>由预测结果可知，本期升压站建成投运后，</w:t>
            </w:r>
            <w:r>
              <w:rPr>
                <w:rFonts w:hint="default"/>
                <w:lang w:val="en-US" w:eastAsia="zh-CN"/>
              </w:rPr>
              <w:t>各</w:t>
            </w:r>
            <w:r>
              <w:rPr>
                <w:rFonts w:hint="default"/>
              </w:rPr>
              <w:t>厂界噪声贡献值</w:t>
            </w:r>
            <w:r>
              <w:rPr>
                <w:rFonts w:hint="eastAsia"/>
                <w:lang w:val="en-US" w:eastAsia="zh-CN"/>
              </w:rPr>
              <w:t>26</w:t>
            </w:r>
            <w:r>
              <w:rPr>
                <w:rFonts w:hint="default"/>
              </w:rPr>
              <w:t>~</w:t>
            </w:r>
            <w:r>
              <w:rPr>
                <w:rFonts w:hint="eastAsia"/>
                <w:lang w:val="en-US" w:eastAsia="zh-CN"/>
              </w:rPr>
              <w:t>44</w:t>
            </w:r>
            <w:r>
              <w:rPr>
                <w:rFonts w:hint="default"/>
              </w:rPr>
              <w:t>dB(A)，满足《工业企业厂界环境噪声排放标准》(GB12348-2008)1类标准要求（昼间55dB(A)，夜间45dB(A)），不会对周围声环境产生较大影响。</w:t>
            </w:r>
          </w:p>
          <w:p>
            <w:pPr>
              <w:ind w:firstLine="0" w:firstLineChars="0"/>
              <w:jc w:val="left"/>
              <w:rPr>
                <w:rFonts w:hint="default"/>
                <w:b/>
                <w:bCs/>
              </w:rPr>
            </w:pPr>
            <w:r>
              <w:rPr>
                <w:rFonts w:hint="eastAsia"/>
                <w:b/>
                <w:bCs/>
                <w:lang w:val="en-US" w:eastAsia="zh-CN"/>
              </w:rPr>
              <w:t>6</w:t>
            </w:r>
            <w:r>
              <w:rPr>
                <w:rFonts w:hint="default"/>
                <w:b/>
                <w:bCs/>
              </w:rPr>
              <w:t>、运营期固体废物环境影响分析</w:t>
            </w:r>
          </w:p>
          <w:p>
            <w:pPr>
              <w:spacing w:line="520" w:lineRule="exact"/>
              <w:ind w:firstLine="480" w:firstLineChars="200"/>
              <w:rPr>
                <w:rFonts w:hint="default" w:ascii="Times New Roman" w:hAnsi="Times New Roman" w:cs="Times New Roman"/>
                <w:b w:val="0"/>
                <w:bCs w:val="0"/>
                <w:color w:val="auto"/>
                <w:sz w:val="24"/>
                <w:highlight w:val="none"/>
                <w:u w:val="none"/>
              </w:rPr>
            </w:pPr>
            <w:r>
              <w:rPr>
                <w:rFonts w:hint="default" w:ascii="Times New Roman" w:hAnsi="Times New Roman" w:cs="Times New Roman"/>
                <w:color w:val="auto"/>
                <w:sz w:val="24"/>
                <w:highlight w:val="none"/>
              </w:rPr>
              <w:t>本项目运营期产生的固废包括生活垃圾</w:t>
            </w:r>
            <w:r>
              <w:rPr>
                <w:rFonts w:hint="eastAsia" w:cs="Times New Roman"/>
                <w:color w:val="auto"/>
                <w:sz w:val="24"/>
                <w:highlight w:val="none"/>
                <w:lang w:eastAsia="zh-CN"/>
              </w:rPr>
              <w:t>、</w:t>
            </w:r>
            <w:r>
              <w:rPr>
                <w:rFonts w:hint="default" w:ascii="Times New Roman" w:hAnsi="Times New Roman" w:cs="Times New Roman"/>
                <w:color w:val="auto"/>
                <w:sz w:val="24"/>
                <w:highlight w:val="none"/>
              </w:rPr>
              <w:t>一般工业固体废物</w:t>
            </w:r>
            <w:r>
              <w:rPr>
                <w:rFonts w:hint="default" w:ascii="Times New Roman" w:hAnsi="Times New Roman" w:cs="Times New Roman"/>
                <w:b w:val="0"/>
                <w:bCs w:val="0"/>
                <w:color w:val="auto"/>
                <w:sz w:val="24"/>
                <w:highlight w:val="none"/>
                <w:u w:val="none"/>
              </w:rPr>
              <w:t>（</w:t>
            </w:r>
            <w:r>
              <w:rPr>
                <w:rFonts w:hint="eastAsia" w:cs="Times New Roman"/>
                <w:b w:val="0"/>
                <w:bCs w:val="0"/>
                <w:color w:val="auto"/>
                <w:sz w:val="24"/>
                <w:highlight w:val="none"/>
                <w:u w:val="none"/>
                <w:lang w:val="en-US" w:eastAsia="zh-CN"/>
              </w:rPr>
              <w:t>废</w:t>
            </w:r>
            <w:r>
              <w:rPr>
                <w:rFonts w:hint="eastAsia"/>
                <w:b w:val="0"/>
                <w:bCs w:val="0"/>
                <w:highlight w:val="none"/>
                <w:u w:val="none"/>
                <w:lang w:val="en-US" w:eastAsia="zh-CN"/>
              </w:rPr>
              <w:t>磷酸铁锂电池</w:t>
            </w:r>
            <w:r>
              <w:rPr>
                <w:rFonts w:hint="default" w:ascii="Times New Roman" w:hAnsi="Times New Roman" w:cs="Times New Roman"/>
                <w:b w:val="0"/>
                <w:bCs w:val="0"/>
                <w:color w:val="auto"/>
                <w:sz w:val="24"/>
                <w:highlight w:val="none"/>
                <w:u w:val="none"/>
              </w:rPr>
              <w:t>）</w:t>
            </w:r>
            <w:r>
              <w:rPr>
                <w:rFonts w:hint="default" w:ascii="Times New Roman" w:hAnsi="Times New Roman" w:cs="Times New Roman"/>
                <w:b w:val="0"/>
                <w:bCs w:val="0"/>
                <w:color w:val="0000FF"/>
                <w:sz w:val="24"/>
                <w:highlight w:val="none"/>
                <w:u w:val="none"/>
              </w:rPr>
              <w:t>、</w:t>
            </w:r>
            <w:r>
              <w:rPr>
                <w:rFonts w:hint="default" w:ascii="Times New Roman" w:hAnsi="Times New Roman" w:cs="Times New Roman"/>
                <w:b w:val="0"/>
                <w:bCs w:val="0"/>
                <w:color w:val="auto"/>
                <w:sz w:val="24"/>
                <w:highlight w:val="none"/>
                <w:u w:val="none"/>
              </w:rPr>
              <w:t>危险废物（</w:t>
            </w:r>
            <w:r>
              <w:rPr>
                <w:rFonts w:hint="default" w:ascii="Times New Roman" w:hAnsi="Times New Roman" w:eastAsia="宋体" w:cs="Times New Roman"/>
                <w:b w:val="0"/>
                <w:bCs w:val="0"/>
                <w:color w:val="auto"/>
                <w:sz w:val="24"/>
                <w:highlight w:val="none"/>
                <w:u w:val="none"/>
                <w:lang w:val="en-US" w:eastAsia="zh-CN"/>
              </w:rPr>
              <w:t>废</w:t>
            </w:r>
            <w:r>
              <w:rPr>
                <w:rFonts w:hint="eastAsia" w:eastAsia="宋体" w:cs="Times New Roman"/>
                <w:b w:val="0"/>
                <w:bCs w:val="0"/>
                <w:color w:val="auto"/>
                <w:sz w:val="24"/>
                <w:highlight w:val="none"/>
                <w:u w:val="none"/>
                <w:lang w:val="en-US" w:eastAsia="zh-CN"/>
              </w:rPr>
              <w:t>变压器油、</w:t>
            </w:r>
            <w:r>
              <w:rPr>
                <w:rFonts w:hint="default" w:ascii="Times New Roman" w:hAnsi="Times New Roman" w:eastAsia="宋体" w:cs="Times New Roman"/>
                <w:b w:val="0"/>
                <w:bCs w:val="0"/>
                <w:color w:val="auto"/>
                <w:sz w:val="24"/>
                <w:highlight w:val="none"/>
                <w:u w:val="none"/>
                <w:lang w:val="en-US" w:eastAsia="zh-CN"/>
              </w:rPr>
              <w:t>废</w:t>
            </w:r>
            <w:r>
              <w:rPr>
                <w:rFonts w:hint="default"/>
                <w:b w:val="0"/>
                <w:bCs w:val="0"/>
                <w:highlight w:val="none"/>
                <w:u w:val="none"/>
              </w:rPr>
              <w:t>铅酸</w:t>
            </w:r>
            <w:r>
              <w:rPr>
                <w:rFonts w:hint="default" w:ascii="Times New Roman" w:hAnsi="Times New Roman" w:eastAsia="宋体" w:cs="Times New Roman"/>
                <w:b w:val="0"/>
                <w:bCs w:val="0"/>
                <w:color w:val="auto"/>
                <w:sz w:val="24"/>
                <w:highlight w:val="none"/>
                <w:u w:val="none"/>
                <w:lang w:val="en-US" w:eastAsia="zh-CN"/>
              </w:rPr>
              <w:t>蓄电池</w:t>
            </w:r>
            <w:r>
              <w:rPr>
                <w:rFonts w:hint="default" w:ascii="Times New Roman" w:hAnsi="Times New Roman" w:cs="Times New Roman"/>
                <w:b w:val="0"/>
                <w:bCs w:val="0"/>
                <w:color w:val="auto"/>
                <w:sz w:val="24"/>
                <w:highlight w:val="none"/>
                <w:u w:val="none"/>
              </w:rPr>
              <w:t>等）等。</w:t>
            </w:r>
          </w:p>
          <w:p>
            <w:pPr>
              <w:keepNext w:val="0"/>
              <w:keepLines w:val="0"/>
              <w:pageBreakBefore w:val="0"/>
              <w:widowControl w:val="0"/>
              <w:kinsoku/>
              <w:wordWrap/>
              <w:overflowPunct/>
              <w:topLinePunct w:val="0"/>
              <w:autoSpaceDE/>
              <w:autoSpaceDN/>
              <w:bidi w:val="0"/>
              <w:adjustRightInd w:val="0"/>
              <w:snapToGrid w:val="0"/>
              <w:spacing w:line="520" w:lineRule="exact"/>
              <w:ind w:firstLine="480"/>
              <w:textAlignment w:val="top"/>
              <w:rPr>
                <w:rFonts w:hint="eastAsia" w:asciiTheme="minorEastAsia" w:hAnsiTheme="minorEastAsia" w:eastAsiaTheme="minorEastAsia" w:cstheme="minorEastAsia"/>
                <w:b w:val="0"/>
                <w:bCs w:val="0"/>
                <w:u w:val="none"/>
              </w:rPr>
            </w:pPr>
            <w:r>
              <w:rPr>
                <w:rFonts w:hint="eastAsia"/>
                <w:b w:val="0"/>
                <w:bCs w:val="0"/>
                <w:u w:val="none"/>
                <w:lang w:eastAsia="zh-CN"/>
              </w:rPr>
              <w:t>（</w:t>
            </w:r>
            <w:r>
              <w:rPr>
                <w:rFonts w:hint="eastAsia"/>
                <w:b w:val="0"/>
                <w:bCs w:val="0"/>
                <w:u w:val="none"/>
                <w:lang w:val="en-US" w:eastAsia="zh-CN"/>
              </w:rPr>
              <w:t>1</w:t>
            </w:r>
            <w:r>
              <w:rPr>
                <w:rFonts w:hint="eastAsia"/>
                <w:b w:val="0"/>
                <w:bCs w:val="0"/>
                <w:u w:val="none"/>
                <w:lang w:eastAsia="zh-CN"/>
              </w:rPr>
              <w:t>）</w:t>
            </w:r>
            <w:r>
              <w:rPr>
                <w:rFonts w:hint="default"/>
                <w:b w:val="0"/>
                <w:bCs w:val="0"/>
                <w:u w:val="none"/>
              </w:rPr>
              <w:t>生活垃圾</w:t>
            </w:r>
          </w:p>
          <w:p>
            <w:pPr>
              <w:keepNext w:val="0"/>
              <w:keepLines w:val="0"/>
              <w:pageBreakBefore w:val="0"/>
              <w:widowControl w:val="0"/>
              <w:kinsoku/>
              <w:wordWrap/>
              <w:overflowPunct/>
              <w:topLinePunct w:val="0"/>
              <w:autoSpaceDE/>
              <w:autoSpaceDN/>
              <w:bidi w:val="0"/>
              <w:adjustRightInd w:val="0"/>
              <w:snapToGrid w:val="0"/>
              <w:spacing w:line="520" w:lineRule="exact"/>
              <w:ind w:firstLine="480"/>
              <w:textAlignment w:val="top"/>
              <w:rPr>
                <w:rFonts w:hint="default"/>
              </w:rPr>
            </w:pPr>
            <w:r>
              <w:rPr>
                <w:rFonts w:hint="default"/>
                <w:b w:val="0"/>
                <w:bCs w:val="0"/>
                <w:u w:val="none"/>
              </w:rPr>
              <w:t>项目劳动定员15人，人均生活垃圾产生量按0.5kg/人·d计，则职工生活垃圾产生量为7.5kg/d、2.7375t/a。</w:t>
            </w:r>
            <w:r>
              <w:rPr>
                <w:rFonts w:hint="eastAsia"/>
                <w:b w:val="0"/>
                <w:bCs w:val="0"/>
                <w:highlight w:val="none"/>
                <w:u w:val="none"/>
                <w:lang w:val="en-US" w:eastAsia="zh-CN"/>
              </w:rPr>
              <w:t>生活污水处理产生的污泥量约0.09t/a。</w:t>
            </w:r>
            <w:r>
              <w:rPr>
                <w:rFonts w:hint="default"/>
                <w:b w:val="0"/>
                <w:bCs w:val="0"/>
                <w:u w:val="none"/>
              </w:rPr>
              <w:t>站内设有垃圾桶，生活垃圾分类收集，经收集后转运至当地的垃圾收集点交由环卫</w:t>
            </w:r>
            <w:r>
              <w:rPr>
                <w:rFonts w:hint="default"/>
              </w:rPr>
              <w:t>部门妥善处置。</w:t>
            </w:r>
          </w:p>
          <w:p>
            <w:pPr>
              <w:keepNext w:val="0"/>
              <w:keepLines w:val="0"/>
              <w:pageBreakBefore w:val="0"/>
              <w:widowControl w:val="0"/>
              <w:kinsoku/>
              <w:wordWrap/>
              <w:overflowPunct/>
              <w:topLinePunct w:val="0"/>
              <w:autoSpaceDE/>
              <w:autoSpaceDN/>
              <w:bidi w:val="0"/>
              <w:adjustRightInd w:val="0"/>
              <w:snapToGrid w:val="0"/>
              <w:spacing w:line="520" w:lineRule="exact"/>
              <w:ind w:firstLine="480"/>
              <w:textAlignment w:val="top"/>
              <w:rPr>
                <w:rFonts w:hint="default" w:ascii="Times New Roman" w:hAnsi="Times New Roman" w:cs="Times New Roman"/>
                <w:color w:val="auto"/>
                <w:sz w:val="24"/>
                <w:highlight w:val="none"/>
              </w:rPr>
            </w:pPr>
            <w:r>
              <w:rPr>
                <w:rFonts w:hint="eastAsia" w:ascii="宋体" w:hAnsi="宋体" w:eastAsia="宋体" w:cs="宋体"/>
                <w:lang w:eastAsia="zh-CN"/>
              </w:rPr>
              <w:t>（</w:t>
            </w:r>
            <w:r>
              <w:rPr>
                <w:rFonts w:hint="eastAsia" w:ascii="宋体" w:hAnsi="宋体" w:eastAsia="宋体" w:cs="宋体"/>
                <w:lang w:val="en-US" w:eastAsia="zh-CN"/>
              </w:rPr>
              <w:t>2</w:t>
            </w:r>
            <w:r>
              <w:rPr>
                <w:rFonts w:hint="eastAsia" w:ascii="宋体" w:hAnsi="宋体" w:eastAsia="宋体" w:cs="宋体"/>
                <w:lang w:eastAsia="zh-CN"/>
              </w:rPr>
              <w:t>）</w:t>
            </w:r>
            <w:r>
              <w:rPr>
                <w:rFonts w:hint="default" w:ascii="Times New Roman" w:hAnsi="Times New Roman" w:cs="Times New Roman"/>
                <w:color w:val="auto"/>
                <w:sz w:val="24"/>
                <w:highlight w:val="none"/>
              </w:rPr>
              <w:t>一般工业固体废物</w:t>
            </w:r>
          </w:p>
          <w:p>
            <w:pPr>
              <w:keepNext w:val="0"/>
              <w:keepLines w:val="0"/>
              <w:pageBreakBefore w:val="0"/>
              <w:widowControl w:val="0"/>
              <w:kinsoku/>
              <w:wordWrap/>
              <w:overflowPunct/>
              <w:topLinePunct w:val="0"/>
              <w:autoSpaceDE/>
              <w:autoSpaceDN/>
              <w:bidi w:val="0"/>
              <w:adjustRightInd w:val="0"/>
              <w:snapToGrid w:val="0"/>
              <w:spacing w:line="520" w:lineRule="exact"/>
              <w:ind w:firstLine="480"/>
              <w:textAlignment w:val="top"/>
              <w:rPr>
                <w:rFonts w:hint="default"/>
                <w:b w:val="0"/>
                <w:bCs w:val="0"/>
                <w:highlight w:val="none"/>
                <w:u w:val="none"/>
              </w:rPr>
            </w:pPr>
            <w:r>
              <w:rPr>
                <w:rFonts w:hint="eastAsia" w:cs="Times New Roman"/>
                <w:b w:val="0"/>
                <w:bCs w:val="0"/>
                <w:color w:val="auto"/>
                <w:sz w:val="24"/>
                <w:highlight w:val="none"/>
                <w:u w:val="none"/>
                <w:lang w:val="en-US" w:eastAsia="zh-CN"/>
              </w:rPr>
              <w:t>废</w:t>
            </w:r>
            <w:r>
              <w:rPr>
                <w:rFonts w:hint="eastAsia"/>
                <w:b w:val="0"/>
                <w:bCs w:val="0"/>
                <w:highlight w:val="none"/>
                <w:u w:val="none"/>
                <w:lang w:val="en-US" w:eastAsia="zh-CN"/>
              </w:rPr>
              <w:t>磷酸铁锂电池：项目储能设施使用磷酸铁锂电池，根据相关资料，并参考国内同类工程，磷酸铁锂储能电池储能系统使用寿命约为</w:t>
            </w:r>
            <w:r>
              <w:rPr>
                <w:rFonts w:hint="default"/>
                <w:b w:val="0"/>
                <w:bCs w:val="0"/>
                <w:highlight w:val="none"/>
                <w:u w:val="none"/>
                <w:lang w:val="en-US" w:eastAsia="zh-CN"/>
              </w:rPr>
              <w:t>15</w:t>
            </w:r>
            <w:r>
              <w:rPr>
                <w:rFonts w:hint="eastAsia"/>
                <w:b w:val="0"/>
                <w:bCs w:val="0"/>
                <w:highlight w:val="none"/>
                <w:u w:val="none"/>
                <w:lang w:val="en-US" w:eastAsia="zh-CN"/>
              </w:rPr>
              <w:t>年，其使用寿命结束后，产生的废磷酸铁锂电池交由厂家回收。</w:t>
            </w:r>
          </w:p>
          <w:p>
            <w:pPr>
              <w:keepNext w:val="0"/>
              <w:keepLines w:val="0"/>
              <w:pageBreakBefore w:val="0"/>
              <w:widowControl w:val="0"/>
              <w:kinsoku/>
              <w:wordWrap/>
              <w:overflowPunct/>
              <w:topLinePunct w:val="0"/>
              <w:autoSpaceDE/>
              <w:autoSpaceDN/>
              <w:bidi w:val="0"/>
              <w:adjustRightInd w:val="0"/>
              <w:snapToGrid w:val="0"/>
              <w:spacing w:line="520" w:lineRule="exact"/>
              <w:ind w:firstLine="480"/>
              <w:textAlignment w:val="top"/>
              <w:rPr>
                <w:rFonts w:hint="default"/>
                <w:b w:val="0"/>
                <w:bCs w:val="0"/>
                <w:u w:val="none"/>
              </w:rPr>
            </w:pPr>
            <w:r>
              <w:rPr>
                <w:rFonts w:hint="eastAsia" w:ascii="宋体" w:hAnsi="宋体" w:eastAsia="宋体" w:cs="宋体"/>
                <w:b w:val="0"/>
                <w:bCs w:val="0"/>
                <w:u w:val="none"/>
                <w:lang w:eastAsia="zh-CN"/>
              </w:rPr>
              <w:t>（</w:t>
            </w:r>
            <w:r>
              <w:rPr>
                <w:rFonts w:hint="eastAsia" w:ascii="宋体" w:hAnsi="宋体" w:eastAsia="宋体" w:cs="宋体"/>
                <w:b w:val="0"/>
                <w:bCs w:val="0"/>
                <w:u w:val="none"/>
                <w:lang w:val="en-US" w:eastAsia="zh-CN"/>
              </w:rPr>
              <w:t>3</w:t>
            </w:r>
            <w:r>
              <w:rPr>
                <w:rFonts w:hint="eastAsia" w:ascii="宋体" w:hAnsi="宋体" w:eastAsia="宋体" w:cs="宋体"/>
                <w:b w:val="0"/>
                <w:bCs w:val="0"/>
                <w:u w:val="none"/>
                <w:lang w:eastAsia="zh-CN"/>
              </w:rPr>
              <w:t>）</w:t>
            </w:r>
            <w:r>
              <w:rPr>
                <w:rFonts w:hint="default" w:ascii="Times New Roman" w:hAnsi="Times New Roman" w:cs="Times New Roman"/>
                <w:b w:val="0"/>
                <w:bCs w:val="0"/>
                <w:color w:val="auto"/>
                <w:sz w:val="24"/>
                <w:highlight w:val="none"/>
                <w:u w:val="none"/>
              </w:rPr>
              <w:t>危险废物</w:t>
            </w:r>
          </w:p>
          <w:p>
            <w:pPr>
              <w:keepNext w:val="0"/>
              <w:keepLines w:val="0"/>
              <w:pageBreakBefore w:val="0"/>
              <w:widowControl w:val="0"/>
              <w:kinsoku/>
              <w:wordWrap/>
              <w:overflowPunct/>
              <w:topLinePunct w:val="0"/>
              <w:autoSpaceDE/>
              <w:autoSpaceDN/>
              <w:bidi w:val="0"/>
              <w:adjustRightInd w:val="0"/>
              <w:snapToGrid w:val="0"/>
              <w:spacing w:line="520" w:lineRule="exact"/>
              <w:ind w:firstLine="480"/>
              <w:textAlignment w:val="top"/>
              <w:rPr>
                <w:rFonts w:hint="default"/>
              </w:rPr>
            </w:pPr>
            <w:r>
              <w:rPr>
                <w:rFonts w:hint="default" w:ascii="Times New Roman" w:hAnsi="Times New Roman" w:eastAsia="宋体" w:cs="Times New Roman"/>
                <w:b w:val="0"/>
                <w:bCs w:val="0"/>
                <w:color w:val="auto"/>
                <w:sz w:val="24"/>
                <w:highlight w:val="none"/>
                <w:u w:val="none"/>
                <w:lang w:val="en-US" w:eastAsia="zh-CN"/>
              </w:rPr>
              <w:t>废</w:t>
            </w:r>
            <w:r>
              <w:rPr>
                <w:rFonts w:hint="eastAsia" w:eastAsia="宋体" w:cs="Times New Roman"/>
                <w:b w:val="0"/>
                <w:bCs w:val="0"/>
                <w:color w:val="auto"/>
                <w:sz w:val="24"/>
                <w:highlight w:val="none"/>
                <w:u w:val="none"/>
                <w:lang w:val="en-US" w:eastAsia="zh-CN"/>
              </w:rPr>
              <w:t>变压器油：</w:t>
            </w:r>
            <w:r>
              <w:rPr>
                <w:rFonts w:hint="eastAsia"/>
                <w:b w:val="0"/>
                <w:bCs w:val="0"/>
                <w:u w:val="none"/>
                <w:lang w:val="en-US" w:eastAsia="zh-CN"/>
              </w:rPr>
              <w:t>变压器油是天然石油中经过蒸馏、精炼而获得的一种</w:t>
            </w:r>
            <w:r>
              <w:rPr>
                <w:rFonts w:hint="default"/>
                <w:b w:val="0"/>
                <w:bCs w:val="0"/>
                <w:u w:val="none"/>
                <w:lang w:val="en-US" w:eastAsia="zh-CN"/>
              </w:rPr>
              <w:fldChar w:fldCharType="begin"/>
            </w:r>
            <w:r>
              <w:rPr>
                <w:rFonts w:hint="default"/>
                <w:b w:val="0"/>
                <w:bCs w:val="0"/>
                <w:u w:val="none"/>
                <w:lang w:val="en-US" w:eastAsia="zh-CN"/>
              </w:rPr>
              <w:instrText xml:space="preserve"> HYPERLINK "https://baike.baidu.com/item/%E7%9F%BF%E7%89%A9%E6%B2%B9/10097114?fromModule=lemma_inlink" \t "https://baike.baidu.com/item/%E5%8F%98%E5%8E%8B%E5%99%A8%E6%B2%B9/_blank" </w:instrText>
            </w:r>
            <w:r>
              <w:rPr>
                <w:rFonts w:hint="default"/>
                <w:b w:val="0"/>
                <w:bCs w:val="0"/>
                <w:u w:val="none"/>
                <w:lang w:val="en-US" w:eastAsia="zh-CN"/>
              </w:rPr>
              <w:fldChar w:fldCharType="separate"/>
            </w:r>
            <w:r>
              <w:rPr>
                <w:rFonts w:hint="default"/>
                <w:b w:val="0"/>
                <w:bCs w:val="0"/>
                <w:u w:val="none"/>
                <w:lang w:val="en-US" w:eastAsia="zh-CN"/>
              </w:rPr>
              <w:t>矿物油</w:t>
            </w:r>
            <w:r>
              <w:rPr>
                <w:rFonts w:hint="default"/>
                <w:b w:val="0"/>
                <w:bCs w:val="0"/>
                <w:u w:val="none"/>
                <w:lang w:val="en-US" w:eastAsia="zh-CN"/>
              </w:rPr>
              <w:fldChar w:fldCharType="end"/>
            </w:r>
            <w:r>
              <w:rPr>
                <w:rFonts w:hint="default"/>
                <w:b w:val="0"/>
                <w:bCs w:val="0"/>
                <w:u w:val="none"/>
                <w:lang w:val="en-US" w:eastAsia="zh-CN"/>
              </w:rPr>
              <w:t>，是石油中的润滑油馏份经酸碱精制处理得到</w:t>
            </w:r>
            <w:r>
              <w:rPr>
                <w:rFonts w:hint="eastAsia"/>
                <w:b w:val="0"/>
                <w:bCs w:val="0"/>
                <w:u w:val="none"/>
                <w:lang w:val="en-US" w:eastAsia="zh-CN"/>
              </w:rPr>
              <w:t>的</w:t>
            </w:r>
            <w:r>
              <w:rPr>
                <w:rFonts w:hint="default"/>
                <w:b w:val="0"/>
                <w:bCs w:val="0"/>
                <w:u w:val="none"/>
                <w:lang w:val="en-US" w:eastAsia="zh-CN"/>
              </w:rPr>
              <w:t>纯净稳定、粘度小、绝缘性好、冷却性好的液体天然碳氢化合物的混合物。</w:t>
            </w:r>
            <w:r>
              <w:rPr>
                <w:rFonts w:hint="eastAsia"/>
                <w:b w:val="0"/>
                <w:bCs w:val="0"/>
                <w:u w:val="none"/>
                <w:lang w:val="en-US" w:eastAsia="zh-CN"/>
              </w:rPr>
              <w:t>根据《运行中变压器油质量》（GB/T7595-2017），投入运行前的油、运行油的闪点均大于135</w:t>
            </w:r>
            <w:r>
              <w:rPr>
                <w:rFonts w:hint="default"/>
                <w:b w:val="0"/>
                <w:bCs w:val="0"/>
                <w:u w:val="none"/>
              </w:rPr>
              <w:t>℃</w:t>
            </w:r>
            <w:r>
              <w:rPr>
                <w:rFonts w:hint="eastAsia"/>
                <w:b w:val="0"/>
                <w:bCs w:val="0"/>
                <w:u w:val="none"/>
                <w:lang w:eastAsia="zh-CN"/>
              </w:rPr>
              <w:t>。</w:t>
            </w:r>
            <w:r>
              <w:rPr>
                <w:rFonts w:hint="eastAsia"/>
                <w:b w:val="0"/>
                <w:bCs w:val="0"/>
                <w:u w:val="none"/>
                <w:lang w:val="en-US" w:eastAsia="zh-CN"/>
              </w:rPr>
              <w:t>本项目使用25#变压器油，沸点约140</w:t>
            </w:r>
            <w:r>
              <w:rPr>
                <w:rFonts w:hint="default"/>
                <w:b w:val="0"/>
                <w:bCs w:val="0"/>
                <w:u w:val="none"/>
              </w:rPr>
              <w:t>℃</w:t>
            </w:r>
            <w:r>
              <w:rPr>
                <w:rFonts w:hint="eastAsia"/>
                <w:b w:val="0"/>
                <w:bCs w:val="0"/>
                <w:u w:val="none"/>
                <w:lang w:eastAsia="zh-CN"/>
              </w:rPr>
              <w:t>，</w:t>
            </w:r>
            <w:r>
              <w:rPr>
                <w:rFonts w:hint="eastAsia"/>
                <w:b w:val="0"/>
                <w:bCs w:val="0"/>
                <w:u w:val="none"/>
                <w:lang w:val="en-US" w:eastAsia="zh-CN"/>
              </w:rPr>
              <w:t>不属于易挥发性油。</w:t>
            </w:r>
            <w:r>
              <w:rPr>
                <w:rFonts w:hint="default"/>
                <w:b w:val="0"/>
                <w:bCs w:val="0"/>
                <w:u w:val="none"/>
              </w:rPr>
              <w:t>升压站运营期主变压器在维修中或事故情况下，将产生变压器废矿物油。根据《国家</w:t>
            </w:r>
            <w:r>
              <w:rPr>
                <w:rFonts w:hint="default"/>
              </w:rPr>
              <w:t>危险废物名录（2021年版）》，废矿物油属于危险废物，废物类别为HW08，废物代码900-</w:t>
            </w:r>
            <w:r>
              <w:rPr>
                <w:rFonts w:hint="eastAsia"/>
                <w:lang w:val="en-US" w:eastAsia="zh-CN"/>
              </w:rPr>
              <w:t>220</w:t>
            </w:r>
            <w:r>
              <w:rPr>
                <w:rFonts w:hint="default"/>
              </w:rPr>
              <w:t>-08。</w:t>
            </w:r>
            <w:r>
              <w:rPr>
                <w:rFonts w:hint="eastAsia"/>
                <w:lang w:val="en-US" w:eastAsia="zh-CN"/>
              </w:rPr>
              <w:t>当主变发生事故时，事故排油经排油管道进入事故油池，经过油水分离，去除水分和杂质，大部分油回收利用，少量废油渣交由有危险废弃物处置资质的单位进行回收处置。在维修时，应对废油进行收集，经密闭铁筒</w:t>
            </w:r>
            <w:r>
              <w:rPr>
                <w:rFonts w:hint="default"/>
              </w:rPr>
              <w:t>收集后暂存于站内危废暂存间，交由有资质单位进行处置。</w:t>
            </w:r>
          </w:p>
          <w:p>
            <w:pPr>
              <w:keepNext w:val="0"/>
              <w:keepLines w:val="0"/>
              <w:pageBreakBefore w:val="0"/>
              <w:widowControl w:val="0"/>
              <w:kinsoku/>
              <w:wordWrap/>
              <w:overflowPunct/>
              <w:topLinePunct w:val="0"/>
              <w:autoSpaceDE/>
              <w:autoSpaceDN/>
              <w:bidi w:val="0"/>
              <w:adjustRightInd w:val="0"/>
              <w:snapToGrid w:val="0"/>
              <w:spacing w:line="520" w:lineRule="exact"/>
              <w:ind w:firstLine="480"/>
              <w:textAlignment w:val="top"/>
              <w:rPr>
                <w:highlight w:val="none"/>
              </w:rPr>
            </w:pPr>
            <w:r>
              <w:rPr>
                <w:rFonts w:hint="default" w:ascii="Times New Roman" w:hAnsi="Times New Roman" w:eastAsia="宋体" w:cs="Times New Roman"/>
                <w:color w:val="auto"/>
                <w:sz w:val="24"/>
                <w:highlight w:val="none"/>
                <w:lang w:val="en-US" w:eastAsia="zh-CN"/>
              </w:rPr>
              <w:t>废</w:t>
            </w:r>
            <w:r>
              <w:rPr>
                <w:rFonts w:hint="default"/>
                <w:highlight w:val="none"/>
              </w:rPr>
              <w:t>铅酸</w:t>
            </w:r>
            <w:r>
              <w:rPr>
                <w:rFonts w:hint="default" w:ascii="Times New Roman" w:hAnsi="Times New Roman" w:eastAsia="宋体" w:cs="Times New Roman"/>
                <w:color w:val="auto"/>
                <w:sz w:val="24"/>
                <w:highlight w:val="none"/>
                <w:lang w:val="en-US" w:eastAsia="zh-CN"/>
              </w:rPr>
              <w:t>蓄电池</w:t>
            </w:r>
            <w:r>
              <w:rPr>
                <w:rFonts w:hint="eastAsia" w:eastAsia="宋体" w:cs="Times New Roman"/>
                <w:color w:val="auto"/>
                <w:sz w:val="24"/>
                <w:highlight w:val="none"/>
                <w:lang w:val="en-US" w:eastAsia="zh-CN"/>
              </w:rPr>
              <w:t>：</w:t>
            </w:r>
            <w:r>
              <w:rPr>
                <w:rFonts w:hint="default"/>
                <w:highlight w:val="none"/>
              </w:rPr>
              <w:t>升压站使用铅酸免维护蓄电池作为</w:t>
            </w:r>
            <w:r>
              <w:rPr>
                <w:rFonts w:hint="eastAsia" w:ascii="宋体" w:hAnsi="宋体" w:eastAsia="宋体" w:cs="宋体"/>
                <w:color w:val="000000"/>
                <w:kern w:val="0"/>
                <w:sz w:val="24"/>
                <w:szCs w:val="24"/>
                <w:highlight w:val="none"/>
                <w:lang w:val="en-US" w:eastAsia="zh-CN" w:bidi="ar"/>
              </w:rPr>
              <w:t>供电的直流电源，设1组（</w:t>
            </w:r>
            <w:r>
              <w:rPr>
                <w:rFonts w:hint="default" w:ascii="Times New Roman" w:hAnsi="Times New Roman" w:eastAsia="宋体" w:cs="Times New Roman"/>
                <w:color w:val="000000"/>
                <w:kern w:val="0"/>
                <w:sz w:val="24"/>
                <w:szCs w:val="24"/>
                <w:highlight w:val="none"/>
                <w:lang w:val="en-US" w:eastAsia="zh-CN" w:bidi="ar"/>
              </w:rPr>
              <w:t>104</w:t>
            </w:r>
            <w:r>
              <w:rPr>
                <w:rFonts w:hint="eastAsia" w:ascii="宋体" w:hAnsi="宋体" w:eastAsia="宋体" w:cs="宋体"/>
                <w:color w:val="000000"/>
                <w:kern w:val="0"/>
                <w:sz w:val="24"/>
                <w:szCs w:val="24"/>
                <w:highlight w:val="none"/>
                <w:lang w:val="en-US" w:eastAsia="zh-CN" w:bidi="ar"/>
              </w:rPr>
              <w:t>块）铅酸蓄电池组，每节重约</w:t>
            </w:r>
            <w:r>
              <w:rPr>
                <w:rFonts w:hint="default" w:ascii="Times New Roman" w:hAnsi="Times New Roman" w:eastAsia="宋体" w:cs="Times New Roman"/>
                <w:color w:val="000000"/>
                <w:kern w:val="0"/>
                <w:sz w:val="24"/>
                <w:szCs w:val="24"/>
                <w:highlight w:val="none"/>
                <w:lang w:val="en-US" w:eastAsia="zh-CN" w:bidi="ar"/>
              </w:rPr>
              <w:t>8kg</w:t>
            </w:r>
            <w:r>
              <w:rPr>
                <w:rFonts w:hint="eastAsia" w:ascii="宋体" w:hAnsi="宋体" w:eastAsia="宋体" w:cs="宋体"/>
                <w:color w:val="000000"/>
                <w:kern w:val="0"/>
                <w:sz w:val="24"/>
                <w:szCs w:val="24"/>
                <w:highlight w:val="none"/>
                <w:lang w:val="en-US" w:eastAsia="zh-CN" w:bidi="ar"/>
              </w:rPr>
              <w:t>，使用年限约</w:t>
            </w:r>
            <w:r>
              <w:rPr>
                <w:rFonts w:hint="default" w:ascii="Times New Roman" w:hAnsi="Times New Roman" w:eastAsia="宋体" w:cs="Times New Roman"/>
                <w:color w:val="000000"/>
                <w:kern w:val="0"/>
                <w:sz w:val="24"/>
                <w:szCs w:val="24"/>
                <w:highlight w:val="none"/>
                <w:lang w:val="en-US" w:eastAsia="zh-CN" w:bidi="ar"/>
              </w:rPr>
              <w:t>8-10</w:t>
            </w:r>
            <w:r>
              <w:rPr>
                <w:rFonts w:hint="eastAsia" w:ascii="宋体" w:hAnsi="宋体" w:eastAsia="宋体" w:cs="宋体"/>
                <w:color w:val="000000"/>
                <w:kern w:val="0"/>
                <w:sz w:val="24"/>
                <w:szCs w:val="24"/>
                <w:highlight w:val="none"/>
                <w:lang w:val="en-US" w:eastAsia="zh-CN" w:bidi="ar"/>
              </w:rPr>
              <w:t>年。</w:t>
            </w:r>
            <w:r>
              <w:rPr>
                <w:rFonts w:hint="default"/>
                <w:highlight w:val="none"/>
              </w:rPr>
              <w:t>当蓄电池无法继续使用需要更换时会产生废旧蓄电池。</w:t>
            </w:r>
            <w:r>
              <w:rPr>
                <w:rFonts w:hint="eastAsia" w:ascii="宋体" w:hAnsi="宋体" w:eastAsia="宋体" w:cs="宋体"/>
                <w:color w:val="000000"/>
                <w:kern w:val="0"/>
                <w:sz w:val="24"/>
                <w:szCs w:val="24"/>
                <w:highlight w:val="none"/>
                <w:lang w:val="en-US" w:eastAsia="zh-CN" w:bidi="ar"/>
              </w:rPr>
              <w:t>根据《国家危险废物名录（</w:t>
            </w:r>
            <w:r>
              <w:rPr>
                <w:rFonts w:hint="default" w:ascii="Times New Roman" w:hAnsi="Times New Roman" w:eastAsia="宋体" w:cs="Times New Roman"/>
                <w:color w:val="000000"/>
                <w:kern w:val="0"/>
                <w:sz w:val="24"/>
                <w:szCs w:val="24"/>
                <w:highlight w:val="none"/>
                <w:lang w:val="en-US" w:eastAsia="zh-CN" w:bidi="ar"/>
              </w:rPr>
              <w:t>2021</w:t>
            </w:r>
            <w:r>
              <w:rPr>
                <w:rFonts w:hint="eastAsia" w:ascii="宋体" w:hAnsi="宋体" w:eastAsia="宋体" w:cs="宋体"/>
                <w:color w:val="000000"/>
                <w:kern w:val="0"/>
                <w:sz w:val="24"/>
                <w:szCs w:val="24"/>
                <w:highlight w:val="none"/>
                <w:lang w:val="en-US" w:eastAsia="zh-CN" w:bidi="ar"/>
              </w:rPr>
              <w:t xml:space="preserve">年版）》，废弃铅酸蓄电池属危险废物，类别代码为 </w:t>
            </w:r>
            <w:r>
              <w:rPr>
                <w:rFonts w:hint="default" w:ascii="Times New Roman" w:hAnsi="Times New Roman" w:eastAsia="宋体" w:cs="Times New Roman"/>
                <w:color w:val="000000"/>
                <w:kern w:val="0"/>
                <w:sz w:val="24"/>
                <w:szCs w:val="24"/>
                <w:highlight w:val="none"/>
                <w:lang w:val="en-US" w:eastAsia="zh-CN" w:bidi="ar"/>
              </w:rPr>
              <w:t>HW31</w:t>
            </w:r>
            <w:r>
              <w:rPr>
                <w:rFonts w:hint="eastAsia" w:ascii="宋体" w:hAnsi="宋体" w:eastAsia="宋体" w:cs="宋体"/>
                <w:color w:val="000000"/>
                <w:kern w:val="0"/>
                <w:sz w:val="24"/>
                <w:szCs w:val="24"/>
                <w:highlight w:val="none"/>
                <w:lang w:val="en-US" w:eastAsia="zh-CN" w:bidi="ar"/>
              </w:rPr>
              <w:t>，废物代码为</w:t>
            </w:r>
            <w:r>
              <w:rPr>
                <w:rFonts w:hint="default" w:ascii="Times New Roman" w:hAnsi="Times New Roman" w:eastAsia="宋体" w:cs="Times New Roman"/>
                <w:color w:val="000000"/>
                <w:kern w:val="0"/>
                <w:sz w:val="24"/>
                <w:szCs w:val="24"/>
                <w:highlight w:val="none"/>
                <w:lang w:val="en-US" w:eastAsia="zh-CN" w:bidi="ar"/>
              </w:rPr>
              <w:t>900-052-31</w:t>
            </w:r>
            <w:r>
              <w:rPr>
                <w:rFonts w:hint="eastAsia" w:ascii="宋体" w:hAnsi="宋体" w:eastAsia="宋体" w:cs="宋体"/>
                <w:color w:val="000000"/>
                <w:kern w:val="0"/>
                <w:sz w:val="24"/>
                <w:szCs w:val="24"/>
                <w:highlight w:val="none"/>
                <w:lang w:val="en-US" w:eastAsia="zh-CN" w:bidi="ar"/>
              </w:rPr>
              <w:t>。蓄电池待使用寿命结束后，统一更换，</w:t>
            </w:r>
            <w:r>
              <w:rPr>
                <w:rFonts w:hint="default"/>
                <w:highlight w:val="none"/>
              </w:rPr>
              <w:t>收集后暂存于站内危废暂存间，</w:t>
            </w:r>
            <w:r>
              <w:rPr>
                <w:rFonts w:hint="eastAsia" w:ascii="宋体" w:hAnsi="宋体" w:eastAsia="宋体" w:cs="宋体"/>
                <w:color w:val="000000"/>
                <w:kern w:val="0"/>
                <w:sz w:val="24"/>
                <w:szCs w:val="24"/>
                <w:highlight w:val="none"/>
                <w:lang w:val="en-US" w:eastAsia="zh-CN" w:bidi="ar"/>
              </w:rPr>
              <w:t>交由有资质单位处理，严禁随意丢弃。</w:t>
            </w:r>
          </w:p>
          <w:p>
            <w:pPr>
              <w:ind w:firstLine="480"/>
              <w:rPr>
                <w:rFonts w:hint="default"/>
              </w:rPr>
            </w:pPr>
            <w:r>
              <w:rPr>
                <w:rFonts w:hint="default"/>
              </w:rPr>
              <w:t>升压站内设置危险废物暂存间，并按《中华人民共和国固体废物污染环境防治法》（2020年9月1日施行）中危险废物管理要求，对</w:t>
            </w:r>
            <w:r>
              <w:rPr>
                <w:rFonts w:hint="eastAsia"/>
                <w:lang w:eastAsia="zh-CN"/>
              </w:rPr>
              <w:t>运营期</w:t>
            </w:r>
            <w:r>
              <w:rPr>
                <w:rFonts w:hint="default"/>
              </w:rPr>
              <w:t>可能产生的危险废物按照国家有关规定制定危险废物管理计划；建立危险废物管理台账，如实记录有关信息，并通过国家危险废物信息管理系统向所在地生态环境主管部门申报危险废物的种类、产生量、流向、贮存、处置等有关资料。</w:t>
            </w:r>
          </w:p>
          <w:p>
            <w:pPr>
              <w:spacing w:line="520" w:lineRule="exact"/>
              <w:ind w:firstLine="480" w:firstLineChars="200"/>
            </w:pPr>
            <w:r>
              <w:t>项目危险废物产生及处置情况见下表。</w:t>
            </w:r>
          </w:p>
          <w:p>
            <w:pPr>
              <w:pStyle w:val="70"/>
              <w:rPr>
                <w:rFonts w:hint="default"/>
              </w:rPr>
            </w:pPr>
            <w:r>
              <w:rPr>
                <w:rFonts w:hint="default"/>
              </w:rPr>
              <w:t xml:space="preserve">  项目危险废物产生及处置情况一览表</w:t>
            </w:r>
          </w:p>
          <w:tbl>
            <w:tblPr>
              <w:tblStyle w:val="22"/>
              <w:tblW w:w="4995" w:type="pct"/>
              <w:jc w:val="center"/>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autofit"/>
              <w:tblCellMar>
                <w:top w:w="0" w:type="dxa"/>
                <w:left w:w="0" w:type="dxa"/>
                <w:bottom w:w="0" w:type="dxa"/>
                <w:right w:w="0" w:type="dxa"/>
              </w:tblCellMar>
            </w:tblPr>
            <w:tblGrid>
              <w:gridCol w:w="295"/>
              <w:gridCol w:w="799"/>
              <w:gridCol w:w="757"/>
              <w:gridCol w:w="990"/>
              <w:gridCol w:w="845"/>
              <w:gridCol w:w="829"/>
              <w:gridCol w:w="507"/>
              <w:gridCol w:w="803"/>
              <w:gridCol w:w="711"/>
              <w:gridCol w:w="617"/>
              <w:gridCol w:w="741"/>
              <w:gridCol w:w="947"/>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172" w:type="pc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sz w:val="21"/>
                      <w:szCs w:val="21"/>
                    </w:rPr>
                  </w:pPr>
                  <w:r>
                    <w:rPr>
                      <w:sz w:val="21"/>
                      <w:szCs w:val="21"/>
                    </w:rPr>
                    <w:t>序号</w:t>
                  </w:r>
                </w:p>
              </w:tc>
              <w:tc>
                <w:tcPr>
                  <w:tcW w:w="457" w:type="pc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sz w:val="21"/>
                      <w:szCs w:val="21"/>
                    </w:rPr>
                  </w:pPr>
                  <w:r>
                    <w:rPr>
                      <w:sz w:val="21"/>
                      <w:szCs w:val="21"/>
                    </w:rPr>
                    <w:t>危险废物名称</w:t>
                  </w:r>
                </w:p>
              </w:tc>
              <w:tc>
                <w:tcPr>
                  <w:tcW w:w="433" w:type="pc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sz w:val="21"/>
                      <w:szCs w:val="21"/>
                    </w:rPr>
                  </w:pPr>
                  <w:r>
                    <w:rPr>
                      <w:sz w:val="21"/>
                      <w:szCs w:val="21"/>
                    </w:rPr>
                    <w:t>危险废物类别</w:t>
                  </w:r>
                </w:p>
              </w:tc>
              <w:tc>
                <w:tcPr>
                  <w:tcW w:w="505" w:type="pc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sz w:val="21"/>
                      <w:szCs w:val="21"/>
                    </w:rPr>
                  </w:pPr>
                  <w:r>
                    <w:rPr>
                      <w:sz w:val="21"/>
                      <w:szCs w:val="21"/>
                    </w:rPr>
                    <w:t>危险废物代码</w:t>
                  </w:r>
                </w:p>
              </w:tc>
              <w:tc>
                <w:tcPr>
                  <w:tcW w:w="483" w:type="pc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rFonts w:hint="eastAsia"/>
                      <w:sz w:val="21"/>
                      <w:szCs w:val="21"/>
                      <w:lang w:eastAsia="zh-CN"/>
                    </w:rPr>
                  </w:pPr>
                  <w:r>
                    <w:rPr>
                      <w:sz w:val="21"/>
                      <w:szCs w:val="21"/>
                    </w:rPr>
                    <w:t>产生量</w:t>
                  </w:r>
                  <w:r>
                    <w:rPr>
                      <w:rFonts w:hint="eastAsia"/>
                      <w:sz w:val="21"/>
                      <w:szCs w:val="21"/>
                      <w:lang w:val="en-US" w:eastAsia="zh-CN"/>
                    </w:rPr>
                    <w:t>(</w:t>
                  </w:r>
                  <w:r>
                    <w:rPr>
                      <w:sz w:val="21"/>
                      <w:szCs w:val="21"/>
                    </w:rPr>
                    <w:t>吨/年</w:t>
                  </w:r>
                  <w:r>
                    <w:rPr>
                      <w:rFonts w:hint="eastAsia"/>
                      <w:sz w:val="21"/>
                      <w:szCs w:val="21"/>
                      <w:lang w:val="en-US" w:eastAsia="zh-CN"/>
                    </w:rPr>
                    <w:t>)</w:t>
                  </w:r>
                </w:p>
              </w:tc>
              <w:tc>
                <w:tcPr>
                  <w:tcW w:w="474" w:type="pc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sz w:val="21"/>
                      <w:szCs w:val="21"/>
                    </w:rPr>
                  </w:pPr>
                  <w:r>
                    <w:rPr>
                      <w:sz w:val="21"/>
                      <w:szCs w:val="21"/>
                    </w:rPr>
                    <w:t>产生工序及装置</w:t>
                  </w:r>
                </w:p>
              </w:tc>
              <w:tc>
                <w:tcPr>
                  <w:tcW w:w="292" w:type="pc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sz w:val="21"/>
                      <w:szCs w:val="21"/>
                    </w:rPr>
                  </w:pPr>
                  <w:r>
                    <w:rPr>
                      <w:sz w:val="21"/>
                      <w:szCs w:val="21"/>
                    </w:rPr>
                    <w:t>形态</w:t>
                  </w:r>
                </w:p>
              </w:tc>
              <w:tc>
                <w:tcPr>
                  <w:tcW w:w="459" w:type="pc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sz w:val="21"/>
                      <w:szCs w:val="21"/>
                    </w:rPr>
                  </w:pPr>
                  <w:r>
                    <w:rPr>
                      <w:sz w:val="21"/>
                      <w:szCs w:val="21"/>
                    </w:rPr>
                    <w:t>主要成分</w:t>
                  </w:r>
                </w:p>
              </w:tc>
              <w:tc>
                <w:tcPr>
                  <w:tcW w:w="407" w:type="pc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sz w:val="21"/>
                      <w:szCs w:val="21"/>
                    </w:rPr>
                  </w:pPr>
                  <w:r>
                    <w:rPr>
                      <w:sz w:val="21"/>
                      <w:szCs w:val="21"/>
                    </w:rPr>
                    <w:t>有害成分</w:t>
                  </w:r>
                </w:p>
              </w:tc>
              <w:tc>
                <w:tcPr>
                  <w:tcW w:w="354" w:type="pc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sz w:val="21"/>
                      <w:szCs w:val="21"/>
                    </w:rPr>
                  </w:pPr>
                  <w:r>
                    <w:rPr>
                      <w:sz w:val="21"/>
                      <w:szCs w:val="21"/>
                    </w:rPr>
                    <w:t>产废周期</w:t>
                  </w:r>
                </w:p>
              </w:tc>
              <w:tc>
                <w:tcPr>
                  <w:tcW w:w="424" w:type="pc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sz w:val="21"/>
                      <w:szCs w:val="21"/>
                    </w:rPr>
                  </w:pPr>
                  <w:r>
                    <w:rPr>
                      <w:sz w:val="21"/>
                      <w:szCs w:val="21"/>
                    </w:rPr>
                    <w:t>危险特性</w:t>
                  </w:r>
                </w:p>
              </w:tc>
              <w:tc>
                <w:tcPr>
                  <w:tcW w:w="535" w:type="pc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sz w:val="21"/>
                      <w:szCs w:val="21"/>
                    </w:rPr>
                  </w:pPr>
                  <w:r>
                    <w:rPr>
                      <w:sz w:val="21"/>
                      <w:szCs w:val="21"/>
                    </w:rPr>
                    <w:t>污染防治措施</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172" w:type="pct"/>
                  <w:vMerge w:val="restar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sz w:val="21"/>
                      <w:szCs w:val="21"/>
                      <w:lang w:val="en-US" w:eastAsia="zh-CN"/>
                    </w:rPr>
                  </w:pPr>
                  <w:r>
                    <w:rPr>
                      <w:sz w:val="21"/>
                      <w:szCs w:val="21"/>
                    </w:rPr>
                    <w:t>1</w:t>
                  </w:r>
                </w:p>
              </w:tc>
              <w:tc>
                <w:tcPr>
                  <w:tcW w:w="457" w:type="pct"/>
                  <w:vMerge w:val="restar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sz w:val="21"/>
                      <w:szCs w:val="21"/>
                      <w:lang w:val="en-US" w:eastAsia="zh-CN"/>
                    </w:rPr>
                  </w:pPr>
                  <w:r>
                    <w:rPr>
                      <w:sz w:val="21"/>
                      <w:szCs w:val="21"/>
                    </w:rPr>
                    <w:t>废</w:t>
                  </w:r>
                  <w:r>
                    <w:rPr>
                      <w:rFonts w:hint="eastAsia"/>
                      <w:sz w:val="21"/>
                      <w:szCs w:val="21"/>
                      <w:lang w:val="en-US" w:eastAsia="zh-CN"/>
                    </w:rPr>
                    <w:t>变压器</w:t>
                  </w:r>
                  <w:r>
                    <w:rPr>
                      <w:sz w:val="21"/>
                      <w:szCs w:val="21"/>
                    </w:rPr>
                    <w:t>油</w:t>
                  </w:r>
                </w:p>
              </w:tc>
              <w:tc>
                <w:tcPr>
                  <w:tcW w:w="433" w:type="pct"/>
                  <w:vMerge w:val="restart"/>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left"/>
                    <w:rPr>
                      <w:sz w:val="21"/>
                      <w:szCs w:val="21"/>
                      <w:lang w:val="en-US" w:eastAsia="zh-CN"/>
                    </w:rPr>
                  </w:pPr>
                  <w:r>
                    <w:rPr>
                      <w:sz w:val="21"/>
                      <w:szCs w:val="21"/>
                    </w:rPr>
                    <w:t>HW08</w:t>
                  </w:r>
                </w:p>
              </w:tc>
              <w:tc>
                <w:tcPr>
                  <w:tcW w:w="505" w:type="pct"/>
                  <w:vMerge w:val="restar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sz w:val="21"/>
                      <w:szCs w:val="21"/>
                      <w:lang w:val="en-US" w:eastAsia="zh-CN"/>
                    </w:rPr>
                  </w:pPr>
                  <w:r>
                    <w:rPr>
                      <w:sz w:val="21"/>
                      <w:szCs w:val="21"/>
                    </w:rPr>
                    <w:t>900-2</w:t>
                  </w:r>
                  <w:r>
                    <w:rPr>
                      <w:rFonts w:hint="eastAsia"/>
                      <w:sz w:val="21"/>
                      <w:szCs w:val="21"/>
                      <w:lang w:val="en-US" w:eastAsia="zh-CN"/>
                    </w:rPr>
                    <w:t>20</w:t>
                  </w:r>
                  <w:r>
                    <w:rPr>
                      <w:sz w:val="21"/>
                      <w:szCs w:val="21"/>
                    </w:rPr>
                    <w:t>-08</w:t>
                  </w:r>
                </w:p>
              </w:tc>
              <w:tc>
                <w:tcPr>
                  <w:tcW w:w="483" w:type="pct"/>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center"/>
                    <w:rPr>
                      <w:rFonts w:hint="eastAsia"/>
                      <w:sz w:val="21"/>
                      <w:szCs w:val="21"/>
                      <w:lang w:val="en-US" w:eastAsia="zh-CN"/>
                    </w:rPr>
                  </w:pPr>
                  <w:r>
                    <w:rPr>
                      <w:rFonts w:hint="eastAsia"/>
                      <w:sz w:val="21"/>
                      <w:szCs w:val="21"/>
                      <w:lang w:val="en-US" w:eastAsia="zh-CN"/>
                    </w:rPr>
                    <w:t>/</w:t>
                  </w:r>
                </w:p>
              </w:tc>
              <w:tc>
                <w:tcPr>
                  <w:tcW w:w="474" w:type="pct"/>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center"/>
                    <w:rPr>
                      <w:rFonts w:hint="default"/>
                      <w:sz w:val="21"/>
                      <w:szCs w:val="21"/>
                      <w:lang w:val="en-US" w:eastAsia="zh-CN"/>
                    </w:rPr>
                  </w:pPr>
                  <w:r>
                    <w:rPr>
                      <w:rFonts w:hint="eastAsia"/>
                      <w:sz w:val="21"/>
                      <w:szCs w:val="21"/>
                      <w:lang w:val="en-US" w:eastAsia="zh-CN"/>
                    </w:rPr>
                    <w:t>事故，变压器</w:t>
                  </w:r>
                </w:p>
              </w:tc>
              <w:tc>
                <w:tcPr>
                  <w:tcW w:w="292" w:type="pct"/>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center"/>
                    <w:rPr>
                      <w:sz w:val="21"/>
                      <w:szCs w:val="21"/>
                    </w:rPr>
                  </w:pPr>
                  <w:r>
                    <w:rPr>
                      <w:sz w:val="21"/>
                      <w:szCs w:val="21"/>
                    </w:rPr>
                    <w:t>液态</w:t>
                  </w:r>
                </w:p>
              </w:tc>
              <w:tc>
                <w:tcPr>
                  <w:tcW w:w="459" w:type="pct"/>
                  <w:vMerge w:val="restart"/>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left"/>
                    <w:rPr>
                      <w:sz w:val="21"/>
                      <w:szCs w:val="21"/>
                      <w:lang w:val="en-US" w:eastAsia="zh-CN"/>
                    </w:rPr>
                  </w:pPr>
                  <w:r>
                    <w:rPr>
                      <w:sz w:val="21"/>
                      <w:szCs w:val="21"/>
                    </w:rPr>
                    <w:fldChar w:fldCharType="begin"/>
                  </w:r>
                  <w:r>
                    <w:rPr>
                      <w:sz w:val="21"/>
                      <w:szCs w:val="21"/>
                    </w:rPr>
                    <w:instrText xml:space="preserve"> HYPERLINK "https://baike.baidu.com/item/%E7%83%B7%E7%83%83/1138261?fromModule=lemma_inlink" \t "https://baike.baidu.com/item/%E5%8F%98%E5%8E%8B%E5%99%A8%E6%B2%B9/_blank" </w:instrText>
                  </w:r>
                  <w:r>
                    <w:rPr>
                      <w:sz w:val="21"/>
                      <w:szCs w:val="21"/>
                    </w:rPr>
                    <w:fldChar w:fldCharType="separate"/>
                  </w:r>
                  <w:r>
                    <w:rPr>
                      <w:rFonts w:hint="default"/>
                      <w:sz w:val="21"/>
                      <w:szCs w:val="21"/>
                    </w:rPr>
                    <w:t>烷烃</w:t>
                  </w:r>
                  <w:r>
                    <w:rPr>
                      <w:rFonts w:hint="default"/>
                      <w:sz w:val="21"/>
                      <w:szCs w:val="21"/>
                    </w:rPr>
                    <w:fldChar w:fldCharType="end"/>
                  </w:r>
                  <w:r>
                    <w:rPr>
                      <w:rFonts w:hint="default"/>
                      <w:sz w:val="21"/>
                      <w:szCs w:val="21"/>
                    </w:rPr>
                    <w:t>,环烷族饱和烃，芳香族不饱和烃等化合物</w:t>
                  </w:r>
                </w:p>
              </w:tc>
              <w:tc>
                <w:tcPr>
                  <w:tcW w:w="407" w:type="pct"/>
                  <w:vMerge w:val="restart"/>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center"/>
                    <w:rPr>
                      <w:sz w:val="21"/>
                      <w:szCs w:val="21"/>
                    </w:rPr>
                  </w:pPr>
                  <w:r>
                    <w:rPr>
                      <w:rFonts w:hint="eastAsia"/>
                      <w:sz w:val="21"/>
                      <w:szCs w:val="21"/>
                      <w:lang w:val="en-US" w:eastAsia="zh-CN"/>
                    </w:rPr>
                    <w:t>多环芳烃、苯系物、重金属等</w:t>
                  </w:r>
                </w:p>
              </w:tc>
              <w:tc>
                <w:tcPr>
                  <w:tcW w:w="354" w:type="pct"/>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center"/>
                    <w:rPr>
                      <w:rFonts w:hint="eastAsia"/>
                      <w:sz w:val="21"/>
                      <w:szCs w:val="21"/>
                      <w:lang w:eastAsia="zh-CN"/>
                    </w:rPr>
                  </w:pPr>
                  <w:r>
                    <w:rPr>
                      <w:rFonts w:hint="eastAsia"/>
                      <w:sz w:val="21"/>
                      <w:szCs w:val="21"/>
                      <w:lang w:val="en-US" w:eastAsia="zh-CN"/>
                    </w:rPr>
                    <w:t>/</w:t>
                  </w:r>
                </w:p>
              </w:tc>
              <w:tc>
                <w:tcPr>
                  <w:tcW w:w="424" w:type="pct"/>
                  <w:vMerge w:val="restart"/>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center"/>
                    <w:rPr>
                      <w:sz w:val="21"/>
                      <w:szCs w:val="21"/>
                      <w:lang w:val="en-US" w:eastAsia="zh-CN"/>
                    </w:rPr>
                  </w:pPr>
                  <w:r>
                    <w:rPr>
                      <w:sz w:val="21"/>
                      <w:szCs w:val="21"/>
                    </w:rPr>
                    <w:t>T，I</w:t>
                  </w:r>
                </w:p>
              </w:tc>
              <w:tc>
                <w:tcPr>
                  <w:tcW w:w="535" w:type="pc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rFonts w:hint="default"/>
                      <w:sz w:val="21"/>
                      <w:szCs w:val="21"/>
                      <w:lang w:val="en-US" w:eastAsia="zh-CN"/>
                    </w:rPr>
                  </w:pPr>
                  <w:r>
                    <w:rPr>
                      <w:rFonts w:hint="eastAsia"/>
                      <w:sz w:val="21"/>
                      <w:szCs w:val="21"/>
                      <w:lang w:val="en-US" w:eastAsia="zh-CN"/>
                    </w:rPr>
                    <w:t>事故油池暂存后</w:t>
                  </w:r>
                  <w:r>
                    <w:rPr>
                      <w:sz w:val="21"/>
                      <w:szCs w:val="21"/>
                    </w:rPr>
                    <w:t>委托资质单位处置</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172" w:type="pct"/>
                  <w:vMerge w:val="continue"/>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sz w:val="21"/>
                      <w:szCs w:val="21"/>
                      <w:lang w:val="en-US" w:eastAsia="zh-CN"/>
                    </w:rPr>
                  </w:pPr>
                </w:p>
              </w:tc>
              <w:tc>
                <w:tcPr>
                  <w:tcW w:w="457" w:type="pct"/>
                  <w:vMerge w:val="continue"/>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sz w:val="21"/>
                      <w:szCs w:val="21"/>
                      <w:lang w:val="en-US" w:eastAsia="zh-CN"/>
                    </w:rPr>
                  </w:pPr>
                </w:p>
              </w:tc>
              <w:tc>
                <w:tcPr>
                  <w:tcW w:w="433" w:type="pct"/>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left"/>
                    <w:rPr>
                      <w:sz w:val="21"/>
                      <w:szCs w:val="21"/>
                      <w:lang w:val="en-US" w:eastAsia="zh-CN"/>
                    </w:rPr>
                  </w:pPr>
                </w:p>
              </w:tc>
              <w:tc>
                <w:tcPr>
                  <w:tcW w:w="505" w:type="pct"/>
                  <w:vMerge w:val="continue"/>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sz w:val="21"/>
                      <w:szCs w:val="21"/>
                      <w:lang w:val="en-US" w:eastAsia="zh-CN"/>
                    </w:rPr>
                  </w:pPr>
                </w:p>
              </w:tc>
              <w:tc>
                <w:tcPr>
                  <w:tcW w:w="483" w:type="pct"/>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center"/>
                    <w:rPr>
                      <w:rFonts w:hint="eastAsia"/>
                      <w:sz w:val="21"/>
                      <w:szCs w:val="21"/>
                      <w:lang w:val="en-US" w:eastAsia="zh-CN"/>
                    </w:rPr>
                  </w:pPr>
                  <w:r>
                    <w:rPr>
                      <w:sz w:val="21"/>
                      <w:szCs w:val="21"/>
                    </w:rPr>
                    <w:t>0.</w:t>
                  </w:r>
                  <w:r>
                    <w:rPr>
                      <w:rFonts w:hint="eastAsia"/>
                      <w:sz w:val="21"/>
                      <w:szCs w:val="21"/>
                      <w:lang w:val="en-US" w:eastAsia="zh-CN"/>
                    </w:rPr>
                    <w:t>5</w:t>
                  </w:r>
                </w:p>
              </w:tc>
              <w:tc>
                <w:tcPr>
                  <w:tcW w:w="474" w:type="pct"/>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center"/>
                    <w:rPr>
                      <w:rFonts w:hint="default"/>
                      <w:sz w:val="21"/>
                      <w:szCs w:val="21"/>
                      <w:lang w:val="en-US" w:eastAsia="zh-CN"/>
                    </w:rPr>
                  </w:pPr>
                  <w:r>
                    <w:rPr>
                      <w:sz w:val="21"/>
                      <w:szCs w:val="21"/>
                    </w:rPr>
                    <w:t>设备维护</w:t>
                  </w:r>
                  <w:r>
                    <w:rPr>
                      <w:rFonts w:hint="eastAsia"/>
                      <w:sz w:val="21"/>
                      <w:szCs w:val="21"/>
                      <w:lang w:val="en-US" w:eastAsia="zh-CN"/>
                    </w:rPr>
                    <w:t>，变压器</w:t>
                  </w:r>
                </w:p>
              </w:tc>
              <w:tc>
                <w:tcPr>
                  <w:tcW w:w="292" w:type="pct"/>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center"/>
                    <w:rPr>
                      <w:sz w:val="21"/>
                      <w:szCs w:val="21"/>
                      <w:lang w:val="en-US" w:eastAsia="zh-CN"/>
                    </w:rPr>
                  </w:pPr>
                  <w:r>
                    <w:rPr>
                      <w:sz w:val="21"/>
                      <w:szCs w:val="21"/>
                    </w:rPr>
                    <w:t>液态</w:t>
                  </w:r>
                </w:p>
              </w:tc>
              <w:tc>
                <w:tcPr>
                  <w:tcW w:w="459" w:type="pct"/>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left"/>
                    <w:rPr>
                      <w:sz w:val="21"/>
                      <w:szCs w:val="21"/>
                      <w:lang w:val="en-US" w:eastAsia="zh-CN"/>
                    </w:rPr>
                  </w:pPr>
                </w:p>
              </w:tc>
              <w:tc>
                <w:tcPr>
                  <w:tcW w:w="407" w:type="pct"/>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center"/>
                    <w:rPr>
                      <w:sz w:val="21"/>
                      <w:szCs w:val="21"/>
                      <w:lang w:val="en-US" w:eastAsia="zh-CN"/>
                    </w:rPr>
                  </w:pPr>
                </w:p>
              </w:tc>
              <w:tc>
                <w:tcPr>
                  <w:tcW w:w="354" w:type="pct"/>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center"/>
                    <w:rPr>
                      <w:rFonts w:hint="eastAsia"/>
                      <w:sz w:val="21"/>
                      <w:szCs w:val="21"/>
                      <w:lang w:val="en-US" w:eastAsia="zh-CN"/>
                    </w:rPr>
                  </w:pPr>
                  <w:r>
                    <w:rPr>
                      <w:rFonts w:hint="eastAsia"/>
                      <w:sz w:val="21"/>
                      <w:szCs w:val="21"/>
                    </w:rPr>
                    <w:t>12</w:t>
                  </w:r>
                  <w:r>
                    <w:rPr>
                      <w:sz w:val="21"/>
                      <w:szCs w:val="21"/>
                    </w:rPr>
                    <w:t>个月</w:t>
                  </w:r>
                </w:p>
              </w:tc>
              <w:tc>
                <w:tcPr>
                  <w:tcW w:w="424" w:type="pct"/>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center"/>
                    <w:rPr>
                      <w:sz w:val="21"/>
                      <w:szCs w:val="21"/>
                      <w:lang w:val="en-US" w:eastAsia="zh-CN"/>
                    </w:rPr>
                  </w:pPr>
                </w:p>
              </w:tc>
              <w:tc>
                <w:tcPr>
                  <w:tcW w:w="535" w:type="pct"/>
                  <w:vMerge w:val="restar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sz w:val="21"/>
                      <w:szCs w:val="21"/>
                    </w:rPr>
                  </w:pPr>
                  <w:r>
                    <w:rPr>
                      <w:sz w:val="21"/>
                      <w:szCs w:val="21"/>
                    </w:rPr>
                    <w:t>危废间暂存后委托资质单位处置</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609" w:hRule="atLeast"/>
                <w:jc w:val="center"/>
              </w:trPr>
              <w:tc>
                <w:tcPr>
                  <w:tcW w:w="172" w:type="pc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rFonts w:hint="eastAsia"/>
                      <w:sz w:val="21"/>
                      <w:szCs w:val="21"/>
                      <w:lang w:eastAsia="zh-CN"/>
                    </w:rPr>
                  </w:pPr>
                  <w:r>
                    <w:rPr>
                      <w:rFonts w:hint="eastAsia"/>
                      <w:sz w:val="21"/>
                      <w:szCs w:val="21"/>
                      <w:lang w:val="en-US" w:eastAsia="zh-CN"/>
                    </w:rPr>
                    <w:t>2</w:t>
                  </w:r>
                </w:p>
              </w:tc>
              <w:tc>
                <w:tcPr>
                  <w:tcW w:w="457" w:type="pct"/>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center"/>
                    <w:rPr>
                      <w:rFonts w:hint="eastAsia"/>
                      <w:sz w:val="21"/>
                      <w:szCs w:val="21"/>
                      <w:lang w:val="en-US" w:eastAsia="zh-CN"/>
                    </w:rPr>
                  </w:pPr>
                  <w:r>
                    <w:rPr>
                      <w:sz w:val="21"/>
                      <w:szCs w:val="21"/>
                    </w:rPr>
                    <w:t>废</w:t>
                  </w:r>
                  <w:r>
                    <w:rPr>
                      <w:rFonts w:hint="eastAsia"/>
                      <w:sz w:val="21"/>
                      <w:szCs w:val="21"/>
                      <w:lang w:val="en-US" w:eastAsia="zh-CN"/>
                    </w:rPr>
                    <w:t>铅蓄电池</w:t>
                  </w:r>
                </w:p>
              </w:tc>
              <w:tc>
                <w:tcPr>
                  <w:tcW w:w="433" w:type="pc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rFonts w:hint="default"/>
                      <w:sz w:val="21"/>
                      <w:szCs w:val="21"/>
                      <w:lang w:val="en-US" w:eastAsia="zh-CN"/>
                    </w:rPr>
                  </w:pPr>
                  <w:r>
                    <w:rPr>
                      <w:sz w:val="21"/>
                      <w:szCs w:val="21"/>
                    </w:rPr>
                    <w:t>HW</w:t>
                  </w:r>
                  <w:r>
                    <w:rPr>
                      <w:rFonts w:hint="eastAsia"/>
                      <w:sz w:val="21"/>
                      <w:szCs w:val="21"/>
                      <w:lang w:val="en-US" w:eastAsia="zh-CN"/>
                    </w:rPr>
                    <w:t>31</w:t>
                  </w:r>
                </w:p>
              </w:tc>
              <w:tc>
                <w:tcPr>
                  <w:tcW w:w="505" w:type="pc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sz w:val="21"/>
                      <w:szCs w:val="21"/>
                    </w:rPr>
                  </w:pPr>
                  <w:r>
                    <w:rPr>
                      <w:rFonts w:hint="eastAsia"/>
                      <w:sz w:val="21"/>
                      <w:szCs w:val="21"/>
                      <w:lang w:val="en-US" w:eastAsia="zh-CN"/>
                    </w:rPr>
                    <w:t>900-052-31</w:t>
                  </w:r>
                </w:p>
              </w:tc>
              <w:tc>
                <w:tcPr>
                  <w:tcW w:w="483" w:type="pc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sz w:val="21"/>
                      <w:szCs w:val="21"/>
                    </w:rPr>
                  </w:pPr>
                  <w:r>
                    <w:rPr>
                      <w:sz w:val="21"/>
                      <w:szCs w:val="21"/>
                    </w:rPr>
                    <w:t>0.</w:t>
                  </w:r>
                  <w:r>
                    <w:rPr>
                      <w:rFonts w:hint="eastAsia"/>
                      <w:sz w:val="21"/>
                      <w:szCs w:val="21"/>
                    </w:rPr>
                    <w:t>1</w:t>
                  </w:r>
                </w:p>
              </w:tc>
              <w:tc>
                <w:tcPr>
                  <w:tcW w:w="474" w:type="pc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rFonts w:hint="default"/>
                      <w:sz w:val="21"/>
                      <w:szCs w:val="21"/>
                      <w:lang w:val="en-US" w:eastAsia="zh-CN"/>
                    </w:rPr>
                  </w:pPr>
                  <w:r>
                    <w:rPr>
                      <w:sz w:val="21"/>
                      <w:szCs w:val="21"/>
                    </w:rPr>
                    <w:t>设备维护</w:t>
                  </w:r>
                  <w:r>
                    <w:rPr>
                      <w:rFonts w:hint="eastAsia"/>
                      <w:sz w:val="21"/>
                      <w:szCs w:val="21"/>
                      <w:lang w:eastAsia="zh-CN"/>
                    </w:rPr>
                    <w:t>，</w:t>
                  </w:r>
                  <w:r>
                    <w:rPr>
                      <w:rFonts w:hint="eastAsia"/>
                      <w:sz w:val="21"/>
                      <w:szCs w:val="21"/>
                      <w:lang w:val="en-US" w:eastAsia="zh-CN"/>
                    </w:rPr>
                    <w:t>仪表等设备</w:t>
                  </w:r>
                </w:p>
              </w:tc>
              <w:tc>
                <w:tcPr>
                  <w:tcW w:w="292" w:type="pc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sz w:val="21"/>
                      <w:szCs w:val="21"/>
                    </w:rPr>
                  </w:pPr>
                  <w:r>
                    <w:rPr>
                      <w:sz w:val="21"/>
                      <w:szCs w:val="21"/>
                    </w:rPr>
                    <w:t>固态</w:t>
                  </w:r>
                </w:p>
              </w:tc>
              <w:tc>
                <w:tcPr>
                  <w:tcW w:w="459" w:type="pc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rFonts w:hint="eastAsia"/>
                      <w:sz w:val="21"/>
                      <w:szCs w:val="21"/>
                      <w:lang w:val="en-US" w:eastAsia="zh-CN"/>
                    </w:rPr>
                  </w:pPr>
                  <w:r>
                    <w:rPr>
                      <w:rFonts w:hint="eastAsia"/>
                      <w:sz w:val="21"/>
                      <w:szCs w:val="21"/>
                      <w:lang w:val="en-US" w:eastAsia="zh-CN"/>
                    </w:rPr>
                    <w:t>酸</w:t>
                  </w:r>
                </w:p>
              </w:tc>
              <w:tc>
                <w:tcPr>
                  <w:tcW w:w="407" w:type="pc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rFonts w:hint="eastAsia"/>
                      <w:sz w:val="21"/>
                      <w:szCs w:val="21"/>
                      <w:lang w:eastAsia="zh-CN"/>
                    </w:rPr>
                  </w:pPr>
                  <w:r>
                    <w:rPr>
                      <w:rFonts w:hint="eastAsia"/>
                      <w:sz w:val="21"/>
                      <w:szCs w:val="21"/>
                      <w:lang w:val="en-US" w:eastAsia="zh-CN"/>
                    </w:rPr>
                    <w:t>铅</w:t>
                  </w:r>
                </w:p>
              </w:tc>
              <w:tc>
                <w:tcPr>
                  <w:tcW w:w="354" w:type="pc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sz w:val="21"/>
                      <w:szCs w:val="21"/>
                    </w:rPr>
                  </w:pPr>
                  <w:r>
                    <w:rPr>
                      <w:rFonts w:hint="eastAsia"/>
                      <w:sz w:val="21"/>
                      <w:szCs w:val="21"/>
                    </w:rPr>
                    <w:t>12</w:t>
                  </w:r>
                  <w:r>
                    <w:rPr>
                      <w:sz w:val="21"/>
                      <w:szCs w:val="21"/>
                    </w:rPr>
                    <w:t>个月</w:t>
                  </w:r>
                </w:p>
              </w:tc>
              <w:tc>
                <w:tcPr>
                  <w:tcW w:w="424" w:type="pc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rFonts w:hint="eastAsia"/>
                      <w:sz w:val="21"/>
                      <w:szCs w:val="21"/>
                      <w:lang w:eastAsia="zh-CN"/>
                    </w:rPr>
                  </w:pPr>
                  <w:r>
                    <w:rPr>
                      <w:sz w:val="21"/>
                      <w:szCs w:val="21"/>
                    </w:rPr>
                    <w:t>T，</w:t>
                  </w:r>
                  <w:r>
                    <w:rPr>
                      <w:rFonts w:hint="eastAsia"/>
                      <w:sz w:val="21"/>
                      <w:szCs w:val="21"/>
                      <w:lang w:val="en-US" w:eastAsia="zh-CN"/>
                    </w:rPr>
                    <w:t>C</w:t>
                  </w:r>
                </w:p>
              </w:tc>
              <w:tc>
                <w:tcPr>
                  <w:tcW w:w="535" w:type="pct"/>
                  <w:vMerge w:val="continue"/>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sz w:val="21"/>
                      <w:szCs w:val="21"/>
                    </w:rPr>
                  </w:p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609" w:hRule="atLeast"/>
                <w:jc w:val="center"/>
              </w:trPr>
              <w:tc>
                <w:tcPr>
                  <w:tcW w:w="5000" w:type="pct"/>
                  <w:gridSpan w:val="12"/>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left="0" w:leftChars="0" w:firstLine="0" w:firstLineChars="0"/>
                    <w:jc w:val="left"/>
                    <w:textAlignment w:val="top"/>
                    <w:rPr>
                      <w:rFonts w:hint="eastAsia"/>
                      <w:sz w:val="21"/>
                      <w:szCs w:val="21"/>
                      <w:lang w:val="en-US" w:eastAsia="zh-CN"/>
                    </w:rPr>
                  </w:pPr>
                  <w:r>
                    <w:rPr>
                      <w:rFonts w:hint="eastAsia"/>
                      <w:sz w:val="21"/>
                      <w:szCs w:val="21"/>
                      <w:lang w:val="en-US" w:eastAsia="zh-CN"/>
                    </w:rPr>
                    <w:t>豁免说明：未破损的废铅蓄电池，在运输工具满足防雨、防渗漏、防遗撒要求的情况下，可不按危险废物进行运输。</w:t>
                  </w:r>
                </w:p>
              </w:tc>
            </w:tr>
          </w:tbl>
          <w:p>
            <w:pPr>
              <w:spacing w:line="520" w:lineRule="exact"/>
              <w:ind w:firstLine="480" w:firstLineChars="200"/>
            </w:pPr>
            <w:r>
              <w:t>根据《危险废物贮存污染控制标准》（GB18597－2001）（2013 年修订），评价对本工程危险废物贮存设施（危废暂存间）提出如下要求：</w:t>
            </w:r>
          </w:p>
          <w:p>
            <w:pPr>
              <w:spacing w:line="520" w:lineRule="exact"/>
              <w:ind w:firstLine="480" w:firstLineChars="200"/>
            </w:pPr>
            <w:r>
              <w:t>a对危废暂存间采取“防风、防晒、防雨、防渗漏”以及密闭、防火等措施，基础必须防渗，防渗层为至少1m厚粘土层（渗透系数≤10</w:t>
            </w:r>
            <w:r>
              <w:rPr>
                <w:vertAlign w:val="superscript"/>
              </w:rPr>
              <w:t>-7</w:t>
            </w:r>
            <w:r>
              <w:t>cm/s）或2mm厚高密度聚乙烯，或至少2mm厚的其它人工材料，渗透系数≤10</w:t>
            </w:r>
            <w:r>
              <w:rPr>
                <w:vertAlign w:val="superscript"/>
              </w:rPr>
              <w:t>-10</w:t>
            </w:r>
            <w:r>
              <w:t>cm/s，且表面无裂缝；危废暂存间设置备用收集桶及围堰；</w:t>
            </w:r>
          </w:p>
          <w:p>
            <w:pPr>
              <w:spacing w:line="520" w:lineRule="exact"/>
              <w:ind w:firstLine="480" w:firstLineChars="200"/>
            </w:pPr>
            <w:r>
              <w:t>b危废暂存间内按不同危险废物进行隔离存放，隔离区应留出搬运通道；</w:t>
            </w:r>
          </w:p>
          <w:p>
            <w:pPr>
              <w:spacing w:line="520" w:lineRule="exact"/>
              <w:ind w:firstLine="480" w:firstLineChars="200"/>
            </w:pPr>
            <w:r>
              <w:t>c危废暂存间内要有安全照明设施和观察窗口；</w:t>
            </w:r>
          </w:p>
          <w:p>
            <w:pPr>
              <w:spacing w:line="520" w:lineRule="exact"/>
              <w:ind w:firstLine="480" w:firstLineChars="200"/>
            </w:pPr>
            <w:r>
              <w:t>d贮存场设置明显的贮存危险废物种类标志和警示标志。</w:t>
            </w:r>
          </w:p>
          <w:p>
            <w:pPr>
              <w:spacing w:line="520" w:lineRule="exact"/>
              <w:ind w:firstLine="480" w:firstLineChars="200"/>
            </w:pPr>
            <w:r>
              <w:t>本项目危险废物贮存场所基本情况见下表。</w:t>
            </w:r>
          </w:p>
          <w:p>
            <w:pPr>
              <w:pStyle w:val="70"/>
              <w:rPr>
                <w:rFonts w:hint="default"/>
              </w:rPr>
            </w:pPr>
            <w:r>
              <w:rPr>
                <w:rFonts w:hint="default"/>
              </w:rPr>
              <w:t xml:space="preserve">  项目危险废物贮存场所（设施）基本情况一览表</w:t>
            </w:r>
          </w:p>
          <w:tbl>
            <w:tblPr>
              <w:tblStyle w:val="22"/>
              <w:tblW w:w="4995" w:type="pct"/>
              <w:jc w:val="center"/>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autofit"/>
              <w:tblCellMar>
                <w:top w:w="0" w:type="dxa"/>
                <w:left w:w="28" w:type="dxa"/>
                <w:bottom w:w="0" w:type="dxa"/>
                <w:right w:w="28" w:type="dxa"/>
              </w:tblCellMar>
            </w:tblPr>
            <w:tblGrid>
              <w:gridCol w:w="406"/>
              <w:gridCol w:w="930"/>
              <w:gridCol w:w="1262"/>
              <w:gridCol w:w="984"/>
              <w:gridCol w:w="1168"/>
              <w:gridCol w:w="641"/>
              <w:gridCol w:w="634"/>
              <w:gridCol w:w="1168"/>
              <w:gridCol w:w="830"/>
              <w:gridCol w:w="818"/>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230" w:type="pc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sz w:val="21"/>
                      <w:szCs w:val="21"/>
                    </w:rPr>
                  </w:pPr>
                  <w:r>
                    <w:rPr>
                      <w:sz w:val="21"/>
                      <w:szCs w:val="21"/>
                    </w:rPr>
                    <w:t>序号</w:t>
                  </w:r>
                </w:p>
              </w:tc>
              <w:tc>
                <w:tcPr>
                  <w:tcW w:w="526" w:type="pc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sz w:val="21"/>
                      <w:szCs w:val="21"/>
                    </w:rPr>
                  </w:pPr>
                  <w:r>
                    <w:rPr>
                      <w:sz w:val="21"/>
                      <w:szCs w:val="21"/>
                    </w:rPr>
                    <w:t>贮存场所名称</w:t>
                  </w:r>
                </w:p>
              </w:tc>
              <w:tc>
                <w:tcPr>
                  <w:tcW w:w="713" w:type="pc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sz w:val="21"/>
                      <w:szCs w:val="21"/>
                    </w:rPr>
                  </w:pPr>
                  <w:r>
                    <w:rPr>
                      <w:sz w:val="21"/>
                      <w:szCs w:val="21"/>
                    </w:rPr>
                    <w:t>危险废物名称</w:t>
                  </w:r>
                </w:p>
              </w:tc>
              <w:tc>
                <w:tcPr>
                  <w:tcW w:w="556" w:type="pc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sz w:val="21"/>
                      <w:szCs w:val="21"/>
                    </w:rPr>
                  </w:pPr>
                  <w:r>
                    <w:rPr>
                      <w:sz w:val="21"/>
                      <w:szCs w:val="21"/>
                    </w:rPr>
                    <w:t>危险废物类别</w:t>
                  </w:r>
                </w:p>
              </w:tc>
              <w:tc>
                <w:tcPr>
                  <w:tcW w:w="660" w:type="pc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sz w:val="21"/>
                      <w:szCs w:val="21"/>
                    </w:rPr>
                  </w:pPr>
                  <w:r>
                    <w:rPr>
                      <w:sz w:val="21"/>
                      <w:szCs w:val="21"/>
                    </w:rPr>
                    <w:t>危险废物代码</w:t>
                  </w:r>
                </w:p>
              </w:tc>
              <w:tc>
                <w:tcPr>
                  <w:tcW w:w="362" w:type="pc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sz w:val="21"/>
                      <w:szCs w:val="21"/>
                    </w:rPr>
                  </w:pPr>
                  <w:r>
                    <w:rPr>
                      <w:sz w:val="21"/>
                      <w:szCs w:val="21"/>
                    </w:rPr>
                    <w:t>位置</w:t>
                  </w:r>
                </w:p>
              </w:tc>
              <w:tc>
                <w:tcPr>
                  <w:tcW w:w="358" w:type="pc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sz w:val="21"/>
                      <w:szCs w:val="21"/>
                    </w:rPr>
                  </w:pPr>
                  <w:r>
                    <w:rPr>
                      <w:sz w:val="21"/>
                      <w:szCs w:val="21"/>
                    </w:rPr>
                    <w:t>占地面积</w:t>
                  </w:r>
                </w:p>
              </w:tc>
              <w:tc>
                <w:tcPr>
                  <w:tcW w:w="660" w:type="pc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sz w:val="21"/>
                      <w:szCs w:val="21"/>
                    </w:rPr>
                  </w:pPr>
                  <w:r>
                    <w:rPr>
                      <w:sz w:val="21"/>
                      <w:szCs w:val="21"/>
                    </w:rPr>
                    <w:t>贮存方式</w:t>
                  </w:r>
                </w:p>
              </w:tc>
              <w:tc>
                <w:tcPr>
                  <w:tcW w:w="469" w:type="pc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sz w:val="21"/>
                      <w:szCs w:val="21"/>
                    </w:rPr>
                  </w:pPr>
                  <w:r>
                    <w:rPr>
                      <w:sz w:val="21"/>
                      <w:szCs w:val="21"/>
                    </w:rPr>
                    <w:t>贮存能力（t/a）</w:t>
                  </w:r>
                </w:p>
              </w:tc>
              <w:tc>
                <w:tcPr>
                  <w:tcW w:w="462" w:type="pc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sz w:val="21"/>
                      <w:szCs w:val="21"/>
                    </w:rPr>
                  </w:pPr>
                  <w:r>
                    <w:rPr>
                      <w:sz w:val="21"/>
                      <w:szCs w:val="21"/>
                    </w:rPr>
                    <w:t>贮存周期</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230" w:type="pc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rFonts w:hint="eastAsia"/>
                      <w:sz w:val="21"/>
                      <w:szCs w:val="21"/>
                      <w:lang w:eastAsia="zh-CN"/>
                    </w:rPr>
                  </w:pPr>
                  <w:r>
                    <w:rPr>
                      <w:rFonts w:hint="eastAsia"/>
                      <w:sz w:val="21"/>
                      <w:szCs w:val="21"/>
                      <w:lang w:val="en-US" w:eastAsia="zh-CN"/>
                    </w:rPr>
                    <w:t>1</w:t>
                  </w:r>
                </w:p>
              </w:tc>
              <w:tc>
                <w:tcPr>
                  <w:tcW w:w="526" w:type="pct"/>
                  <w:vMerge w:val="restar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sz w:val="21"/>
                      <w:szCs w:val="21"/>
                    </w:rPr>
                  </w:pPr>
                  <w:r>
                    <w:rPr>
                      <w:sz w:val="21"/>
                      <w:szCs w:val="21"/>
                    </w:rPr>
                    <w:t>危废</w:t>
                  </w:r>
                </w:p>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sz w:val="21"/>
                      <w:szCs w:val="21"/>
                    </w:rPr>
                  </w:pPr>
                  <w:r>
                    <w:rPr>
                      <w:sz w:val="21"/>
                      <w:szCs w:val="21"/>
                    </w:rPr>
                    <w:t>暂存间</w:t>
                  </w:r>
                </w:p>
              </w:tc>
              <w:tc>
                <w:tcPr>
                  <w:tcW w:w="713" w:type="pc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sz w:val="21"/>
                      <w:szCs w:val="21"/>
                      <w:lang w:val="en-US" w:eastAsia="zh-CN"/>
                    </w:rPr>
                  </w:pPr>
                  <w:r>
                    <w:rPr>
                      <w:sz w:val="21"/>
                      <w:szCs w:val="21"/>
                    </w:rPr>
                    <w:t>废</w:t>
                  </w:r>
                  <w:r>
                    <w:rPr>
                      <w:rFonts w:hint="eastAsia"/>
                      <w:sz w:val="21"/>
                      <w:szCs w:val="21"/>
                      <w:lang w:val="en-US" w:eastAsia="zh-CN"/>
                    </w:rPr>
                    <w:t>变压器</w:t>
                  </w:r>
                  <w:r>
                    <w:rPr>
                      <w:sz w:val="21"/>
                      <w:szCs w:val="21"/>
                    </w:rPr>
                    <w:t>油</w:t>
                  </w:r>
                </w:p>
              </w:tc>
              <w:tc>
                <w:tcPr>
                  <w:tcW w:w="556" w:type="pct"/>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rPr>
                      <w:sz w:val="21"/>
                      <w:szCs w:val="21"/>
                      <w:lang w:val="en-US" w:eastAsia="zh-CN"/>
                    </w:rPr>
                  </w:pPr>
                  <w:r>
                    <w:rPr>
                      <w:sz w:val="21"/>
                      <w:szCs w:val="21"/>
                    </w:rPr>
                    <w:t>HW08</w:t>
                  </w:r>
                </w:p>
              </w:tc>
              <w:tc>
                <w:tcPr>
                  <w:tcW w:w="660" w:type="pc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sz w:val="21"/>
                      <w:szCs w:val="21"/>
                      <w:lang w:val="en-US" w:eastAsia="zh-CN"/>
                    </w:rPr>
                  </w:pPr>
                  <w:r>
                    <w:rPr>
                      <w:sz w:val="21"/>
                      <w:szCs w:val="21"/>
                    </w:rPr>
                    <w:t>900-2</w:t>
                  </w:r>
                  <w:r>
                    <w:rPr>
                      <w:rFonts w:hint="eastAsia"/>
                      <w:sz w:val="21"/>
                      <w:szCs w:val="21"/>
                      <w:lang w:val="en-US" w:eastAsia="zh-CN"/>
                    </w:rPr>
                    <w:t>20</w:t>
                  </w:r>
                  <w:r>
                    <w:rPr>
                      <w:sz w:val="21"/>
                      <w:szCs w:val="21"/>
                    </w:rPr>
                    <w:t>-08</w:t>
                  </w:r>
                </w:p>
              </w:tc>
              <w:tc>
                <w:tcPr>
                  <w:tcW w:w="362" w:type="pct"/>
                  <w:vMerge w:val="restar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rFonts w:hint="default"/>
                      <w:sz w:val="21"/>
                      <w:szCs w:val="21"/>
                      <w:lang w:val="en-US" w:eastAsia="zh-CN"/>
                    </w:rPr>
                  </w:pPr>
                  <w:r>
                    <w:rPr>
                      <w:rFonts w:hint="eastAsia"/>
                      <w:sz w:val="21"/>
                      <w:szCs w:val="21"/>
                      <w:lang w:val="en-US" w:eastAsia="zh-CN"/>
                    </w:rPr>
                    <w:t>站内南侧</w:t>
                  </w:r>
                </w:p>
              </w:tc>
              <w:tc>
                <w:tcPr>
                  <w:tcW w:w="358" w:type="pct"/>
                  <w:vMerge w:val="restar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sz w:val="21"/>
                      <w:szCs w:val="21"/>
                    </w:rPr>
                  </w:pPr>
                  <w:r>
                    <w:rPr>
                      <w:sz w:val="21"/>
                      <w:szCs w:val="21"/>
                    </w:rPr>
                    <w:t>25m</w:t>
                  </w:r>
                  <w:r>
                    <w:rPr>
                      <w:sz w:val="21"/>
                      <w:szCs w:val="21"/>
                      <w:vertAlign w:val="superscript"/>
                    </w:rPr>
                    <w:t>2</w:t>
                  </w:r>
                </w:p>
              </w:tc>
              <w:tc>
                <w:tcPr>
                  <w:tcW w:w="660" w:type="pc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sz w:val="21"/>
                      <w:szCs w:val="21"/>
                    </w:rPr>
                  </w:pPr>
                  <w:r>
                    <w:rPr>
                      <w:sz w:val="21"/>
                      <w:szCs w:val="21"/>
                    </w:rPr>
                    <w:t>专用容器密闭贮存</w:t>
                  </w:r>
                </w:p>
              </w:tc>
              <w:tc>
                <w:tcPr>
                  <w:tcW w:w="469" w:type="pct"/>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center"/>
                    <w:rPr>
                      <w:sz w:val="21"/>
                      <w:szCs w:val="21"/>
                    </w:rPr>
                  </w:pPr>
                  <w:r>
                    <w:rPr>
                      <w:rFonts w:hint="eastAsia"/>
                      <w:sz w:val="21"/>
                      <w:szCs w:val="21"/>
                      <w:lang w:val="en-US" w:eastAsia="zh-CN"/>
                    </w:rPr>
                    <w:t>5</w:t>
                  </w:r>
                  <w:r>
                    <w:rPr>
                      <w:sz w:val="21"/>
                      <w:szCs w:val="21"/>
                    </w:rPr>
                    <w:t>t</w:t>
                  </w:r>
                </w:p>
              </w:tc>
              <w:tc>
                <w:tcPr>
                  <w:tcW w:w="462" w:type="pc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sz w:val="21"/>
                      <w:szCs w:val="21"/>
                    </w:rPr>
                  </w:pPr>
                  <w:r>
                    <w:rPr>
                      <w:sz w:val="21"/>
                      <w:szCs w:val="21"/>
                    </w:rPr>
                    <w:t>6个月</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230" w:type="pc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rFonts w:hint="eastAsia"/>
                      <w:sz w:val="21"/>
                      <w:szCs w:val="21"/>
                      <w:lang w:eastAsia="zh-CN"/>
                    </w:rPr>
                  </w:pPr>
                  <w:r>
                    <w:rPr>
                      <w:rFonts w:hint="eastAsia"/>
                      <w:sz w:val="21"/>
                      <w:szCs w:val="21"/>
                      <w:lang w:val="en-US" w:eastAsia="zh-CN"/>
                    </w:rPr>
                    <w:t>2</w:t>
                  </w:r>
                </w:p>
              </w:tc>
              <w:tc>
                <w:tcPr>
                  <w:tcW w:w="526" w:type="pct"/>
                  <w:vMerge w:val="continue"/>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sz w:val="21"/>
                      <w:szCs w:val="21"/>
                    </w:rPr>
                  </w:pPr>
                </w:p>
              </w:tc>
              <w:tc>
                <w:tcPr>
                  <w:tcW w:w="713" w:type="pct"/>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center"/>
                    <w:rPr>
                      <w:rFonts w:hint="eastAsia"/>
                      <w:sz w:val="21"/>
                      <w:szCs w:val="21"/>
                      <w:lang w:val="en-US" w:eastAsia="zh-CN"/>
                    </w:rPr>
                  </w:pPr>
                  <w:r>
                    <w:rPr>
                      <w:sz w:val="21"/>
                      <w:szCs w:val="21"/>
                    </w:rPr>
                    <w:t>废</w:t>
                  </w:r>
                  <w:r>
                    <w:rPr>
                      <w:rFonts w:hint="eastAsia"/>
                      <w:sz w:val="21"/>
                      <w:szCs w:val="21"/>
                      <w:lang w:val="en-US" w:eastAsia="zh-CN"/>
                    </w:rPr>
                    <w:t>铅蓄电池</w:t>
                  </w:r>
                </w:p>
              </w:tc>
              <w:tc>
                <w:tcPr>
                  <w:tcW w:w="556" w:type="pc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rFonts w:hint="default"/>
                      <w:sz w:val="21"/>
                      <w:szCs w:val="21"/>
                      <w:lang w:val="en-US" w:eastAsia="zh-CN"/>
                    </w:rPr>
                  </w:pPr>
                  <w:r>
                    <w:rPr>
                      <w:sz w:val="21"/>
                      <w:szCs w:val="21"/>
                    </w:rPr>
                    <w:t>HW</w:t>
                  </w:r>
                  <w:r>
                    <w:rPr>
                      <w:rFonts w:hint="eastAsia"/>
                      <w:sz w:val="21"/>
                      <w:szCs w:val="21"/>
                      <w:lang w:val="en-US" w:eastAsia="zh-CN"/>
                    </w:rPr>
                    <w:t>31</w:t>
                  </w:r>
                </w:p>
              </w:tc>
              <w:tc>
                <w:tcPr>
                  <w:tcW w:w="660" w:type="pc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sz w:val="21"/>
                      <w:szCs w:val="21"/>
                      <w:lang w:val="en-US" w:eastAsia="zh-CN"/>
                    </w:rPr>
                  </w:pPr>
                  <w:r>
                    <w:rPr>
                      <w:rFonts w:hint="eastAsia"/>
                      <w:sz w:val="21"/>
                      <w:szCs w:val="21"/>
                      <w:lang w:val="en-US" w:eastAsia="zh-CN"/>
                    </w:rPr>
                    <w:t>900-052-31</w:t>
                  </w:r>
                </w:p>
              </w:tc>
              <w:tc>
                <w:tcPr>
                  <w:tcW w:w="362" w:type="pct"/>
                  <w:vMerge w:val="continue"/>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sz w:val="21"/>
                      <w:szCs w:val="21"/>
                    </w:rPr>
                  </w:pPr>
                </w:p>
              </w:tc>
              <w:tc>
                <w:tcPr>
                  <w:tcW w:w="358" w:type="pct"/>
                  <w:vMerge w:val="continue"/>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sz w:val="21"/>
                      <w:szCs w:val="21"/>
                    </w:rPr>
                  </w:pPr>
                </w:p>
              </w:tc>
              <w:tc>
                <w:tcPr>
                  <w:tcW w:w="660" w:type="pc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sz w:val="21"/>
                      <w:szCs w:val="21"/>
                    </w:rPr>
                  </w:pPr>
                  <w:r>
                    <w:rPr>
                      <w:sz w:val="21"/>
                      <w:szCs w:val="21"/>
                    </w:rPr>
                    <w:t>专用容器密闭贮存</w:t>
                  </w:r>
                </w:p>
              </w:tc>
              <w:tc>
                <w:tcPr>
                  <w:tcW w:w="469" w:type="pct"/>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center"/>
                    <w:rPr>
                      <w:rFonts w:hint="default"/>
                      <w:sz w:val="21"/>
                      <w:szCs w:val="21"/>
                      <w:lang w:val="en-US" w:eastAsia="zh-CN"/>
                    </w:rPr>
                  </w:pPr>
                  <w:r>
                    <w:rPr>
                      <w:rFonts w:hint="eastAsia"/>
                      <w:sz w:val="21"/>
                      <w:szCs w:val="21"/>
                      <w:lang w:val="en-US" w:eastAsia="zh-CN"/>
                    </w:rPr>
                    <w:t>5t</w:t>
                  </w:r>
                </w:p>
              </w:tc>
              <w:tc>
                <w:tcPr>
                  <w:tcW w:w="462" w:type="pc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sz w:val="21"/>
                      <w:szCs w:val="21"/>
                    </w:rPr>
                  </w:pPr>
                  <w:r>
                    <w:rPr>
                      <w:sz w:val="21"/>
                      <w:szCs w:val="21"/>
                    </w:rPr>
                    <w:t>6个月</w:t>
                  </w:r>
                </w:p>
              </w:tc>
            </w:tr>
          </w:tbl>
          <w:p>
            <w:pPr>
              <w:spacing w:line="520" w:lineRule="exact"/>
              <w:ind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本项目固体废物产生及处理处置情况详见</w:t>
            </w:r>
            <w:r>
              <w:rPr>
                <w:rFonts w:hint="default" w:ascii="Times New Roman" w:hAnsi="Times New Roman" w:cs="Times New Roman"/>
                <w:color w:val="auto"/>
                <w:sz w:val="24"/>
                <w:highlight w:val="none"/>
                <w:lang w:val="en-US" w:eastAsia="zh-CN"/>
              </w:rPr>
              <w:t>下</w:t>
            </w:r>
            <w:r>
              <w:rPr>
                <w:rFonts w:hint="default" w:ascii="Times New Roman" w:hAnsi="Times New Roman" w:cs="Times New Roman"/>
                <w:color w:val="auto"/>
                <w:sz w:val="24"/>
                <w:highlight w:val="none"/>
              </w:rPr>
              <w:t>表。</w:t>
            </w:r>
          </w:p>
          <w:p>
            <w:pPr>
              <w:pStyle w:val="70"/>
              <w:rPr>
                <w:rFonts w:hint="default" w:ascii="Times New Roman" w:hAnsi="Times New Roman" w:cs="Times New Roman"/>
                <w:color w:val="auto"/>
                <w:highlight w:val="none"/>
              </w:rPr>
            </w:pPr>
            <w:r>
              <w:rPr>
                <w:rFonts w:hint="default" w:ascii="Times New Roman" w:hAnsi="Times New Roman" w:cs="Times New Roman"/>
                <w:color w:val="auto"/>
                <w:highlight w:val="none"/>
              </w:rPr>
              <w:t xml:space="preserve">  项目固体废物产生及处理处置情况汇总表</w:t>
            </w:r>
          </w:p>
          <w:tbl>
            <w:tblPr>
              <w:tblStyle w:val="22"/>
              <w:tblW w:w="4997" w:type="pct"/>
              <w:tblInd w:w="0" w:type="dxa"/>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autofit"/>
              <w:tblCellMar>
                <w:top w:w="0" w:type="dxa"/>
                <w:left w:w="28" w:type="dxa"/>
                <w:bottom w:w="0" w:type="dxa"/>
                <w:right w:w="28" w:type="dxa"/>
              </w:tblCellMar>
            </w:tblPr>
            <w:tblGrid>
              <w:gridCol w:w="1371"/>
              <w:gridCol w:w="1612"/>
              <w:gridCol w:w="1151"/>
              <w:gridCol w:w="1788"/>
              <w:gridCol w:w="986"/>
              <w:gridCol w:w="997"/>
              <w:gridCol w:w="940"/>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397" w:hRule="atLeast"/>
              </w:trPr>
              <w:tc>
                <w:tcPr>
                  <w:tcW w:w="775" w:type="pct"/>
                  <w:noWrap w:val="0"/>
                  <w:vAlign w:val="center"/>
                </w:tcPr>
                <w:p>
                  <w:pPr>
                    <w:pStyle w:val="32"/>
                    <w:keepNext w:val="0"/>
                    <w:keepLines w:val="0"/>
                    <w:pageBreakBefore w:val="0"/>
                    <w:kinsoku/>
                    <w:wordWrap/>
                    <w:overflowPunct/>
                    <w:topLinePunct w:val="0"/>
                    <w:bidi w:val="0"/>
                    <w:adjustRightInd w:val="0"/>
                    <w:snapToGrid w:val="0"/>
                    <w:spacing w:line="240" w:lineRule="auto"/>
                    <w:ind w:firstLine="0" w:firstLineChars="0"/>
                    <w:jc w:val="center"/>
                    <w:textAlignment w:val="top"/>
                    <w:rPr>
                      <w:rFonts w:hint="default" w:ascii="Times New Roman" w:hAnsi="Times New Roman" w:eastAsiaTheme="minorEastAsia" w:cstheme="minorBidi"/>
                      <w:b w:val="0"/>
                      <w:bCs w:val="0"/>
                      <w:color w:val="auto"/>
                      <w:kern w:val="2"/>
                      <w:sz w:val="21"/>
                      <w:szCs w:val="21"/>
                      <w:u w:val="none"/>
                      <w:lang w:val="en-US" w:eastAsia="zh-CN" w:bidi="ar-SA"/>
                    </w:rPr>
                  </w:pPr>
                  <w:r>
                    <w:rPr>
                      <w:rFonts w:hint="default" w:ascii="Times New Roman" w:hAnsi="Times New Roman" w:eastAsiaTheme="minorEastAsia" w:cstheme="minorBidi"/>
                      <w:b w:val="0"/>
                      <w:bCs w:val="0"/>
                      <w:color w:val="auto"/>
                      <w:kern w:val="2"/>
                      <w:sz w:val="21"/>
                      <w:szCs w:val="21"/>
                      <w:u w:val="none"/>
                      <w:lang w:val="en-US" w:eastAsia="zh-CN" w:bidi="ar-SA"/>
                    </w:rPr>
                    <w:t>产污环节</w:t>
                  </w:r>
                </w:p>
              </w:tc>
              <w:tc>
                <w:tcPr>
                  <w:tcW w:w="911" w:type="pct"/>
                  <w:noWrap w:val="0"/>
                  <w:vAlign w:val="center"/>
                </w:tcPr>
                <w:p>
                  <w:pPr>
                    <w:pStyle w:val="32"/>
                    <w:keepNext w:val="0"/>
                    <w:keepLines w:val="0"/>
                    <w:pageBreakBefore w:val="0"/>
                    <w:kinsoku/>
                    <w:wordWrap/>
                    <w:overflowPunct/>
                    <w:topLinePunct w:val="0"/>
                    <w:bidi w:val="0"/>
                    <w:adjustRightInd w:val="0"/>
                    <w:snapToGrid w:val="0"/>
                    <w:spacing w:line="240" w:lineRule="auto"/>
                    <w:ind w:firstLine="0" w:firstLineChars="0"/>
                    <w:jc w:val="center"/>
                    <w:textAlignment w:val="top"/>
                    <w:rPr>
                      <w:rFonts w:hint="default" w:ascii="Times New Roman" w:hAnsi="Times New Roman" w:eastAsiaTheme="minorEastAsia" w:cstheme="minorBidi"/>
                      <w:b w:val="0"/>
                      <w:bCs w:val="0"/>
                      <w:color w:val="auto"/>
                      <w:kern w:val="2"/>
                      <w:sz w:val="21"/>
                      <w:szCs w:val="21"/>
                      <w:u w:val="none"/>
                      <w:lang w:val="en-US" w:eastAsia="zh-CN" w:bidi="ar-SA"/>
                    </w:rPr>
                  </w:pPr>
                  <w:r>
                    <w:rPr>
                      <w:rFonts w:hint="default" w:ascii="Times New Roman" w:hAnsi="Times New Roman" w:eastAsiaTheme="minorEastAsia" w:cstheme="minorBidi"/>
                      <w:b w:val="0"/>
                      <w:bCs w:val="0"/>
                      <w:color w:val="auto"/>
                      <w:kern w:val="2"/>
                      <w:sz w:val="21"/>
                      <w:szCs w:val="21"/>
                      <w:u w:val="none"/>
                      <w:lang w:val="en-US" w:eastAsia="zh-CN" w:bidi="ar-SA"/>
                    </w:rPr>
                    <w:t>污染物</w:t>
                  </w:r>
                </w:p>
              </w:tc>
              <w:tc>
                <w:tcPr>
                  <w:tcW w:w="650" w:type="pct"/>
                  <w:noWrap w:val="0"/>
                  <w:vAlign w:val="center"/>
                </w:tcPr>
                <w:p>
                  <w:pPr>
                    <w:pStyle w:val="32"/>
                    <w:keepNext w:val="0"/>
                    <w:keepLines w:val="0"/>
                    <w:pageBreakBefore w:val="0"/>
                    <w:kinsoku/>
                    <w:wordWrap/>
                    <w:overflowPunct/>
                    <w:topLinePunct w:val="0"/>
                    <w:bidi w:val="0"/>
                    <w:adjustRightInd w:val="0"/>
                    <w:snapToGrid w:val="0"/>
                    <w:spacing w:line="240" w:lineRule="auto"/>
                    <w:ind w:firstLine="0" w:firstLineChars="0"/>
                    <w:jc w:val="center"/>
                    <w:textAlignment w:val="top"/>
                    <w:rPr>
                      <w:rFonts w:hint="default" w:ascii="Times New Roman" w:hAnsi="Times New Roman" w:eastAsiaTheme="minorEastAsia" w:cstheme="minorBidi"/>
                      <w:b w:val="0"/>
                      <w:bCs w:val="0"/>
                      <w:color w:val="auto"/>
                      <w:kern w:val="2"/>
                      <w:sz w:val="21"/>
                      <w:szCs w:val="21"/>
                      <w:u w:val="none"/>
                      <w:lang w:val="en-US" w:eastAsia="zh-CN" w:bidi="ar-SA"/>
                    </w:rPr>
                  </w:pPr>
                  <w:r>
                    <w:rPr>
                      <w:rFonts w:hint="default" w:ascii="Times New Roman" w:hAnsi="Times New Roman" w:eastAsiaTheme="minorEastAsia" w:cstheme="minorBidi"/>
                      <w:b w:val="0"/>
                      <w:bCs w:val="0"/>
                      <w:color w:val="auto"/>
                      <w:kern w:val="2"/>
                      <w:sz w:val="21"/>
                      <w:szCs w:val="21"/>
                      <w:u w:val="none"/>
                      <w:lang w:val="en-US" w:eastAsia="zh-CN" w:bidi="ar-SA"/>
                    </w:rPr>
                    <w:t>类别</w:t>
                  </w:r>
                </w:p>
              </w:tc>
              <w:tc>
                <w:tcPr>
                  <w:tcW w:w="1010" w:type="pct"/>
                  <w:noWrap w:val="0"/>
                  <w:vAlign w:val="center"/>
                </w:tcPr>
                <w:p>
                  <w:pPr>
                    <w:pStyle w:val="32"/>
                    <w:keepNext w:val="0"/>
                    <w:keepLines w:val="0"/>
                    <w:pageBreakBefore w:val="0"/>
                    <w:kinsoku/>
                    <w:wordWrap/>
                    <w:overflowPunct/>
                    <w:topLinePunct w:val="0"/>
                    <w:bidi w:val="0"/>
                    <w:adjustRightInd w:val="0"/>
                    <w:snapToGrid w:val="0"/>
                    <w:spacing w:line="240" w:lineRule="auto"/>
                    <w:ind w:firstLine="0" w:firstLineChars="0"/>
                    <w:jc w:val="center"/>
                    <w:textAlignment w:val="top"/>
                    <w:rPr>
                      <w:rFonts w:hint="default" w:ascii="Times New Roman" w:hAnsi="Times New Roman" w:eastAsiaTheme="minorEastAsia" w:cstheme="minorBidi"/>
                      <w:b w:val="0"/>
                      <w:bCs w:val="0"/>
                      <w:color w:val="auto"/>
                      <w:kern w:val="2"/>
                      <w:sz w:val="21"/>
                      <w:szCs w:val="21"/>
                      <w:u w:val="none"/>
                      <w:lang w:val="en-US" w:eastAsia="zh-CN" w:bidi="ar-SA"/>
                    </w:rPr>
                  </w:pPr>
                  <w:r>
                    <w:rPr>
                      <w:rFonts w:hint="default" w:ascii="Times New Roman" w:hAnsi="Times New Roman" w:eastAsiaTheme="minorEastAsia" w:cstheme="minorBidi"/>
                      <w:b w:val="0"/>
                      <w:bCs w:val="0"/>
                      <w:color w:val="auto"/>
                      <w:kern w:val="2"/>
                      <w:sz w:val="21"/>
                      <w:szCs w:val="21"/>
                      <w:u w:val="none"/>
                      <w:lang w:val="en-US" w:eastAsia="zh-CN" w:bidi="ar-SA"/>
                    </w:rPr>
                    <w:t>产生量</w:t>
                  </w:r>
                </w:p>
              </w:tc>
              <w:tc>
                <w:tcPr>
                  <w:tcW w:w="1120" w:type="pct"/>
                  <w:gridSpan w:val="2"/>
                  <w:noWrap w:val="0"/>
                  <w:vAlign w:val="center"/>
                </w:tcPr>
                <w:p>
                  <w:pPr>
                    <w:pStyle w:val="32"/>
                    <w:keepNext w:val="0"/>
                    <w:keepLines w:val="0"/>
                    <w:pageBreakBefore w:val="0"/>
                    <w:kinsoku/>
                    <w:wordWrap/>
                    <w:overflowPunct/>
                    <w:topLinePunct w:val="0"/>
                    <w:bidi w:val="0"/>
                    <w:adjustRightInd w:val="0"/>
                    <w:snapToGrid w:val="0"/>
                    <w:spacing w:line="240" w:lineRule="auto"/>
                    <w:ind w:firstLine="0" w:firstLineChars="0"/>
                    <w:jc w:val="center"/>
                    <w:textAlignment w:val="top"/>
                    <w:rPr>
                      <w:rFonts w:hint="default" w:ascii="Times New Roman" w:hAnsi="Times New Roman" w:eastAsiaTheme="minorEastAsia" w:cstheme="minorBidi"/>
                      <w:b w:val="0"/>
                      <w:bCs w:val="0"/>
                      <w:color w:val="auto"/>
                      <w:kern w:val="2"/>
                      <w:sz w:val="21"/>
                      <w:szCs w:val="21"/>
                      <w:u w:val="none"/>
                      <w:lang w:val="en-US" w:eastAsia="zh-CN" w:bidi="ar-SA"/>
                    </w:rPr>
                  </w:pPr>
                  <w:r>
                    <w:rPr>
                      <w:rFonts w:hint="default" w:ascii="Times New Roman" w:hAnsi="Times New Roman" w:eastAsiaTheme="minorEastAsia" w:cstheme="minorBidi"/>
                      <w:b w:val="0"/>
                      <w:bCs w:val="0"/>
                      <w:color w:val="auto"/>
                      <w:kern w:val="2"/>
                      <w:sz w:val="21"/>
                      <w:szCs w:val="21"/>
                      <w:u w:val="none"/>
                      <w:lang w:val="en-US" w:eastAsia="zh-CN" w:bidi="ar-SA"/>
                    </w:rPr>
                    <w:t>治理措施</w:t>
                  </w:r>
                </w:p>
              </w:tc>
              <w:tc>
                <w:tcPr>
                  <w:tcW w:w="531" w:type="pct"/>
                  <w:noWrap w:val="0"/>
                  <w:vAlign w:val="center"/>
                </w:tcPr>
                <w:p>
                  <w:pPr>
                    <w:pStyle w:val="32"/>
                    <w:keepNext w:val="0"/>
                    <w:keepLines w:val="0"/>
                    <w:pageBreakBefore w:val="0"/>
                    <w:kinsoku/>
                    <w:wordWrap/>
                    <w:overflowPunct/>
                    <w:topLinePunct w:val="0"/>
                    <w:bidi w:val="0"/>
                    <w:adjustRightInd w:val="0"/>
                    <w:snapToGrid w:val="0"/>
                    <w:spacing w:line="240" w:lineRule="auto"/>
                    <w:ind w:firstLine="0" w:firstLineChars="0"/>
                    <w:jc w:val="center"/>
                    <w:textAlignment w:val="top"/>
                    <w:rPr>
                      <w:rFonts w:hint="default" w:ascii="Times New Roman" w:hAnsi="Times New Roman" w:eastAsiaTheme="minorEastAsia" w:cstheme="minorBidi"/>
                      <w:b w:val="0"/>
                      <w:bCs w:val="0"/>
                      <w:color w:val="auto"/>
                      <w:kern w:val="2"/>
                      <w:sz w:val="21"/>
                      <w:szCs w:val="21"/>
                      <w:u w:val="none"/>
                      <w:lang w:val="en-US" w:eastAsia="zh-CN" w:bidi="ar-SA"/>
                    </w:rPr>
                  </w:pPr>
                  <w:r>
                    <w:rPr>
                      <w:rFonts w:hint="default" w:ascii="Times New Roman" w:hAnsi="Times New Roman" w:eastAsiaTheme="minorEastAsia" w:cstheme="minorBidi"/>
                      <w:b w:val="0"/>
                      <w:bCs w:val="0"/>
                      <w:color w:val="auto"/>
                      <w:kern w:val="2"/>
                      <w:sz w:val="21"/>
                      <w:szCs w:val="21"/>
                      <w:u w:val="none"/>
                      <w:lang w:val="en-US" w:eastAsia="zh-CN" w:bidi="ar-SA"/>
                    </w:rPr>
                    <w:t>排放量（t/a）</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397" w:hRule="atLeast"/>
              </w:trPr>
              <w:tc>
                <w:tcPr>
                  <w:tcW w:w="775" w:type="pct"/>
                  <w:noWrap w:val="0"/>
                  <w:vAlign w:val="center"/>
                </w:tcPr>
                <w:p>
                  <w:pPr>
                    <w:pStyle w:val="32"/>
                    <w:keepNext w:val="0"/>
                    <w:keepLines w:val="0"/>
                    <w:pageBreakBefore w:val="0"/>
                    <w:kinsoku/>
                    <w:wordWrap/>
                    <w:overflowPunct/>
                    <w:topLinePunct w:val="0"/>
                    <w:bidi w:val="0"/>
                    <w:adjustRightInd w:val="0"/>
                    <w:snapToGrid w:val="0"/>
                    <w:spacing w:line="240" w:lineRule="auto"/>
                    <w:ind w:firstLine="0" w:firstLineChars="0"/>
                    <w:jc w:val="center"/>
                    <w:textAlignment w:val="top"/>
                    <w:rPr>
                      <w:rFonts w:hint="default" w:ascii="Times New Roman" w:hAnsi="Times New Roman" w:eastAsiaTheme="minorEastAsia" w:cstheme="minorBidi"/>
                      <w:b w:val="0"/>
                      <w:bCs w:val="0"/>
                      <w:color w:val="auto"/>
                      <w:kern w:val="2"/>
                      <w:sz w:val="21"/>
                      <w:szCs w:val="21"/>
                      <w:u w:val="none"/>
                      <w:lang w:val="en-US" w:eastAsia="zh-CN" w:bidi="ar-SA"/>
                    </w:rPr>
                  </w:pPr>
                  <w:r>
                    <w:rPr>
                      <w:rFonts w:hint="default" w:ascii="Times New Roman" w:hAnsi="Times New Roman" w:eastAsiaTheme="minorEastAsia" w:cstheme="minorBidi"/>
                      <w:b w:val="0"/>
                      <w:bCs w:val="0"/>
                      <w:color w:val="auto"/>
                      <w:kern w:val="2"/>
                      <w:sz w:val="21"/>
                      <w:szCs w:val="21"/>
                      <w:u w:val="none"/>
                      <w:lang w:val="en-US" w:eastAsia="zh-CN" w:bidi="ar-SA"/>
                    </w:rPr>
                    <w:t>员工办公</w:t>
                  </w:r>
                  <w:r>
                    <w:rPr>
                      <w:rFonts w:hint="eastAsia" w:ascii="Times New Roman" w:hAnsi="Times New Roman" w:eastAsiaTheme="minorEastAsia" w:cstheme="minorBidi"/>
                      <w:b w:val="0"/>
                      <w:bCs w:val="0"/>
                      <w:color w:val="auto"/>
                      <w:kern w:val="2"/>
                      <w:sz w:val="21"/>
                      <w:szCs w:val="21"/>
                      <w:u w:val="none"/>
                      <w:lang w:val="en-US" w:eastAsia="zh-CN" w:bidi="ar-SA"/>
                    </w:rPr>
                    <w:t>生活</w:t>
                  </w:r>
                </w:p>
              </w:tc>
              <w:tc>
                <w:tcPr>
                  <w:tcW w:w="911" w:type="pct"/>
                  <w:noWrap w:val="0"/>
                  <w:vAlign w:val="center"/>
                </w:tcPr>
                <w:p>
                  <w:pPr>
                    <w:pStyle w:val="32"/>
                    <w:keepNext w:val="0"/>
                    <w:keepLines w:val="0"/>
                    <w:pageBreakBefore w:val="0"/>
                    <w:kinsoku/>
                    <w:wordWrap/>
                    <w:overflowPunct/>
                    <w:topLinePunct w:val="0"/>
                    <w:bidi w:val="0"/>
                    <w:adjustRightInd w:val="0"/>
                    <w:snapToGrid w:val="0"/>
                    <w:spacing w:line="240" w:lineRule="auto"/>
                    <w:ind w:firstLine="0" w:firstLineChars="0"/>
                    <w:jc w:val="center"/>
                    <w:textAlignment w:val="top"/>
                    <w:rPr>
                      <w:rFonts w:hint="default" w:ascii="Times New Roman" w:hAnsi="Times New Roman" w:eastAsiaTheme="minorEastAsia" w:cstheme="minorBidi"/>
                      <w:b w:val="0"/>
                      <w:bCs w:val="0"/>
                      <w:color w:val="auto"/>
                      <w:kern w:val="2"/>
                      <w:sz w:val="21"/>
                      <w:szCs w:val="21"/>
                      <w:u w:val="none"/>
                      <w:lang w:val="en-US" w:eastAsia="zh-CN" w:bidi="ar-SA"/>
                    </w:rPr>
                  </w:pPr>
                  <w:r>
                    <w:rPr>
                      <w:rFonts w:hint="default" w:ascii="Times New Roman" w:hAnsi="Times New Roman" w:eastAsiaTheme="minorEastAsia" w:cstheme="minorBidi"/>
                      <w:b w:val="0"/>
                      <w:bCs w:val="0"/>
                      <w:color w:val="auto"/>
                      <w:kern w:val="2"/>
                      <w:sz w:val="21"/>
                      <w:szCs w:val="21"/>
                      <w:u w:val="none"/>
                      <w:lang w:val="en-US" w:eastAsia="zh-CN" w:bidi="ar-SA"/>
                    </w:rPr>
                    <w:t>生活垃圾</w:t>
                  </w:r>
                </w:p>
              </w:tc>
              <w:tc>
                <w:tcPr>
                  <w:tcW w:w="650" w:type="pct"/>
                  <w:vMerge w:val="restart"/>
                  <w:noWrap w:val="0"/>
                  <w:vAlign w:val="center"/>
                </w:tcPr>
                <w:p>
                  <w:pPr>
                    <w:pStyle w:val="32"/>
                    <w:keepNext w:val="0"/>
                    <w:keepLines w:val="0"/>
                    <w:pageBreakBefore w:val="0"/>
                    <w:kinsoku/>
                    <w:wordWrap/>
                    <w:overflowPunct/>
                    <w:topLinePunct w:val="0"/>
                    <w:bidi w:val="0"/>
                    <w:adjustRightInd w:val="0"/>
                    <w:snapToGrid w:val="0"/>
                    <w:spacing w:line="240" w:lineRule="auto"/>
                    <w:ind w:firstLine="0" w:firstLineChars="0"/>
                    <w:jc w:val="center"/>
                    <w:textAlignment w:val="top"/>
                    <w:rPr>
                      <w:rFonts w:hint="default" w:ascii="Times New Roman" w:hAnsi="Times New Roman" w:eastAsiaTheme="minorEastAsia" w:cstheme="minorBidi"/>
                      <w:b w:val="0"/>
                      <w:bCs w:val="0"/>
                      <w:color w:val="auto"/>
                      <w:kern w:val="2"/>
                      <w:sz w:val="21"/>
                      <w:szCs w:val="21"/>
                      <w:u w:val="none"/>
                      <w:lang w:val="en-US" w:eastAsia="zh-CN" w:bidi="ar-SA"/>
                    </w:rPr>
                  </w:pPr>
                  <w:r>
                    <w:rPr>
                      <w:rFonts w:hint="default" w:ascii="Times New Roman" w:hAnsi="Times New Roman" w:eastAsiaTheme="minorEastAsia" w:cstheme="minorBidi"/>
                      <w:b w:val="0"/>
                      <w:bCs w:val="0"/>
                      <w:color w:val="auto"/>
                      <w:kern w:val="2"/>
                      <w:sz w:val="21"/>
                      <w:szCs w:val="21"/>
                      <w:u w:val="none"/>
                      <w:lang w:val="en-US" w:eastAsia="zh-CN" w:bidi="ar-SA"/>
                    </w:rPr>
                    <w:t>生活垃圾</w:t>
                  </w:r>
                </w:p>
              </w:tc>
              <w:tc>
                <w:tcPr>
                  <w:tcW w:w="1010" w:type="pct"/>
                  <w:noWrap w:val="0"/>
                  <w:vAlign w:val="center"/>
                </w:tcPr>
                <w:p>
                  <w:pPr>
                    <w:pStyle w:val="32"/>
                    <w:keepNext w:val="0"/>
                    <w:keepLines w:val="0"/>
                    <w:pageBreakBefore w:val="0"/>
                    <w:kinsoku/>
                    <w:wordWrap/>
                    <w:overflowPunct/>
                    <w:topLinePunct w:val="0"/>
                    <w:bidi w:val="0"/>
                    <w:adjustRightInd w:val="0"/>
                    <w:snapToGrid w:val="0"/>
                    <w:spacing w:line="240" w:lineRule="auto"/>
                    <w:ind w:firstLine="0" w:firstLineChars="0"/>
                    <w:jc w:val="center"/>
                    <w:textAlignment w:val="top"/>
                    <w:rPr>
                      <w:rFonts w:hint="default" w:ascii="Times New Roman" w:hAnsi="Times New Roman" w:eastAsiaTheme="minorEastAsia" w:cstheme="minorBidi"/>
                      <w:b w:val="0"/>
                      <w:bCs w:val="0"/>
                      <w:color w:val="auto"/>
                      <w:kern w:val="2"/>
                      <w:sz w:val="21"/>
                      <w:szCs w:val="21"/>
                      <w:u w:val="none"/>
                      <w:lang w:val="en-US" w:eastAsia="zh-CN" w:bidi="ar-SA"/>
                    </w:rPr>
                  </w:pPr>
                  <w:r>
                    <w:rPr>
                      <w:rFonts w:hint="default" w:ascii="Times New Roman" w:hAnsi="Times New Roman" w:eastAsiaTheme="minorEastAsia" w:cstheme="minorBidi"/>
                      <w:b w:val="0"/>
                      <w:bCs w:val="0"/>
                      <w:color w:val="auto"/>
                      <w:kern w:val="2"/>
                      <w:sz w:val="21"/>
                      <w:szCs w:val="21"/>
                      <w:u w:val="none"/>
                      <w:lang w:val="en-US" w:eastAsia="zh-CN" w:bidi="ar-SA"/>
                    </w:rPr>
                    <w:t>2.7375t/a</w:t>
                  </w:r>
                </w:p>
              </w:tc>
              <w:tc>
                <w:tcPr>
                  <w:tcW w:w="1120" w:type="pct"/>
                  <w:gridSpan w:val="2"/>
                  <w:vMerge w:val="restart"/>
                  <w:noWrap w:val="0"/>
                  <w:vAlign w:val="center"/>
                </w:tcPr>
                <w:p>
                  <w:pPr>
                    <w:pStyle w:val="32"/>
                    <w:keepNext w:val="0"/>
                    <w:keepLines w:val="0"/>
                    <w:pageBreakBefore w:val="0"/>
                    <w:kinsoku/>
                    <w:wordWrap/>
                    <w:overflowPunct/>
                    <w:topLinePunct w:val="0"/>
                    <w:bidi w:val="0"/>
                    <w:adjustRightInd w:val="0"/>
                    <w:snapToGrid w:val="0"/>
                    <w:spacing w:line="240" w:lineRule="auto"/>
                    <w:ind w:firstLine="0" w:firstLineChars="0"/>
                    <w:jc w:val="center"/>
                    <w:textAlignment w:val="top"/>
                    <w:rPr>
                      <w:rFonts w:hint="eastAsia" w:ascii="Times New Roman" w:hAnsi="Times New Roman" w:eastAsia="黑体" w:cstheme="minorBidi"/>
                      <w:b w:val="0"/>
                      <w:bCs w:val="0"/>
                      <w:color w:val="auto"/>
                      <w:kern w:val="2"/>
                      <w:sz w:val="21"/>
                      <w:szCs w:val="21"/>
                      <w:u w:val="none"/>
                      <w:lang w:val="en-US" w:eastAsia="zh-CN" w:bidi="ar-SA"/>
                    </w:rPr>
                  </w:pPr>
                  <w:r>
                    <w:rPr>
                      <w:rFonts w:hint="default" w:ascii="Times New Roman" w:hAnsi="Times New Roman" w:eastAsiaTheme="minorEastAsia" w:cstheme="minorBidi"/>
                      <w:b w:val="0"/>
                      <w:bCs w:val="0"/>
                      <w:color w:val="auto"/>
                      <w:kern w:val="2"/>
                      <w:sz w:val="21"/>
                      <w:szCs w:val="21"/>
                      <w:u w:val="none"/>
                      <w:lang w:val="en-US" w:eastAsia="zh-CN" w:bidi="ar-SA"/>
                    </w:rPr>
                    <w:t>定期清运</w:t>
                  </w:r>
                  <w:r>
                    <w:rPr>
                      <w:rFonts w:hint="eastAsia" w:ascii="Times New Roman" w:hAnsi="Times New Roman" w:eastAsiaTheme="minorEastAsia" w:cstheme="minorBidi"/>
                      <w:b w:val="0"/>
                      <w:bCs w:val="0"/>
                      <w:color w:val="auto"/>
                      <w:kern w:val="2"/>
                      <w:sz w:val="21"/>
                      <w:szCs w:val="21"/>
                      <w:u w:val="none"/>
                      <w:lang w:val="en-US" w:eastAsia="zh-CN" w:bidi="ar-SA"/>
                    </w:rPr>
                    <w:t>至</w:t>
                  </w:r>
                  <w:r>
                    <w:rPr>
                      <w:rFonts w:hint="default" w:ascii="Times New Roman" w:hAnsi="Times New Roman" w:eastAsiaTheme="minorEastAsia" w:cstheme="minorBidi"/>
                      <w:b w:val="0"/>
                      <w:bCs w:val="0"/>
                      <w:color w:val="auto"/>
                      <w:kern w:val="2"/>
                      <w:sz w:val="21"/>
                      <w:szCs w:val="21"/>
                      <w:u w:val="none"/>
                      <w:lang w:val="en-US" w:eastAsia="zh-CN" w:bidi="ar-SA"/>
                    </w:rPr>
                    <w:t>环卫部门</w:t>
                  </w:r>
                  <w:r>
                    <w:rPr>
                      <w:rFonts w:hint="eastAsia" w:ascii="Times New Roman" w:hAnsi="Times New Roman" w:eastAsiaTheme="minorEastAsia" w:cstheme="minorBidi"/>
                      <w:b w:val="0"/>
                      <w:bCs w:val="0"/>
                      <w:color w:val="auto"/>
                      <w:kern w:val="2"/>
                      <w:sz w:val="21"/>
                      <w:szCs w:val="21"/>
                      <w:u w:val="none"/>
                      <w:lang w:val="en-US" w:eastAsia="zh-CN" w:bidi="ar-SA"/>
                    </w:rPr>
                    <w:t>指定地点</w:t>
                  </w:r>
                </w:p>
              </w:tc>
              <w:tc>
                <w:tcPr>
                  <w:tcW w:w="531" w:type="pct"/>
                  <w:noWrap w:val="0"/>
                  <w:vAlign w:val="center"/>
                </w:tcPr>
                <w:p>
                  <w:pPr>
                    <w:pStyle w:val="32"/>
                    <w:keepNext w:val="0"/>
                    <w:keepLines w:val="0"/>
                    <w:pageBreakBefore w:val="0"/>
                    <w:kinsoku/>
                    <w:wordWrap/>
                    <w:overflowPunct/>
                    <w:topLinePunct w:val="0"/>
                    <w:bidi w:val="0"/>
                    <w:adjustRightInd w:val="0"/>
                    <w:snapToGrid w:val="0"/>
                    <w:spacing w:line="240" w:lineRule="auto"/>
                    <w:ind w:firstLine="0" w:firstLineChars="0"/>
                    <w:jc w:val="center"/>
                    <w:textAlignment w:val="top"/>
                    <w:rPr>
                      <w:rFonts w:hint="default" w:ascii="Times New Roman" w:hAnsi="Times New Roman" w:eastAsiaTheme="minorEastAsia" w:cstheme="minorBidi"/>
                      <w:b w:val="0"/>
                      <w:bCs w:val="0"/>
                      <w:color w:val="auto"/>
                      <w:kern w:val="2"/>
                      <w:sz w:val="21"/>
                      <w:szCs w:val="21"/>
                      <w:u w:val="none"/>
                      <w:lang w:val="en-US" w:eastAsia="zh-CN" w:bidi="ar-SA"/>
                    </w:rPr>
                  </w:pPr>
                  <w:r>
                    <w:rPr>
                      <w:rFonts w:hint="eastAsia" w:ascii="Times New Roman" w:hAnsi="Times New Roman" w:eastAsiaTheme="minorEastAsia" w:cstheme="minorBidi"/>
                      <w:b w:val="0"/>
                      <w:bCs w:val="0"/>
                      <w:color w:val="auto"/>
                      <w:kern w:val="2"/>
                      <w:sz w:val="21"/>
                      <w:szCs w:val="21"/>
                      <w:u w:val="none"/>
                      <w:lang w:val="en-US" w:eastAsia="zh-CN" w:bidi="ar-SA"/>
                    </w:rPr>
                    <w:t>0</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397" w:hRule="atLeast"/>
              </w:trPr>
              <w:tc>
                <w:tcPr>
                  <w:tcW w:w="775" w:type="pct"/>
                  <w:noWrap w:val="0"/>
                  <w:vAlign w:val="center"/>
                </w:tcPr>
                <w:p>
                  <w:pPr>
                    <w:pStyle w:val="32"/>
                    <w:keepNext w:val="0"/>
                    <w:keepLines w:val="0"/>
                    <w:pageBreakBefore w:val="0"/>
                    <w:kinsoku/>
                    <w:wordWrap/>
                    <w:overflowPunct/>
                    <w:topLinePunct w:val="0"/>
                    <w:bidi w:val="0"/>
                    <w:adjustRightInd w:val="0"/>
                    <w:snapToGrid w:val="0"/>
                    <w:spacing w:line="240" w:lineRule="auto"/>
                    <w:ind w:firstLine="0" w:firstLineChars="0"/>
                    <w:jc w:val="center"/>
                    <w:textAlignment w:val="top"/>
                    <w:rPr>
                      <w:rFonts w:hint="default" w:ascii="Times New Roman" w:hAnsi="Times New Roman" w:eastAsiaTheme="minorEastAsia" w:cstheme="minorBidi"/>
                      <w:b w:val="0"/>
                      <w:bCs w:val="0"/>
                      <w:color w:val="auto"/>
                      <w:kern w:val="2"/>
                      <w:sz w:val="21"/>
                      <w:szCs w:val="21"/>
                      <w:u w:val="none"/>
                      <w:lang w:val="en-US" w:eastAsia="zh-CN" w:bidi="ar-SA"/>
                    </w:rPr>
                  </w:pPr>
                  <w:r>
                    <w:rPr>
                      <w:rFonts w:hint="eastAsia" w:ascii="Times New Roman" w:hAnsi="Times New Roman" w:eastAsiaTheme="minorEastAsia" w:cstheme="minorBidi"/>
                      <w:b w:val="0"/>
                      <w:bCs w:val="0"/>
                      <w:color w:val="auto"/>
                      <w:kern w:val="2"/>
                      <w:sz w:val="21"/>
                      <w:szCs w:val="21"/>
                      <w:u w:val="none"/>
                      <w:lang w:val="en-US" w:eastAsia="zh-CN" w:bidi="ar-SA"/>
                    </w:rPr>
                    <w:t>生活污水处理</w:t>
                  </w:r>
                </w:p>
              </w:tc>
              <w:tc>
                <w:tcPr>
                  <w:tcW w:w="911" w:type="pct"/>
                  <w:noWrap w:val="0"/>
                  <w:vAlign w:val="center"/>
                </w:tcPr>
                <w:p>
                  <w:pPr>
                    <w:pStyle w:val="32"/>
                    <w:keepNext w:val="0"/>
                    <w:keepLines w:val="0"/>
                    <w:pageBreakBefore w:val="0"/>
                    <w:kinsoku/>
                    <w:wordWrap/>
                    <w:overflowPunct/>
                    <w:topLinePunct w:val="0"/>
                    <w:bidi w:val="0"/>
                    <w:adjustRightInd w:val="0"/>
                    <w:snapToGrid w:val="0"/>
                    <w:spacing w:line="240" w:lineRule="auto"/>
                    <w:ind w:firstLine="0" w:firstLineChars="0"/>
                    <w:jc w:val="center"/>
                    <w:textAlignment w:val="top"/>
                    <w:rPr>
                      <w:rFonts w:hint="default" w:ascii="Times New Roman" w:hAnsi="Times New Roman" w:eastAsiaTheme="minorEastAsia" w:cstheme="minorBidi"/>
                      <w:b w:val="0"/>
                      <w:bCs w:val="0"/>
                      <w:color w:val="auto"/>
                      <w:kern w:val="2"/>
                      <w:sz w:val="21"/>
                      <w:szCs w:val="21"/>
                      <w:u w:val="none"/>
                      <w:lang w:val="en-US" w:eastAsia="zh-CN" w:bidi="ar-SA"/>
                    </w:rPr>
                  </w:pPr>
                  <w:r>
                    <w:rPr>
                      <w:rFonts w:hint="eastAsia" w:ascii="Times New Roman" w:hAnsi="Times New Roman" w:eastAsiaTheme="minorEastAsia" w:cstheme="minorBidi"/>
                      <w:b w:val="0"/>
                      <w:bCs w:val="0"/>
                      <w:color w:val="auto"/>
                      <w:kern w:val="2"/>
                      <w:sz w:val="21"/>
                      <w:szCs w:val="21"/>
                      <w:u w:val="none"/>
                      <w:lang w:val="en-US" w:eastAsia="zh-CN" w:bidi="ar-SA"/>
                    </w:rPr>
                    <w:t>污水处理污泥</w:t>
                  </w:r>
                </w:p>
              </w:tc>
              <w:tc>
                <w:tcPr>
                  <w:tcW w:w="650" w:type="pct"/>
                  <w:vMerge w:val="continue"/>
                  <w:noWrap w:val="0"/>
                  <w:vAlign w:val="center"/>
                </w:tcPr>
                <w:p>
                  <w:pPr>
                    <w:pStyle w:val="32"/>
                    <w:keepNext w:val="0"/>
                    <w:keepLines w:val="0"/>
                    <w:pageBreakBefore w:val="0"/>
                    <w:kinsoku/>
                    <w:wordWrap/>
                    <w:overflowPunct/>
                    <w:topLinePunct w:val="0"/>
                    <w:bidi w:val="0"/>
                    <w:adjustRightInd w:val="0"/>
                    <w:snapToGrid w:val="0"/>
                    <w:spacing w:line="240" w:lineRule="auto"/>
                    <w:ind w:firstLine="0" w:firstLineChars="0"/>
                    <w:jc w:val="center"/>
                    <w:textAlignment w:val="top"/>
                    <w:rPr>
                      <w:rFonts w:hint="default" w:ascii="Times New Roman" w:hAnsi="Times New Roman" w:eastAsiaTheme="minorEastAsia" w:cstheme="minorBidi"/>
                      <w:b w:val="0"/>
                      <w:bCs w:val="0"/>
                      <w:color w:val="auto"/>
                      <w:kern w:val="2"/>
                      <w:sz w:val="21"/>
                      <w:szCs w:val="21"/>
                      <w:u w:val="none"/>
                      <w:lang w:val="en-US" w:eastAsia="zh-CN" w:bidi="ar-SA"/>
                    </w:rPr>
                  </w:pPr>
                </w:p>
              </w:tc>
              <w:tc>
                <w:tcPr>
                  <w:tcW w:w="1010" w:type="pct"/>
                  <w:noWrap w:val="0"/>
                  <w:vAlign w:val="center"/>
                </w:tcPr>
                <w:p>
                  <w:pPr>
                    <w:pStyle w:val="32"/>
                    <w:keepNext w:val="0"/>
                    <w:keepLines w:val="0"/>
                    <w:pageBreakBefore w:val="0"/>
                    <w:kinsoku/>
                    <w:wordWrap/>
                    <w:overflowPunct/>
                    <w:topLinePunct w:val="0"/>
                    <w:bidi w:val="0"/>
                    <w:adjustRightInd w:val="0"/>
                    <w:snapToGrid w:val="0"/>
                    <w:spacing w:line="240" w:lineRule="auto"/>
                    <w:ind w:firstLine="0" w:firstLineChars="0"/>
                    <w:jc w:val="center"/>
                    <w:textAlignment w:val="top"/>
                    <w:rPr>
                      <w:rFonts w:hint="default" w:ascii="Times New Roman" w:hAnsi="Times New Roman" w:eastAsiaTheme="minorEastAsia" w:cstheme="minorBidi"/>
                      <w:b w:val="0"/>
                      <w:bCs w:val="0"/>
                      <w:color w:val="auto"/>
                      <w:kern w:val="2"/>
                      <w:sz w:val="21"/>
                      <w:szCs w:val="21"/>
                      <w:u w:val="none"/>
                      <w:lang w:val="en-US" w:eastAsia="zh-CN" w:bidi="ar-SA"/>
                    </w:rPr>
                  </w:pPr>
                  <w:r>
                    <w:rPr>
                      <w:rFonts w:hint="eastAsia" w:ascii="Times New Roman" w:hAnsi="Times New Roman" w:eastAsiaTheme="minorEastAsia" w:cstheme="minorBidi"/>
                      <w:b w:val="0"/>
                      <w:bCs w:val="0"/>
                      <w:color w:val="auto"/>
                      <w:kern w:val="2"/>
                      <w:sz w:val="21"/>
                      <w:szCs w:val="21"/>
                      <w:u w:val="none"/>
                      <w:lang w:val="en-US" w:eastAsia="zh-CN" w:bidi="ar-SA"/>
                    </w:rPr>
                    <w:t>0.09</w:t>
                  </w:r>
                  <w:r>
                    <w:rPr>
                      <w:rFonts w:hint="default" w:ascii="Times New Roman" w:hAnsi="Times New Roman" w:eastAsiaTheme="minorEastAsia" w:cstheme="minorBidi"/>
                      <w:b w:val="0"/>
                      <w:bCs w:val="0"/>
                      <w:color w:val="auto"/>
                      <w:kern w:val="2"/>
                      <w:sz w:val="21"/>
                      <w:szCs w:val="21"/>
                      <w:u w:val="none"/>
                      <w:lang w:val="en-US" w:eastAsia="zh-CN" w:bidi="ar-SA"/>
                    </w:rPr>
                    <w:t>t/a</w:t>
                  </w:r>
                </w:p>
              </w:tc>
              <w:tc>
                <w:tcPr>
                  <w:tcW w:w="1120" w:type="pct"/>
                  <w:gridSpan w:val="2"/>
                  <w:vMerge w:val="continue"/>
                  <w:noWrap w:val="0"/>
                  <w:vAlign w:val="center"/>
                </w:tcPr>
                <w:p>
                  <w:pPr>
                    <w:pStyle w:val="32"/>
                    <w:keepNext w:val="0"/>
                    <w:keepLines w:val="0"/>
                    <w:pageBreakBefore w:val="0"/>
                    <w:kinsoku/>
                    <w:wordWrap/>
                    <w:overflowPunct/>
                    <w:topLinePunct w:val="0"/>
                    <w:bidi w:val="0"/>
                    <w:adjustRightInd w:val="0"/>
                    <w:snapToGrid w:val="0"/>
                    <w:spacing w:line="240" w:lineRule="auto"/>
                    <w:ind w:firstLine="0" w:firstLineChars="0"/>
                    <w:jc w:val="center"/>
                    <w:textAlignment w:val="top"/>
                    <w:rPr>
                      <w:rFonts w:hint="default" w:ascii="Times New Roman" w:hAnsi="Times New Roman" w:eastAsiaTheme="minorEastAsia" w:cstheme="minorBidi"/>
                      <w:b w:val="0"/>
                      <w:bCs w:val="0"/>
                      <w:color w:val="auto"/>
                      <w:kern w:val="2"/>
                      <w:sz w:val="21"/>
                      <w:szCs w:val="21"/>
                      <w:u w:val="none"/>
                      <w:lang w:val="en-US" w:eastAsia="zh-CN" w:bidi="ar-SA"/>
                    </w:rPr>
                  </w:pPr>
                </w:p>
              </w:tc>
              <w:tc>
                <w:tcPr>
                  <w:tcW w:w="531" w:type="pct"/>
                  <w:noWrap w:val="0"/>
                  <w:vAlign w:val="center"/>
                </w:tcPr>
                <w:p>
                  <w:pPr>
                    <w:pStyle w:val="32"/>
                    <w:keepNext w:val="0"/>
                    <w:keepLines w:val="0"/>
                    <w:pageBreakBefore w:val="0"/>
                    <w:kinsoku/>
                    <w:wordWrap/>
                    <w:overflowPunct/>
                    <w:topLinePunct w:val="0"/>
                    <w:bidi w:val="0"/>
                    <w:adjustRightInd w:val="0"/>
                    <w:snapToGrid w:val="0"/>
                    <w:spacing w:line="240" w:lineRule="auto"/>
                    <w:ind w:firstLine="0" w:firstLineChars="0"/>
                    <w:jc w:val="center"/>
                    <w:textAlignment w:val="top"/>
                    <w:rPr>
                      <w:rFonts w:hint="default" w:ascii="Times New Roman" w:hAnsi="Times New Roman" w:eastAsiaTheme="minorEastAsia" w:cstheme="minorBidi"/>
                      <w:b w:val="0"/>
                      <w:bCs w:val="0"/>
                      <w:color w:val="auto"/>
                      <w:kern w:val="2"/>
                      <w:sz w:val="21"/>
                      <w:szCs w:val="21"/>
                      <w:u w:val="none"/>
                      <w:lang w:val="en-US" w:eastAsia="zh-CN" w:bidi="ar-SA"/>
                    </w:rPr>
                  </w:pPr>
                  <w:r>
                    <w:rPr>
                      <w:rFonts w:hint="eastAsia" w:ascii="Times New Roman" w:hAnsi="Times New Roman" w:eastAsiaTheme="minorEastAsia" w:cstheme="minorBidi"/>
                      <w:b w:val="0"/>
                      <w:bCs w:val="0"/>
                      <w:color w:val="auto"/>
                      <w:kern w:val="2"/>
                      <w:sz w:val="21"/>
                      <w:szCs w:val="21"/>
                      <w:u w:val="none"/>
                      <w:lang w:val="en-US" w:eastAsia="zh-CN" w:bidi="ar-SA"/>
                    </w:rPr>
                    <w:t>0</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397" w:hRule="atLeast"/>
              </w:trPr>
              <w:tc>
                <w:tcPr>
                  <w:tcW w:w="775" w:type="pct"/>
                  <w:vMerge w:val="restart"/>
                  <w:noWrap w:val="0"/>
                  <w:vAlign w:val="center"/>
                </w:tcPr>
                <w:p>
                  <w:pPr>
                    <w:pStyle w:val="32"/>
                    <w:keepNext w:val="0"/>
                    <w:keepLines w:val="0"/>
                    <w:pageBreakBefore w:val="0"/>
                    <w:kinsoku/>
                    <w:wordWrap/>
                    <w:overflowPunct/>
                    <w:topLinePunct w:val="0"/>
                    <w:bidi w:val="0"/>
                    <w:adjustRightInd w:val="0"/>
                    <w:snapToGrid w:val="0"/>
                    <w:spacing w:line="240" w:lineRule="auto"/>
                    <w:ind w:firstLine="0" w:firstLineChars="0"/>
                    <w:jc w:val="center"/>
                    <w:textAlignment w:val="top"/>
                    <w:rPr>
                      <w:rFonts w:hint="default" w:ascii="Times New Roman" w:hAnsi="Times New Roman" w:eastAsiaTheme="minorEastAsia" w:cstheme="minorBidi"/>
                      <w:b w:val="0"/>
                      <w:bCs w:val="0"/>
                      <w:color w:val="auto"/>
                      <w:kern w:val="2"/>
                      <w:sz w:val="21"/>
                      <w:szCs w:val="21"/>
                      <w:u w:val="none"/>
                      <w:lang w:val="en-US" w:eastAsia="zh-CN" w:bidi="ar-SA"/>
                    </w:rPr>
                  </w:pPr>
                  <w:r>
                    <w:rPr>
                      <w:rFonts w:hint="default" w:ascii="Times New Roman" w:hAnsi="Times New Roman" w:eastAsiaTheme="minorEastAsia" w:cstheme="minorBidi"/>
                      <w:b w:val="0"/>
                      <w:bCs w:val="0"/>
                      <w:color w:val="auto"/>
                      <w:kern w:val="2"/>
                      <w:sz w:val="21"/>
                      <w:szCs w:val="21"/>
                      <w:u w:val="none"/>
                      <w:lang w:val="zh-CN" w:eastAsia="zh-CN" w:bidi="ar-SA"/>
                    </w:rPr>
                    <w:t>设备</w:t>
                  </w:r>
                  <w:r>
                    <w:rPr>
                      <w:rFonts w:hint="default" w:ascii="Times New Roman" w:hAnsi="Times New Roman" w:eastAsiaTheme="minorEastAsia" w:cstheme="minorBidi"/>
                      <w:b w:val="0"/>
                      <w:bCs w:val="0"/>
                      <w:color w:val="auto"/>
                      <w:kern w:val="2"/>
                      <w:sz w:val="21"/>
                      <w:szCs w:val="21"/>
                      <w:u w:val="none"/>
                      <w:lang w:val="en-US" w:eastAsia="zh-CN" w:bidi="ar-SA"/>
                    </w:rPr>
                    <w:t>运行</w:t>
                  </w:r>
                  <w:r>
                    <w:rPr>
                      <w:rFonts w:hint="default" w:ascii="Times New Roman" w:hAnsi="Times New Roman" w:eastAsiaTheme="minorEastAsia" w:cstheme="minorBidi"/>
                      <w:b w:val="0"/>
                      <w:bCs w:val="0"/>
                      <w:color w:val="auto"/>
                      <w:kern w:val="2"/>
                      <w:sz w:val="21"/>
                      <w:szCs w:val="21"/>
                      <w:u w:val="none"/>
                      <w:lang w:val="zh-CN" w:eastAsia="zh-CN" w:bidi="ar-SA"/>
                    </w:rPr>
                    <w:t>维修</w:t>
                  </w:r>
                </w:p>
              </w:tc>
              <w:tc>
                <w:tcPr>
                  <w:tcW w:w="911" w:type="pct"/>
                  <w:noWrap w:val="0"/>
                  <w:vAlign w:val="center"/>
                </w:tcPr>
                <w:p>
                  <w:pPr>
                    <w:keepNext w:val="0"/>
                    <w:keepLines w:val="0"/>
                    <w:pageBreakBefore w:val="0"/>
                    <w:kinsoku/>
                    <w:wordWrap/>
                    <w:overflowPunct/>
                    <w:topLinePunct w:val="0"/>
                    <w:bidi w:val="0"/>
                    <w:adjustRightInd w:val="0"/>
                    <w:snapToGrid w:val="0"/>
                    <w:spacing w:line="240" w:lineRule="auto"/>
                    <w:ind w:firstLine="0" w:firstLineChars="0"/>
                    <w:jc w:val="center"/>
                    <w:textAlignment w:val="top"/>
                    <w:rPr>
                      <w:rFonts w:hint="default" w:ascii="Times New Roman" w:hAnsi="Times New Roman" w:eastAsiaTheme="minorEastAsia" w:cstheme="minorBidi"/>
                      <w:b w:val="0"/>
                      <w:bCs w:val="0"/>
                      <w:color w:val="auto"/>
                      <w:kern w:val="2"/>
                      <w:sz w:val="21"/>
                      <w:szCs w:val="21"/>
                      <w:u w:val="none"/>
                      <w:lang w:val="en-US" w:eastAsia="zh-CN" w:bidi="ar-SA"/>
                    </w:rPr>
                  </w:pPr>
                  <w:r>
                    <w:rPr>
                      <w:rFonts w:hint="eastAsia" w:ascii="Times New Roman" w:hAnsi="Times New Roman" w:eastAsiaTheme="minorEastAsia" w:cstheme="minorBidi"/>
                      <w:b w:val="0"/>
                      <w:bCs w:val="0"/>
                      <w:color w:val="auto"/>
                      <w:kern w:val="2"/>
                      <w:sz w:val="21"/>
                      <w:szCs w:val="21"/>
                      <w:u w:val="none"/>
                      <w:lang w:val="en-US" w:eastAsia="zh-CN" w:bidi="ar-SA"/>
                    </w:rPr>
                    <w:t>废磷酸铁锂电池</w:t>
                  </w:r>
                </w:p>
              </w:tc>
              <w:tc>
                <w:tcPr>
                  <w:tcW w:w="650" w:type="pct"/>
                  <w:noWrap w:val="0"/>
                  <w:vAlign w:val="center"/>
                </w:tcPr>
                <w:p>
                  <w:pPr>
                    <w:pStyle w:val="32"/>
                    <w:keepNext w:val="0"/>
                    <w:keepLines w:val="0"/>
                    <w:pageBreakBefore w:val="0"/>
                    <w:kinsoku/>
                    <w:wordWrap/>
                    <w:overflowPunct/>
                    <w:topLinePunct w:val="0"/>
                    <w:bidi w:val="0"/>
                    <w:adjustRightInd w:val="0"/>
                    <w:snapToGrid w:val="0"/>
                    <w:spacing w:line="240" w:lineRule="auto"/>
                    <w:ind w:firstLine="0" w:firstLineChars="0"/>
                    <w:jc w:val="center"/>
                    <w:textAlignment w:val="top"/>
                    <w:rPr>
                      <w:rFonts w:hint="default" w:ascii="Times New Roman" w:hAnsi="Times New Roman" w:eastAsiaTheme="minorEastAsia" w:cstheme="minorBidi"/>
                      <w:b w:val="0"/>
                      <w:bCs w:val="0"/>
                      <w:color w:val="auto"/>
                      <w:kern w:val="2"/>
                      <w:sz w:val="21"/>
                      <w:szCs w:val="21"/>
                      <w:u w:val="none"/>
                      <w:lang w:val="en-US" w:eastAsia="zh-CN" w:bidi="ar-SA"/>
                    </w:rPr>
                  </w:pPr>
                  <w:r>
                    <w:rPr>
                      <w:rFonts w:hint="default" w:ascii="Times New Roman" w:hAnsi="Times New Roman" w:eastAsiaTheme="minorEastAsia" w:cstheme="minorBidi"/>
                      <w:b w:val="0"/>
                      <w:bCs w:val="0"/>
                      <w:color w:val="auto"/>
                      <w:kern w:val="2"/>
                      <w:sz w:val="21"/>
                      <w:szCs w:val="21"/>
                      <w:u w:val="none"/>
                      <w:lang w:val="en-US" w:eastAsia="zh-CN" w:bidi="ar-SA"/>
                    </w:rPr>
                    <w:t>一般工业固体废物</w:t>
                  </w:r>
                </w:p>
              </w:tc>
              <w:tc>
                <w:tcPr>
                  <w:tcW w:w="1010" w:type="pct"/>
                  <w:noWrap w:val="0"/>
                  <w:vAlign w:val="center"/>
                </w:tcPr>
                <w:p>
                  <w:pPr>
                    <w:keepNext w:val="0"/>
                    <w:keepLines w:val="0"/>
                    <w:pageBreakBefore w:val="0"/>
                    <w:kinsoku/>
                    <w:wordWrap/>
                    <w:overflowPunct/>
                    <w:topLinePunct w:val="0"/>
                    <w:bidi w:val="0"/>
                    <w:adjustRightInd w:val="0"/>
                    <w:snapToGrid w:val="0"/>
                    <w:spacing w:line="240" w:lineRule="auto"/>
                    <w:ind w:firstLine="0" w:firstLineChars="0"/>
                    <w:jc w:val="center"/>
                    <w:textAlignment w:val="top"/>
                    <w:rPr>
                      <w:rFonts w:hint="default" w:ascii="Times New Roman" w:hAnsi="Times New Roman" w:eastAsiaTheme="minorEastAsia" w:cstheme="minorBidi"/>
                      <w:b w:val="0"/>
                      <w:bCs w:val="0"/>
                      <w:color w:val="auto"/>
                      <w:kern w:val="2"/>
                      <w:sz w:val="21"/>
                      <w:szCs w:val="21"/>
                      <w:u w:val="none"/>
                      <w:lang w:val="en-US" w:eastAsia="zh-CN" w:bidi="ar-SA"/>
                    </w:rPr>
                  </w:pPr>
                  <w:r>
                    <w:rPr>
                      <w:rFonts w:hint="default" w:ascii="Times New Roman" w:hAnsi="Times New Roman" w:cs="Times New Roman" w:eastAsiaTheme="minorEastAsia"/>
                      <w:b w:val="0"/>
                      <w:bCs w:val="0"/>
                      <w:color w:val="000000"/>
                      <w:kern w:val="0"/>
                      <w:sz w:val="21"/>
                      <w:szCs w:val="21"/>
                      <w:u w:val="none"/>
                      <w:lang w:val="en-US" w:eastAsia="zh-CN" w:bidi="ar"/>
                    </w:rPr>
                    <w:t>130Ah</w:t>
                  </w:r>
                  <w:r>
                    <w:rPr>
                      <w:rFonts w:hint="eastAsia" w:cs="Times New Roman"/>
                      <w:b w:val="0"/>
                      <w:bCs w:val="0"/>
                      <w:color w:val="000000"/>
                      <w:kern w:val="0"/>
                      <w:sz w:val="21"/>
                      <w:szCs w:val="21"/>
                      <w:u w:val="none"/>
                      <w:lang w:val="en-US" w:eastAsia="zh-CN" w:bidi="ar"/>
                    </w:rPr>
                    <w:t xml:space="preserve"> 6480个/（15a）</w:t>
                  </w:r>
                </w:p>
              </w:tc>
              <w:tc>
                <w:tcPr>
                  <w:tcW w:w="1120" w:type="pct"/>
                  <w:gridSpan w:val="2"/>
                  <w:noWrap w:val="0"/>
                  <w:vAlign w:val="center"/>
                </w:tcPr>
                <w:p>
                  <w:pPr>
                    <w:keepNext w:val="0"/>
                    <w:keepLines w:val="0"/>
                    <w:pageBreakBefore w:val="0"/>
                    <w:widowControl/>
                    <w:kinsoku/>
                    <w:wordWrap/>
                    <w:overflowPunct/>
                    <w:topLinePunct w:val="0"/>
                    <w:bidi w:val="0"/>
                    <w:adjustRightInd w:val="0"/>
                    <w:snapToGrid w:val="0"/>
                    <w:spacing w:line="240" w:lineRule="auto"/>
                    <w:ind w:firstLine="0" w:firstLineChars="0"/>
                    <w:jc w:val="center"/>
                    <w:textAlignment w:val="top"/>
                    <w:rPr>
                      <w:rFonts w:hint="default" w:ascii="Times New Roman" w:hAnsi="Times New Roman" w:eastAsiaTheme="minorEastAsia" w:cstheme="minorBidi"/>
                      <w:b w:val="0"/>
                      <w:bCs w:val="0"/>
                      <w:color w:val="auto"/>
                      <w:kern w:val="2"/>
                      <w:sz w:val="21"/>
                      <w:szCs w:val="21"/>
                      <w:u w:val="none"/>
                      <w:lang w:val="en-US" w:eastAsia="zh-CN" w:bidi="ar-SA"/>
                    </w:rPr>
                  </w:pPr>
                  <w:r>
                    <w:rPr>
                      <w:rFonts w:hint="default" w:ascii="Times New Roman" w:hAnsi="Times New Roman" w:eastAsiaTheme="minorEastAsia" w:cstheme="minorBidi"/>
                      <w:b w:val="0"/>
                      <w:bCs w:val="0"/>
                      <w:color w:val="auto"/>
                      <w:kern w:val="2"/>
                      <w:sz w:val="21"/>
                      <w:szCs w:val="21"/>
                      <w:u w:val="none"/>
                      <w:lang w:val="en-US" w:eastAsia="zh-CN" w:bidi="ar-SA"/>
                    </w:rPr>
                    <w:t>厂家回收</w:t>
                  </w:r>
                </w:p>
              </w:tc>
              <w:tc>
                <w:tcPr>
                  <w:tcW w:w="531" w:type="pct"/>
                  <w:noWrap w:val="0"/>
                  <w:vAlign w:val="center"/>
                </w:tcPr>
                <w:p>
                  <w:pPr>
                    <w:pStyle w:val="32"/>
                    <w:keepNext w:val="0"/>
                    <w:keepLines w:val="0"/>
                    <w:pageBreakBefore w:val="0"/>
                    <w:kinsoku/>
                    <w:wordWrap/>
                    <w:overflowPunct/>
                    <w:topLinePunct w:val="0"/>
                    <w:bidi w:val="0"/>
                    <w:adjustRightInd w:val="0"/>
                    <w:snapToGrid w:val="0"/>
                    <w:spacing w:line="240" w:lineRule="auto"/>
                    <w:ind w:firstLine="0" w:firstLineChars="0"/>
                    <w:jc w:val="center"/>
                    <w:textAlignment w:val="top"/>
                    <w:rPr>
                      <w:rFonts w:hint="default" w:ascii="Times New Roman" w:hAnsi="Times New Roman" w:eastAsiaTheme="minorEastAsia" w:cstheme="minorBidi"/>
                      <w:b w:val="0"/>
                      <w:bCs w:val="0"/>
                      <w:color w:val="auto"/>
                      <w:kern w:val="2"/>
                      <w:sz w:val="21"/>
                      <w:szCs w:val="21"/>
                      <w:u w:val="none"/>
                      <w:lang w:val="en-US" w:eastAsia="zh-CN" w:bidi="ar-SA"/>
                    </w:rPr>
                  </w:pPr>
                  <w:r>
                    <w:rPr>
                      <w:rFonts w:hint="default" w:ascii="Times New Roman" w:hAnsi="Times New Roman" w:eastAsiaTheme="minorEastAsia" w:cstheme="minorBidi"/>
                      <w:b w:val="0"/>
                      <w:bCs w:val="0"/>
                      <w:color w:val="auto"/>
                      <w:kern w:val="2"/>
                      <w:sz w:val="21"/>
                      <w:szCs w:val="21"/>
                      <w:u w:val="none"/>
                      <w:lang w:val="en-US" w:eastAsia="zh-CN" w:bidi="ar-SA"/>
                    </w:rPr>
                    <w:t>0</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397" w:hRule="atLeast"/>
              </w:trPr>
              <w:tc>
                <w:tcPr>
                  <w:tcW w:w="775" w:type="pct"/>
                  <w:vMerge w:val="continue"/>
                  <w:noWrap w:val="0"/>
                  <w:vAlign w:val="center"/>
                </w:tcPr>
                <w:p>
                  <w:pPr>
                    <w:pStyle w:val="32"/>
                    <w:keepNext w:val="0"/>
                    <w:keepLines w:val="0"/>
                    <w:pageBreakBefore w:val="0"/>
                    <w:kinsoku/>
                    <w:wordWrap/>
                    <w:overflowPunct/>
                    <w:topLinePunct w:val="0"/>
                    <w:bidi w:val="0"/>
                    <w:adjustRightInd w:val="0"/>
                    <w:snapToGrid w:val="0"/>
                    <w:spacing w:line="240" w:lineRule="auto"/>
                    <w:ind w:firstLine="0" w:firstLineChars="0"/>
                    <w:jc w:val="center"/>
                    <w:textAlignment w:val="top"/>
                    <w:rPr>
                      <w:rFonts w:hint="default" w:ascii="Times New Roman" w:hAnsi="Times New Roman" w:eastAsiaTheme="minorEastAsia" w:cstheme="minorBidi"/>
                      <w:b w:val="0"/>
                      <w:bCs w:val="0"/>
                      <w:color w:val="auto"/>
                      <w:kern w:val="2"/>
                      <w:sz w:val="21"/>
                      <w:szCs w:val="21"/>
                      <w:u w:val="none"/>
                      <w:lang w:val="en-US" w:eastAsia="zh-CN" w:bidi="ar-SA"/>
                    </w:rPr>
                  </w:pPr>
                </w:p>
              </w:tc>
              <w:tc>
                <w:tcPr>
                  <w:tcW w:w="911" w:type="pct"/>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rPr>
                      <w:rFonts w:hint="default" w:ascii="Times New Roman" w:hAnsi="Times New Roman" w:eastAsiaTheme="minorEastAsia" w:cstheme="minorBidi"/>
                      <w:b w:val="0"/>
                      <w:bCs w:val="0"/>
                      <w:kern w:val="2"/>
                      <w:sz w:val="21"/>
                      <w:szCs w:val="21"/>
                      <w:u w:val="none"/>
                      <w:lang w:val="en-US" w:eastAsia="zh-CN" w:bidi="ar-SA"/>
                    </w:rPr>
                  </w:pPr>
                  <w:r>
                    <w:rPr>
                      <w:b w:val="0"/>
                      <w:bCs w:val="0"/>
                      <w:sz w:val="21"/>
                      <w:szCs w:val="21"/>
                      <w:u w:val="none"/>
                    </w:rPr>
                    <w:t>废</w:t>
                  </w:r>
                  <w:r>
                    <w:rPr>
                      <w:rFonts w:hint="eastAsia"/>
                      <w:b w:val="0"/>
                      <w:bCs w:val="0"/>
                      <w:sz w:val="21"/>
                      <w:szCs w:val="21"/>
                      <w:u w:val="none"/>
                      <w:lang w:val="en-US" w:eastAsia="zh-CN"/>
                    </w:rPr>
                    <w:t>变压器</w:t>
                  </w:r>
                  <w:r>
                    <w:rPr>
                      <w:b w:val="0"/>
                      <w:bCs w:val="0"/>
                      <w:sz w:val="21"/>
                      <w:szCs w:val="21"/>
                      <w:u w:val="none"/>
                    </w:rPr>
                    <w:t>油</w:t>
                  </w:r>
                </w:p>
              </w:tc>
              <w:tc>
                <w:tcPr>
                  <w:tcW w:w="650" w:type="pct"/>
                  <w:vMerge w:val="restart"/>
                  <w:noWrap w:val="0"/>
                  <w:vAlign w:val="center"/>
                </w:tcPr>
                <w:p>
                  <w:pPr>
                    <w:pStyle w:val="32"/>
                    <w:keepNext w:val="0"/>
                    <w:keepLines w:val="0"/>
                    <w:pageBreakBefore w:val="0"/>
                    <w:kinsoku/>
                    <w:wordWrap/>
                    <w:overflowPunct/>
                    <w:topLinePunct w:val="0"/>
                    <w:bidi w:val="0"/>
                    <w:adjustRightInd w:val="0"/>
                    <w:snapToGrid w:val="0"/>
                    <w:spacing w:line="240" w:lineRule="auto"/>
                    <w:ind w:firstLine="0" w:firstLineChars="0"/>
                    <w:jc w:val="center"/>
                    <w:textAlignment w:val="top"/>
                    <w:rPr>
                      <w:rFonts w:hint="default" w:ascii="Times New Roman" w:hAnsi="Times New Roman" w:eastAsiaTheme="minorEastAsia" w:cstheme="minorBidi"/>
                      <w:b w:val="0"/>
                      <w:bCs w:val="0"/>
                      <w:color w:val="auto"/>
                      <w:kern w:val="2"/>
                      <w:sz w:val="21"/>
                      <w:szCs w:val="21"/>
                      <w:u w:val="none"/>
                      <w:lang w:val="en-US" w:eastAsia="zh-CN" w:bidi="ar-SA"/>
                    </w:rPr>
                  </w:pPr>
                  <w:r>
                    <w:rPr>
                      <w:rFonts w:hint="default" w:ascii="Times New Roman" w:hAnsi="Times New Roman" w:eastAsiaTheme="minorEastAsia" w:cstheme="minorBidi"/>
                      <w:b w:val="0"/>
                      <w:bCs w:val="0"/>
                      <w:color w:val="auto"/>
                      <w:kern w:val="2"/>
                      <w:sz w:val="21"/>
                      <w:szCs w:val="21"/>
                      <w:u w:val="none"/>
                      <w:lang w:val="en-US" w:eastAsia="zh-CN" w:bidi="ar-SA"/>
                    </w:rPr>
                    <w:t>危险废物</w:t>
                  </w:r>
                </w:p>
              </w:tc>
              <w:tc>
                <w:tcPr>
                  <w:tcW w:w="1010" w:type="pct"/>
                  <w:noWrap w:val="0"/>
                  <w:vAlign w:val="center"/>
                </w:tcPr>
                <w:p>
                  <w:pPr>
                    <w:pStyle w:val="32"/>
                    <w:keepNext w:val="0"/>
                    <w:keepLines w:val="0"/>
                    <w:pageBreakBefore w:val="0"/>
                    <w:kinsoku/>
                    <w:wordWrap/>
                    <w:overflowPunct/>
                    <w:topLinePunct w:val="0"/>
                    <w:bidi w:val="0"/>
                    <w:adjustRightInd w:val="0"/>
                    <w:snapToGrid w:val="0"/>
                    <w:spacing w:line="240" w:lineRule="auto"/>
                    <w:ind w:firstLine="0" w:firstLineChars="0"/>
                    <w:jc w:val="center"/>
                    <w:textAlignment w:val="top"/>
                    <w:rPr>
                      <w:rFonts w:hint="default" w:ascii="Times New Roman" w:hAnsi="Times New Roman" w:eastAsiaTheme="minorEastAsia" w:cstheme="minorBidi"/>
                      <w:b w:val="0"/>
                      <w:bCs w:val="0"/>
                      <w:color w:val="auto"/>
                      <w:kern w:val="2"/>
                      <w:sz w:val="21"/>
                      <w:szCs w:val="21"/>
                      <w:u w:val="none"/>
                      <w:lang w:val="en-US" w:eastAsia="zh-CN" w:bidi="ar-SA"/>
                    </w:rPr>
                  </w:pPr>
                  <w:r>
                    <w:rPr>
                      <w:rFonts w:hint="eastAsia" w:ascii="Times New Roman" w:hAnsi="Times New Roman" w:eastAsiaTheme="minorEastAsia" w:cstheme="minorBidi"/>
                      <w:b w:val="0"/>
                      <w:bCs w:val="0"/>
                      <w:color w:val="auto"/>
                      <w:kern w:val="2"/>
                      <w:sz w:val="21"/>
                      <w:szCs w:val="21"/>
                      <w:u w:val="none"/>
                      <w:lang w:val="en-US" w:eastAsia="zh-CN" w:bidi="ar-SA"/>
                    </w:rPr>
                    <w:t>0.5</w:t>
                  </w:r>
                  <w:r>
                    <w:rPr>
                      <w:rFonts w:hint="default" w:ascii="Times New Roman" w:hAnsi="Times New Roman" w:eastAsiaTheme="minorEastAsia" w:cstheme="minorBidi"/>
                      <w:b w:val="0"/>
                      <w:bCs w:val="0"/>
                      <w:color w:val="auto"/>
                      <w:kern w:val="2"/>
                      <w:sz w:val="21"/>
                      <w:szCs w:val="21"/>
                      <w:u w:val="none"/>
                      <w:lang w:val="en-US" w:eastAsia="zh-CN" w:bidi="ar-SA"/>
                    </w:rPr>
                    <w:t>t/a</w:t>
                  </w:r>
                </w:p>
              </w:tc>
              <w:tc>
                <w:tcPr>
                  <w:tcW w:w="557" w:type="pct"/>
                  <w:vMerge w:val="restart"/>
                  <w:noWrap w:val="0"/>
                  <w:vAlign w:val="center"/>
                </w:tcPr>
                <w:p>
                  <w:pPr>
                    <w:keepNext w:val="0"/>
                    <w:keepLines w:val="0"/>
                    <w:pageBreakBefore w:val="0"/>
                    <w:widowControl/>
                    <w:kinsoku/>
                    <w:wordWrap/>
                    <w:overflowPunct/>
                    <w:topLinePunct w:val="0"/>
                    <w:bidi w:val="0"/>
                    <w:adjustRightInd w:val="0"/>
                    <w:snapToGrid w:val="0"/>
                    <w:spacing w:line="240" w:lineRule="auto"/>
                    <w:ind w:firstLine="0" w:firstLineChars="0"/>
                    <w:jc w:val="center"/>
                    <w:textAlignment w:val="top"/>
                    <w:rPr>
                      <w:rFonts w:hint="default" w:ascii="Times New Roman" w:hAnsi="Times New Roman" w:eastAsiaTheme="minorEastAsia" w:cstheme="minorBidi"/>
                      <w:b w:val="0"/>
                      <w:bCs w:val="0"/>
                      <w:color w:val="auto"/>
                      <w:kern w:val="2"/>
                      <w:sz w:val="21"/>
                      <w:szCs w:val="21"/>
                      <w:u w:val="none"/>
                      <w:lang w:val="en-US" w:eastAsia="zh-CN" w:bidi="ar-SA"/>
                    </w:rPr>
                  </w:pPr>
                  <w:r>
                    <w:rPr>
                      <w:rFonts w:hint="default" w:ascii="Times New Roman" w:hAnsi="Times New Roman" w:eastAsiaTheme="minorEastAsia" w:cstheme="minorBidi"/>
                      <w:b w:val="0"/>
                      <w:bCs w:val="0"/>
                      <w:color w:val="auto"/>
                      <w:kern w:val="2"/>
                      <w:sz w:val="21"/>
                      <w:szCs w:val="21"/>
                      <w:u w:val="none"/>
                      <w:lang w:val="en-US" w:eastAsia="zh-CN" w:bidi="ar-SA"/>
                    </w:rPr>
                    <w:t>委托资质单位处置</w:t>
                  </w:r>
                </w:p>
              </w:tc>
              <w:tc>
                <w:tcPr>
                  <w:tcW w:w="563" w:type="pct"/>
                  <w:vMerge w:val="restart"/>
                  <w:noWrap w:val="0"/>
                  <w:vAlign w:val="center"/>
                </w:tcPr>
                <w:p>
                  <w:pPr>
                    <w:keepNext w:val="0"/>
                    <w:keepLines w:val="0"/>
                    <w:pageBreakBefore w:val="0"/>
                    <w:widowControl/>
                    <w:kinsoku/>
                    <w:wordWrap/>
                    <w:overflowPunct/>
                    <w:topLinePunct w:val="0"/>
                    <w:bidi w:val="0"/>
                    <w:adjustRightInd w:val="0"/>
                    <w:snapToGrid w:val="0"/>
                    <w:spacing w:line="240" w:lineRule="auto"/>
                    <w:ind w:firstLine="0" w:firstLineChars="0"/>
                    <w:jc w:val="center"/>
                    <w:textAlignment w:val="top"/>
                    <w:rPr>
                      <w:rFonts w:hint="default" w:ascii="Times New Roman" w:hAnsi="Times New Roman" w:eastAsiaTheme="minorEastAsia" w:cstheme="minorBidi"/>
                      <w:b w:val="0"/>
                      <w:bCs w:val="0"/>
                      <w:color w:val="auto"/>
                      <w:kern w:val="2"/>
                      <w:sz w:val="21"/>
                      <w:szCs w:val="21"/>
                      <w:u w:val="none"/>
                      <w:lang w:val="en-US" w:eastAsia="zh-CN" w:bidi="ar-SA"/>
                    </w:rPr>
                  </w:pPr>
                  <w:r>
                    <w:rPr>
                      <w:rFonts w:hint="default" w:ascii="Times New Roman" w:hAnsi="Times New Roman" w:eastAsiaTheme="minorEastAsia" w:cstheme="minorBidi"/>
                      <w:b w:val="0"/>
                      <w:bCs w:val="0"/>
                      <w:color w:val="auto"/>
                      <w:kern w:val="2"/>
                      <w:sz w:val="21"/>
                      <w:szCs w:val="21"/>
                      <w:u w:val="none"/>
                      <w:lang w:val="en-US" w:eastAsia="zh-CN" w:bidi="ar-SA"/>
                    </w:rPr>
                    <w:t>危险废物暂存间</w:t>
                  </w:r>
                </w:p>
              </w:tc>
              <w:tc>
                <w:tcPr>
                  <w:tcW w:w="531" w:type="pct"/>
                  <w:noWrap w:val="0"/>
                  <w:vAlign w:val="center"/>
                </w:tcPr>
                <w:p>
                  <w:pPr>
                    <w:pStyle w:val="32"/>
                    <w:keepNext w:val="0"/>
                    <w:keepLines w:val="0"/>
                    <w:pageBreakBefore w:val="0"/>
                    <w:kinsoku/>
                    <w:wordWrap/>
                    <w:overflowPunct/>
                    <w:topLinePunct w:val="0"/>
                    <w:bidi w:val="0"/>
                    <w:adjustRightInd w:val="0"/>
                    <w:snapToGrid w:val="0"/>
                    <w:spacing w:line="240" w:lineRule="auto"/>
                    <w:ind w:firstLine="0" w:firstLineChars="0"/>
                    <w:jc w:val="center"/>
                    <w:textAlignment w:val="top"/>
                    <w:rPr>
                      <w:rFonts w:hint="default" w:ascii="Times New Roman" w:hAnsi="Times New Roman" w:eastAsiaTheme="minorEastAsia" w:cstheme="minorBidi"/>
                      <w:b w:val="0"/>
                      <w:bCs w:val="0"/>
                      <w:color w:val="auto"/>
                      <w:kern w:val="2"/>
                      <w:sz w:val="21"/>
                      <w:szCs w:val="21"/>
                      <w:u w:val="none"/>
                      <w:lang w:val="en-US" w:eastAsia="zh-CN" w:bidi="ar-SA"/>
                    </w:rPr>
                  </w:pPr>
                  <w:r>
                    <w:rPr>
                      <w:rFonts w:hint="default" w:ascii="Times New Roman" w:hAnsi="Times New Roman" w:eastAsiaTheme="minorEastAsia" w:cstheme="minorBidi"/>
                      <w:b w:val="0"/>
                      <w:bCs w:val="0"/>
                      <w:color w:val="auto"/>
                      <w:kern w:val="2"/>
                      <w:sz w:val="21"/>
                      <w:szCs w:val="21"/>
                      <w:u w:val="none"/>
                      <w:lang w:val="en-US" w:eastAsia="zh-CN" w:bidi="ar-SA"/>
                    </w:rPr>
                    <w:t>0</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397" w:hRule="atLeast"/>
              </w:trPr>
              <w:tc>
                <w:tcPr>
                  <w:tcW w:w="775" w:type="pct"/>
                  <w:vMerge w:val="continue"/>
                  <w:noWrap w:val="0"/>
                  <w:vAlign w:val="center"/>
                </w:tcPr>
                <w:p>
                  <w:pPr>
                    <w:pStyle w:val="32"/>
                    <w:keepNext w:val="0"/>
                    <w:keepLines w:val="0"/>
                    <w:pageBreakBefore w:val="0"/>
                    <w:kinsoku/>
                    <w:wordWrap/>
                    <w:overflowPunct/>
                    <w:topLinePunct w:val="0"/>
                    <w:bidi w:val="0"/>
                    <w:adjustRightInd w:val="0"/>
                    <w:snapToGrid w:val="0"/>
                    <w:spacing w:line="240" w:lineRule="auto"/>
                    <w:ind w:firstLine="0" w:firstLineChars="0"/>
                    <w:jc w:val="center"/>
                    <w:textAlignment w:val="top"/>
                    <w:rPr>
                      <w:rFonts w:hint="default" w:ascii="Times New Roman" w:hAnsi="Times New Roman" w:eastAsiaTheme="minorEastAsia" w:cstheme="minorBidi"/>
                      <w:b w:val="0"/>
                      <w:bCs w:val="0"/>
                      <w:color w:val="auto"/>
                      <w:kern w:val="2"/>
                      <w:sz w:val="21"/>
                      <w:szCs w:val="21"/>
                      <w:u w:val="none"/>
                      <w:lang w:val="en-US" w:eastAsia="zh-CN" w:bidi="ar-SA"/>
                    </w:rPr>
                  </w:pPr>
                </w:p>
              </w:tc>
              <w:tc>
                <w:tcPr>
                  <w:tcW w:w="911" w:type="pct"/>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center"/>
                    <w:rPr>
                      <w:rFonts w:hint="default" w:ascii="Times New Roman" w:hAnsi="Times New Roman" w:eastAsiaTheme="minorEastAsia" w:cstheme="minorBidi"/>
                      <w:b w:val="0"/>
                      <w:bCs w:val="0"/>
                      <w:kern w:val="2"/>
                      <w:sz w:val="21"/>
                      <w:szCs w:val="21"/>
                      <w:u w:val="none"/>
                      <w:lang w:val="en-US" w:eastAsia="zh-CN" w:bidi="ar-SA"/>
                    </w:rPr>
                  </w:pPr>
                  <w:r>
                    <w:rPr>
                      <w:b w:val="0"/>
                      <w:bCs w:val="0"/>
                      <w:sz w:val="21"/>
                      <w:szCs w:val="21"/>
                      <w:u w:val="none"/>
                    </w:rPr>
                    <w:t>废</w:t>
                  </w:r>
                  <w:r>
                    <w:rPr>
                      <w:rFonts w:hint="eastAsia"/>
                      <w:b w:val="0"/>
                      <w:bCs w:val="0"/>
                      <w:sz w:val="21"/>
                      <w:szCs w:val="21"/>
                      <w:u w:val="none"/>
                      <w:lang w:val="en-US" w:eastAsia="zh-CN"/>
                    </w:rPr>
                    <w:t>铅蓄电池</w:t>
                  </w:r>
                </w:p>
              </w:tc>
              <w:tc>
                <w:tcPr>
                  <w:tcW w:w="650" w:type="pct"/>
                  <w:vMerge w:val="continue"/>
                  <w:noWrap w:val="0"/>
                  <w:vAlign w:val="center"/>
                </w:tcPr>
                <w:p>
                  <w:pPr>
                    <w:pStyle w:val="32"/>
                    <w:keepNext w:val="0"/>
                    <w:keepLines w:val="0"/>
                    <w:pageBreakBefore w:val="0"/>
                    <w:kinsoku/>
                    <w:wordWrap/>
                    <w:overflowPunct/>
                    <w:topLinePunct w:val="0"/>
                    <w:bidi w:val="0"/>
                    <w:adjustRightInd w:val="0"/>
                    <w:snapToGrid w:val="0"/>
                    <w:spacing w:line="240" w:lineRule="auto"/>
                    <w:ind w:firstLine="0" w:firstLineChars="0"/>
                    <w:jc w:val="center"/>
                    <w:textAlignment w:val="top"/>
                    <w:rPr>
                      <w:rFonts w:hint="default" w:ascii="Times New Roman" w:hAnsi="Times New Roman" w:eastAsiaTheme="minorEastAsia" w:cstheme="minorBidi"/>
                      <w:b w:val="0"/>
                      <w:bCs w:val="0"/>
                      <w:color w:val="auto"/>
                      <w:kern w:val="2"/>
                      <w:sz w:val="21"/>
                      <w:szCs w:val="21"/>
                      <w:u w:val="none"/>
                      <w:lang w:val="en-US" w:eastAsia="zh-CN" w:bidi="ar-SA"/>
                    </w:rPr>
                  </w:pPr>
                </w:p>
              </w:tc>
              <w:tc>
                <w:tcPr>
                  <w:tcW w:w="1010" w:type="pct"/>
                  <w:noWrap w:val="0"/>
                  <w:vAlign w:val="center"/>
                </w:tcPr>
                <w:p>
                  <w:pPr>
                    <w:pStyle w:val="32"/>
                    <w:keepNext w:val="0"/>
                    <w:keepLines w:val="0"/>
                    <w:pageBreakBefore w:val="0"/>
                    <w:kinsoku/>
                    <w:wordWrap/>
                    <w:overflowPunct/>
                    <w:topLinePunct w:val="0"/>
                    <w:bidi w:val="0"/>
                    <w:adjustRightInd w:val="0"/>
                    <w:snapToGrid w:val="0"/>
                    <w:spacing w:line="240" w:lineRule="auto"/>
                    <w:ind w:firstLine="0" w:firstLineChars="0"/>
                    <w:jc w:val="center"/>
                    <w:textAlignment w:val="top"/>
                    <w:rPr>
                      <w:rFonts w:hint="default" w:ascii="Times New Roman" w:hAnsi="Times New Roman" w:eastAsiaTheme="minorEastAsia" w:cstheme="minorBidi"/>
                      <w:b w:val="0"/>
                      <w:bCs w:val="0"/>
                      <w:color w:val="auto"/>
                      <w:kern w:val="2"/>
                      <w:sz w:val="21"/>
                      <w:szCs w:val="21"/>
                      <w:u w:val="none"/>
                      <w:lang w:val="en-US" w:eastAsia="zh-CN" w:bidi="ar-SA"/>
                    </w:rPr>
                  </w:pPr>
                  <w:r>
                    <w:rPr>
                      <w:rFonts w:hint="eastAsia" w:ascii="Times New Roman" w:hAnsi="Times New Roman" w:eastAsiaTheme="minorEastAsia" w:cstheme="minorBidi"/>
                      <w:b w:val="0"/>
                      <w:bCs w:val="0"/>
                      <w:color w:val="auto"/>
                      <w:kern w:val="2"/>
                      <w:sz w:val="21"/>
                      <w:szCs w:val="21"/>
                      <w:u w:val="none"/>
                      <w:lang w:val="en-US" w:eastAsia="zh-CN" w:bidi="ar-SA"/>
                    </w:rPr>
                    <w:t>0.8/（8a）</w:t>
                  </w:r>
                </w:p>
              </w:tc>
              <w:tc>
                <w:tcPr>
                  <w:tcW w:w="557" w:type="pct"/>
                  <w:vMerge w:val="continue"/>
                  <w:noWrap w:val="0"/>
                  <w:vAlign w:val="center"/>
                </w:tcPr>
                <w:p>
                  <w:pPr>
                    <w:pStyle w:val="32"/>
                    <w:keepNext w:val="0"/>
                    <w:keepLines w:val="0"/>
                    <w:pageBreakBefore w:val="0"/>
                    <w:kinsoku/>
                    <w:wordWrap/>
                    <w:overflowPunct/>
                    <w:topLinePunct w:val="0"/>
                    <w:bidi w:val="0"/>
                    <w:adjustRightInd w:val="0"/>
                    <w:snapToGrid w:val="0"/>
                    <w:spacing w:line="240" w:lineRule="auto"/>
                    <w:ind w:firstLine="0" w:firstLineChars="0"/>
                    <w:jc w:val="center"/>
                    <w:textAlignment w:val="top"/>
                    <w:rPr>
                      <w:rFonts w:hint="default" w:ascii="Times New Roman" w:hAnsi="Times New Roman" w:eastAsiaTheme="minorEastAsia" w:cstheme="minorBidi"/>
                      <w:b w:val="0"/>
                      <w:bCs w:val="0"/>
                      <w:color w:val="auto"/>
                      <w:kern w:val="2"/>
                      <w:sz w:val="21"/>
                      <w:szCs w:val="21"/>
                      <w:u w:val="none"/>
                      <w:lang w:val="en-US" w:eastAsia="zh-CN" w:bidi="ar-SA"/>
                    </w:rPr>
                  </w:pPr>
                </w:p>
              </w:tc>
              <w:tc>
                <w:tcPr>
                  <w:tcW w:w="563" w:type="pct"/>
                  <w:vMerge w:val="continue"/>
                  <w:noWrap w:val="0"/>
                  <w:vAlign w:val="center"/>
                </w:tcPr>
                <w:p>
                  <w:pPr>
                    <w:pStyle w:val="32"/>
                    <w:keepNext w:val="0"/>
                    <w:keepLines w:val="0"/>
                    <w:pageBreakBefore w:val="0"/>
                    <w:kinsoku/>
                    <w:wordWrap/>
                    <w:overflowPunct/>
                    <w:topLinePunct w:val="0"/>
                    <w:bidi w:val="0"/>
                    <w:adjustRightInd w:val="0"/>
                    <w:snapToGrid w:val="0"/>
                    <w:spacing w:line="240" w:lineRule="auto"/>
                    <w:ind w:firstLine="0" w:firstLineChars="0"/>
                    <w:jc w:val="center"/>
                    <w:textAlignment w:val="top"/>
                    <w:rPr>
                      <w:rFonts w:hint="default" w:ascii="Times New Roman" w:hAnsi="Times New Roman" w:eastAsiaTheme="minorEastAsia" w:cstheme="minorBidi"/>
                      <w:b w:val="0"/>
                      <w:bCs w:val="0"/>
                      <w:color w:val="auto"/>
                      <w:kern w:val="2"/>
                      <w:sz w:val="21"/>
                      <w:szCs w:val="21"/>
                      <w:u w:val="none"/>
                      <w:lang w:val="en-US" w:eastAsia="zh-CN" w:bidi="ar-SA"/>
                    </w:rPr>
                  </w:pPr>
                </w:p>
              </w:tc>
              <w:tc>
                <w:tcPr>
                  <w:tcW w:w="531" w:type="pct"/>
                  <w:noWrap w:val="0"/>
                  <w:vAlign w:val="center"/>
                </w:tcPr>
                <w:p>
                  <w:pPr>
                    <w:pStyle w:val="32"/>
                    <w:keepNext w:val="0"/>
                    <w:keepLines w:val="0"/>
                    <w:pageBreakBefore w:val="0"/>
                    <w:kinsoku/>
                    <w:wordWrap/>
                    <w:overflowPunct/>
                    <w:topLinePunct w:val="0"/>
                    <w:bidi w:val="0"/>
                    <w:adjustRightInd w:val="0"/>
                    <w:snapToGrid w:val="0"/>
                    <w:spacing w:line="240" w:lineRule="auto"/>
                    <w:ind w:firstLine="0" w:firstLineChars="0"/>
                    <w:jc w:val="center"/>
                    <w:textAlignment w:val="top"/>
                    <w:rPr>
                      <w:rFonts w:hint="default" w:ascii="Times New Roman" w:hAnsi="Times New Roman" w:eastAsiaTheme="minorEastAsia" w:cstheme="minorBidi"/>
                      <w:b w:val="0"/>
                      <w:bCs w:val="0"/>
                      <w:color w:val="auto"/>
                      <w:kern w:val="2"/>
                      <w:sz w:val="21"/>
                      <w:szCs w:val="21"/>
                      <w:u w:val="none"/>
                      <w:lang w:val="en-US" w:eastAsia="zh-CN" w:bidi="ar-SA"/>
                    </w:rPr>
                  </w:pPr>
                  <w:r>
                    <w:rPr>
                      <w:rFonts w:hint="default" w:ascii="Times New Roman" w:hAnsi="Times New Roman" w:eastAsiaTheme="minorEastAsia" w:cstheme="minorBidi"/>
                      <w:b w:val="0"/>
                      <w:bCs w:val="0"/>
                      <w:color w:val="auto"/>
                      <w:kern w:val="2"/>
                      <w:sz w:val="21"/>
                      <w:szCs w:val="21"/>
                      <w:u w:val="none"/>
                      <w:lang w:val="en-US" w:eastAsia="zh-CN" w:bidi="ar-SA"/>
                    </w:rPr>
                    <w:t>0</w:t>
                  </w:r>
                </w:p>
              </w:tc>
            </w:tr>
          </w:tbl>
          <w:p>
            <w:pPr>
              <w:ind w:firstLine="480"/>
              <w:rPr>
                <w:rFonts w:hint="default"/>
              </w:rPr>
            </w:pPr>
            <w:r>
              <w:rPr>
                <w:rFonts w:hint="default"/>
              </w:rPr>
              <w:t>综上，本项目固体废物妥善处置，对周围环境影响较小。</w:t>
            </w:r>
          </w:p>
          <w:p>
            <w:pPr>
              <w:keepNext w:val="0"/>
              <w:keepLines w:val="0"/>
              <w:pageBreakBefore w:val="0"/>
              <w:widowControl w:val="0"/>
              <w:kinsoku/>
              <w:wordWrap/>
              <w:overflowPunct/>
              <w:topLinePunct w:val="0"/>
              <w:autoSpaceDE/>
              <w:autoSpaceDN/>
              <w:bidi w:val="0"/>
              <w:adjustRightInd w:val="0"/>
              <w:snapToGrid w:val="0"/>
              <w:spacing w:line="520" w:lineRule="exact"/>
              <w:ind w:firstLine="0" w:firstLineChars="0"/>
              <w:jc w:val="left"/>
              <w:textAlignment w:val="top"/>
              <w:rPr>
                <w:rFonts w:hint="default"/>
                <w:b/>
                <w:bCs/>
              </w:rPr>
            </w:pPr>
            <w:r>
              <w:rPr>
                <w:rFonts w:hint="eastAsia"/>
                <w:b/>
                <w:bCs/>
                <w:lang w:val="en-US" w:eastAsia="zh-CN"/>
              </w:rPr>
              <w:t>7、</w:t>
            </w:r>
            <w:r>
              <w:rPr>
                <w:rFonts w:hint="default"/>
                <w:b/>
                <w:bCs/>
              </w:rPr>
              <w:t>环境风险分析</w:t>
            </w:r>
          </w:p>
          <w:p>
            <w:pPr>
              <w:spacing w:line="360" w:lineRule="auto"/>
              <w:ind w:firstLine="480"/>
              <w:contextualSpacing/>
              <w:rPr>
                <w:rFonts w:hint="default"/>
              </w:rPr>
            </w:pPr>
            <w:r>
              <w:rPr>
                <w:rFonts w:hint="default"/>
              </w:rPr>
              <w:t>风险调查</w:t>
            </w:r>
            <w:r>
              <w:rPr>
                <w:rFonts w:hint="eastAsia"/>
                <w:lang w:eastAsia="zh-CN"/>
              </w:rPr>
              <w:t>：</w:t>
            </w:r>
            <w:r>
              <w:rPr>
                <w:rFonts w:hint="default"/>
              </w:rPr>
              <w:t>根据《企业突发环境事件风险分级方法》（HJ941-2018）中附录A“突发环境事件风险物质及临界量清单”对企业原辅料、中间产品、最终产品以及生产过程排放的“三废”污染物等进行风险性识别，筛选风险评价因子，确定本项目涉及的环境风险物质为变压器油。</w:t>
            </w:r>
          </w:p>
          <w:p>
            <w:pPr>
              <w:pStyle w:val="4"/>
              <w:rPr>
                <w:rFonts w:hint="default"/>
              </w:rPr>
            </w:pPr>
          </w:p>
          <w:p>
            <w:pPr>
              <w:pStyle w:val="70"/>
              <w:ind w:firstLineChars="0"/>
              <w:textAlignment w:val="auto"/>
              <w:rPr>
                <w:rFonts w:hint="default"/>
              </w:rPr>
            </w:pPr>
            <w:r>
              <w:rPr>
                <w:rFonts w:hint="default"/>
              </w:rPr>
              <w:t xml:space="preserve">  风险物质情况</w:t>
            </w:r>
            <w:r>
              <w:rPr>
                <w:rFonts w:hint="eastAsia"/>
                <w:lang w:val="en-US" w:eastAsia="zh-CN"/>
              </w:rPr>
              <w:t>表</w:t>
            </w:r>
          </w:p>
          <w:tbl>
            <w:tblPr>
              <w:tblStyle w:val="23"/>
              <w:tblW w:w="5000" w:type="pct"/>
              <w:jc w:val="center"/>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autofit"/>
              <w:tblCellMar>
                <w:top w:w="0" w:type="dxa"/>
                <w:left w:w="51" w:type="dxa"/>
                <w:bottom w:w="0" w:type="dxa"/>
                <w:right w:w="51" w:type="dxa"/>
              </w:tblCellMar>
            </w:tblPr>
            <w:tblGrid>
              <w:gridCol w:w="1150"/>
              <w:gridCol w:w="1566"/>
              <w:gridCol w:w="1503"/>
              <w:gridCol w:w="881"/>
              <w:gridCol w:w="1754"/>
              <w:gridCol w:w="1996"/>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jc w:val="center"/>
              </w:trPr>
              <w:tc>
                <w:tcPr>
                  <w:tcW w:w="1069" w:type="dxa"/>
                  <w:tcBorders>
                    <w:tl2br w:val="nil"/>
                    <w:tr2bl w:val="nil"/>
                  </w:tcBorders>
                  <w:vAlign w:val="center"/>
                </w:tcPr>
                <w:p>
                  <w:pPr>
                    <w:spacing w:line="320" w:lineRule="exact"/>
                    <w:ind w:firstLine="0" w:firstLineChars="0"/>
                    <w:jc w:val="center"/>
                    <w:rPr>
                      <w:rFonts w:hint="default"/>
                      <w:sz w:val="21"/>
                      <w:szCs w:val="21"/>
                    </w:rPr>
                  </w:pPr>
                  <w:r>
                    <w:rPr>
                      <w:rFonts w:hint="default"/>
                      <w:sz w:val="21"/>
                      <w:szCs w:val="21"/>
                    </w:rPr>
                    <w:t>名称</w:t>
                  </w:r>
                </w:p>
              </w:tc>
              <w:tc>
                <w:tcPr>
                  <w:tcW w:w="1455" w:type="dxa"/>
                  <w:tcBorders>
                    <w:tl2br w:val="nil"/>
                    <w:tr2bl w:val="nil"/>
                  </w:tcBorders>
                  <w:vAlign w:val="center"/>
                </w:tcPr>
                <w:p>
                  <w:pPr>
                    <w:spacing w:line="320" w:lineRule="exact"/>
                    <w:ind w:firstLine="0" w:firstLineChars="0"/>
                    <w:jc w:val="center"/>
                    <w:rPr>
                      <w:rFonts w:hint="default"/>
                      <w:sz w:val="21"/>
                      <w:szCs w:val="21"/>
                    </w:rPr>
                  </w:pPr>
                  <w:r>
                    <w:rPr>
                      <w:rFonts w:hint="default"/>
                      <w:sz w:val="21"/>
                      <w:szCs w:val="21"/>
                    </w:rPr>
                    <w:t>最大贮存量（t）</w:t>
                  </w:r>
                </w:p>
              </w:tc>
              <w:tc>
                <w:tcPr>
                  <w:tcW w:w="1397" w:type="dxa"/>
                  <w:tcBorders>
                    <w:tl2br w:val="nil"/>
                    <w:tr2bl w:val="nil"/>
                  </w:tcBorders>
                  <w:vAlign w:val="center"/>
                </w:tcPr>
                <w:p>
                  <w:pPr>
                    <w:spacing w:line="320" w:lineRule="exact"/>
                    <w:ind w:firstLine="0" w:firstLineChars="0"/>
                    <w:jc w:val="center"/>
                    <w:rPr>
                      <w:rFonts w:hint="default"/>
                      <w:sz w:val="21"/>
                      <w:szCs w:val="21"/>
                    </w:rPr>
                  </w:pPr>
                  <w:r>
                    <w:rPr>
                      <w:rFonts w:hint="default"/>
                      <w:sz w:val="21"/>
                      <w:szCs w:val="21"/>
                    </w:rPr>
                    <w:t>临界量（t）</w:t>
                  </w:r>
                </w:p>
              </w:tc>
              <w:tc>
                <w:tcPr>
                  <w:tcW w:w="819" w:type="dxa"/>
                  <w:tcBorders>
                    <w:tl2br w:val="nil"/>
                    <w:tr2bl w:val="nil"/>
                  </w:tcBorders>
                  <w:vAlign w:val="center"/>
                </w:tcPr>
                <w:p>
                  <w:pPr>
                    <w:spacing w:line="320" w:lineRule="exact"/>
                    <w:ind w:firstLine="0" w:firstLineChars="0"/>
                    <w:jc w:val="center"/>
                    <w:rPr>
                      <w:rFonts w:hint="default"/>
                      <w:sz w:val="21"/>
                      <w:szCs w:val="21"/>
                    </w:rPr>
                  </w:pPr>
                  <w:r>
                    <w:rPr>
                      <w:rFonts w:hint="default"/>
                      <w:sz w:val="21"/>
                      <w:szCs w:val="21"/>
                    </w:rPr>
                    <w:t>Q值</w:t>
                  </w:r>
                </w:p>
              </w:tc>
              <w:tc>
                <w:tcPr>
                  <w:tcW w:w="1630" w:type="dxa"/>
                  <w:tcBorders>
                    <w:tl2br w:val="nil"/>
                    <w:tr2bl w:val="nil"/>
                  </w:tcBorders>
                  <w:vAlign w:val="center"/>
                </w:tcPr>
                <w:p>
                  <w:pPr>
                    <w:spacing w:line="320" w:lineRule="exact"/>
                    <w:ind w:firstLine="0" w:firstLineChars="0"/>
                    <w:jc w:val="center"/>
                    <w:rPr>
                      <w:rFonts w:hint="default"/>
                      <w:sz w:val="21"/>
                      <w:szCs w:val="21"/>
                    </w:rPr>
                  </w:pPr>
                  <w:r>
                    <w:rPr>
                      <w:rFonts w:hint="default"/>
                      <w:sz w:val="21"/>
                      <w:szCs w:val="21"/>
                    </w:rPr>
                    <w:t>分布</w:t>
                  </w:r>
                </w:p>
              </w:tc>
              <w:tc>
                <w:tcPr>
                  <w:tcW w:w="1854" w:type="dxa"/>
                  <w:tcBorders>
                    <w:tl2br w:val="nil"/>
                    <w:tr2bl w:val="nil"/>
                  </w:tcBorders>
                  <w:vAlign w:val="center"/>
                </w:tcPr>
                <w:p>
                  <w:pPr>
                    <w:spacing w:line="320" w:lineRule="exact"/>
                    <w:ind w:firstLine="0" w:firstLineChars="0"/>
                    <w:jc w:val="center"/>
                    <w:rPr>
                      <w:rFonts w:hint="default"/>
                      <w:sz w:val="21"/>
                      <w:szCs w:val="21"/>
                    </w:rPr>
                  </w:pPr>
                  <w:r>
                    <w:rPr>
                      <w:rFonts w:hint="default"/>
                      <w:sz w:val="21"/>
                      <w:szCs w:val="21"/>
                    </w:rPr>
                    <w:t>环境风险影响途径</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51" w:type="dxa"/>
                  <w:bottom w:w="0" w:type="dxa"/>
                  <w:right w:w="51" w:type="dxa"/>
                </w:tblCellMar>
              </w:tblPrEx>
              <w:trPr>
                <w:trHeight w:val="397" w:hRule="atLeast"/>
                <w:jc w:val="center"/>
              </w:trPr>
              <w:tc>
                <w:tcPr>
                  <w:tcW w:w="1069" w:type="dxa"/>
                  <w:tcBorders>
                    <w:tl2br w:val="nil"/>
                    <w:tr2bl w:val="nil"/>
                  </w:tcBorders>
                  <w:vAlign w:val="center"/>
                </w:tcPr>
                <w:p>
                  <w:pPr>
                    <w:spacing w:line="320" w:lineRule="exact"/>
                    <w:ind w:firstLine="0" w:firstLineChars="0"/>
                    <w:jc w:val="center"/>
                    <w:rPr>
                      <w:rFonts w:hint="default"/>
                      <w:sz w:val="21"/>
                      <w:szCs w:val="21"/>
                    </w:rPr>
                  </w:pPr>
                  <w:r>
                    <w:rPr>
                      <w:rFonts w:hint="default"/>
                      <w:sz w:val="21"/>
                      <w:szCs w:val="21"/>
                    </w:rPr>
                    <w:t>变压器油</w:t>
                  </w:r>
                </w:p>
              </w:tc>
              <w:tc>
                <w:tcPr>
                  <w:tcW w:w="1455" w:type="dxa"/>
                  <w:tcBorders>
                    <w:tl2br w:val="nil"/>
                    <w:tr2bl w:val="nil"/>
                  </w:tcBorders>
                  <w:vAlign w:val="center"/>
                </w:tcPr>
                <w:p>
                  <w:pPr>
                    <w:spacing w:line="320" w:lineRule="exact"/>
                    <w:ind w:firstLine="0" w:firstLineChars="0"/>
                    <w:jc w:val="center"/>
                    <w:rPr>
                      <w:rFonts w:hint="eastAsia"/>
                      <w:sz w:val="21"/>
                      <w:szCs w:val="21"/>
                      <w:lang w:eastAsia="zh-CN"/>
                    </w:rPr>
                  </w:pPr>
                  <w:r>
                    <w:rPr>
                      <w:rFonts w:hint="default"/>
                      <w:sz w:val="21"/>
                      <w:szCs w:val="21"/>
                    </w:rPr>
                    <w:t>2</w:t>
                  </w:r>
                  <w:r>
                    <w:rPr>
                      <w:rFonts w:hint="eastAsia"/>
                      <w:sz w:val="21"/>
                      <w:szCs w:val="21"/>
                      <w:lang w:val="en-US" w:eastAsia="zh-CN"/>
                    </w:rPr>
                    <w:t>5</w:t>
                  </w:r>
                </w:p>
              </w:tc>
              <w:tc>
                <w:tcPr>
                  <w:tcW w:w="1397" w:type="dxa"/>
                  <w:tcBorders>
                    <w:tl2br w:val="nil"/>
                    <w:tr2bl w:val="nil"/>
                  </w:tcBorders>
                  <w:vAlign w:val="center"/>
                </w:tcPr>
                <w:p>
                  <w:pPr>
                    <w:spacing w:line="320" w:lineRule="exact"/>
                    <w:ind w:firstLine="0" w:firstLineChars="0"/>
                    <w:jc w:val="center"/>
                    <w:rPr>
                      <w:rFonts w:hint="default"/>
                      <w:sz w:val="21"/>
                      <w:szCs w:val="21"/>
                    </w:rPr>
                  </w:pPr>
                  <w:r>
                    <w:rPr>
                      <w:rFonts w:hint="default"/>
                      <w:sz w:val="21"/>
                      <w:szCs w:val="21"/>
                    </w:rPr>
                    <w:t>2500</w:t>
                  </w:r>
                </w:p>
              </w:tc>
              <w:tc>
                <w:tcPr>
                  <w:tcW w:w="819" w:type="dxa"/>
                  <w:tcBorders>
                    <w:tl2br w:val="nil"/>
                    <w:tr2bl w:val="nil"/>
                  </w:tcBorders>
                  <w:vAlign w:val="center"/>
                </w:tcPr>
                <w:p>
                  <w:pPr>
                    <w:spacing w:line="320" w:lineRule="exact"/>
                    <w:ind w:firstLine="0" w:firstLineChars="0"/>
                    <w:jc w:val="center"/>
                    <w:rPr>
                      <w:rFonts w:hint="eastAsia"/>
                      <w:sz w:val="21"/>
                      <w:szCs w:val="21"/>
                      <w:lang w:eastAsia="zh-CN"/>
                    </w:rPr>
                  </w:pPr>
                  <w:r>
                    <w:rPr>
                      <w:rFonts w:hint="default"/>
                      <w:sz w:val="21"/>
                      <w:szCs w:val="21"/>
                    </w:rPr>
                    <w:t>0.0</w:t>
                  </w:r>
                  <w:r>
                    <w:rPr>
                      <w:rFonts w:hint="eastAsia"/>
                      <w:sz w:val="21"/>
                      <w:szCs w:val="21"/>
                      <w:lang w:val="en-US" w:eastAsia="zh-CN"/>
                    </w:rPr>
                    <w:t>1</w:t>
                  </w:r>
                </w:p>
              </w:tc>
              <w:tc>
                <w:tcPr>
                  <w:tcW w:w="1630" w:type="dxa"/>
                  <w:tcBorders>
                    <w:tl2br w:val="nil"/>
                    <w:tr2bl w:val="nil"/>
                  </w:tcBorders>
                  <w:vAlign w:val="center"/>
                </w:tcPr>
                <w:p>
                  <w:pPr>
                    <w:spacing w:line="320" w:lineRule="exact"/>
                    <w:ind w:firstLine="0" w:firstLineChars="0"/>
                    <w:jc w:val="center"/>
                    <w:rPr>
                      <w:rFonts w:hint="default"/>
                      <w:sz w:val="21"/>
                      <w:szCs w:val="21"/>
                    </w:rPr>
                  </w:pPr>
                  <w:r>
                    <w:rPr>
                      <w:rFonts w:hint="default"/>
                      <w:sz w:val="21"/>
                      <w:szCs w:val="21"/>
                    </w:rPr>
                    <w:t>变压器下集油池及事故油池</w:t>
                  </w:r>
                </w:p>
              </w:tc>
              <w:tc>
                <w:tcPr>
                  <w:tcW w:w="1854" w:type="dxa"/>
                  <w:tcBorders>
                    <w:tl2br w:val="nil"/>
                    <w:tr2bl w:val="nil"/>
                  </w:tcBorders>
                  <w:vAlign w:val="center"/>
                </w:tcPr>
                <w:p>
                  <w:pPr>
                    <w:spacing w:line="320" w:lineRule="exact"/>
                    <w:ind w:firstLine="0" w:firstLineChars="0"/>
                    <w:jc w:val="center"/>
                    <w:rPr>
                      <w:rFonts w:hint="default"/>
                      <w:sz w:val="21"/>
                      <w:szCs w:val="21"/>
                    </w:rPr>
                  </w:pPr>
                  <w:r>
                    <w:rPr>
                      <w:rFonts w:hint="default"/>
                      <w:sz w:val="21"/>
                      <w:szCs w:val="21"/>
                    </w:rPr>
                    <w:t>地下水、土壤</w:t>
                  </w:r>
                </w:p>
              </w:tc>
            </w:tr>
          </w:tbl>
          <w:p>
            <w:pPr>
              <w:spacing w:line="360" w:lineRule="auto"/>
              <w:ind w:firstLine="480"/>
              <w:contextualSpacing/>
              <w:rPr>
                <w:rFonts w:hint="default"/>
              </w:rPr>
            </w:pPr>
            <w:r>
              <w:rPr>
                <w:rFonts w:hint="default"/>
              </w:rPr>
              <w:t>由上表可知，本项目危险物质与临界量的比值Q为0.0</w:t>
            </w:r>
            <w:r>
              <w:rPr>
                <w:rFonts w:hint="eastAsia"/>
                <w:lang w:val="en-US" w:eastAsia="zh-CN"/>
              </w:rPr>
              <w:t>1</w:t>
            </w:r>
            <w:r>
              <w:rPr>
                <w:rFonts w:hint="default"/>
              </w:rPr>
              <w:t>，Q＜1，根据《建设项目环境风险评价技术导则》(HJ169-2018)，本项目环境风险潜势为Ⅰ</w:t>
            </w:r>
            <w:r>
              <w:rPr>
                <w:rFonts w:hint="eastAsia"/>
                <w:lang w:eastAsia="zh-CN"/>
              </w:rPr>
              <w:t>，</w:t>
            </w:r>
            <w:r>
              <w:rPr>
                <w:rFonts w:hint="eastAsia"/>
                <w:lang w:val="en-US" w:eastAsia="zh-CN"/>
              </w:rPr>
              <w:t>评价</w:t>
            </w:r>
            <w:r>
              <w:rPr>
                <w:rFonts w:hint="default"/>
              </w:rPr>
              <w:t>对本项目环境风险进行简单分析。</w:t>
            </w:r>
          </w:p>
          <w:p>
            <w:pPr>
              <w:spacing w:line="360" w:lineRule="auto"/>
              <w:ind w:firstLine="480"/>
              <w:contextualSpacing/>
              <w:rPr>
                <w:rFonts w:hint="default"/>
              </w:rPr>
            </w:pPr>
            <w:r>
              <w:rPr>
                <w:rFonts w:hint="default"/>
              </w:rPr>
              <w:t>本项目环境风险物质为变压器油，属于可燃、易燃物质，发生的环境影响途径主要为泄露，泄漏后极易引发火灾、爆炸事故，造成人员伤亡，并引发次生环境污染。</w:t>
            </w:r>
          </w:p>
          <w:p>
            <w:pPr>
              <w:spacing w:line="360" w:lineRule="auto"/>
              <w:ind w:firstLine="480"/>
              <w:contextualSpacing/>
              <w:rPr>
                <w:rFonts w:hint="eastAsia" w:eastAsiaTheme="minorEastAsia"/>
                <w:lang w:val="en-US" w:eastAsia="zh-CN"/>
              </w:rPr>
            </w:pPr>
            <w:r>
              <w:rPr>
                <w:rFonts w:hint="eastAsia"/>
                <w:lang w:val="en-US" w:eastAsia="zh-CN"/>
              </w:rPr>
              <w:t>本项目</w:t>
            </w:r>
            <w:r>
              <w:rPr>
                <w:rFonts w:hint="default"/>
              </w:rPr>
              <w:t>环境风险防范措施</w:t>
            </w:r>
            <w:r>
              <w:rPr>
                <w:rFonts w:hint="eastAsia"/>
                <w:lang w:val="en-US" w:eastAsia="zh-CN"/>
              </w:rPr>
              <w:t>如下：</w:t>
            </w:r>
          </w:p>
          <w:p>
            <w:pPr>
              <w:ind w:firstLine="480"/>
              <w:rPr>
                <w:rFonts w:hint="eastAsia"/>
                <w:b/>
                <w:bCs/>
                <w:u w:val="single"/>
                <w:lang w:val="en-US" w:eastAsia="zh-CN"/>
              </w:rPr>
            </w:pPr>
            <w:r>
              <w:rPr>
                <w:rFonts w:hint="default"/>
              </w:rPr>
              <w:t>1）为了防止变压器油泄漏至外环境，</w:t>
            </w:r>
            <w:r>
              <w:rPr>
                <w:rFonts w:hint="default"/>
                <w:b w:val="0"/>
                <w:bCs w:val="0"/>
                <w:u w:val="none"/>
              </w:rPr>
              <w:t>本项目</w:t>
            </w:r>
            <w:r>
              <w:rPr>
                <w:rFonts w:hint="eastAsia"/>
                <w:b w:val="0"/>
                <w:bCs w:val="0"/>
                <w:u w:val="none"/>
                <w:lang w:val="en-US" w:eastAsia="zh-CN"/>
              </w:rPr>
              <w:t>在主变压器底部设置混凝土贮油坑，贮油坑壁高出地面</w:t>
            </w:r>
            <w:r>
              <w:rPr>
                <w:rFonts w:hint="default"/>
                <w:b w:val="0"/>
                <w:bCs w:val="0"/>
                <w:u w:val="none"/>
                <w:lang w:val="en-US" w:eastAsia="zh-CN"/>
              </w:rPr>
              <w:t>100mm</w:t>
            </w:r>
            <w:r>
              <w:rPr>
                <w:rFonts w:hint="eastAsia"/>
                <w:b w:val="0"/>
                <w:bCs w:val="0"/>
                <w:u w:val="none"/>
                <w:lang w:val="en-US" w:eastAsia="zh-CN"/>
              </w:rPr>
              <w:t>，坑内铺设厚度</w:t>
            </w:r>
            <w:r>
              <w:rPr>
                <w:rFonts w:hint="default"/>
                <w:b w:val="0"/>
                <w:bCs w:val="0"/>
                <w:u w:val="none"/>
                <w:lang w:val="en-US" w:eastAsia="zh-CN"/>
              </w:rPr>
              <w:t>250mm</w:t>
            </w:r>
            <w:r>
              <w:rPr>
                <w:rFonts w:hint="eastAsia"/>
                <w:b w:val="0"/>
                <w:bCs w:val="0"/>
                <w:u w:val="none"/>
                <w:lang w:val="en-US" w:eastAsia="zh-CN"/>
              </w:rPr>
              <w:t>的卵石，卵石粒径为</w:t>
            </w:r>
            <w:r>
              <w:rPr>
                <w:rFonts w:hint="default"/>
                <w:b w:val="0"/>
                <w:bCs w:val="0"/>
                <w:u w:val="none"/>
                <w:lang w:val="en-US" w:eastAsia="zh-CN"/>
              </w:rPr>
              <w:t>50mm</w:t>
            </w:r>
            <w:r>
              <w:rPr>
                <w:rFonts w:hint="eastAsia"/>
                <w:b w:val="0"/>
                <w:bCs w:val="0"/>
                <w:u w:val="none"/>
                <w:lang w:val="en-US" w:eastAsia="zh-CN"/>
              </w:rPr>
              <w:t>～</w:t>
            </w:r>
            <w:r>
              <w:rPr>
                <w:rFonts w:hint="default"/>
                <w:b w:val="0"/>
                <w:bCs w:val="0"/>
                <w:u w:val="none"/>
                <w:lang w:val="en-US" w:eastAsia="zh-CN"/>
              </w:rPr>
              <w:t>80mm</w:t>
            </w:r>
            <w:r>
              <w:rPr>
                <w:rFonts w:hint="eastAsia"/>
                <w:b w:val="0"/>
                <w:bCs w:val="0"/>
                <w:u w:val="none"/>
                <w:lang w:val="en-US" w:eastAsia="zh-CN"/>
              </w:rPr>
              <w:t>，并在贮油坑中间设贮油池（容积为主变压器油量的</w:t>
            </w:r>
            <w:r>
              <w:rPr>
                <w:rFonts w:hint="default"/>
                <w:b w:val="0"/>
                <w:bCs w:val="0"/>
                <w:u w:val="none"/>
                <w:lang w:val="en-US" w:eastAsia="zh-CN"/>
              </w:rPr>
              <w:t>20%</w:t>
            </w:r>
            <w:r>
              <w:rPr>
                <w:rFonts w:hint="eastAsia"/>
                <w:b w:val="0"/>
                <w:bCs w:val="0"/>
                <w:u w:val="none"/>
                <w:lang w:val="en-US" w:eastAsia="zh-CN"/>
              </w:rPr>
              <w:t>），贮油池与</w:t>
            </w:r>
            <w:r>
              <w:rPr>
                <w:rFonts w:hint="default"/>
                <w:b w:val="0"/>
                <w:bCs w:val="0"/>
                <w:u w:val="none"/>
              </w:rPr>
              <w:t>变压器</w:t>
            </w:r>
            <w:r>
              <w:rPr>
                <w:rFonts w:hint="eastAsia"/>
                <w:b w:val="0"/>
                <w:bCs w:val="0"/>
                <w:u w:val="none"/>
                <w:lang w:val="en-US" w:eastAsia="zh-CN"/>
              </w:rPr>
              <w:t>基础封闭连接，隔绝空气；贮油池底部设排油管，连接至事故油池。</w:t>
            </w:r>
            <w:r>
              <w:rPr>
                <w:rFonts w:hint="eastAsia"/>
                <w:lang w:val="en-US" w:eastAsia="zh-CN"/>
              </w:rPr>
              <w:t>事故油池容积为主变压器油量的</w:t>
            </w:r>
            <w:r>
              <w:rPr>
                <w:rFonts w:hint="default"/>
                <w:lang w:val="en-US" w:eastAsia="zh-CN"/>
              </w:rPr>
              <w:t>100﹪</w:t>
            </w:r>
            <w:r>
              <w:rPr>
                <w:rFonts w:hint="eastAsia"/>
                <w:lang w:val="en-US" w:eastAsia="zh-CN"/>
              </w:rPr>
              <w:t>。</w:t>
            </w:r>
            <w:r>
              <w:rPr>
                <w:rFonts w:hint="default"/>
              </w:rPr>
              <w:t>根据建设单位提供的资料，主变压器油重为2</w:t>
            </w:r>
            <w:r>
              <w:rPr>
                <w:rFonts w:hint="eastAsia"/>
                <w:lang w:val="en-US" w:eastAsia="zh-CN"/>
              </w:rPr>
              <w:t>5</w:t>
            </w:r>
            <w:r>
              <w:rPr>
                <w:rFonts w:hint="default"/>
              </w:rPr>
              <w:t>t，变压器采用的25#绝缘油密度为895kg/m</w:t>
            </w:r>
            <w:r>
              <w:rPr>
                <w:rFonts w:hint="default"/>
                <w:vertAlign w:val="superscript"/>
              </w:rPr>
              <w:t>3</w:t>
            </w:r>
            <w:r>
              <w:rPr>
                <w:rFonts w:hint="default"/>
              </w:rPr>
              <w:t>，换算出变压器内绝缘油容积为</w:t>
            </w:r>
            <w:r>
              <w:rPr>
                <w:rFonts w:hint="eastAsia"/>
                <w:lang w:val="en-US" w:eastAsia="zh-CN"/>
              </w:rPr>
              <w:t>27.9</w:t>
            </w:r>
            <w:r>
              <w:rPr>
                <w:rFonts w:hint="default"/>
              </w:rPr>
              <w:t>m</w:t>
            </w:r>
            <w:r>
              <w:rPr>
                <w:rFonts w:hint="default"/>
                <w:vertAlign w:val="superscript"/>
              </w:rPr>
              <w:t>3</w:t>
            </w:r>
            <w:r>
              <w:rPr>
                <w:rFonts w:hint="default"/>
              </w:rPr>
              <w:t>，因此事故油池有效容量不应小于</w:t>
            </w:r>
            <w:r>
              <w:rPr>
                <w:rFonts w:hint="eastAsia"/>
                <w:lang w:val="en-US" w:eastAsia="zh-CN"/>
              </w:rPr>
              <w:t>27.9</w:t>
            </w:r>
            <w:r>
              <w:rPr>
                <w:rFonts w:hint="default"/>
              </w:rPr>
              <w:t>m</w:t>
            </w:r>
            <w:r>
              <w:rPr>
                <w:rFonts w:hint="default"/>
                <w:vertAlign w:val="superscript"/>
              </w:rPr>
              <w:t>3</w:t>
            </w:r>
            <w:r>
              <w:rPr>
                <w:rFonts w:hint="default"/>
              </w:rPr>
              <w:t>。</w:t>
            </w:r>
            <w:r>
              <w:rPr>
                <w:rFonts w:hint="eastAsia"/>
                <w:lang w:val="en-US" w:eastAsia="zh-CN"/>
              </w:rPr>
              <w:t>本项目</w:t>
            </w:r>
            <w:r>
              <w:rPr>
                <w:rFonts w:hint="eastAsia"/>
                <w:b w:val="0"/>
                <w:bCs w:val="0"/>
                <w:u w:val="none"/>
                <w:lang w:val="en-US" w:eastAsia="zh-CN"/>
              </w:rPr>
              <w:t>事故油池</w:t>
            </w:r>
            <w:r>
              <w:rPr>
                <w:rFonts w:hint="default"/>
              </w:rPr>
              <w:t>有效容积</w:t>
            </w:r>
            <w:r>
              <w:rPr>
                <w:rFonts w:hint="eastAsia"/>
                <w:lang w:val="en-US" w:eastAsia="zh-CN"/>
              </w:rPr>
              <w:t>30</w:t>
            </w:r>
            <w:r>
              <w:rPr>
                <w:rFonts w:hint="default"/>
              </w:rPr>
              <w:t>m</w:t>
            </w:r>
            <w:r>
              <w:rPr>
                <w:rFonts w:hint="default"/>
                <w:vertAlign w:val="superscript"/>
              </w:rPr>
              <w:t>3</w:t>
            </w:r>
            <w:r>
              <w:rPr>
                <w:rFonts w:hint="default"/>
              </w:rPr>
              <w:t>，可以满足主变压器维修或事故情况下绝缘油全部泄漏时收集需求。</w:t>
            </w:r>
          </w:p>
          <w:p>
            <w:pPr>
              <w:ind w:firstLine="480"/>
              <w:rPr>
                <w:rFonts w:hint="default"/>
                <w:b w:val="0"/>
                <w:bCs w:val="0"/>
                <w:u w:val="none"/>
                <w:lang w:val="en-US" w:eastAsia="zh-CN"/>
              </w:rPr>
            </w:pPr>
            <w:r>
              <w:rPr>
                <w:rFonts w:hint="eastAsia" w:eastAsia="宋体" w:cs="Times New Roman"/>
                <w:b w:val="0"/>
                <w:bCs w:val="0"/>
                <w:color w:val="auto"/>
                <w:u w:val="none"/>
                <w:lang w:val="en-US" w:eastAsia="zh-CN"/>
              </w:rPr>
              <w:t>事故油池顶部设盖板，可防止雨水进入。根据相关要求，本项目</w:t>
            </w:r>
            <w:r>
              <w:rPr>
                <w:rFonts w:hint="eastAsia"/>
                <w:b w:val="0"/>
                <w:bCs w:val="0"/>
                <w:u w:val="none"/>
                <w:lang w:val="en-US" w:eastAsia="zh-CN"/>
              </w:rPr>
              <w:t>事故油池设计水封，具有油水分离功能。正常工况下，事故油池内仅有用于水封的水。</w:t>
            </w:r>
          </w:p>
          <w:p>
            <w:pPr>
              <w:ind w:firstLine="480"/>
              <w:rPr>
                <w:b w:val="0"/>
                <w:bCs w:val="0"/>
                <w:u w:val="none"/>
              </w:rPr>
            </w:pPr>
            <w:r>
              <w:rPr>
                <w:rFonts w:hint="eastAsia"/>
                <w:b w:val="0"/>
                <w:bCs w:val="0"/>
                <w:u w:val="none"/>
                <w:lang w:val="en-US" w:eastAsia="zh-CN"/>
              </w:rPr>
              <w:t>目前常见的事故油池构造如图4-3所示，它由两个室组成，中间用下部开孔的隔墙分开，相当于一个连通器，在大气压作用下，两室原有水面相平。发生泄油事故时油先排至</w:t>
            </w:r>
            <w:r>
              <w:rPr>
                <w:rFonts w:hint="default"/>
                <w:b w:val="0"/>
                <w:bCs w:val="0"/>
                <w:u w:val="none"/>
                <w:lang w:val="en-US" w:eastAsia="zh-CN"/>
              </w:rPr>
              <w:t>A</w:t>
            </w:r>
            <w:r>
              <w:rPr>
                <w:rFonts w:hint="eastAsia"/>
                <w:b w:val="0"/>
                <w:bCs w:val="0"/>
                <w:u w:val="none"/>
                <w:lang w:val="en-US" w:eastAsia="zh-CN"/>
              </w:rPr>
              <w:t>室，因为油的比重比水轻，油会在上层，实现油水一次分离，下层的水在油自重和大气压的作用下会流向</w:t>
            </w:r>
            <w:r>
              <w:rPr>
                <w:rFonts w:hint="default"/>
                <w:b w:val="0"/>
                <w:bCs w:val="0"/>
                <w:u w:val="none"/>
                <w:lang w:val="en-US" w:eastAsia="zh-CN"/>
              </w:rPr>
              <w:t>B</w:t>
            </w:r>
            <w:r>
              <w:rPr>
                <w:rFonts w:hint="eastAsia"/>
                <w:b w:val="0"/>
                <w:bCs w:val="0"/>
                <w:u w:val="none"/>
                <w:lang w:val="en-US" w:eastAsia="zh-CN"/>
              </w:rPr>
              <w:t>室，实现油水二次分离，</w:t>
            </w:r>
            <w:r>
              <w:rPr>
                <w:rFonts w:hint="default"/>
                <w:b w:val="0"/>
                <w:bCs w:val="0"/>
                <w:u w:val="none"/>
                <w:lang w:val="en-US" w:eastAsia="zh-CN"/>
              </w:rPr>
              <w:t>B</w:t>
            </w:r>
            <w:r>
              <w:rPr>
                <w:rFonts w:hint="eastAsia"/>
                <w:b w:val="0"/>
                <w:bCs w:val="0"/>
                <w:u w:val="none"/>
                <w:lang w:val="en-US" w:eastAsia="zh-CN"/>
              </w:rPr>
              <w:t>室的原有水面也会升高，当其高度超过排水管标高时，就会有水被排出。</w:t>
            </w:r>
          </w:p>
          <w:p>
            <w:pPr>
              <w:pStyle w:val="3"/>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top"/>
              <w:rPr>
                <w:rFonts w:hint="default"/>
              </w:rPr>
            </w:pPr>
            <w:r>
              <w:drawing>
                <wp:inline distT="0" distB="0" distL="114300" distR="114300">
                  <wp:extent cx="3895090" cy="1898015"/>
                  <wp:effectExtent l="0" t="0" r="10160" b="6985"/>
                  <wp:docPr id="10"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2"/>
                          <pic:cNvPicPr>
                            <a:picLocks noChangeAspect="1"/>
                          </pic:cNvPicPr>
                        </pic:nvPicPr>
                        <pic:blipFill>
                          <a:blip r:embed="rId28"/>
                          <a:stretch>
                            <a:fillRect/>
                          </a:stretch>
                        </pic:blipFill>
                        <pic:spPr>
                          <a:xfrm>
                            <a:off x="0" y="0"/>
                            <a:ext cx="3895090" cy="1898015"/>
                          </a:xfrm>
                          <a:prstGeom prst="rect">
                            <a:avLst/>
                          </a:prstGeom>
                          <a:noFill/>
                          <a:ln>
                            <a:noFill/>
                          </a:ln>
                        </pic:spPr>
                      </pic:pic>
                    </a:graphicData>
                  </a:graphic>
                </wp:inline>
              </w:drawing>
            </w:r>
          </w:p>
          <w:p>
            <w:pPr>
              <w:spacing w:before="163" w:beforeLines="50" w:line="360" w:lineRule="auto"/>
              <w:ind w:firstLine="480"/>
              <w:contextualSpacing/>
              <w:jc w:val="center"/>
              <w:rPr>
                <w:rFonts w:hint="default"/>
                <w:b/>
                <w:bCs/>
              </w:rPr>
            </w:pPr>
            <w:r>
              <w:rPr>
                <w:rFonts w:hint="eastAsia"/>
                <w:b/>
                <w:bCs/>
                <w:lang w:val="en-US" w:eastAsia="zh-CN"/>
              </w:rPr>
              <w:t>图4-3  事故油池构造图</w:t>
            </w:r>
          </w:p>
          <w:p>
            <w:pPr>
              <w:ind w:firstLine="480"/>
              <w:rPr>
                <w:rFonts w:hint="default"/>
                <w:b w:val="0"/>
                <w:bCs w:val="0"/>
                <w:u w:val="none"/>
                <w:lang w:val="en-US"/>
              </w:rPr>
            </w:pPr>
            <w:r>
              <w:rPr>
                <w:rFonts w:hint="eastAsia"/>
                <w:lang w:val="en-US" w:eastAsia="zh-CN"/>
              </w:rPr>
              <w:t>2）</w:t>
            </w:r>
            <w:r>
              <w:rPr>
                <w:rFonts w:hint="eastAsia"/>
                <w:b w:val="0"/>
                <w:bCs w:val="0"/>
                <w:u w:val="none"/>
                <w:lang w:val="en-US" w:eastAsia="zh-CN"/>
              </w:rPr>
              <w:t>当主变发生事故时，事故排油经贮油池、排油管密闭进入事故油池，经事故油池油水分离，去除水分和杂质，大部分油回收利用，剩余少量废油渣等交由有危险废弃物处置资质的单位进行回收处置。建设单位应尽快收集废油，禁止事故油池内长期贮油。</w:t>
            </w:r>
          </w:p>
          <w:p>
            <w:pPr>
              <w:spacing w:line="360" w:lineRule="auto"/>
              <w:ind w:firstLine="480"/>
              <w:contextualSpacing/>
              <w:rPr>
                <w:rFonts w:hint="default"/>
                <w:b w:val="0"/>
                <w:bCs w:val="0"/>
                <w:u w:val="none"/>
                <w:lang w:val="en-US"/>
              </w:rPr>
            </w:pPr>
            <w:r>
              <w:rPr>
                <w:rFonts w:hint="eastAsia"/>
                <w:b w:val="0"/>
                <w:bCs w:val="0"/>
                <w:u w:val="none"/>
                <w:lang w:val="en-US" w:eastAsia="zh-CN"/>
              </w:rPr>
              <w:t>3</w:t>
            </w:r>
            <w:r>
              <w:rPr>
                <w:rFonts w:hint="eastAsia"/>
                <w:b w:val="0"/>
                <w:bCs w:val="0"/>
                <w:u w:val="none"/>
                <w:lang w:eastAsia="zh-CN"/>
              </w:rPr>
              <w:t>）</w:t>
            </w:r>
            <w:r>
              <w:rPr>
                <w:rFonts w:hint="eastAsia"/>
                <w:b w:val="0"/>
                <w:bCs w:val="0"/>
                <w:u w:val="none"/>
                <w:lang w:val="en-US" w:eastAsia="zh-CN"/>
              </w:rPr>
              <w:t>变压器本体设安全保护装置，气体继电器，压力释放装置等。贮油坑、事故油池、变压器、输电线路、配电装置等设施附近严禁烟火，并设禁火标志。在变压器场设置</w:t>
            </w:r>
            <w:r>
              <w:rPr>
                <w:rFonts w:hint="default"/>
                <w:b w:val="0"/>
                <w:bCs w:val="0"/>
                <w:u w:val="none"/>
                <w:lang w:val="en-US" w:eastAsia="zh-CN"/>
              </w:rPr>
              <w:t>1</w:t>
            </w:r>
            <w:r>
              <w:rPr>
                <w:rFonts w:hint="eastAsia"/>
                <w:b w:val="0"/>
                <w:bCs w:val="0"/>
                <w:u w:val="none"/>
                <w:lang w:val="en-US" w:eastAsia="zh-CN"/>
              </w:rPr>
              <w:t>辆磷酸铵盐推车式灭火器及消防砂箱，消防铲等，灭火器、消防铲等设置于消防器材应急柜。此外主变压</w:t>
            </w:r>
            <w:r>
              <w:rPr>
                <w:rFonts w:hint="default"/>
                <w:b w:val="0"/>
                <w:bCs w:val="0"/>
                <w:u w:val="none"/>
                <w:lang w:val="en-US" w:eastAsia="zh-CN"/>
              </w:rPr>
              <w:t>器均设有消防车通道，消防车可以到达变压器附近停靠灭火。</w:t>
            </w:r>
            <w:r>
              <w:rPr>
                <w:rFonts w:hint="eastAsia"/>
                <w:b w:val="0"/>
                <w:bCs w:val="0"/>
                <w:u w:val="none"/>
                <w:lang w:val="en-US" w:eastAsia="zh-CN"/>
              </w:rPr>
              <w:t>升压站消防严格按照《火力发电厂与变电站设计防火标准》（</w:t>
            </w:r>
            <w:r>
              <w:rPr>
                <w:rFonts w:hint="default"/>
                <w:b w:val="0"/>
                <w:bCs w:val="0"/>
                <w:u w:val="none"/>
                <w:lang w:val="en-US" w:eastAsia="zh-CN"/>
              </w:rPr>
              <w:t>GB50229-2019</w:t>
            </w:r>
            <w:r>
              <w:rPr>
                <w:rFonts w:hint="eastAsia"/>
                <w:b w:val="0"/>
                <w:bCs w:val="0"/>
                <w:u w:val="none"/>
                <w:lang w:val="en-US" w:eastAsia="zh-CN"/>
              </w:rPr>
              <w:t>）等要求进行设计。</w:t>
            </w:r>
          </w:p>
          <w:p>
            <w:pPr>
              <w:spacing w:line="360" w:lineRule="auto"/>
              <w:ind w:firstLine="480"/>
              <w:contextualSpacing/>
              <w:rPr>
                <w:rFonts w:hint="default"/>
              </w:rPr>
            </w:pPr>
            <w:r>
              <w:rPr>
                <w:rFonts w:hint="eastAsia"/>
                <w:lang w:val="en-US" w:eastAsia="zh-CN"/>
              </w:rPr>
              <w:t>4</w:t>
            </w:r>
            <w:r>
              <w:rPr>
                <w:rFonts w:hint="default"/>
              </w:rPr>
              <w:t>）严格做好分区防渗工程，施工期加强工程监理和环境监理，提高防渗工程质量，做好照片、录像以及相关文字说明等存档资料。</w:t>
            </w:r>
          </w:p>
          <w:p>
            <w:pPr>
              <w:pStyle w:val="11"/>
              <w:rPr>
                <w:rFonts w:hint="default"/>
              </w:rPr>
            </w:pPr>
            <w:r>
              <w:rPr>
                <w:rFonts w:hint="eastAsia"/>
                <w:lang w:val="en-US" w:eastAsia="zh-CN"/>
              </w:rPr>
              <w:t>5</w:t>
            </w:r>
            <w:r>
              <w:rPr>
                <w:rFonts w:hint="default"/>
              </w:rPr>
              <w:t>）运营期定期检查各储存设施，</w:t>
            </w:r>
            <w:r>
              <w:rPr>
                <w:rFonts w:hint="eastAsia"/>
                <w:lang w:val="en-US" w:eastAsia="zh-CN"/>
              </w:rPr>
              <w:t>加装视频监控管理，</w:t>
            </w:r>
            <w:r>
              <w:rPr>
                <w:rFonts w:hint="default"/>
              </w:rPr>
              <w:t>避免出现泄漏等不良情况。</w:t>
            </w:r>
          </w:p>
          <w:p>
            <w:pPr>
              <w:spacing w:line="360" w:lineRule="auto"/>
              <w:ind w:firstLine="480"/>
              <w:contextualSpacing/>
              <w:rPr>
                <w:rFonts w:hint="default"/>
              </w:rPr>
            </w:pPr>
            <w:r>
              <w:rPr>
                <w:rFonts w:hint="default"/>
              </w:rPr>
              <w:t>因此，本环评认为该项目严格按照各项风险防范措施进行落实，规范操作，即可将环境风险降低到最小，环境风险可接受。</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24" w:type="pct"/>
            <w:tcMar>
              <w:left w:w="28" w:type="dxa"/>
              <w:right w:w="28" w:type="dxa"/>
            </w:tcMar>
            <w:vAlign w:val="center"/>
          </w:tcPr>
          <w:p>
            <w:pPr>
              <w:pStyle w:val="20"/>
              <w:adjustRightInd w:val="0"/>
              <w:snapToGrid w:val="0"/>
              <w:spacing w:before="0" w:beforeAutospacing="0" w:after="0" w:afterAutospacing="0" w:line="240" w:lineRule="auto"/>
              <w:ind w:firstLine="0" w:firstLineChars="0"/>
              <w:jc w:val="center"/>
              <w:rPr>
                <w:rFonts w:hint="default" w:ascii="Times New Roman" w:hAnsi="Times New Roman" w:cs="Times New Roman" w:eastAsiaTheme="minorEastAsia"/>
                <w:bCs/>
                <w:color w:val="0000FF"/>
                <w:kern w:val="2"/>
                <w:sz w:val="24"/>
                <w:szCs w:val="24"/>
                <w:lang w:val="en-US" w:eastAsia="zh-CN" w:bidi="ar-SA"/>
              </w:rPr>
            </w:pPr>
            <w:r>
              <w:rPr>
                <w:rFonts w:hint="default" w:ascii="Times New Roman" w:hAnsi="Times New Roman" w:cs="Times New Roman"/>
                <w:bCs/>
                <w:color w:val="auto"/>
                <w:kern w:val="2"/>
              </w:rPr>
              <w:t>选址选线环境合理性分析</w:t>
            </w:r>
          </w:p>
        </w:tc>
        <w:tc>
          <w:tcPr>
            <w:tcW w:w="4575" w:type="pct"/>
            <w:vAlign w:val="top"/>
          </w:tcPr>
          <w:p>
            <w:pPr>
              <w:pStyle w:val="42"/>
              <w:adjustRightInd/>
              <w:snapToGrid/>
              <w:spacing w:before="163" w:beforeLines="50"/>
              <w:contextualSpacing/>
              <w:rPr>
                <w:rFonts w:hint="default" w:ascii="Times New Roman" w:hAnsi="Times New Roman" w:cs="Times New Roman"/>
                <w:color w:val="auto"/>
              </w:rPr>
            </w:pPr>
            <w:r>
              <w:rPr>
                <w:rFonts w:hint="default" w:ascii="Times New Roman" w:hAnsi="Times New Roman" w:cs="Times New Roman"/>
                <w:color w:val="auto"/>
              </w:rPr>
              <w:t>本项目在可研设计阶段已取得</w:t>
            </w:r>
            <w:r>
              <w:rPr>
                <w:rFonts w:hint="default" w:ascii="Times New Roman" w:hAnsi="Times New Roman" w:cs="Times New Roman"/>
                <w:color w:val="auto"/>
                <w:lang w:val="en-US" w:eastAsia="zh-CN"/>
              </w:rPr>
              <w:t>济源产城融合示范区自然资源和规划局用地预审和选址意见，</w:t>
            </w:r>
            <w:r>
              <w:rPr>
                <w:rFonts w:hint="default" w:ascii="Times New Roman" w:hAnsi="Times New Roman" w:cs="Times New Roman"/>
                <w:color w:val="auto"/>
              </w:rPr>
              <w:t>项目</w:t>
            </w:r>
            <w:r>
              <w:rPr>
                <w:rFonts w:hint="default" w:ascii="Times New Roman" w:hAnsi="Times New Roman" w:cs="Times New Roman"/>
                <w:color w:val="auto"/>
                <w:lang w:val="en-US" w:eastAsia="zh-CN"/>
              </w:rPr>
              <w:t>用地</w:t>
            </w:r>
            <w:r>
              <w:rPr>
                <w:rFonts w:hint="default" w:ascii="Times New Roman" w:hAnsi="Times New Roman" w:cs="Times New Roman"/>
                <w:color w:val="auto"/>
              </w:rPr>
              <w:t>符合国家</w:t>
            </w:r>
            <w:r>
              <w:rPr>
                <w:rFonts w:hint="default" w:ascii="Times New Roman" w:hAnsi="Times New Roman" w:cs="Times New Roman"/>
                <w:color w:val="auto"/>
                <w:lang w:val="en-US" w:eastAsia="zh-CN"/>
              </w:rPr>
              <w:t>用地</w:t>
            </w:r>
            <w:r>
              <w:rPr>
                <w:rFonts w:hint="default" w:ascii="Times New Roman" w:hAnsi="Times New Roman" w:cs="Times New Roman"/>
                <w:color w:val="auto"/>
              </w:rPr>
              <w:t>政策。</w:t>
            </w:r>
          </w:p>
          <w:p>
            <w:pPr>
              <w:pStyle w:val="42"/>
              <w:keepNext w:val="0"/>
              <w:keepLines w:val="0"/>
              <w:pageBreakBefore w:val="0"/>
              <w:widowControl w:val="0"/>
              <w:kinsoku/>
              <w:wordWrap/>
              <w:overflowPunct/>
              <w:topLinePunct w:val="0"/>
              <w:autoSpaceDE/>
              <w:autoSpaceDN/>
              <w:bidi w:val="0"/>
              <w:adjustRightInd w:val="0"/>
              <w:snapToGrid w:val="0"/>
              <w:spacing w:line="520" w:lineRule="exact"/>
              <w:contextualSpacing/>
              <w:textAlignment w:val="top"/>
              <w:rPr>
                <w:rFonts w:hint="default" w:ascii="Times New Roman" w:hAnsi="Times New Roman" w:eastAsia="宋体" w:cs="Times New Roman"/>
                <w:color w:val="0000FF"/>
                <w:lang w:val="en-US" w:eastAsia="zh-CN"/>
              </w:rPr>
            </w:pPr>
            <w:r>
              <w:rPr>
                <w:rFonts w:hint="eastAsia" w:cs="Times New Roman"/>
                <w:b w:val="0"/>
                <w:bCs w:val="0"/>
                <w:color w:val="auto"/>
                <w:u w:val="none"/>
                <w:lang w:val="en-US" w:eastAsia="zh-CN"/>
              </w:rPr>
              <w:t>本项目已编制《</w:t>
            </w:r>
            <w:r>
              <w:rPr>
                <w:rFonts w:hint="default" w:ascii="Times New Roman" w:hAnsi="Times New Roman" w:cs="Times New Roman"/>
                <w:b w:val="0"/>
                <w:bCs w:val="0"/>
                <w:color w:val="auto"/>
                <w:u w:val="none"/>
                <w:lang w:eastAsia="zh-CN"/>
              </w:rPr>
              <w:t>济源大岭四期100</w:t>
            </w:r>
            <w:r>
              <w:rPr>
                <w:rFonts w:hint="eastAsia" w:cs="Times New Roman"/>
                <w:b w:val="0"/>
                <w:bCs w:val="0"/>
                <w:color w:val="auto"/>
                <w:u w:val="none"/>
                <w:lang w:val="en-US" w:eastAsia="zh-CN"/>
              </w:rPr>
              <w:t>兆瓦</w:t>
            </w:r>
            <w:r>
              <w:rPr>
                <w:rFonts w:hint="default" w:ascii="Times New Roman" w:hAnsi="Times New Roman" w:cs="Times New Roman"/>
                <w:b w:val="0"/>
                <w:bCs w:val="0"/>
                <w:color w:val="auto"/>
                <w:u w:val="none"/>
                <w:lang w:eastAsia="zh-CN"/>
              </w:rPr>
              <w:t>风电场项目</w:t>
            </w:r>
            <w:r>
              <w:rPr>
                <w:rFonts w:hint="eastAsia" w:cs="Times New Roman"/>
                <w:b w:val="0"/>
                <w:bCs w:val="0"/>
                <w:color w:val="auto"/>
                <w:u w:val="none"/>
                <w:lang w:val="en-US" w:eastAsia="zh-CN"/>
              </w:rPr>
              <w:t>接入系统设计报告》，并通过国网河南省电力公司评审，取得评审意见（意见文号为：豫电发展</w:t>
            </w:r>
            <w:r>
              <w:rPr>
                <w:rFonts w:hint="default" w:ascii="Times New Roman" w:hAnsi="Times New Roman" w:cs="Times New Roman" w:eastAsiaTheme="minorEastAsia"/>
                <w:b w:val="0"/>
                <w:bCs w:val="0"/>
                <w:color w:val="auto"/>
                <w:kern w:val="2"/>
                <w:sz w:val="24"/>
                <w:szCs w:val="24"/>
                <w:highlight w:val="none"/>
                <w:u w:val="none"/>
                <w:lang w:val="en-US" w:eastAsia="zh-CN" w:bidi="ar-SA"/>
              </w:rPr>
              <w:t>〔2022〕</w:t>
            </w:r>
            <w:r>
              <w:rPr>
                <w:rFonts w:hint="eastAsia" w:cs="Times New Roman" w:eastAsiaTheme="minorEastAsia"/>
                <w:b w:val="0"/>
                <w:bCs w:val="0"/>
                <w:color w:val="auto"/>
                <w:kern w:val="2"/>
                <w:sz w:val="24"/>
                <w:szCs w:val="24"/>
                <w:highlight w:val="none"/>
                <w:u w:val="none"/>
                <w:lang w:val="en-US" w:eastAsia="zh-CN" w:bidi="ar-SA"/>
              </w:rPr>
              <w:t>485</w:t>
            </w:r>
            <w:r>
              <w:rPr>
                <w:rFonts w:hint="default" w:ascii="Times New Roman" w:hAnsi="Times New Roman" w:cs="Times New Roman" w:eastAsiaTheme="minorEastAsia"/>
                <w:b w:val="0"/>
                <w:bCs w:val="0"/>
                <w:color w:val="auto"/>
                <w:kern w:val="2"/>
                <w:sz w:val="24"/>
                <w:szCs w:val="24"/>
                <w:highlight w:val="none"/>
                <w:u w:val="none"/>
                <w:lang w:val="en-US" w:eastAsia="zh-CN" w:bidi="ar-SA"/>
              </w:rPr>
              <w:t>号</w:t>
            </w:r>
            <w:r>
              <w:rPr>
                <w:rFonts w:hint="eastAsia" w:cs="Times New Roman"/>
                <w:b w:val="0"/>
                <w:bCs w:val="0"/>
                <w:color w:val="auto"/>
                <w:u w:val="none"/>
                <w:lang w:val="en-US" w:eastAsia="zh-CN"/>
              </w:rPr>
              <w:t>，详见附件5）。根据豫电发展</w:t>
            </w:r>
            <w:r>
              <w:rPr>
                <w:rFonts w:hint="default" w:ascii="Times New Roman" w:hAnsi="Times New Roman" w:cs="Times New Roman" w:eastAsiaTheme="minorEastAsia"/>
                <w:b w:val="0"/>
                <w:bCs w:val="0"/>
                <w:color w:val="auto"/>
                <w:kern w:val="2"/>
                <w:sz w:val="24"/>
                <w:szCs w:val="24"/>
                <w:highlight w:val="none"/>
                <w:u w:val="none"/>
                <w:lang w:val="en-US" w:eastAsia="zh-CN" w:bidi="ar-SA"/>
              </w:rPr>
              <w:t>〔2022〕</w:t>
            </w:r>
            <w:r>
              <w:rPr>
                <w:rFonts w:hint="eastAsia" w:cs="Times New Roman" w:eastAsiaTheme="minorEastAsia"/>
                <w:b w:val="0"/>
                <w:bCs w:val="0"/>
                <w:color w:val="auto"/>
                <w:kern w:val="2"/>
                <w:sz w:val="24"/>
                <w:szCs w:val="24"/>
                <w:highlight w:val="none"/>
                <w:u w:val="none"/>
                <w:lang w:val="en-US" w:eastAsia="zh-CN" w:bidi="ar-SA"/>
              </w:rPr>
              <w:t>485</w:t>
            </w:r>
            <w:r>
              <w:rPr>
                <w:rFonts w:hint="default" w:ascii="Times New Roman" w:hAnsi="Times New Roman" w:cs="Times New Roman" w:eastAsiaTheme="minorEastAsia"/>
                <w:b w:val="0"/>
                <w:bCs w:val="0"/>
                <w:color w:val="auto"/>
                <w:kern w:val="2"/>
                <w:sz w:val="24"/>
                <w:szCs w:val="24"/>
                <w:highlight w:val="none"/>
                <w:u w:val="none"/>
                <w:lang w:val="en-US" w:eastAsia="zh-CN" w:bidi="ar-SA"/>
              </w:rPr>
              <w:t>号</w:t>
            </w:r>
            <w:r>
              <w:rPr>
                <w:rFonts w:hint="eastAsia" w:cs="Times New Roman" w:eastAsiaTheme="minorEastAsia"/>
                <w:b w:val="0"/>
                <w:bCs w:val="0"/>
                <w:color w:val="auto"/>
                <w:kern w:val="2"/>
                <w:sz w:val="24"/>
                <w:szCs w:val="24"/>
                <w:highlight w:val="none"/>
                <w:u w:val="none"/>
                <w:lang w:val="en-US" w:eastAsia="zh-CN" w:bidi="ar-SA"/>
              </w:rPr>
              <w:t>文，同意</w:t>
            </w:r>
            <w:r>
              <w:rPr>
                <w:rFonts w:hint="default" w:ascii="Times New Roman" w:hAnsi="Times New Roman" w:cs="Times New Roman"/>
                <w:b w:val="0"/>
                <w:bCs w:val="0"/>
                <w:color w:val="auto"/>
                <w:u w:val="none"/>
                <w:lang w:eastAsia="zh-CN"/>
              </w:rPr>
              <w:t>济源大岭四期风电场</w:t>
            </w:r>
            <w:r>
              <w:rPr>
                <w:rFonts w:hint="eastAsia" w:cs="Times New Roman"/>
                <w:b w:val="0"/>
                <w:bCs w:val="0"/>
                <w:color w:val="auto"/>
                <w:u w:val="none"/>
                <w:lang w:val="en-US" w:eastAsia="zh-CN"/>
              </w:rPr>
              <w:t>自建110千伏升压站，通过1</w:t>
            </w:r>
            <w:r>
              <w:rPr>
                <w:rFonts w:hint="eastAsia" w:ascii="Times New Roman" w:hAnsi="Times New Roman" w:cs="Times New Roman"/>
                <w:b w:val="0"/>
                <w:bCs w:val="0"/>
                <w:color w:val="auto"/>
                <w:highlight w:val="none"/>
                <w:u w:val="none"/>
                <w:lang w:val="en-US" w:eastAsia="zh-CN"/>
              </w:rPr>
              <w:t>回</w:t>
            </w:r>
            <w:r>
              <w:rPr>
                <w:rFonts w:hint="default" w:ascii="Times New Roman" w:hAnsi="Times New Roman" w:cs="Times New Roman"/>
                <w:b w:val="0"/>
                <w:bCs w:val="0"/>
                <w:color w:val="auto"/>
                <w:highlight w:val="none"/>
                <w:u w:val="none"/>
                <w:lang w:val="en-US" w:eastAsia="zh-CN"/>
              </w:rPr>
              <w:t>110</w:t>
            </w:r>
            <w:r>
              <w:rPr>
                <w:rFonts w:hint="eastAsia" w:cs="Times New Roman"/>
                <w:b w:val="0"/>
                <w:bCs w:val="0"/>
                <w:color w:val="auto"/>
                <w:u w:val="none"/>
                <w:lang w:val="en-US" w:eastAsia="zh-CN"/>
              </w:rPr>
              <w:t>千伏</w:t>
            </w:r>
            <w:r>
              <w:rPr>
                <w:rFonts w:hint="eastAsia" w:ascii="Times New Roman" w:hAnsi="Times New Roman" w:cs="Times New Roman"/>
                <w:b w:val="0"/>
                <w:bCs w:val="0"/>
                <w:color w:val="auto"/>
                <w:highlight w:val="none"/>
                <w:u w:val="none"/>
                <w:lang w:val="en-US" w:eastAsia="zh-CN"/>
              </w:rPr>
              <w:t>线路接入</w:t>
            </w:r>
            <w:r>
              <w:rPr>
                <w:rFonts w:hint="default" w:ascii="Times New Roman" w:hAnsi="Times New Roman" w:cs="Times New Roman"/>
                <w:b w:val="0"/>
                <w:bCs w:val="0"/>
                <w:color w:val="auto"/>
                <w:highlight w:val="none"/>
                <w:u w:val="none"/>
                <w:lang w:val="en-US" w:eastAsia="zh-CN"/>
              </w:rPr>
              <w:t>110</w:t>
            </w:r>
            <w:r>
              <w:rPr>
                <w:rFonts w:hint="eastAsia" w:cs="Times New Roman"/>
                <w:b w:val="0"/>
                <w:bCs w:val="0"/>
                <w:color w:val="auto"/>
                <w:u w:val="none"/>
                <w:lang w:val="en-US" w:eastAsia="zh-CN"/>
              </w:rPr>
              <w:t>千伏</w:t>
            </w:r>
            <w:r>
              <w:rPr>
                <w:rFonts w:hint="eastAsia" w:ascii="Times New Roman" w:hAnsi="Times New Roman" w:cs="Times New Roman"/>
                <w:b w:val="0"/>
                <w:bCs w:val="0"/>
                <w:color w:val="auto"/>
                <w:highlight w:val="none"/>
                <w:u w:val="none"/>
                <w:lang w:val="en-US" w:eastAsia="zh-CN"/>
              </w:rPr>
              <w:t>承留变</w:t>
            </w:r>
            <w:r>
              <w:rPr>
                <w:rFonts w:hint="eastAsia" w:cs="Times New Roman"/>
                <w:b w:val="0"/>
                <w:bCs w:val="0"/>
                <w:color w:val="auto"/>
                <w:highlight w:val="none"/>
                <w:u w:val="none"/>
                <w:lang w:val="en-US" w:eastAsia="zh-CN"/>
              </w:rPr>
              <w:t>。</w:t>
            </w:r>
            <w:r>
              <w:rPr>
                <w:rFonts w:hint="default" w:ascii="Times New Roman" w:hAnsi="Times New Roman" w:cs="Times New Roman"/>
                <w:b w:val="0"/>
                <w:bCs w:val="0"/>
                <w:color w:val="auto"/>
                <w:u w:val="none"/>
                <w:lang w:val="en-US" w:eastAsia="zh-CN"/>
              </w:rPr>
              <w:t>本升压站项目不包括具体电网接入系统。</w:t>
            </w:r>
          </w:p>
          <w:p>
            <w:pPr>
              <w:keepNext w:val="0"/>
              <w:keepLines w:val="0"/>
              <w:widowControl/>
              <w:suppressLineNumbers w:val="0"/>
              <w:jc w:val="left"/>
              <w:rPr>
                <w:rFonts w:hint="eastAsia" w:ascii="宋体" w:hAnsi="宋体" w:eastAsia="宋体" w:cs="宋体"/>
                <w:color w:val="000000"/>
                <w:kern w:val="0"/>
                <w:sz w:val="24"/>
                <w:szCs w:val="24"/>
                <w:lang w:val="en-US" w:eastAsia="zh-CN" w:bidi="ar"/>
              </w:rPr>
            </w:pPr>
            <w:r>
              <w:rPr>
                <w:rFonts w:hint="default" w:ascii="Times New Roman" w:hAnsi="Times New Roman" w:cs="Times New Roman"/>
                <w:color w:val="auto"/>
              </w:rPr>
              <w:t>本项目</w:t>
            </w:r>
            <w:r>
              <w:rPr>
                <w:rFonts w:hint="eastAsia" w:cs="Times New Roman"/>
                <w:color w:val="auto"/>
                <w:lang w:val="en-US" w:eastAsia="zh-CN"/>
              </w:rPr>
              <w:t>选址</w:t>
            </w:r>
            <w:r>
              <w:rPr>
                <w:rFonts w:hint="eastAsia" w:ascii="Times New Roman" w:hAnsi="Times New Roman" w:cs="Times New Roman"/>
                <w:color w:val="auto"/>
                <w:lang w:val="en-US" w:eastAsia="zh-CN"/>
              </w:rPr>
              <w:t>与《输变电建设项目环境保护技术要求》（</w:t>
            </w:r>
            <w:r>
              <w:rPr>
                <w:rFonts w:hint="default" w:ascii="Times New Roman" w:hAnsi="Times New Roman" w:cs="Times New Roman"/>
                <w:color w:val="auto"/>
                <w:lang w:val="en-US" w:eastAsia="zh-CN"/>
              </w:rPr>
              <w:t>HJ 1113-2020</w:t>
            </w:r>
            <w:r>
              <w:rPr>
                <w:rFonts w:hint="eastAsia" w:ascii="Times New Roman" w:hAnsi="Times New Roman" w:cs="Times New Roman"/>
                <w:color w:val="auto"/>
                <w:lang w:val="en-US" w:eastAsia="zh-CN"/>
              </w:rPr>
              <w:t>）相符性分析见下表</w:t>
            </w:r>
            <w:r>
              <w:rPr>
                <w:rFonts w:hint="eastAsia" w:cs="Times New Roman"/>
                <w:color w:val="auto"/>
                <w:lang w:val="en-US" w:eastAsia="zh-CN"/>
              </w:rPr>
              <w:t>。经分析，本</w:t>
            </w:r>
            <w:r>
              <w:rPr>
                <w:rFonts w:hint="eastAsia" w:ascii="宋体" w:hAnsi="宋体" w:eastAsia="宋体" w:cs="宋体"/>
                <w:color w:val="000000"/>
                <w:kern w:val="0"/>
                <w:sz w:val="24"/>
                <w:szCs w:val="24"/>
                <w:lang w:val="en-US" w:eastAsia="zh-CN" w:bidi="ar"/>
              </w:rPr>
              <w:t>项目升压站的建设与《输变电建设项目环境保护技术要求》（</w:t>
            </w:r>
            <w:r>
              <w:rPr>
                <w:rFonts w:hint="default" w:ascii="Times New Roman" w:hAnsi="Times New Roman" w:eastAsia="宋体" w:cs="Times New Roman"/>
                <w:color w:val="000000"/>
                <w:kern w:val="0"/>
                <w:sz w:val="24"/>
                <w:szCs w:val="24"/>
                <w:lang w:val="en-US" w:eastAsia="zh-CN" w:bidi="ar"/>
              </w:rPr>
              <w:t>HJ 1113-2020</w:t>
            </w:r>
            <w:r>
              <w:rPr>
                <w:rFonts w:hint="eastAsia" w:ascii="宋体" w:hAnsi="宋体" w:eastAsia="宋体" w:cs="宋体"/>
                <w:color w:val="000000"/>
                <w:kern w:val="0"/>
                <w:sz w:val="24"/>
                <w:szCs w:val="24"/>
                <w:lang w:val="en-US" w:eastAsia="zh-CN" w:bidi="ar"/>
              </w:rPr>
              <w:t>）相符。</w:t>
            </w:r>
          </w:p>
          <w:p>
            <w:pPr>
              <w:pStyle w:val="70"/>
              <w:ind w:firstLineChars="0"/>
              <w:textAlignment w:val="auto"/>
              <w:rPr>
                <w:rFonts w:hint="default"/>
                <w:lang w:val="en-US" w:eastAsia="zh-CN"/>
              </w:rPr>
            </w:pPr>
            <w:r>
              <w:rPr>
                <w:rFonts w:hint="eastAsia"/>
                <w:lang w:val="en-US" w:eastAsia="zh-CN"/>
              </w:rPr>
              <w:t>与</w:t>
            </w:r>
            <w:r>
              <w:rPr>
                <w:rFonts w:hint="default"/>
                <w:lang w:val="en-US" w:eastAsia="zh-CN"/>
              </w:rPr>
              <w:t>HJ 1113-2020</w:t>
            </w:r>
            <w:r>
              <w:rPr>
                <w:rFonts w:hint="eastAsia"/>
                <w:lang w:val="en-US" w:eastAsia="zh-CN"/>
              </w:rPr>
              <w:t>选址选线要求的相符性分析表</w:t>
            </w:r>
          </w:p>
          <w:tbl>
            <w:tblPr>
              <w:tblStyle w:val="23"/>
              <w:tblW w:w="4997" w:type="pct"/>
              <w:tblInd w:w="0" w:type="dxa"/>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autofit"/>
              <w:tblCellMar>
                <w:top w:w="0" w:type="dxa"/>
                <w:left w:w="23" w:type="dxa"/>
                <w:bottom w:w="0" w:type="dxa"/>
                <w:right w:w="23" w:type="dxa"/>
              </w:tblCellMar>
            </w:tblPr>
            <w:tblGrid>
              <w:gridCol w:w="4215"/>
              <w:gridCol w:w="3864"/>
              <w:gridCol w:w="766"/>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23" w:type="dxa"/>
                  <w:bottom w:w="0" w:type="dxa"/>
                  <w:right w:w="23" w:type="dxa"/>
                </w:tblCellMar>
              </w:tblPrEx>
              <w:trPr>
                <w:trHeight w:val="397" w:hRule="atLeast"/>
              </w:trPr>
              <w:tc>
                <w:tcPr>
                  <w:tcW w:w="2382" w:type="pct"/>
                  <w:tcBorders>
                    <w:tl2br w:val="nil"/>
                    <w:tr2bl w:val="nil"/>
                  </w:tcBorders>
                  <w:vAlign w:val="center"/>
                </w:tcPr>
                <w:p>
                  <w:pPr>
                    <w:pStyle w:val="42"/>
                    <w:keepNext w:val="0"/>
                    <w:keepLines w:val="0"/>
                    <w:pageBreakBefore w:val="0"/>
                    <w:widowControl w:val="0"/>
                    <w:shd w:val="clear"/>
                    <w:kinsoku/>
                    <w:wordWrap/>
                    <w:overflowPunct/>
                    <w:topLinePunct w:val="0"/>
                    <w:autoSpaceDE/>
                    <w:autoSpaceDN/>
                    <w:bidi w:val="0"/>
                    <w:adjustRightInd w:val="0"/>
                    <w:snapToGrid w:val="0"/>
                    <w:spacing w:line="240" w:lineRule="auto"/>
                    <w:ind w:firstLine="0" w:firstLineChars="0"/>
                    <w:contextualSpacing/>
                    <w:jc w:val="center"/>
                    <w:textAlignment w:val="top"/>
                    <w:rPr>
                      <w:rFonts w:hint="default" w:ascii="Times New Roman" w:hAnsi="Times New Roman" w:eastAsia="宋体" w:cs="Times New Roman"/>
                      <w:snapToGrid w:val="0"/>
                      <w:color w:val="auto"/>
                      <w:kern w:val="0"/>
                      <w:sz w:val="21"/>
                      <w:szCs w:val="21"/>
                      <w:vertAlign w:val="baseline"/>
                      <w:lang w:val="en-US" w:eastAsia="zh-CN" w:bidi="ar-SA"/>
                    </w:rPr>
                  </w:pPr>
                  <w:r>
                    <w:rPr>
                      <w:rFonts w:hint="default" w:ascii="Times New Roman" w:hAnsi="Times New Roman" w:cs="Times New Roman"/>
                      <w:snapToGrid w:val="0"/>
                      <w:color w:val="auto"/>
                      <w:kern w:val="0"/>
                      <w:sz w:val="21"/>
                      <w:szCs w:val="21"/>
                      <w:vertAlign w:val="baseline"/>
                      <w:lang w:val="en-US" w:eastAsia="zh-CN" w:bidi="ar-SA"/>
                    </w:rPr>
                    <w:t>选址选线要求</w:t>
                  </w:r>
                </w:p>
              </w:tc>
              <w:tc>
                <w:tcPr>
                  <w:tcW w:w="2184" w:type="pct"/>
                  <w:tcBorders>
                    <w:tl2br w:val="nil"/>
                    <w:tr2bl w:val="nil"/>
                  </w:tcBorders>
                  <w:vAlign w:val="center"/>
                </w:tcPr>
                <w:p>
                  <w:pPr>
                    <w:pStyle w:val="42"/>
                    <w:keepNext w:val="0"/>
                    <w:keepLines w:val="0"/>
                    <w:pageBreakBefore w:val="0"/>
                    <w:widowControl w:val="0"/>
                    <w:shd w:val="clear"/>
                    <w:kinsoku/>
                    <w:wordWrap/>
                    <w:overflowPunct/>
                    <w:topLinePunct w:val="0"/>
                    <w:autoSpaceDE/>
                    <w:autoSpaceDN/>
                    <w:bidi w:val="0"/>
                    <w:adjustRightInd w:val="0"/>
                    <w:snapToGrid w:val="0"/>
                    <w:spacing w:line="240" w:lineRule="auto"/>
                    <w:ind w:firstLine="0" w:firstLineChars="0"/>
                    <w:contextualSpacing/>
                    <w:jc w:val="center"/>
                    <w:textAlignment w:val="top"/>
                    <w:rPr>
                      <w:rFonts w:hint="default" w:ascii="Times New Roman" w:hAnsi="Times New Roman" w:eastAsia="宋体" w:cs="Times New Roman"/>
                      <w:snapToGrid w:val="0"/>
                      <w:color w:val="auto"/>
                      <w:kern w:val="0"/>
                      <w:sz w:val="21"/>
                      <w:szCs w:val="21"/>
                      <w:vertAlign w:val="baseline"/>
                      <w:lang w:val="en-US" w:eastAsia="zh-CN" w:bidi="ar-SA"/>
                    </w:rPr>
                  </w:pPr>
                  <w:r>
                    <w:rPr>
                      <w:rFonts w:hint="default" w:ascii="Times New Roman" w:hAnsi="Times New Roman" w:cs="Times New Roman"/>
                      <w:snapToGrid w:val="0"/>
                      <w:color w:val="auto"/>
                      <w:kern w:val="0"/>
                      <w:sz w:val="21"/>
                      <w:szCs w:val="21"/>
                      <w:vertAlign w:val="baseline"/>
                      <w:lang w:val="en-US" w:eastAsia="zh-CN" w:bidi="ar-SA"/>
                    </w:rPr>
                    <w:t>本项目</w:t>
                  </w:r>
                </w:p>
              </w:tc>
              <w:tc>
                <w:tcPr>
                  <w:tcW w:w="433" w:type="pct"/>
                  <w:tcBorders>
                    <w:tl2br w:val="nil"/>
                    <w:tr2bl w:val="nil"/>
                  </w:tcBorders>
                  <w:vAlign w:val="center"/>
                </w:tcPr>
                <w:p>
                  <w:pPr>
                    <w:pStyle w:val="42"/>
                    <w:keepNext w:val="0"/>
                    <w:keepLines w:val="0"/>
                    <w:pageBreakBefore w:val="0"/>
                    <w:widowControl w:val="0"/>
                    <w:shd w:val="clear"/>
                    <w:kinsoku/>
                    <w:wordWrap/>
                    <w:overflowPunct/>
                    <w:topLinePunct w:val="0"/>
                    <w:autoSpaceDE/>
                    <w:autoSpaceDN/>
                    <w:bidi w:val="0"/>
                    <w:adjustRightInd w:val="0"/>
                    <w:snapToGrid w:val="0"/>
                    <w:spacing w:line="240" w:lineRule="auto"/>
                    <w:ind w:firstLine="0" w:firstLineChars="0"/>
                    <w:contextualSpacing/>
                    <w:jc w:val="center"/>
                    <w:textAlignment w:val="top"/>
                    <w:rPr>
                      <w:rFonts w:hint="default" w:ascii="Times New Roman" w:hAnsi="Times New Roman" w:eastAsia="宋体" w:cs="Times New Roman"/>
                      <w:snapToGrid w:val="0"/>
                      <w:color w:val="auto"/>
                      <w:kern w:val="0"/>
                      <w:sz w:val="21"/>
                      <w:szCs w:val="21"/>
                      <w:vertAlign w:val="baseline"/>
                      <w:lang w:val="en-US" w:eastAsia="zh-CN" w:bidi="ar-SA"/>
                    </w:rPr>
                  </w:pPr>
                  <w:r>
                    <w:rPr>
                      <w:rFonts w:hint="default" w:ascii="Times New Roman" w:hAnsi="Times New Roman" w:cs="Times New Roman"/>
                      <w:snapToGrid w:val="0"/>
                      <w:color w:val="auto"/>
                      <w:kern w:val="0"/>
                      <w:sz w:val="21"/>
                      <w:szCs w:val="21"/>
                      <w:vertAlign w:val="baseline"/>
                      <w:lang w:val="en-US" w:eastAsia="zh-CN" w:bidi="ar-SA"/>
                    </w:rPr>
                    <w:t>符合性</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23" w:type="dxa"/>
                  <w:bottom w:w="0" w:type="dxa"/>
                  <w:right w:w="23" w:type="dxa"/>
                </w:tblCellMar>
              </w:tblPrEx>
              <w:trPr>
                <w:trHeight w:val="397" w:hRule="atLeast"/>
              </w:trPr>
              <w:tc>
                <w:tcPr>
                  <w:tcW w:w="2382"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left"/>
                    <w:textAlignment w:val="top"/>
                    <w:rPr>
                      <w:rFonts w:hint="default" w:ascii="Times New Roman" w:hAnsi="Times New Roman" w:eastAsia="宋体" w:cs="Times New Roman"/>
                      <w:snapToGrid w:val="0"/>
                      <w:color w:val="0000FF"/>
                      <w:kern w:val="0"/>
                      <w:sz w:val="21"/>
                      <w:szCs w:val="21"/>
                      <w:vertAlign w:val="baseline"/>
                      <w:lang w:val="en-US" w:eastAsia="zh-CN" w:bidi="ar-SA"/>
                    </w:rPr>
                  </w:pPr>
                  <w:r>
                    <w:rPr>
                      <w:rFonts w:hint="default" w:ascii="Times New Roman" w:hAnsi="Times New Roman" w:eastAsia="黑体" w:cs="Times New Roman"/>
                      <w:color w:val="000000"/>
                      <w:kern w:val="0"/>
                      <w:sz w:val="21"/>
                      <w:szCs w:val="21"/>
                      <w:lang w:val="en-US" w:eastAsia="zh-CN" w:bidi="ar"/>
                    </w:rPr>
                    <w:t xml:space="preserve">5.1 </w:t>
                  </w:r>
                  <w:r>
                    <w:rPr>
                      <w:rFonts w:hint="default" w:ascii="Times New Roman" w:hAnsi="Times New Roman" w:eastAsia="宋体" w:cs="Times New Roman"/>
                      <w:color w:val="000000"/>
                      <w:kern w:val="0"/>
                      <w:sz w:val="21"/>
                      <w:szCs w:val="21"/>
                      <w:lang w:val="en-US" w:eastAsia="zh-CN" w:bidi="ar"/>
                    </w:rPr>
                    <w:t>工程选址选线应符合规划环境影响评价文件的要求。</w:t>
                  </w:r>
                </w:p>
              </w:tc>
              <w:tc>
                <w:tcPr>
                  <w:tcW w:w="2184"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top"/>
                    <w:rPr>
                      <w:rFonts w:hint="default" w:ascii="Times New Roman" w:hAnsi="Times New Roman" w:eastAsia="宋体" w:cs="Times New Roman"/>
                      <w:snapToGrid w:val="0"/>
                      <w:color w:val="0000FF"/>
                      <w:kern w:val="0"/>
                      <w:sz w:val="21"/>
                      <w:szCs w:val="21"/>
                      <w:vertAlign w:val="baseline"/>
                      <w:lang w:val="en-US" w:eastAsia="zh-CN" w:bidi="ar-SA"/>
                    </w:rPr>
                  </w:pPr>
                  <w:r>
                    <w:rPr>
                      <w:rFonts w:hint="default" w:ascii="Times New Roman" w:hAnsi="Times New Roman" w:eastAsia="宋体" w:cs="Times New Roman"/>
                      <w:color w:val="000000"/>
                      <w:kern w:val="0"/>
                      <w:sz w:val="20"/>
                      <w:szCs w:val="20"/>
                      <w:lang w:val="en-US" w:eastAsia="zh-CN" w:bidi="ar"/>
                    </w:rPr>
                    <w:t>区域未进行规划环评。</w:t>
                  </w:r>
                </w:p>
              </w:tc>
              <w:tc>
                <w:tcPr>
                  <w:tcW w:w="433" w:type="pct"/>
                  <w:tcBorders>
                    <w:tl2br w:val="nil"/>
                    <w:tr2bl w:val="nil"/>
                  </w:tcBorders>
                  <w:vAlign w:val="center"/>
                </w:tcPr>
                <w:p>
                  <w:pPr>
                    <w:pStyle w:val="42"/>
                    <w:keepNext w:val="0"/>
                    <w:keepLines w:val="0"/>
                    <w:pageBreakBefore w:val="0"/>
                    <w:widowControl w:val="0"/>
                    <w:shd w:val="clear"/>
                    <w:kinsoku/>
                    <w:wordWrap/>
                    <w:overflowPunct/>
                    <w:topLinePunct w:val="0"/>
                    <w:autoSpaceDE/>
                    <w:autoSpaceDN/>
                    <w:bidi w:val="0"/>
                    <w:adjustRightInd w:val="0"/>
                    <w:snapToGrid w:val="0"/>
                    <w:spacing w:line="240" w:lineRule="auto"/>
                    <w:ind w:firstLine="0" w:firstLineChars="0"/>
                    <w:contextualSpacing/>
                    <w:jc w:val="center"/>
                    <w:textAlignment w:val="top"/>
                    <w:rPr>
                      <w:rFonts w:hint="default" w:ascii="Times New Roman" w:hAnsi="Times New Roman" w:eastAsia="宋体" w:cs="Times New Roman"/>
                      <w:snapToGrid w:val="0"/>
                      <w:color w:val="auto"/>
                      <w:kern w:val="0"/>
                      <w:sz w:val="21"/>
                      <w:szCs w:val="21"/>
                      <w:vertAlign w:val="baseline"/>
                      <w:lang w:val="en-US" w:eastAsia="zh-CN" w:bidi="ar-SA"/>
                    </w:rPr>
                  </w:pPr>
                  <w:r>
                    <w:rPr>
                      <w:rFonts w:hint="default" w:ascii="Times New Roman" w:hAnsi="Times New Roman" w:cs="Times New Roman"/>
                      <w:snapToGrid w:val="0"/>
                      <w:color w:val="auto"/>
                      <w:kern w:val="0"/>
                      <w:sz w:val="21"/>
                      <w:szCs w:val="21"/>
                      <w:vertAlign w:val="baseline"/>
                      <w:lang w:val="en-US" w:eastAsia="zh-CN" w:bidi="ar-SA"/>
                    </w:rPr>
                    <w:t>/</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23" w:type="dxa"/>
                  <w:bottom w:w="0" w:type="dxa"/>
                  <w:right w:w="23" w:type="dxa"/>
                </w:tblCellMar>
              </w:tblPrEx>
              <w:trPr>
                <w:trHeight w:val="397" w:hRule="atLeast"/>
              </w:trPr>
              <w:tc>
                <w:tcPr>
                  <w:tcW w:w="2382"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left"/>
                    <w:textAlignment w:val="top"/>
                    <w:rPr>
                      <w:rFonts w:hint="default" w:ascii="Times New Roman" w:hAnsi="Times New Roman" w:eastAsia="宋体" w:cs="Times New Roman"/>
                      <w:snapToGrid w:val="0"/>
                      <w:color w:val="0000FF"/>
                      <w:kern w:val="0"/>
                      <w:sz w:val="21"/>
                      <w:szCs w:val="21"/>
                      <w:vertAlign w:val="baseline"/>
                      <w:lang w:val="en-US" w:eastAsia="zh-CN" w:bidi="ar-SA"/>
                    </w:rPr>
                  </w:pPr>
                  <w:r>
                    <w:rPr>
                      <w:rFonts w:hint="default" w:ascii="Times New Roman" w:hAnsi="Times New Roman" w:eastAsia="黑体" w:cs="Times New Roman"/>
                      <w:color w:val="000000"/>
                      <w:kern w:val="0"/>
                      <w:sz w:val="21"/>
                      <w:szCs w:val="21"/>
                      <w:lang w:val="en-US" w:eastAsia="zh-CN" w:bidi="ar"/>
                    </w:rPr>
                    <w:t xml:space="preserve">5.2 </w:t>
                  </w:r>
                  <w:r>
                    <w:rPr>
                      <w:rFonts w:hint="default" w:ascii="Times New Roman" w:hAnsi="Times New Roman" w:eastAsia="宋体" w:cs="Times New Roman"/>
                      <w:color w:val="000000"/>
                      <w:kern w:val="0"/>
                      <w:sz w:val="21"/>
                      <w:szCs w:val="21"/>
                      <w:lang w:val="en-US" w:eastAsia="zh-CN" w:bidi="ar"/>
                    </w:rPr>
                    <w:t>输变电建设项目选址选线应符合生态保护红线管控要求，避让自然保护区、饮用水水源保护区等环境敏感区。确实因自然条件等因素限制无法避让自然保护区实验区、饮用水水源二级保护区等环境敏感区的输电线路，应在满足相关法律法规及管理要求的前提下对线路方案进行唯一性论证，并采取无害化方式通过。</w:t>
                  </w:r>
                </w:p>
              </w:tc>
              <w:tc>
                <w:tcPr>
                  <w:tcW w:w="2184"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top"/>
                    <w:rPr>
                      <w:rFonts w:hint="default" w:ascii="Times New Roman" w:hAnsi="Times New Roman" w:eastAsia="宋体" w:cs="Times New Roman"/>
                      <w:snapToGrid w:val="0"/>
                      <w:color w:val="0000FF"/>
                      <w:kern w:val="0"/>
                      <w:sz w:val="21"/>
                      <w:szCs w:val="21"/>
                      <w:vertAlign w:val="baseline"/>
                      <w:lang w:val="en-US" w:eastAsia="zh-CN" w:bidi="ar-SA"/>
                    </w:rPr>
                  </w:pPr>
                  <w:r>
                    <w:rPr>
                      <w:rFonts w:hint="default" w:ascii="Times New Roman" w:hAnsi="Times New Roman" w:eastAsia="宋体" w:cs="Times New Roman"/>
                      <w:color w:val="000000"/>
                      <w:kern w:val="0"/>
                      <w:sz w:val="20"/>
                      <w:szCs w:val="20"/>
                      <w:lang w:val="en-US" w:eastAsia="zh-CN" w:bidi="ar"/>
                    </w:rPr>
                    <w:t>本项目不包括110kv输出线路，升压站选址符合生态保护红线管控要求，不涉及自然保护区、饮用水水源保护区等环境敏感区。</w:t>
                  </w:r>
                </w:p>
              </w:tc>
              <w:tc>
                <w:tcPr>
                  <w:tcW w:w="433" w:type="pct"/>
                  <w:tcBorders>
                    <w:tl2br w:val="nil"/>
                    <w:tr2bl w:val="nil"/>
                  </w:tcBorders>
                  <w:vAlign w:val="center"/>
                </w:tcPr>
                <w:p>
                  <w:pPr>
                    <w:pStyle w:val="42"/>
                    <w:keepNext w:val="0"/>
                    <w:keepLines w:val="0"/>
                    <w:pageBreakBefore w:val="0"/>
                    <w:widowControl w:val="0"/>
                    <w:shd w:val="clear"/>
                    <w:kinsoku/>
                    <w:wordWrap/>
                    <w:overflowPunct/>
                    <w:topLinePunct w:val="0"/>
                    <w:autoSpaceDE/>
                    <w:autoSpaceDN/>
                    <w:bidi w:val="0"/>
                    <w:adjustRightInd w:val="0"/>
                    <w:snapToGrid w:val="0"/>
                    <w:spacing w:line="240" w:lineRule="auto"/>
                    <w:ind w:firstLine="0" w:firstLineChars="0"/>
                    <w:contextualSpacing/>
                    <w:jc w:val="center"/>
                    <w:textAlignment w:val="top"/>
                    <w:rPr>
                      <w:rFonts w:hint="default" w:ascii="Times New Roman" w:hAnsi="Times New Roman" w:eastAsia="宋体" w:cs="Times New Roman"/>
                      <w:snapToGrid w:val="0"/>
                      <w:color w:val="auto"/>
                      <w:kern w:val="0"/>
                      <w:sz w:val="21"/>
                      <w:szCs w:val="21"/>
                      <w:vertAlign w:val="baseline"/>
                      <w:lang w:val="en-US" w:eastAsia="zh-CN" w:bidi="ar-SA"/>
                    </w:rPr>
                  </w:pPr>
                  <w:r>
                    <w:rPr>
                      <w:rFonts w:hint="default" w:ascii="Times New Roman" w:hAnsi="Times New Roman" w:cs="Times New Roman"/>
                      <w:snapToGrid w:val="0"/>
                      <w:color w:val="auto"/>
                      <w:kern w:val="0"/>
                      <w:sz w:val="21"/>
                      <w:szCs w:val="21"/>
                      <w:vertAlign w:val="baseline"/>
                      <w:lang w:val="en-US" w:eastAsia="zh-CN" w:bidi="ar-SA"/>
                    </w:rPr>
                    <w:t>符合</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23" w:type="dxa"/>
                  <w:bottom w:w="0" w:type="dxa"/>
                  <w:right w:w="23" w:type="dxa"/>
                </w:tblCellMar>
              </w:tblPrEx>
              <w:trPr>
                <w:trHeight w:val="397" w:hRule="atLeast"/>
              </w:trPr>
              <w:tc>
                <w:tcPr>
                  <w:tcW w:w="2382"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left"/>
                    <w:textAlignment w:val="top"/>
                    <w:rPr>
                      <w:rFonts w:hint="default" w:ascii="Times New Roman" w:hAnsi="Times New Roman" w:eastAsia="宋体" w:cs="Times New Roman"/>
                      <w:color w:val="000000"/>
                      <w:kern w:val="0"/>
                      <w:sz w:val="21"/>
                      <w:szCs w:val="21"/>
                      <w:lang w:val="en-US" w:eastAsia="zh-CN" w:bidi="ar"/>
                    </w:rPr>
                  </w:pPr>
                  <w:r>
                    <w:rPr>
                      <w:rFonts w:hint="default" w:ascii="Times New Roman" w:hAnsi="Times New Roman" w:eastAsia="宋体" w:cs="Times New Roman"/>
                      <w:color w:val="000000"/>
                      <w:kern w:val="0"/>
                      <w:sz w:val="21"/>
                      <w:szCs w:val="21"/>
                      <w:lang w:val="en-US" w:eastAsia="zh-CN" w:bidi="ar"/>
                    </w:rPr>
                    <w:t>5.3 变电工程在选址时应按终期规模综合考虑进出线走廊规划，避免进出线进入自然保护区、饮用水水源保护区等环境敏感区。</w:t>
                  </w:r>
                </w:p>
              </w:tc>
              <w:tc>
                <w:tcPr>
                  <w:tcW w:w="2184"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top"/>
                    <w:rPr>
                      <w:rFonts w:hint="default" w:ascii="Times New Roman" w:hAnsi="Times New Roman" w:eastAsia="宋体" w:cs="Times New Roman"/>
                      <w:snapToGrid w:val="0"/>
                      <w:color w:val="0000FF"/>
                      <w:kern w:val="0"/>
                      <w:sz w:val="21"/>
                      <w:szCs w:val="21"/>
                      <w:vertAlign w:val="baseline"/>
                      <w:lang w:val="en-US" w:eastAsia="zh-CN" w:bidi="ar-SA"/>
                    </w:rPr>
                  </w:pPr>
                  <w:r>
                    <w:rPr>
                      <w:rFonts w:hint="default" w:ascii="Times New Roman" w:hAnsi="Times New Roman" w:eastAsia="宋体" w:cs="Times New Roman"/>
                      <w:color w:val="000000"/>
                      <w:kern w:val="0"/>
                      <w:sz w:val="21"/>
                      <w:szCs w:val="21"/>
                      <w:lang w:val="en-US" w:eastAsia="zh-CN" w:bidi="ar"/>
                    </w:rPr>
                    <w:t>项目升压站选址已考虑终期规模综合考虑进出线走廊规划，进出线不涉及自然保护区、饮用水水源保护区等环境敏感区。</w:t>
                  </w:r>
                </w:p>
              </w:tc>
              <w:tc>
                <w:tcPr>
                  <w:tcW w:w="433" w:type="pct"/>
                  <w:tcBorders>
                    <w:tl2br w:val="nil"/>
                    <w:tr2bl w:val="nil"/>
                  </w:tcBorders>
                  <w:vAlign w:val="center"/>
                </w:tcPr>
                <w:p>
                  <w:pPr>
                    <w:pStyle w:val="42"/>
                    <w:keepNext w:val="0"/>
                    <w:keepLines w:val="0"/>
                    <w:pageBreakBefore w:val="0"/>
                    <w:widowControl w:val="0"/>
                    <w:shd w:val="clear"/>
                    <w:kinsoku/>
                    <w:wordWrap/>
                    <w:overflowPunct/>
                    <w:topLinePunct w:val="0"/>
                    <w:autoSpaceDE/>
                    <w:autoSpaceDN/>
                    <w:bidi w:val="0"/>
                    <w:adjustRightInd w:val="0"/>
                    <w:snapToGrid w:val="0"/>
                    <w:spacing w:line="240" w:lineRule="auto"/>
                    <w:ind w:firstLine="0" w:firstLineChars="0"/>
                    <w:contextualSpacing/>
                    <w:jc w:val="center"/>
                    <w:textAlignment w:val="top"/>
                    <w:rPr>
                      <w:rFonts w:hint="default" w:ascii="Times New Roman" w:hAnsi="Times New Roman" w:eastAsia="宋体" w:cs="Times New Roman"/>
                      <w:snapToGrid w:val="0"/>
                      <w:color w:val="auto"/>
                      <w:kern w:val="0"/>
                      <w:sz w:val="21"/>
                      <w:szCs w:val="21"/>
                      <w:vertAlign w:val="baseline"/>
                      <w:lang w:val="en-US" w:eastAsia="zh-CN" w:bidi="ar-SA"/>
                    </w:rPr>
                  </w:pPr>
                  <w:r>
                    <w:rPr>
                      <w:rFonts w:hint="default" w:ascii="Times New Roman" w:hAnsi="Times New Roman" w:cs="Times New Roman"/>
                      <w:snapToGrid w:val="0"/>
                      <w:color w:val="auto"/>
                      <w:kern w:val="0"/>
                      <w:sz w:val="21"/>
                      <w:szCs w:val="21"/>
                      <w:vertAlign w:val="baseline"/>
                      <w:lang w:val="en-US" w:eastAsia="zh-CN" w:bidi="ar-SA"/>
                    </w:rPr>
                    <w:t>符合</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23" w:type="dxa"/>
                  <w:bottom w:w="0" w:type="dxa"/>
                  <w:right w:w="23" w:type="dxa"/>
                </w:tblCellMar>
              </w:tblPrEx>
              <w:trPr>
                <w:trHeight w:val="397" w:hRule="atLeast"/>
              </w:trPr>
              <w:tc>
                <w:tcPr>
                  <w:tcW w:w="2382"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left"/>
                    <w:textAlignment w:val="top"/>
                    <w:rPr>
                      <w:rFonts w:hint="default" w:ascii="Times New Roman" w:hAnsi="Times New Roman" w:eastAsia="宋体" w:cs="Times New Roman"/>
                      <w:color w:val="000000"/>
                      <w:kern w:val="0"/>
                      <w:sz w:val="21"/>
                      <w:szCs w:val="21"/>
                      <w:lang w:val="en-US" w:eastAsia="zh-CN" w:bidi="ar"/>
                    </w:rPr>
                  </w:pPr>
                  <w:r>
                    <w:rPr>
                      <w:rFonts w:hint="default" w:ascii="Times New Roman" w:hAnsi="Times New Roman" w:eastAsia="宋体" w:cs="Times New Roman"/>
                      <w:color w:val="000000"/>
                      <w:kern w:val="0"/>
                      <w:sz w:val="21"/>
                      <w:szCs w:val="21"/>
                      <w:lang w:val="en-US" w:eastAsia="zh-CN" w:bidi="ar"/>
                    </w:rPr>
                    <w:t>5.4 户外变电工程及规划架空进出线选址选线时，应关注以居住、医疗卫生、文化教育、科研、行政办公等为主要功能的区域，采取综合措施，减少电磁和声环境影响。</w:t>
                  </w:r>
                </w:p>
              </w:tc>
              <w:tc>
                <w:tcPr>
                  <w:tcW w:w="2184"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left"/>
                    <w:textAlignment w:val="top"/>
                    <w:rPr>
                      <w:rFonts w:hint="default" w:ascii="Times New Roman" w:hAnsi="Times New Roman" w:eastAsia="宋体" w:cs="Times New Roman"/>
                      <w:snapToGrid w:val="0"/>
                      <w:color w:val="0000FF"/>
                      <w:kern w:val="0"/>
                      <w:sz w:val="21"/>
                      <w:szCs w:val="21"/>
                      <w:vertAlign w:val="baseline"/>
                      <w:lang w:val="en-US" w:eastAsia="zh-CN" w:bidi="ar-SA"/>
                    </w:rPr>
                  </w:pPr>
                  <w:r>
                    <w:rPr>
                      <w:rFonts w:hint="default" w:ascii="Times New Roman" w:hAnsi="Times New Roman" w:eastAsia="宋体" w:cs="Times New Roman"/>
                      <w:color w:val="000000"/>
                      <w:kern w:val="0"/>
                      <w:sz w:val="20"/>
                      <w:szCs w:val="20"/>
                      <w:lang w:val="en-US" w:eastAsia="zh-CN" w:bidi="ar"/>
                    </w:rPr>
                    <w:t>本项目升压站选址不在以居住、医疗卫生、文化教育、科研、行政办公等为主要功能的区域。</w:t>
                  </w:r>
                </w:p>
              </w:tc>
              <w:tc>
                <w:tcPr>
                  <w:tcW w:w="433" w:type="pct"/>
                  <w:tcBorders>
                    <w:tl2br w:val="nil"/>
                    <w:tr2bl w:val="nil"/>
                  </w:tcBorders>
                  <w:vAlign w:val="center"/>
                </w:tcPr>
                <w:p>
                  <w:pPr>
                    <w:pStyle w:val="42"/>
                    <w:keepNext w:val="0"/>
                    <w:keepLines w:val="0"/>
                    <w:pageBreakBefore w:val="0"/>
                    <w:widowControl w:val="0"/>
                    <w:shd w:val="clear"/>
                    <w:kinsoku/>
                    <w:wordWrap/>
                    <w:overflowPunct/>
                    <w:topLinePunct w:val="0"/>
                    <w:autoSpaceDE/>
                    <w:autoSpaceDN/>
                    <w:bidi w:val="0"/>
                    <w:adjustRightInd w:val="0"/>
                    <w:snapToGrid w:val="0"/>
                    <w:spacing w:line="240" w:lineRule="auto"/>
                    <w:ind w:firstLine="0" w:firstLineChars="0"/>
                    <w:contextualSpacing/>
                    <w:jc w:val="center"/>
                    <w:textAlignment w:val="top"/>
                    <w:rPr>
                      <w:rFonts w:hint="default" w:ascii="Times New Roman" w:hAnsi="Times New Roman" w:eastAsia="宋体" w:cs="Times New Roman"/>
                      <w:snapToGrid w:val="0"/>
                      <w:color w:val="auto"/>
                      <w:kern w:val="0"/>
                      <w:sz w:val="21"/>
                      <w:szCs w:val="21"/>
                      <w:vertAlign w:val="baseline"/>
                      <w:lang w:val="en-US" w:eastAsia="zh-CN" w:bidi="ar-SA"/>
                    </w:rPr>
                  </w:pPr>
                  <w:r>
                    <w:rPr>
                      <w:rFonts w:hint="default" w:ascii="Times New Roman" w:hAnsi="Times New Roman" w:cs="Times New Roman"/>
                      <w:snapToGrid w:val="0"/>
                      <w:color w:val="auto"/>
                      <w:kern w:val="0"/>
                      <w:sz w:val="21"/>
                      <w:szCs w:val="21"/>
                      <w:vertAlign w:val="baseline"/>
                      <w:lang w:val="en-US" w:eastAsia="zh-CN" w:bidi="ar-SA"/>
                    </w:rPr>
                    <w:t>符合</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23" w:type="dxa"/>
                  <w:bottom w:w="0" w:type="dxa"/>
                  <w:right w:w="23" w:type="dxa"/>
                </w:tblCellMar>
              </w:tblPrEx>
              <w:trPr>
                <w:trHeight w:val="397" w:hRule="atLeast"/>
              </w:trPr>
              <w:tc>
                <w:tcPr>
                  <w:tcW w:w="2382"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left"/>
                    <w:textAlignment w:val="top"/>
                    <w:rPr>
                      <w:rFonts w:hint="default" w:ascii="Times New Roman" w:hAnsi="Times New Roman" w:eastAsia="宋体" w:cs="Times New Roman"/>
                      <w:color w:val="000000"/>
                      <w:kern w:val="0"/>
                      <w:sz w:val="21"/>
                      <w:szCs w:val="21"/>
                      <w:lang w:val="en-US" w:eastAsia="zh-CN" w:bidi="ar"/>
                    </w:rPr>
                  </w:pPr>
                  <w:r>
                    <w:rPr>
                      <w:rFonts w:hint="default" w:ascii="Times New Roman" w:hAnsi="Times New Roman" w:eastAsia="宋体" w:cs="Times New Roman"/>
                      <w:color w:val="000000"/>
                      <w:kern w:val="0"/>
                      <w:sz w:val="21"/>
                      <w:szCs w:val="21"/>
                      <w:lang w:val="en-US" w:eastAsia="zh-CN" w:bidi="ar"/>
                    </w:rPr>
                    <w:t>5.6 原则上避免在0类声环境功能区建设变电工程。</w:t>
                  </w:r>
                </w:p>
              </w:tc>
              <w:tc>
                <w:tcPr>
                  <w:tcW w:w="2184" w:type="pct"/>
                  <w:tcBorders>
                    <w:tl2br w:val="nil"/>
                    <w:tr2bl w:val="nil"/>
                  </w:tcBorders>
                  <w:vAlign w:val="center"/>
                </w:tcPr>
                <w:p>
                  <w:pPr>
                    <w:pStyle w:val="42"/>
                    <w:keepNext w:val="0"/>
                    <w:keepLines w:val="0"/>
                    <w:pageBreakBefore w:val="0"/>
                    <w:widowControl w:val="0"/>
                    <w:shd w:val="clear"/>
                    <w:kinsoku/>
                    <w:wordWrap/>
                    <w:overflowPunct/>
                    <w:topLinePunct w:val="0"/>
                    <w:autoSpaceDE/>
                    <w:autoSpaceDN/>
                    <w:bidi w:val="0"/>
                    <w:adjustRightInd w:val="0"/>
                    <w:snapToGrid w:val="0"/>
                    <w:spacing w:line="240" w:lineRule="auto"/>
                    <w:ind w:firstLine="0" w:firstLineChars="0"/>
                    <w:contextualSpacing/>
                    <w:jc w:val="left"/>
                    <w:textAlignment w:val="top"/>
                    <w:rPr>
                      <w:rFonts w:hint="default" w:ascii="Times New Roman" w:hAnsi="Times New Roman" w:eastAsia="宋体" w:cs="Times New Roman"/>
                      <w:snapToGrid w:val="0"/>
                      <w:color w:val="0000FF"/>
                      <w:kern w:val="0"/>
                      <w:sz w:val="21"/>
                      <w:szCs w:val="21"/>
                      <w:vertAlign w:val="baseline"/>
                      <w:lang w:val="en-US" w:eastAsia="zh-CN" w:bidi="ar-SA"/>
                    </w:rPr>
                  </w:pPr>
                  <w:r>
                    <w:rPr>
                      <w:rFonts w:hint="default" w:ascii="Times New Roman" w:hAnsi="Times New Roman" w:eastAsia="宋体" w:cs="Times New Roman"/>
                      <w:color w:val="000000"/>
                      <w:kern w:val="0"/>
                      <w:sz w:val="20"/>
                      <w:szCs w:val="20"/>
                      <w:lang w:val="en-US" w:eastAsia="zh-CN" w:bidi="ar"/>
                    </w:rPr>
                    <w:t>项目所在区域不涉及0类声环境功能区</w:t>
                  </w:r>
                  <w:r>
                    <w:rPr>
                      <w:rFonts w:hint="default" w:ascii="Times New Roman" w:hAnsi="Times New Roman" w:cs="Times New Roman"/>
                      <w:color w:val="000000"/>
                      <w:kern w:val="0"/>
                      <w:sz w:val="20"/>
                      <w:szCs w:val="20"/>
                      <w:lang w:val="en-US" w:eastAsia="zh-CN" w:bidi="ar"/>
                    </w:rPr>
                    <w:t>。</w:t>
                  </w:r>
                </w:p>
              </w:tc>
              <w:tc>
                <w:tcPr>
                  <w:tcW w:w="433" w:type="pct"/>
                  <w:tcBorders>
                    <w:tl2br w:val="nil"/>
                    <w:tr2bl w:val="nil"/>
                  </w:tcBorders>
                  <w:vAlign w:val="center"/>
                </w:tcPr>
                <w:p>
                  <w:pPr>
                    <w:pStyle w:val="42"/>
                    <w:keepNext w:val="0"/>
                    <w:keepLines w:val="0"/>
                    <w:pageBreakBefore w:val="0"/>
                    <w:widowControl w:val="0"/>
                    <w:shd w:val="clear"/>
                    <w:kinsoku/>
                    <w:wordWrap/>
                    <w:overflowPunct/>
                    <w:topLinePunct w:val="0"/>
                    <w:autoSpaceDE/>
                    <w:autoSpaceDN/>
                    <w:bidi w:val="0"/>
                    <w:adjustRightInd w:val="0"/>
                    <w:snapToGrid w:val="0"/>
                    <w:spacing w:line="240" w:lineRule="auto"/>
                    <w:ind w:firstLine="0" w:firstLineChars="0"/>
                    <w:contextualSpacing/>
                    <w:jc w:val="center"/>
                    <w:textAlignment w:val="top"/>
                    <w:rPr>
                      <w:rFonts w:hint="default" w:ascii="Times New Roman" w:hAnsi="Times New Roman" w:cs="Times New Roman"/>
                      <w:snapToGrid w:val="0"/>
                      <w:color w:val="auto"/>
                      <w:kern w:val="0"/>
                      <w:sz w:val="21"/>
                      <w:szCs w:val="21"/>
                      <w:vertAlign w:val="baseline"/>
                      <w:lang w:val="en-US" w:eastAsia="zh-CN" w:bidi="ar-SA"/>
                    </w:rPr>
                  </w:pPr>
                  <w:r>
                    <w:rPr>
                      <w:rFonts w:hint="default" w:ascii="Times New Roman" w:hAnsi="Times New Roman" w:cs="Times New Roman"/>
                      <w:snapToGrid w:val="0"/>
                      <w:color w:val="auto"/>
                      <w:kern w:val="0"/>
                      <w:sz w:val="21"/>
                      <w:szCs w:val="21"/>
                      <w:vertAlign w:val="baseline"/>
                      <w:lang w:val="en-US" w:eastAsia="zh-CN" w:bidi="ar-SA"/>
                    </w:rPr>
                    <w:t>符合</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23" w:type="dxa"/>
                  <w:bottom w:w="0" w:type="dxa"/>
                  <w:right w:w="23" w:type="dxa"/>
                </w:tblCellMar>
              </w:tblPrEx>
              <w:trPr>
                <w:trHeight w:val="397" w:hRule="atLeast"/>
              </w:trPr>
              <w:tc>
                <w:tcPr>
                  <w:tcW w:w="2382"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left"/>
                    <w:textAlignment w:val="top"/>
                    <w:rPr>
                      <w:rFonts w:hint="default" w:ascii="Times New Roman" w:hAnsi="Times New Roman" w:eastAsia="宋体" w:cs="Times New Roman"/>
                      <w:color w:val="000000"/>
                      <w:kern w:val="0"/>
                      <w:sz w:val="21"/>
                      <w:szCs w:val="21"/>
                      <w:lang w:val="en-US" w:eastAsia="zh-CN" w:bidi="ar"/>
                    </w:rPr>
                  </w:pPr>
                  <w:r>
                    <w:rPr>
                      <w:rFonts w:hint="default" w:ascii="Times New Roman" w:hAnsi="Times New Roman" w:eastAsia="宋体" w:cs="Times New Roman"/>
                      <w:color w:val="000000"/>
                      <w:kern w:val="0"/>
                      <w:sz w:val="21"/>
                      <w:szCs w:val="21"/>
                      <w:lang w:val="en-US" w:eastAsia="zh-CN" w:bidi="ar"/>
                    </w:rPr>
                    <w:t>5.7 变电工程选址时，应综合考虑减少土地占用、植被砍伐和弃土弃渣等，以减少对生态环境的不利影响。</w:t>
                  </w:r>
                </w:p>
              </w:tc>
              <w:tc>
                <w:tcPr>
                  <w:tcW w:w="2184"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left"/>
                    <w:textAlignment w:val="top"/>
                    <w:rPr>
                      <w:rFonts w:hint="default" w:ascii="Times New Roman" w:hAnsi="Times New Roman" w:eastAsia="宋体" w:cs="Times New Roman"/>
                      <w:snapToGrid w:val="0"/>
                      <w:color w:val="0000FF"/>
                      <w:kern w:val="0"/>
                      <w:sz w:val="21"/>
                      <w:szCs w:val="21"/>
                      <w:vertAlign w:val="baseline"/>
                      <w:lang w:val="en-US" w:eastAsia="zh-CN" w:bidi="ar-SA"/>
                    </w:rPr>
                  </w:pPr>
                  <w:r>
                    <w:rPr>
                      <w:rFonts w:hint="default" w:ascii="Times New Roman" w:hAnsi="Times New Roman" w:eastAsia="宋体" w:cs="Times New Roman"/>
                      <w:color w:val="000000"/>
                      <w:kern w:val="0"/>
                      <w:sz w:val="20"/>
                      <w:szCs w:val="20"/>
                      <w:lang w:val="en-US" w:eastAsia="zh-CN" w:bidi="ar"/>
                    </w:rPr>
                    <w:t>项目升压站选址尽量减少土地占用、</w:t>
                  </w:r>
                  <w:r>
                    <w:rPr>
                      <w:rFonts w:hint="default" w:ascii="Times New Roman" w:hAnsi="Times New Roman" w:eastAsia="宋体" w:cs="Times New Roman"/>
                      <w:color w:val="000000"/>
                      <w:kern w:val="0"/>
                      <w:sz w:val="21"/>
                      <w:szCs w:val="21"/>
                      <w:lang w:val="en-US" w:eastAsia="zh-CN" w:bidi="ar"/>
                    </w:rPr>
                    <w:t>植被砍伐和弃土弃渣，</w:t>
                  </w:r>
                  <w:r>
                    <w:rPr>
                      <w:rFonts w:hint="default" w:ascii="Times New Roman" w:hAnsi="Times New Roman" w:eastAsia="宋体" w:cs="Times New Roman"/>
                      <w:color w:val="000000"/>
                      <w:kern w:val="0"/>
                      <w:sz w:val="20"/>
                      <w:szCs w:val="20"/>
                      <w:lang w:val="en-US" w:eastAsia="zh-CN" w:bidi="ar"/>
                    </w:rPr>
                    <w:t>并采取表土保护、水土保持等生态保护措施，</w:t>
                  </w:r>
                  <w:r>
                    <w:rPr>
                      <w:rFonts w:hint="default" w:ascii="Times New Roman" w:hAnsi="Times New Roman" w:eastAsia="宋体" w:cs="Times New Roman"/>
                      <w:color w:val="000000"/>
                      <w:kern w:val="0"/>
                      <w:sz w:val="21"/>
                      <w:szCs w:val="21"/>
                      <w:lang w:val="en-US" w:eastAsia="zh-CN" w:bidi="ar"/>
                    </w:rPr>
                    <w:t>减轻对生态环境的不利影响</w:t>
                  </w:r>
                  <w:r>
                    <w:rPr>
                      <w:rFonts w:hint="default" w:ascii="Times New Roman" w:hAnsi="Times New Roman" w:eastAsia="宋体" w:cs="Times New Roman"/>
                      <w:color w:val="000000"/>
                      <w:kern w:val="0"/>
                      <w:sz w:val="20"/>
                      <w:szCs w:val="20"/>
                      <w:lang w:val="en-US" w:eastAsia="zh-CN" w:bidi="ar"/>
                    </w:rPr>
                    <w:t>。</w:t>
                  </w:r>
                </w:p>
              </w:tc>
              <w:tc>
                <w:tcPr>
                  <w:tcW w:w="433" w:type="pct"/>
                  <w:tcBorders>
                    <w:tl2br w:val="nil"/>
                    <w:tr2bl w:val="nil"/>
                  </w:tcBorders>
                  <w:vAlign w:val="center"/>
                </w:tcPr>
                <w:p>
                  <w:pPr>
                    <w:pStyle w:val="42"/>
                    <w:keepNext w:val="0"/>
                    <w:keepLines w:val="0"/>
                    <w:pageBreakBefore w:val="0"/>
                    <w:widowControl w:val="0"/>
                    <w:shd w:val="clear"/>
                    <w:kinsoku/>
                    <w:wordWrap/>
                    <w:overflowPunct/>
                    <w:topLinePunct w:val="0"/>
                    <w:autoSpaceDE/>
                    <w:autoSpaceDN/>
                    <w:bidi w:val="0"/>
                    <w:adjustRightInd w:val="0"/>
                    <w:snapToGrid w:val="0"/>
                    <w:spacing w:line="240" w:lineRule="auto"/>
                    <w:ind w:firstLine="0" w:firstLineChars="0"/>
                    <w:contextualSpacing/>
                    <w:jc w:val="center"/>
                    <w:textAlignment w:val="top"/>
                    <w:rPr>
                      <w:rFonts w:hint="default" w:ascii="Times New Roman" w:hAnsi="Times New Roman" w:cs="Times New Roman"/>
                      <w:snapToGrid w:val="0"/>
                      <w:color w:val="auto"/>
                      <w:kern w:val="0"/>
                      <w:sz w:val="21"/>
                      <w:szCs w:val="21"/>
                      <w:vertAlign w:val="baseline"/>
                      <w:lang w:val="en-US" w:eastAsia="zh-CN" w:bidi="ar-SA"/>
                    </w:rPr>
                  </w:pPr>
                  <w:r>
                    <w:rPr>
                      <w:rFonts w:hint="default" w:ascii="Times New Roman" w:hAnsi="Times New Roman" w:cs="Times New Roman"/>
                      <w:snapToGrid w:val="0"/>
                      <w:color w:val="auto"/>
                      <w:kern w:val="0"/>
                      <w:sz w:val="21"/>
                      <w:szCs w:val="21"/>
                      <w:vertAlign w:val="baseline"/>
                      <w:lang w:val="en-US" w:eastAsia="zh-CN" w:bidi="ar-SA"/>
                    </w:rPr>
                    <w:t>符合</w:t>
                  </w:r>
                </w:p>
              </w:tc>
            </w:tr>
          </w:tbl>
          <w:p>
            <w:pPr>
              <w:pStyle w:val="42"/>
              <w:adjustRightInd/>
              <w:snapToGrid/>
              <w:spacing w:before="163" w:beforeLines="50"/>
              <w:contextualSpacing/>
              <w:rPr>
                <w:rFonts w:hint="default" w:ascii="Times New Roman" w:hAnsi="Times New Roman" w:cs="Times New Roman"/>
                <w:color w:val="auto"/>
              </w:rPr>
            </w:pPr>
            <w:r>
              <w:rPr>
                <w:rFonts w:hint="eastAsia" w:cs="Times New Roman"/>
                <w:color w:val="auto"/>
                <w:lang w:val="en-US" w:eastAsia="zh-CN"/>
              </w:rPr>
              <w:t>综上所述，</w:t>
            </w:r>
            <w:r>
              <w:rPr>
                <w:rFonts w:hint="default" w:ascii="Times New Roman" w:hAnsi="Times New Roman" w:cs="Times New Roman"/>
                <w:color w:val="auto"/>
              </w:rPr>
              <w:t>本项目不涉及自然保护区、饮用水水源保护区等环境敏感区</w:t>
            </w:r>
            <w:r>
              <w:rPr>
                <w:rFonts w:hint="eastAsia" w:cs="Times New Roman"/>
                <w:color w:val="auto"/>
                <w:lang w:eastAsia="zh-CN"/>
              </w:rPr>
              <w:t>，</w:t>
            </w:r>
            <w:r>
              <w:rPr>
                <w:rFonts w:hint="eastAsia" w:cs="Times New Roman"/>
                <w:color w:val="auto"/>
                <w:lang w:val="en-US" w:eastAsia="zh-CN"/>
              </w:rPr>
              <w:t>不在</w:t>
            </w:r>
            <w:r>
              <w:rPr>
                <w:rFonts w:hint="default" w:ascii="Times New Roman" w:hAnsi="Times New Roman" w:cs="Times New Roman"/>
                <w:color w:val="auto"/>
              </w:rPr>
              <w:t>以居住、医疗卫生、文化教育、科研、行政办公等为主要的区域，</w:t>
            </w:r>
            <w:r>
              <w:rPr>
                <w:rFonts w:hint="eastAsia" w:cs="Times New Roman"/>
                <w:color w:val="auto"/>
                <w:lang w:val="en-US" w:eastAsia="zh-CN"/>
              </w:rPr>
              <w:t>项目选址符合</w:t>
            </w:r>
            <w:r>
              <w:rPr>
                <w:rFonts w:hint="eastAsia" w:ascii="Times New Roman" w:hAnsi="Times New Roman" w:cs="Times New Roman"/>
                <w:color w:val="auto"/>
                <w:lang w:val="en-US" w:eastAsia="zh-CN"/>
              </w:rPr>
              <w:t>《输变电建设项目环境保护技术要求》（</w:t>
            </w:r>
            <w:r>
              <w:rPr>
                <w:rFonts w:hint="default" w:ascii="Times New Roman" w:hAnsi="Times New Roman" w:cs="Times New Roman"/>
                <w:color w:val="auto"/>
                <w:lang w:val="en-US" w:eastAsia="zh-CN"/>
              </w:rPr>
              <w:t>HJ 1113-2020</w:t>
            </w:r>
            <w:r>
              <w:rPr>
                <w:rFonts w:hint="eastAsia" w:ascii="Times New Roman" w:hAnsi="Times New Roman" w:cs="Times New Roman"/>
                <w:color w:val="auto"/>
                <w:lang w:val="en-US" w:eastAsia="zh-CN"/>
              </w:rPr>
              <w:t>）</w:t>
            </w:r>
            <w:r>
              <w:rPr>
                <w:rFonts w:hint="eastAsia" w:cs="Times New Roman"/>
                <w:color w:val="auto"/>
                <w:lang w:val="en-US" w:eastAsia="zh-CN"/>
              </w:rPr>
              <w:t>的要求，</w:t>
            </w:r>
            <w:r>
              <w:rPr>
                <w:rFonts w:hint="default" w:ascii="Times New Roman" w:hAnsi="Times New Roman" w:cs="Times New Roman"/>
                <w:color w:val="auto"/>
              </w:rPr>
              <w:t>本项目已取得</w:t>
            </w:r>
            <w:r>
              <w:rPr>
                <w:rFonts w:hint="default" w:ascii="Times New Roman" w:hAnsi="Times New Roman" w:cs="Times New Roman"/>
                <w:color w:val="auto"/>
                <w:lang w:val="en-US" w:eastAsia="zh-CN"/>
              </w:rPr>
              <w:t>用地预审和选址意见，</w:t>
            </w:r>
            <w:r>
              <w:rPr>
                <w:rFonts w:hint="default" w:ascii="Times New Roman" w:hAnsi="Times New Roman" w:cs="Times New Roman"/>
                <w:color w:val="auto"/>
              </w:rPr>
              <w:t>项目</w:t>
            </w:r>
            <w:r>
              <w:rPr>
                <w:rFonts w:hint="default" w:ascii="Times New Roman" w:hAnsi="Times New Roman" w:cs="Times New Roman"/>
                <w:color w:val="auto"/>
                <w:lang w:val="en-US" w:eastAsia="zh-CN"/>
              </w:rPr>
              <w:t>用地</w:t>
            </w:r>
            <w:r>
              <w:rPr>
                <w:rFonts w:hint="default" w:ascii="Times New Roman" w:hAnsi="Times New Roman" w:cs="Times New Roman"/>
                <w:color w:val="auto"/>
              </w:rPr>
              <w:t>符合国家</w:t>
            </w:r>
            <w:r>
              <w:rPr>
                <w:rFonts w:hint="default" w:ascii="Times New Roman" w:hAnsi="Times New Roman" w:cs="Times New Roman"/>
                <w:color w:val="auto"/>
                <w:lang w:val="en-US" w:eastAsia="zh-CN"/>
              </w:rPr>
              <w:t>用地</w:t>
            </w:r>
            <w:r>
              <w:rPr>
                <w:rFonts w:hint="default" w:ascii="Times New Roman" w:hAnsi="Times New Roman" w:cs="Times New Roman"/>
                <w:color w:val="auto"/>
              </w:rPr>
              <w:t>政策</w:t>
            </w:r>
            <w:r>
              <w:rPr>
                <w:rFonts w:hint="eastAsia" w:cs="Times New Roman"/>
                <w:color w:val="auto"/>
                <w:lang w:eastAsia="zh-CN"/>
              </w:rPr>
              <w:t>，</w:t>
            </w:r>
            <w:r>
              <w:rPr>
                <w:rFonts w:hint="eastAsia" w:cs="Times New Roman"/>
                <w:color w:val="auto"/>
                <w:lang w:val="en-US" w:eastAsia="zh-CN"/>
              </w:rPr>
              <w:t>项目建设符合电力规划，</w:t>
            </w:r>
            <w:r>
              <w:rPr>
                <w:rFonts w:hint="default" w:ascii="Times New Roman" w:hAnsi="Times New Roman" w:cs="Times New Roman"/>
                <w:color w:val="auto"/>
              </w:rPr>
              <w:t>从环境保护角度来衡量，</w:t>
            </w:r>
            <w:r>
              <w:rPr>
                <w:rFonts w:hint="eastAsia" w:cs="Times New Roman"/>
                <w:color w:val="auto"/>
                <w:lang w:val="en-US" w:eastAsia="zh-CN"/>
              </w:rPr>
              <w:t>本项目</w:t>
            </w:r>
            <w:r>
              <w:rPr>
                <w:rFonts w:hint="default" w:ascii="Times New Roman" w:hAnsi="Times New Roman" w:cs="Times New Roman"/>
                <w:color w:val="auto"/>
              </w:rPr>
              <w:t>选址是合理的。</w:t>
            </w:r>
          </w:p>
          <w:p>
            <w:pPr>
              <w:pStyle w:val="42"/>
              <w:adjustRightInd/>
              <w:snapToGrid/>
              <w:spacing w:before="163" w:beforeLines="50"/>
              <w:contextualSpacing/>
              <w:rPr>
                <w:rFonts w:hint="default" w:ascii="Times New Roman" w:hAnsi="Times New Roman" w:eastAsia="宋体" w:cs="Times New Roman"/>
                <w:snapToGrid w:val="0"/>
                <w:color w:val="0000FF"/>
                <w:kern w:val="0"/>
                <w:sz w:val="24"/>
                <w:szCs w:val="24"/>
                <w:lang w:val="en-US" w:eastAsia="zh-CN" w:bidi="ar-SA"/>
              </w:rPr>
            </w:pPr>
          </w:p>
        </w:tc>
      </w:tr>
    </w:tbl>
    <w:p>
      <w:pPr>
        <w:numPr>
          <w:ilvl w:val="0"/>
          <w:numId w:val="9"/>
        </w:numPr>
        <w:bidi w:val="0"/>
        <w:rPr>
          <w:rFonts w:hint="default"/>
        </w:rPr>
        <w:sectPr>
          <w:pgSz w:w="11906" w:h="16838"/>
          <w:pgMar w:top="1418" w:right="1134" w:bottom="1247" w:left="1247" w:header="851" w:footer="283" w:gutter="0"/>
          <w:pgBorders>
            <w:top w:val="none" w:sz="0" w:space="0"/>
            <w:left w:val="none" w:sz="0" w:space="0"/>
            <w:bottom w:val="none" w:sz="0" w:space="0"/>
            <w:right w:val="none" w:sz="0" w:space="0"/>
          </w:pgBorders>
          <w:pgNumType w:fmt="decimal"/>
          <w:cols w:space="425" w:num="1"/>
          <w:docGrid w:type="lines" w:linePitch="326" w:charSpace="0"/>
        </w:sectPr>
      </w:pPr>
      <w:bookmarkStart w:id="5" w:name="_Toc69745421"/>
    </w:p>
    <w:p>
      <w:pPr>
        <w:pStyle w:val="6"/>
        <w:numPr>
          <w:ilvl w:val="0"/>
          <w:numId w:val="9"/>
        </w:numPr>
        <w:ind w:firstLine="0" w:firstLineChars="0"/>
        <w:jc w:val="center"/>
        <w:rPr>
          <w:rFonts w:hint="default" w:ascii="Times New Roman" w:hAnsi="Times New Roman" w:cs="Times New Roman"/>
          <w:color w:val="auto"/>
          <w:sz w:val="28"/>
        </w:rPr>
      </w:pPr>
      <w:r>
        <w:rPr>
          <w:rFonts w:hint="default" w:ascii="Times New Roman" w:hAnsi="Times New Roman" w:cs="Times New Roman"/>
          <w:color w:val="auto"/>
          <w:sz w:val="28"/>
        </w:rPr>
        <w:t>主要生态环境保护措施</w:t>
      </w:r>
      <w:bookmarkEnd w:id="5"/>
    </w:p>
    <w:tbl>
      <w:tblPr>
        <w:tblStyle w:val="22"/>
        <w:tblW w:w="921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874"/>
        <w:gridCol w:w="8336"/>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319" w:hRule="atLeast"/>
          <w:jc w:val="center"/>
        </w:trPr>
        <w:tc>
          <w:tcPr>
            <w:tcW w:w="874" w:type="dxa"/>
            <w:tcMar>
              <w:left w:w="28" w:type="dxa"/>
              <w:right w:w="28" w:type="dxa"/>
            </w:tcMar>
            <w:vAlign w:val="center"/>
          </w:tcPr>
          <w:p>
            <w:pPr>
              <w:adjustRightInd w:val="0"/>
              <w:snapToGrid w:val="0"/>
              <w:spacing w:line="240" w:lineRule="auto"/>
              <w:ind w:firstLine="0" w:firstLineChars="0"/>
              <w:jc w:val="center"/>
              <w:rPr>
                <w:rFonts w:hint="default" w:ascii="Times New Roman" w:hAnsi="Times New Roman" w:cs="Times New Roman"/>
                <w:bCs/>
                <w:color w:val="0000FF"/>
                <w:szCs w:val="21"/>
              </w:rPr>
            </w:pPr>
            <w:r>
              <w:rPr>
                <w:rFonts w:hint="default" w:ascii="Times New Roman" w:hAnsi="Times New Roman" w:cs="Times New Roman"/>
                <w:bCs/>
                <w:color w:val="auto"/>
                <w:spacing w:val="10"/>
                <w:szCs w:val="21"/>
              </w:rPr>
              <w:t>施工期生态环境保护措施</w:t>
            </w:r>
          </w:p>
        </w:tc>
        <w:tc>
          <w:tcPr>
            <w:tcW w:w="8336" w:type="dxa"/>
          </w:tcPr>
          <w:p>
            <w:pPr>
              <w:ind w:firstLine="480"/>
              <w:rPr>
                <w:rFonts w:hint="default" w:ascii="Times New Roman" w:hAnsi="Times New Roman" w:cs="Times New Roman"/>
                <w:color w:val="auto"/>
              </w:rPr>
            </w:pPr>
            <w:r>
              <w:rPr>
                <w:rFonts w:hint="default" w:ascii="Times New Roman" w:hAnsi="Times New Roman" w:cs="Times New Roman"/>
                <w:color w:val="auto"/>
              </w:rPr>
              <w:t>施工期采取的环境保护设施、措施如下：</w:t>
            </w:r>
          </w:p>
          <w:p>
            <w:pPr>
              <w:ind w:firstLine="0" w:firstLineChars="0"/>
              <w:rPr>
                <w:rFonts w:hint="default" w:ascii="Times New Roman" w:hAnsi="Times New Roman" w:cs="Times New Roman"/>
                <w:b/>
                <w:bCs/>
                <w:color w:val="auto"/>
              </w:rPr>
            </w:pPr>
            <w:r>
              <w:rPr>
                <w:rFonts w:hint="default" w:ascii="Times New Roman" w:hAnsi="Times New Roman" w:cs="Times New Roman"/>
                <w:b/>
                <w:bCs/>
                <w:color w:val="auto"/>
              </w:rPr>
              <w:t>1、施工期生态环境影响环境保护措施</w:t>
            </w:r>
          </w:p>
          <w:p>
            <w:pPr>
              <w:ind w:left="480" w:leftChars="200" w:firstLine="0" w:firstLineChars="0"/>
              <w:rPr>
                <w:rFonts w:hint="default" w:ascii="Times New Roman" w:hAnsi="Times New Roman" w:cs="Times New Roman"/>
                <w:color w:val="auto"/>
              </w:rPr>
            </w:pPr>
            <w:r>
              <w:rPr>
                <w:rFonts w:hint="default" w:ascii="Times New Roman" w:hAnsi="Times New Roman" w:cs="Times New Roman"/>
                <w:color w:val="auto"/>
              </w:rPr>
              <w:t>①土地占用</w:t>
            </w:r>
          </w:p>
          <w:p>
            <w:pPr>
              <w:ind w:firstLine="480"/>
              <w:rPr>
                <w:rFonts w:hint="default" w:ascii="Times New Roman" w:hAnsi="Times New Roman" w:cs="Times New Roman"/>
                <w:color w:val="auto"/>
                <w:highlight w:val="none"/>
              </w:rPr>
            </w:pPr>
            <w:r>
              <w:rPr>
                <w:rFonts w:hint="default" w:ascii="Times New Roman" w:hAnsi="Times New Roman" w:cs="Times New Roman"/>
                <w:color w:val="auto"/>
                <w:lang w:val="en-US" w:eastAsia="zh-CN"/>
              </w:rPr>
              <w:t>建设单位</w:t>
            </w:r>
            <w:r>
              <w:rPr>
                <w:rFonts w:hint="default" w:ascii="Times New Roman" w:hAnsi="Times New Roman" w:cs="Times New Roman"/>
                <w:color w:val="auto"/>
              </w:rPr>
              <w:t>以合同形式要求施工单位在土建施工过程中，必须按照设计要求，严</w:t>
            </w:r>
            <w:r>
              <w:rPr>
                <w:rFonts w:hint="default" w:ascii="Times New Roman" w:hAnsi="Times New Roman" w:cs="Times New Roman"/>
                <w:color w:val="auto"/>
                <w:highlight w:val="none"/>
              </w:rPr>
              <w:t>格控制开挖量及开挖范围，施工时基础开挖多余的土石方不允许就地倾倒，</w:t>
            </w:r>
            <w:r>
              <w:rPr>
                <w:rFonts w:hint="eastAsia" w:cs="Times New Roman"/>
                <w:color w:val="auto"/>
                <w:highlight w:val="none"/>
                <w:lang w:val="en-US" w:eastAsia="zh-CN"/>
              </w:rPr>
              <w:t>可依托风电项目统一处置，用于道路修建等；</w:t>
            </w:r>
            <w:r>
              <w:rPr>
                <w:rFonts w:hint="eastAsia" w:ascii="Times New Roman" w:hAnsi="Times New Roman" w:cs="Times New Roman"/>
                <w:highlight w:val="none"/>
                <w:lang w:val="en-US" w:eastAsia="zh-CN"/>
              </w:rPr>
              <w:t>场地施工时应进行表土剥离、对表土进行分类存放，并回用于场地内道路两侧绿化。</w:t>
            </w:r>
            <w:r>
              <w:rPr>
                <w:rFonts w:hint="default" w:ascii="Times New Roman" w:hAnsi="Times New Roman" w:cs="Times New Roman"/>
                <w:color w:val="auto"/>
                <w:highlight w:val="none"/>
              </w:rPr>
              <w:t>土建施工完成后，立即清理施工迹地，使临时占地恢复原有土地功能。</w:t>
            </w:r>
          </w:p>
          <w:p>
            <w:pPr>
              <w:ind w:left="480" w:leftChars="200" w:firstLine="0" w:firstLineChars="0"/>
              <w:rPr>
                <w:rFonts w:hint="default" w:ascii="Times New Roman" w:hAnsi="Times New Roman" w:cs="Times New Roman"/>
                <w:color w:val="auto"/>
              </w:rPr>
            </w:pPr>
            <w:r>
              <w:rPr>
                <w:rFonts w:hint="default" w:ascii="Times New Roman" w:hAnsi="Times New Roman" w:cs="Times New Roman"/>
                <w:color w:val="auto"/>
              </w:rPr>
              <w:t>②植被破坏</w:t>
            </w:r>
          </w:p>
          <w:p>
            <w:pPr>
              <w:ind w:firstLine="480"/>
              <w:rPr>
                <w:rFonts w:hint="default" w:ascii="Times New Roman" w:hAnsi="Times New Roman" w:cs="Times New Roman"/>
                <w:color w:val="auto"/>
              </w:rPr>
            </w:pPr>
            <w:r>
              <w:rPr>
                <w:rFonts w:hint="default" w:ascii="Times New Roman" w:hAnsi="Times New Roman" w:cs="Times New Roman"/>
                <w:color w:val="auto"/>
              </w:rPr>
              <w:t>对于永久占地造成的植被破坏，</w:t>
            </w:r>
            <w:r>
              <w:rPr>
                <w:rFonts w:hint="default" w:ascii="Times New Roman" w:hAnsi="Times New Roman" w:cs="Times New Roman"/>
                <w:color w:val="auto"/>
                <w:lang w:val="en-US" w:eastAsia="zh-CN"/>
              </w:rPr>
              <w:t>建设单位应</w:t>
            </w:r>
            <w:r>
              <w:rPr>
                <w:rFonts w:hint="default" w:ascii="Times New Roman" w:hAnsi="Times New Roman" w:cs="Times New Roman"/>
                <w:color w:val="auto"/>
              </w:rPr>
              <w:t>严格按照有关规定向相关部门及人员缴纳相关青苗补偿费、林木赔偿费等费用。</w:t>
            </w:r>
          </w:p>
          <w:p>
            <w:pPr>
              <w:ind w:firstLine="480"/>
              <w:rPr>
                <w:rFonts w:hint="default" w:ascii="Times New Roman" w:hAnsi="Times New Roman" w:cs="Times New Roman"/>
                <w:color w:val="auto"/>
              </w:rPr>
            </w:pPr>
            <w:r>
              <w:rPr>
                <w:rFonts w:hint="default" w:ascii="Times New Roman" w:hAnsi="Times New Roman" w:cs="Times New Roman"/>
                <w:color w:val="auto"/>
              </w:rPr>
              <w:t>对于临时施工道路所破坏的植被，在施工过程中尽量减少人</w:t>
            </w:r>
            <w:r>
              <w:rPr>
                <w:rFonts w:hint="default" w:ascii="Times New Roman" w:hAnsi="Times New Roman" w:cs="Times New Roman"/>
                <w:color w:val="auto"/>
                <w:highlight w:val="none"/>
              </w:rPr>
              <w:t>员对</w:t>
            </w:r>
            <w:r>
              <w:rPr>
                <w:rFonts w:hint="default" w:ascii="Times New Roman" w:hAnsi="Times New Roman" w:cs="Times New Roman"/>
                <w:color w:val="auto"/>
                <w:highlight w:val="none"/>
                <w:lang w:val="en-US" w:eastAsia="zh-CN"/>
              </w:rPr>
              <w:t>植被</w:t>
            </w:r>
            <w:r>
              <w:rPr>
                <w:rFonts w:hint="default" w:ascii="Times New Roman" w:hAnsi="Times New Roman" w:cs="Times New Roman"/>
                <w:color w:val="auto"/>
                <w:highlight w:val="none"/>
              </w:rPr>
              <w:t>的</w:t>
            </w:r>
            <w:r>
              <w:rPr>
                <w:rFonts w:hint="default" w:ascii="Times New Roman" w:hAnsi="Times New Roman" w:cs="Times New Roman"/>
                <w:color w:val="auto"/>
              </w:rPr>
              <w:t>践踏，严格控制临时施工道路范围。</w:t>
            </w:r>
          </w:p>
          <w:p>
            <w:pPr>
              <w:ind w:left="480" w:leftChars="200" w:firstLine="0" w:firstLineChars="0"/>
              <w:rPr>
                <w:rFonts w:hint="default" w:ascii="Times New Roman" w:hAnsi="Times New Roman" w:cs="Times New Roman"/>
                <w:color w:val="auto"/>
              </w:rPr>
            </w:pPr>
            <w:r>
              <w:rPr>
                <w:rFonts w:hint="default" w:ascii="Times New Roman" w:hAnsi="Times New Roman" w:cs="Times New Roman"/>
                <w:color w:val="auto"/>
              </w:rPr>
              <w:t>③水土流失</w:t>
            </w:r>
          </w:p>
          <w:p>
            <w:pPr>
              <w:ind w:firstLine="480"/>
              <w:rPr>
                <w:rFonts w:hint="default" w:ascii="Times New Roman" w:hAnsi="Times New Roman" w:cs="Times New Roman"/>
                <w:color w:val="auto"/>
                <w:highlight w:val="none"/>
              </w:rPr>
            </w:pPr>
            <w:r>
              <w:rPr>
                <w:rFonts w:hint="default" w:ascii="Times New Roman" w:hAnsi="Times New Roman" w:cs="Times New Roman"/>
                <w:color w:val="auto"/>
              </w:rPr>
              <w:t>在项目施工中应高度重视水土保持工作，严格按照水土保持有关要求进行设计施工。施工单位在施工中将生、熟土分开堆放，回填时先回填生土，再将熟土置于表层（有利于施工完成后植被恢复，防止水土流失）。对开挖后的裸露开挖面用苫布覆盖，避免降雨时水流直接冲刷，施工时开挖的土石方不允许就地倾倒，应采取回填或异地回填，临时堆土应在土体表面覆上苫布防治水土流失。加强施工期的施工管理，合理安排施工时序，做好临时堆土的围护拦挡。施工</w:t>
            </w:r>
            <w:r>
              <w:rPr>
                <w:rFonts w:hint="default" w:ascii="Times New Roman" w:hAnsi="Times New Roman" w:cs="Times New Roman"/>
                <w:color w:val="auto"/>
                <w:highlight w:val="none"/>
              </w:rPr>
              <w:t>区域的可绿化面积应在施工后及时恢复植被，防止水土流失。</w:t>
            </w:r>
          </w:p>
          <w:p>
            <w:pPr>
              <w:ind w:firstLine="480"/>
              <w:rPr>
                <w:rFonts w:hint="default" w:ascii="Times New Roman" w:hAnsi="Times New Roman" w:cs="Times New Roman"/>
                <w:highlight w:val="none"/>
              </w:rPr>
            </w:pPr>
            <w:r>
              <w:rPr>
                <w:rFonts w:hint="default" w:ascii="Times New Roman" w:hAnsi="Times New Roman" w:eastAsia="宋体" w:cs="Times New Roman"/>
                <w:color w:val="auto"/>
                <w:szCs w:val="21"/>
                <w:highlight w:val="none"/>
              </w:rPr>
              <w:t>④</w:t>
            </w:r>
            <w:r>
              <w:rPr>
                <w:rFonts w:hint="eastAsia" w:ascii="Times New Roman" w:hAnsi="Times New Roman" w:cs="Times New Roman"/>
                <w:highlight w:val="none"/>
                <w:lang w:val="en-US" w:eastAsia="zh-CN"/>
              </w:rPr>
              <w:t>其他：施工现场使用带油料的机械器具，应采取措施防止油料跑、冒、滴、漏，防止对土壤和水体造成污染。</w:t>
            </w:r>
          </w:p>
          <w:p>
            <w:pPr>
              <w:ind w:firstLine="0" w:firstLineChars="0"/>
              <w:rPr>
                <w:rFonts w:hint="default" w:ascii="Times New Roman" w:hAnsi="Times New Roman" w:cs="Times New Roman"/>
                <w:b/>
                <w:bCs/>
                <w:color w:val="auto"/>
              </w:rPr>
            </w:pPr>
            <w:r>
              <w:rPr>
                <w:rFonts w:hint="default" w:ascii="Times New Roman" w:hAnsi="Times New Roman" w:cs="Times New Roman"/>
                <w:b/>
                <w:bCs/>
                <w:color w:val="auto"/>
              </w:rPr>
              <w:t>2、施工期大气环境影响环境保护措施</w:t>
            </w:r>
          </w:p>
          <w:p>
            <w:pPr>
              <w:spacing w:line="360" w:lineRule="auto"/>
              <w:ind w:firstLine="480"/>
              <w:contextualSpacing/>
              <w:rPr>
                <w:rFonts w:hint="default" w:ascii="Times New Roman" w:hAnsi="Times New Roman" w:eastAsia="宋体" w:cs="Times New Roman"/>
                <w:color w:val="auto"/>
                <w:szCs w:val="20"/>
              </w:rPr>
            </w:pPr>
            <w:r>
              <w:rPr>
                <w:rFonts w:hint="default" w:ascii="Times New Roman" w:hAnsi="Times New Roman" w:eastAsia="宋体" w:cs="Times New Roman"/>
                <w:color w:val="auto"/>
                <w:szCs w:val="20"/>
              </w:rPr>
              <w:t>为减少施工期扬尘对环境空气的影响，评价建议施工期采取如下扬尘污染防治措施：</w:t>
            </w:r>
          </w:p>
          <w:p>
            <w:pPr>
              <w:ind w:firstLine="480"/>
              <w:rPr>
                <w:rFonts w:hint="default" w:ascii="Times New Roman" w:hAnsi="Times New Roman" w:cs="Times New Roman"/>
                <w:highlight w:val="none"/>
              </w:rPr>
            </w:pPr>
            <w:r>
              <w:rPr>
                <w:rFonts w:hint="default" w:ascii="Times New Roman" w:hAnsi="Times New Roman" w:eastAsia="宋体" w:cs="Times New Roman"/>
                <w:color w:val="auto"/>
                <w:szCs w:val="21"/>
                <w:highlight w:val="none"/>
              </w:rPr>
              <w:t>①</w:t>
            </w:r>
            <w:r>
              <w:rPr>
                <w:rFonts w:hint="eastAsia" w:ascii="Times New Roman" w:hAnsi="Times New Roman" w:cs="Times New Roman"/>
                <w:highlight w:val="none"/>
                <w:lang w:val="en-US" w:eastAsia="zh-CN"/>
              </w:rPr>
              <w:t xml:space="preserve">施工过程中，应当加强对施工现场和物料运输的管理，在施工工地设置硬质围挡，保持道路清洁，管控料堆和渣土堆放，防治扬尘污染。 </w:t>
            </w:r>
          </w:p>
          <w:p>
            <w:pPr>
              <w:ind w:firstLine="480"/>
              <w:rPr>
                <w:rFonts w:hint="default" w:ascii="Times New Roman" w:hAnsi="Times New Roman" w:cs="Times New Roman"/>
                <w:highlight w:val="none"/>
              </w:rPr>
            </w:pPr>
            <w:r>
              <w:rPr>
                <w:rFonts w:hint="default" w:ascii="Times New Roman" w:hAnsi="Times New Roman" w:eastAsia="宋体" w:cs="Times New Roman"/>
                <w:color w:val="auto"/>
                <w:szCs w:val="21"/>
                <w:highlight w:val="none"/>
              </w:rPr>
              <w:t>②</w:t>
            </w:r>
            <w:r>
              <w:rPr>
                <w:rFonts w:hint="eastAsia" w:ascii="Times New Roman" w:hAnsi="Times New Roman" w:cs="Times New Roman"/>
                <w:highlight w:val="none"/>
                <w:lang w:val="en-US" w:eastAsia="zh-CN"/>
              </w:rPr>
              <w:t xml:space="preserve">施工过程中，对易起尘的临时堆土、运输过程中的土石方等应采用密闭式防尘布（网）进行苫盖，施工面集中且有条件的地方宜采取洒水降尘等有效措施，减少易造成大气污染的施工作业。 </w:t>
            </w:r>
          </w:p>
          <w:p>
            <w:pPr>
              <w:ind w:firstLine="480"/>
              <w:rPr>
                <w:rFonts w:hint="default" w:ascii="Times New Roman" w:hAnsi="Times New Roman" w:cs="Times New Roman"/>
                <w:highlight w:val="none"/>
              </w:rPr>
            </w:pPr>
            <w:r>
              <w:rPr>
                <w:rFonts w:hint="default" w:ascii="Times New Roman" w:hAnsi="Times New Roman" w:eastAsia="宋体" w:cs="Times New Roman"/>
                <w:color w:val="auto"/>
                <w:szCs w:val="21"/>
                <w:highlight w:val="none"/>
              </w:rPr>
              <w:t>③</w:t>
            </w:r>
            <w:r>
              <w:rPr>
                <w:rFonts w:hint="eastAsia" w:ascii="Times New Roman" w:hAnsi="Times New Roman" w:cs="Times New Roman"/>
                <w:highlight w:val="none"/>
                <w:lang w:val="en-US" w:eastAsia="zh-CN"/>
              </w:rPr>
              <w:t xml:space="preserve">施工过程中，建设单位应当对裸露地面进行覆盖；暂时不能开工的建设用地超过三个月的，应当进行绿化、铺装或者遮盖。 </w:t>
            </w:r>
          </w:p>
          <w:p>
            <w:pPr>
              <w:ind w:firstLine="480"/>
              <w:rPr>
                <w:rFonts w:hint="default" w:ascii="Times New Roman" w:hAnsi="Times New Roman" w:cs="Times New Roman"/>
                <w:highlight w:val="none"/>
              </w:rPr>
            </w:pPr>
            <w:r>
              <w:rPr>
                <w:rFonts w:hint="default" w:ascii="Times New Roman" w:hAnsi="Times New Roman" w:eastAsia="宋体" w:cs="Times New Roman"/>
                <w:color w:val="auto"/>
                <w:szCs w:val="21"/>
                <w:highlight w:val="none"/>
              </w:rPr>
              <w:t>④</w:t>
            </w:r>
            <w:r>
              <w:rPr>
                <w:rFonts w:hint="eastAsia" w:ascii="Times New Roman" w:hAnsi="Times New Roman" w:cs="Times New Roman"/>
                <w:highlight w:val="none"/>
                <w:lang w:val="en-US" w:eastAsia="zh-CN"/>
              </w:rPr>
              <w:t>施工现场禁止将包装物、可燃垃圾等固体废弃物就地焚烧。</w:t>
            </w:r>
          </w:p>
          <w:p>
            <w:pPr>
              <w:spacing w:line="360" w:lineRule="auto"/>
              <w:ind w:firstLine="480"/>
              <w:rPr>
                <w:rFonts w:hint="eastAsia" w:eastAsiaTheme="minorEastAsia"/>
                <w:bCs/>
                <w:color w:val="auto"/>
                <w:kern w:val="0"/>
                <w:szCs w:val="20"/>
                <w:highlight w:val="none"/>
                <w:lang w:eastAsia="zh-CN"/>
              </w:rPr>
            </w:pPr>
            <w:r>
              <w:rPr>
                <w:rFonts w:hint="default" w:ascii="Times New Roman" w:hAnsi="Times New Roman" w:eastAsia="宋体" w:cs="Times New Roman"/>
                <w:color w:val="auto"/>
                <w:szCs w:val="21"/>
                <w:highlight w:val="none"/>
              </w:rPr>
              <w:t>⑤施工期</w:t>
            </w:r>
            <w:r>
              <w:rPr>
                <w:bCs/>
                <w:color w:val="auto"/>
                <w:kern w:val="0"/>
                <w:szCs w:val="20"/>
                <w:highlight w:val="none"/>
              </w:rPr>
              <w:t>落实施工工地“六个百分之百”</w:t>
            </w:r>
            <w:r>
              <w:rPr>
                <w:rFonts w:hint="eastAsia"/>
                <w:bCs/>
                <w:color w:val="auto"/>
                <w:kern w:val="0"/>
                <w:szCs w:val="20"/>
                <w:highlight w:val="none"/>
                <w:lang w:val="en-US" w:eastAsia="zh-CN"/>
              </w:rPr>
              <w:t>措施</w:t>
            </w:r>
            <w:r>
              <w:rPr>
                <w:rFonts w:hint="eastAsia"/>
                <w:bCs/>
                <w:color w:val="auto"/>
                <w:kern w:val="0"/>
                <w:szCs w:val="20"/>
                <w:highlight w:val="none"/>
                <w:lang w:eastAsia="zh-CN"/>
              </w:rPr>
              <w:t>：</w:t>
            </w:r>
            <w:r>
              <w:rPr>
                <w:bCs/>
                <w:color w:val="auto"/>
                <w:kern w:val="0"/>
                <w:szCs w:val="20"/>
                <w:highlight w:val="none"/>
              </w:rPr>
              <w:t>施工现场百分之百围挡，物料堆放百分之百覆盖，裸露地面百分之百绿化或覆盖，进出车辆百分之百冲洗，拆除和土方作业百分之百喷淋，渣土运输车辆百分之百封闭</w:t>
            </w:r>
            <w:r>
              <w:rPr>
                <w:rFonts w:hint="eastAsia"/>
                <w:bCs/>
                <w:color w:val="auto"/>
                <w:kern w:val="0"/>
                <w:szCs w:val="20"/>
                <w:highlight w:val="none"/>
                <w:lang w:eastAsia="zh-CN"/>
              </w:rPr>
              <w:t>。</w:t>
            </w:r>
          </w:p>
          <w:p>
            <w:pPr>
              <w:pStyle w:val="71"/>
              <w:spacing w:line="520" w:lineRule="exact"/>
              <w:ind w:firstLine="480"/>
              <w:rPr>
                <w:bCs/>
                <w:color w:val="auto"/>
                <w:kern w:val="0"/>
                <w:szCs w:val="20"/>
                <w:highlight w:val="none"/>
              </w:rPr>
            </w:pPr>
            <w:r>
              <w:rPr>
                <w:rFonts w:hint="default" w:ascii="Times New Roman" w:hAnsi="Times New Roman" w:eastAsia="宋体" w:cs="Times New Roman"/>
                <w:color w:val="auto"/>
                <w:szCs w:val="21"/>
                <w:highlight w:val="none"/>
              </w:rPr>
              <w:t>⑥</w:t>
            </w:r>
            <w:r>
              <w:rPr>
                <w:rFonts w:hint="eastAsia" w:ascii="Times New Roman" w:hAnsi="Times New Roman" w:cs="Times New Roman"/>
                <w:highlight w:val="none"/>
                <w:lang w:val="en-US" w:eastAsia="zh-CN"/>
              </w:rPr>
              <w:t>建设单位应</w:t>
            </w:r>
            <w:r>
              <w:rPr>
                <w:rFonts w:hint="default" w:ascii="Times New Roman" w:hAnsi="Times New Roman" w:eastAsia="宋体" w:cs="Times New Roman"/>
                <w:color w:val="auto"/>
                <w:szCs w:val="21"/>
                <w:highlight w:val="none"/>
              </w:rPr>
              <w:t>要求施工单位文明施工，</w:t>
            </w:r>
            <w:r>
              <w:rPr>
                <w:rFonts w:hint="eastAsia" w:ascii="Times New Roman" w:hAnsi="Times New Roman" w:eastAsia="宋体" w:cs="Times New Roman"/>
                <w:color w:val="auto"/>
                <w:szCs w:val="21"/>
                <w:highlight w:val="none"/>
                <w:lang w:val="en-US" w:eastAsia="zh-CN"/>
              </w:rPr>
              <w:t>执行</w:t>
            </w:r>
            <w:r>
              <w:rPr>
                <w:bCs/>
                <w:color w:val="auto"/>
                <w:kern w:val="0"/>
                <w:szCs w:val="20"/>
                <w:highlight w:val="none"/>
              </w:rPr>
              <w:t xml:space="preserve"> “三员”（扬尘污染防治监督员、网格员、管理员）管理、扬尘防治预算管理等制度，禁止现场搅拌混凝土、禁止现场配置砂浆。</w:t>
            </w:r>
          </w:p>
          <w:p>
            <w:pPr>
              <w:spacing w:line="360" w:lineRule="auto"/>
              <w:ind w:firstLine="480"/>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⑦施工过程中产生的建筑垃圾在施工期间应当及时清运，并按照相关部门的规定处置，防止污染环境。</w:t>
            </w:r>
          </w:p>
          <w:p>
            <w:pPr>
              <w:ind w:firstLine="0" w:firstLineChars="0"/>
              <w:rPr>
                <w:rFonts w:hint="default" w:ascii="Times New Roman" w:hAnsi="Times New Roman" w:cs="Times New Roman"/>
                <w:b/>
                <w:bCs/>
                <w:color w:val="auto"/>
              </w:rPr>
            </w:pPr>
            <w:r>
              <w:rPr>
                <w:rFonts w:hint="default" w:ascii="Times New Roman" w:hAnsi="Times New Roman" w:cs="Times New Roman"/>
                <w:b/>
                <w:bCs/>
                <w:color w:val="auto"/>
              </w:rPr>
              <w:t>3、施工期水环境影响环境保护措施</w:t>
            </w:r>
          </w:p>
          <w:p>
            <w:pPr>
              <w:spacing w:line="360" w:lineRule="auto"/>
              <w:ind w:firstLine="480"/>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为尽量减少施工期废水对水环境的影响，评价建议采取如下废水污染防治措施：</w:t>
            </w:r>
          </w:p>
          <w:p>
            <w:pPr>
              <w:spacing w:line="360" w:lineRule="auto"/>
              <w:ind w:firstLine="480"/>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①施工时应该将车辆清洗废水</w:t>
            </w:r>
            <w:r>
              <w:rPr>
                <w:rFonts w:hint="eastAsia" w:eastAsia="宋体" w:cs="Times New Roman"/>
                <w:color w:val="auto"/>
                <w:szCs w:val="21"/>
                <w:lang w:val="en-US" w:eastAsia="zh-CN"/>
              </w:rPr>
              <w:t>等</w:t>
            </w:r>
            <w:r>
              <w:rPr>
                <w:rFonts w:hint="default" w:ascii="Times New Roman" w:hAnsi="Times New Roman" w:eastAsia="宋体" w:cs="Times New Roman"/>
                <w:color w:val="auto"/>
                <w:szCs w:val="21"/>
              </w:rPr>
              <w:t>集中收集，经过沉砂处理回用。</w:t>
            </w:r>
          </w:p>
          <w:p>
            <w:pPr>
              <w:spacing w:line="360" w:lineRule="auto"/>
              <w:ind w:firstLine="480"/>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②施工单位要做好施工场地周围的拦挡措施，尽量避免雨季开挖作业。同时要落实文明施工原则，特别要禁止施工废水、弃渣排入水体，不漫排施工废水。</w:t>
            </w:r>
          </w:p>
          <w:p>
            <w:pPr>
              <w:spacing w:line="360" w:lineRule="auto"/>
              <w:ind w:firstLine="480"/>
              <w:rPr>
                <w:rFonts w:hint="default" w:ascii="Times New Roman" w:hAnsi="Times New Roman" w:eastAsia="宋体" w:cs="Times New Roman"/>
                <w:color w:val="auto"/>
              </w:rPr>
            </w:pPr>
            <w:r>
              <w:rPr>
                <w:rFonts w:hint="default" w:ascii="Times New Roman" w:hAnsi="Times New Roman" w:eastAsia="宋体" w:cs="Times New Roman"/>
                <w:color w:val="auto"/>
                <w:szCs w:val="21"/>
              </w:rPr>
              <w:t>③本工程施工时设置1个旱厕，生活污水经旱厕收集后，用于周边农田施肥，不外排，不会对周围地表水体产生影响。</w:t>
            </w:r>
          </w:p>
          <w:p>
            <w:pPr>
              <w:ind w:firstLine="0" w:firstLineChars="0"/>
              <w:rPr>
                <w:rFonts w:hint="default" w:ascii="Times New Roman" w:hAnsi="Times New Roman" w:cs="Times New Roman"/>
                <w:b/>
                <w:bCs/>
                <w:color w:val="auto"/>
              </w:rPr>
            </w:pPr>
            <w:r>
              <w:rPr>
                <w:rFonts w:hint="default" w:ascii="Times New Roman" w:hAnsi="Times New Roman" w:cs="Times New Roman"/>
                <w:b/>
                <w:bCs/>
                <w:color w:val="auto"/>
              </w:rPr>
              <w:t>4、施工期声环境影响环境保护措施</w:t>
            </w:r>
          </w:p>
          <w:p>
            <w:pPr>
              <w:ind w:firstLine="480"/>
              <w:rPr>
                <w:rFonts w:hint="default" w:ascii="Times New Roman" w:hAnsi="Times New Roman" w:cs="Times New Roman"/>
                <w:color w:val="auto"/>
              </w:rPr>
            </w:pPr>
            <w:r>
              <w:rPr>
                <w:rFonts w:hint="default" w:ascii="Times New Roman" w:hAnsi="Times New Roman" w:cs="Times New Roman"/>
                <w:color w:val="auto"/>
              </w:rPr>
              <w:t>①要求施工单位文明施工，加强施工期的环境管理和环境监控工作，并接受环境保护部门的监督管理。</w:t>
            </w:r>
          </w:p>
          <w:p>
            <w:pPr>
              <w:ind w:firstLine="480"/>
              <w:rPr>
                <w:rFonts w:hint="default" w:ascii="Times New Roman" w:hAnsi="Times New Roman" w:cs="Times New Roman"/>
                <w:color w:val="auto"/>
              </w:rPr>
            </w:pPr>
            <w:r>
              <w:rPr>
                <w:rFonts w:hint="default" w:ascii="Times New Roman" w:hAnsi="Times New Roman" w:cs="Times New Roman"/>
                <w:color w:val="auto"/>
              </w:rPr>
              <w:t>②施工场地周围先行设置实体围栏，施工设备合理布置。</w:t>
            </w:r>
          </w:p>
          <w:p>
            <w:pPr>
              <w:ind w:firstLine="480"/>
              <w:rPr>
                <w:rFonts w:hint="default" w:ascii="Times New Roman" w:hAnsi="Times New Roman" w:cs="Times New Roman"/>
                <w:color w:val="auto"/>
              </w:rPr>
            </w:pPr>
            <w:r>
              <w:rPr>
                <w:rFonts w:hint="default" w:ascii="Times New Roman" w:hAnsi="Times New Roman" w:cs="Times New Roman"/>
                <w:color w:val="auto"/>
              </w:rPr>
              <w:t>③施工单位采用噪声水平满足国家相应标准的施工机械设备或带隔声、消声的设备，控制设备噪声源强。</w:t>
            </w:r>
          </w:p>
          <w:p>
            <w:pPr>
              <w:ind w:firstLine="480"/>
              <w:rPr>
                <w:rFonts w:hint="default" w:ascii="Times New Roman" w:hAnsi="Times New Roman" w:cs="Times New Roman"/>
                <w:color w:val="auto"/>
              </w:rPr>
            </w:pPr>
            <w:r>
              <w:rPr>
                <w:rFonts w:hint="default" w:ascii="Times New Roman" w:hAnsi="Times New Roman" w:cs="Times New Roman"/>
                <w:color w:val="auto"/>
              </w:rPr>
              <w:t>④运输材料的车辆通过居民区时应减速慢行、严禁鸣笛，装卸材料时应做到轻拿轻放。</w:t>
            </w:r>
          </w:p>
          <w:p>
            <w:pPr>
              <w:spacing w:line="360" w:lineRule="auto"/>
              <w:ind w:firstLine="480"/>
              <w:contextualSpacing/>
              <w:rPr>
                <w:rFonts w:hint="default" w:ascii="Times New Roman" w:hAnsi="Times New Roman" w:cs="Times New Roman"/>
                <w:color w:val="0000FF"/>
                <w:szCs w:val="20"/>
              </w:rPr>
            </w:pP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 5 \* GB3 </w:instrText>
            </w:r>
            <w:r>
              <w:rPr>
                <w:rFonts w:hint="default" w:ascii="Times New Roman" w:hAnsi="Times New Roman" w:cs="Times New Roman"/>
                <w:color w:val="auto"/>
              </w:rPr>
              <w:fldChar w:fldCharType="separate"/>
            </w:r>
            <w:r>
              <w:rPr>
                <w:rFonts w:hint="default" w:ascii="Times New Roman" w:hAnsi="Times New Roman" w:cs="Times New Roman"/>
                <w:color w:val="auto"/>
              </w:rPr>
              <w:t>⑤</w:t>
            </w:r>
            <w:r>
              <w:rPr>
                <w:rFonts w:hint="default" w:ascii="Times New Roman" w:hAnsi="Times New Roman" w:cs="Times New Roman"/>
                <w:color w:val="auto"/>
              </w:rPr>
              <w:fldChar w:fldCharType="end"/>
            </w:r>
            <w:r>
              <w:rPr>
                <w:rFonts w:hint="default" w:ascii="Times New Roman" w:hAnsi="Times New Roman" w:cs="Times New Roman"/>
                <w:color w:val="auto"/>
              </w:rPr>
              <w:t>工程施工安排在白天进行，如因特殊情况要求，需在夜间施工而产生环境噪声污染时，应按《中华人民共和国环境噪声污染防治法》的规定，取得县级以上人民政府或者其有关主管部门的证明，并公告附近居民，同时在夜间施工时禁止使用产生较大噪声的机械设备如推土机、挖土机、汽车吊装机等。</w:t>
            </w:r>
          </w:p>
          <w:p>
            <w:pPr>
              <w:ind w:firstLine="0" w:firstLineChars="0"/>
              <w:rPr>
                <w:rFonts w:hint="default" w:ascii="Times New Roman" w:hAnsi="Times New Roman" w:cs="Times New Roman"/>
                <w:b/>
                <w:bCs/>
                <w:color w:val="auto"/>
              </w:rPr>
            </w:pPr>
            <w:r>
              <w:rPr>
                <w:rFonts w:hint="default" w:ascii="Times New Roman" w:hAnsi="Times New Roman" w:cs="Times New Roman"/>
                <w:b/>
                <w:bCs/>
                <w:color w:val="auto"/>
              </w:rPr>
              <w:t>5、施工期固体废物环境影响环境保护措施</w:t>
            </w:r>
          </w:p>
          <w:p>
            <w:pPr>
              <w:spacing w:line="360" w:lineRule="auto"/>
              <w:ind w:firstLine="480"/>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建设单位应采取如下控制措施减少并降低施工固体废物对周围环境影响：</w:t>
            </w:r>
          </w:p>
          <w:p>
            <w:pPr>
              <w:spacing w:line="360" w:lineRule="auto"/>
              <w:ind w:firstLine="480"/>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①升压站产生的土石方全部在风电场区域内回</w:t>
            </w:r>
            <w:r>
              <w:rPr>
                <w:rFonts w:hint="eastAsia" w:eastAsia="宋体" w:cs="Times New Roman"/>
                <w:color w:val="auto"/>
                <w:szCs w:val="21"/>
                <w:highlight w:val="none"/>
                <w:lang w:val="en-US" w:eastAsia="zh-CN"/>
              </w:rPr>
              <w:t>用</w:t>
            </w:r>
            <w:r>
              <w:rPr>
                <w:rFonts w:hint="default" w:ascii="Times New Roman" w:hAnsi="Times New Roman" w:eastAsia="宋体" w:cs="Times New Roman"/>
                <w:color w:val="auto"/>
                <w:szCs w:val="21"/>
                <w:highlight w:val="none"/>
              </w:rPr>
              <w:t>，不设置弃渣场，禁止乱弃渣。</w:t>
            </w:r>
          </w:p>
          <w:p>
            <w:pPr>
              <w:spacing w:line="360" w:lineRule="auto"/>
              <w:ind w:firstLine="480"/>
              <w:rPr>
                <w:rFonts w:hint="eastAsia" w:ascii="Times New Roman" w:hAnsi="Times New Roman" w:eastAsia="宋体" w:cs="Times New Roman"/>
                <w:color w:val="auto"/>
                <w:szCs w:val="21"/>
                <w:lang w:eastAsia="zh-CN"/>
              </w:rPr>
            </w:pPr>
            <w:r>
              <w:rPr>
                <w:rFonts w:hint="default" w:ascii="Times New Roman" w:hAnsi="Times New Roman" w:eastAsia="宋体" w:cs="Times New Roman"/>
                <w:color w:val="auto"/>
                <w:szCs w:val="21"/>
              </w:rPr>
              <w:t>②施工建筑垃圾应由施工单位统一收集后，外运至政府部门指定的建筑垃圾填埋场处置，不得随意乱弃</w:t>
            </w:r>
            <w:r>
              <w:rPr>
                <w:rFonts w:hint="eastAsia" w:eastAsia="宋体" w:cs="Times New Roman"/>
                <w:color w:val="auto"/>
                <w:szCs w:val="21"/>
                <w:lang w:eastAsia="zh-CN"/>
              </w:rPr>
              <w:t>。</w:t>
            </w:r>
          </w:p>
          <w:p>
            <w:pPr>
              <w:pStyle w:val="42"/>
              <w:adjustRightInd/>
              <w:snapToGrid/>
              <w:ind w:firstLine="482"/>
              <w:contextualSpacing/>
              <w:rPr>
                <w:rFonts w:hint="default" w:ascii="Times New Roman" w:hAnsi="Times New Roman" w:cs="Times New Roman"/>
                <w:b/>
                <w:color w:val="0000FF"/>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03" w:hRule="atLeast"/>
          <w:jc w:val="center"/>
        </w:trPr>
        <w:tc>
          <w:tcPr>
            <w:tcW w:w="874" w:type="dxa"/>
            <w:tcMar>
              <w:left w:w="28" w:type="dxa"/>
              <w:right w:w="28" w:type="dxa"/>
            </w:tcMar>
            <w:vAlign w:val="center"/>
          </w:tcPr>
          <w:p>
            <w:pPr>
              <w:adjustRightInd w:val="0"/>
              <w:snapToGrid w:val="0"/>
              <w:spacing w:line="240" w:lineRule="auto"/>
              <w:ind w:firstLine="0" w:firstLineChars="0"/>
              <w:jc w:val="center"/>
              <w:rPr>
                <w:rFonts w:hint="default" w:ascii="Times New Roman" w:hAnsi="Times New Roman" w:cs="Times New Roman"/>
                <w:bCs/>
                <w:color w:val="0000FF"/>
                <w:spacing w:val="10"/>
                <w:szCs w:val="21"/>
              </w:rPr>
            </w:pPr>
            <w:r>
              <w:rPr>
                <w:rFonts w:hint="default" w:ascii="Times New Roman" w:hAnsi="Times New Roman" w:cs="Times New Roman"/>
                <w:bCs/>
                <w:color w:val="auto"/>
                <w:spacing w:val="10"/>
                <w:szCs w:val="21"/>
              </w:rPr>
              <w:t>运营期生态环境保护措施</w:t>
            </w:r>
          </w:p>
        </w:tc>
        <w:tc>
          <w:tcPr>
            <w:tcW w:w="8336" w:type="dxa"/>
          </w:tcPr>
          <w:p>
            <w:pPr>
              <w:pStyle w:val="42"/>
              <w:adjustRightInd/>
              <w:snapToGrid/>
              <w:spacing w:before="163" w:beforeLines="50"/>
              <w:contextualSpacing/>
              <w:rPr>
                <w:rFonts w:hint="default" w:ascii="Times New Roman" w:hAnsi="Times New Roman" w:cs="Times New Roman"/>
                <w:color w:val="auto"/>
              </w:rPr>
            </w:pPr>
            <w:r>
              <w:rPr>
                <w:rFonts w:hint="default" w:ascii="Times New Roman" w:hAnsi="Times New Roman" w:cs="Times New Roman"/>
                <w:color w:val="auto"/>
              </w:rPr>
              <w:t>运</w:t>
            </w:r>
            <w:r>
              <w:rPr>
                <w:rFonts w:hint="eastAsia" w:cs="Times New Roman"/>
                <w:color w:val="auto"/>
                <w:lang w:val="en-US" w:eastAsia="zh-CN"/>
              </w:rPr>
              <w:t>营</w:t>
            </w:r>
            <w:r>
              <w:rPr>
                <w:rFonts w:hint="default" w:ascii="Times New Roman" w:hAnsi="Times New Roman" w:cs="Times New Roman"/>
                <w:color w:val="auto"/>
              </w:rPr>
              <w:t>期应采取的环境保护</w:t>
            </w:r>
            <w:r>
              <w:rPr>
                <w:rFonts w:hint="eastAsia" w:cs="Times New Roman"/>
                <w:color w:val="auto"/>
                <w:lang w:val="en-US" w:eastAsia="zh-CN"/>
              </w:rPr>
              <w:t>措施</w:t>
            </w:r>
            <w:r>
              <w:rPr>
                <w:rFonts w:hint="default" w:ascii="Times New Roman" w:hAnsi="Times New Roman" w:cs="Times New Roman"/>
                <w:color w:val="auto"/>
              </w:rPr>
              <w:t>如下：</w:t>
            </w:r>
          </w:p>
          <w:p>
            <w:pPr>
              <w:ind w:firstLine="0" w:firstLineChars="0"/>
              <w:rPr>
                <w:rFonts w:hint="default" w:ascii="Times New Roman" w:hAnsi="Times New Roman" w:cs="Times New Roman"/>
                <w:b/>
                <w:bCs/>
                <w:color w:val="auto"/>
              </w:rPr>
            </w:pPr>
            <w:r>
              <w:rPr>
                <w:rFonts w:hint="default" w:ascii="Times New Roman" w:hAnsi="Times New Roman" w:cs="Times New Roman"/>
                <w:b/>
                <w:bCs/>
                <w:color w:val="auto"/>
              </w:rPr>
              <w:t>1、运营期生态环境环保措施</w:t>
            </w:r>
          </w:p>
          <w:p>
            <w:pPr>
              <w:ind w:firstLine="480"/>
              <w:rPr>
                <w:rFonts w:hint="default" w:ascii="Times New Roman" w:hAnsi="Times New Roman" w:cs="Times New Roman"/>
                <w:color w:val="auto"/>
              </w:rPr>
            </w:pPr>
            <w:r>
              <w:rPr>
                <w:rFonts w:hint="default" w:ascii="Times New Roman" w:hAnsi="Times New Roman" w:cs="Times New Roman"/>
                <w:color w:val="auto"/>
              </w:rPr>
              <w:t>在项目</w:t>
            </w:r>
            <w:r>
              <w:rPr>
                <w:rFonts w:hint="eastAsia" w:cs="Times New Roman"/>
                <w:color w:val="auto"/>
                <w:lang w:eastAsia="zh-CN"/>
              </w:rPr>
              <w:t>运营期</w:t>
            </w:r>
            <w:r>
              <w:rPr>
                <w:rFonts w:hint="default" w:ascii="Times New Roman" w:hAnsi="Times New Roman" w:cs="Times New Roman"/>
                <w:color w:val="auto"/>
              </w:rPr>
              <w:t>需对升压站进行定期巡查及检修，应对运行维护人员进行生态环境保护相关知识的培训，提高环境保护意识，不对工程周边区域的动植物及生态环境进行破坏。</w:t>
            </w:r>
          </w:p>
          <w:p>
            <w:pPr>
              <w:ind w:firstLine="0" w:firstLineChars="0"/>
              <w:rPr>
                <w:rFonts w:hint="default" w:ascii="Times New Roman" w:hAnsi="Times New Roman" w:cs="Times New Roman"/>
                <w:b/>
                <w:bCs/>
                <w:color w:val="auto"/>
              </w:rPr>
            </w:pPr>
            <w:r>
              <w:rPr>
                <w:rFonts w:hint="default" w:ascii="Times New Roman" w:hAnsi="Times New Roman" w:cs="Times New Roman"/>
                <w:b/>
                <w:bCs/>
                <w:color w:val="auto"/>
              </w:rPr>
              <w:t>2、运营期电磁环境影响环境保护措施</w:t>
            </w:r>
          </w:p>
          <w:p>
            <w:pPr>
              <w:adjustRightInd w:val="0"/>
              <w:snapToGrid w:val="0"/>
              <w:spacing w:line="520" w:lineRule="exact"/>
              <w:ind w:firstLine="480" w:firstLineChars="200"/>
              <w:rPr>
                <w:rFonts w:hint="eastAsia" w:ascii="Times New Roman" w:hAnsi="Times New Roman" w:eastAsia="宋体"/>
                <w:snapToGrid w:val="0"/>
                <w:color w:val="auto"/>
                <w:kern w:val="16"/>
                <w:sz w:val="24"/>
                <w:szCs w:val="20"/>
                <w:lang w:val="en-US" w:eastAsia="zh-CN"/>
              </w:rPr>
            </w:pPr>
            <w:r>
              <w:rPr>
                <w:rFonts w:hint="eastAsia" w:eastAsia="宋体"/>
                <w:snapToGrid w:val="0"/>
                <w:color w:val="auto"/>
                <w:kern w:val="16"/>
                <w:sz w:val="24"/>
                <w:szCs w:val="20"/>
                <w:lang w:eastAsia="zh-CN"/>
              </w:rPr>
              <w:t>（</w:t>
            </w:r>
            <w:r>
              <w:rPr>
                <w:rFonts w:hint="eastAsia" w:eastAsia="宋体"/>
                <w:snapToGrid w:val="0"/>
                <w:color w:val="auto"/>
                <w:kern w:val="16"/>
                <w:sz w:val="24"/>
                <w:szCs w:val="20"/>
                <w:lang w:val="en-US" w:eastAsia="zh-CN"/>
              </w:rPr>
              <w:t>1</w:t>
            </w:r>
            <w:r>
              <w:rPr>
                <w:rFonts w:hint="eastAsia" w:eastAsia="宋体"/>
                <w:snapToGrid w:val="0"/>
                <w:color w:val="auto"/>
                <w:kern w:val="16"/>
                <w:sz w:val="24"/>
                <w:szCs w:val="20"/>
                <w:lang w:eastAsia="zh-CN"/>
              </w:rPr>
              <w:t>）</w:t>
            </w:r>
            <w:r>
              <w:rPr>
                <w:rFonts w:hint="eastAsia" w:ascii="Times New Roman" w:hAnsi="Times New Roman" w:eastAsia="宋体"/>
                <w:snapToGrid w:val="0"/>
                <w:color w:val="auto"/>
                <w:kern w:val="16"/>
                <w:sz w:val="24"/>
                <w:szCs w:val="20"/>
                <w:lang w:val="en-US" w:eastAsia="zh-CN"/>
              </w:rPr>
              <w:t>选址避开环境敏感点；</w:t>
            </w:r>
          </w:p>
          <w:p>
            <w:pPr>
              <w:adjustRightInd w:val="0"/>
              <w:snapToGrid w:val="0"/>
              <w:spacing w:line="520" w:lineRule="exact"/>
              <w:ind w:firstLine="480" w:firstLineChars="200"/>
              <w:rPr>
                <w:rFonts w:hint="eastAsia" w:eastAsia="宋体"/>
                <w:snapToGrid w:val="0"/>
                <w:color w:val="auto"/>
                <w:kern w:val="16"/>
                <w:sz w:val="24"/>
                <w:szCs w:val="20"/>
              </w:rPr>
            </w:pPr>
            <w:r>
              <w:rPr>
                <w:rFonts w:hint="eastAsia" w:ascii="Times New Roman" w:hAnsi="Times New Roman" w:eastAsia="宋体"/>
                <w:snapToGrid w:val="0"/>
                <w:color w:val="auto"/>
                <w:kern w:val="16"/>
                <w:sz w:val="24"/>
                <w:szCs w:val="20"/>
                <w:lang w:val="en-US" w:eastAsia="zh-CN"/>
              </w:rPr>
              <w:t>（2）</w:t>
            </w:r>
            <w:r>
              <w:rPr>
                <w:rFonts w:hint="eastAsia" w:eastAsia="宋体"/>
                <w:snapToGrid w:val="0"/>
                <w:color w:val="auto"/>
                <w:kern w:val="16"/>
                <w:sz w:val="24"/>
                <w:szCs w:val="20"/>
              </w:rPr>
              <w:t>对升压站的电气设备进行合理布局，</w:t>
            </w:r>
            <w:r>
              <w:rPr>
                <w:rFonts w:hint="eastAsia" w:ascii="Times New Roman" w:hAnsi="Times New Roman" w:eastAsia="宋体"/>
                <w:snapToGrid w:val="0"/>
                <w:color w:val="auto"/>
                <w:kern w:val="16"/>
                <w:sz w:val="24"/>
                <w:szCs w:val="20"/>
                <w:lang w:val="en-US" w:eastAsia="zh-CN"/>
              </w:rPr>
              <w:t>对各类电气设备布置的安全间距、绝缘等级、过电压保护、防雷、接地、照明及低压安全照明、事故照明等设计，均严格执行现行的《电气设备安全设计导则》等有关规定；选择性能优良的电气设备，设置防雷接地保护装置，</w:t>
            </w:r>
            <w:r>
              <w:rPr>
                <w:rFonts w:hint="eastAsia" w:eastAsia="宋体"/>
                <w:snapToGrid w:val="0"/>
                <w:color w:val="auto"/>
                <w:kern w:val="16"/>
                <w:sz w:val="24"/>
                <w:szCs w:val="20"/>
              </w:rPr>
              <w:t>选用带屏蔽层的电缆等。</w:t>
            </w:r>
          </w:p>
          <w:p>
            <w:pPr>
              <w:adjustRightInd w:val="0"/>
              <w:snapToGrid w:val="0"/>
              <w:spacing w:line="520" w:lineRule="exact"/>
              <w:ind w:firstLine="480" w:firstLineChars="200"/>
              <w:rPr>
                <w:rFonts w:hint="eastAsia" w:eastAsia="宋体"/>
                <w:snapToGrid w:val="0"/>
                <w:color w:val="auto"/>
                <w:kern w:val="16"/>
                <w:sz w:val="24"/>
                <w:szCs w:val="20"/>
              </w:rPr>
            </w:pPr>
            <w:r>
              <w:rPr>
                <w:rFonts w:hint="eastAsia" w:eastAsia="宋体"/>
                <w:snapToGrid w:val="0"/>
                <w:color w:val="auto"/>
                <w:kern w:val="16"/>
                <w:sz w:val="24"/>
                <w:szCs w:val="20"/>
                <w:lang w:eastAsia="zh-CN"/>
              </w:rPr>
              <w:t>（</w:t>
            </w:r>
            <w:r>
              <w:rPr>
                <w:rFonts w:hint="eastAsia" w:eastAsia="宋体"/>
                <w:snapToGrid w:val="0"/>
                <w:color w:val="auto"/>
                <w:kern w:val="16"/>
                <w:sz w:val="24"/>
                <w:szCs w:val="20"/>
                <w:lang w:val="en-US" w:eastAsia="zh-CN"/>
              </w:rPr>
              <w:t>3</w:t>
            </w:r>
            <w:r>
              <w:rPr>
                <w:rFonts w:hint="eastAsia" w:eastAsia="宋体"/>
                <w:snapToGrid w:val="0"/>
                <w:color w:val="auto"/>
                <w:kern w:val="16"/>
                <w:sz w:val="24"/>
                <w:szCs w:val="20"/>
                <w:lang w:eastAsia="zh-CN"/>
              </w:rPr>
              <w:t>）</w:t>
            </w:r>
            <w:r>
              <w:rPr>
                <w:rFonts w:hint="eastAsia" w:eastAsia="宋体"/>
                <w:snapToGrid w:val="0"/>
                <w:color w:val="auto"/>
                <w:kern w:val="16"/>
                <w:sz w:val="24"/>
                <w:szCs w:val="20"/>
              </w:rPr>
              <w:t>设计中选用工频电场、工频磁场水平低的设备和附件；对产生大功率的电磁振荡设备采取必要的屏蔽及设备的孔、口、门缝的链接密封措施；对高压一次设备采用均压措施。</w:t>
            </w:r>
          </w:p>
          <w:p>
            <w:pPr>
              <w:ind w:firstLine="480"/>
              <w:rPr>
                <w:rFonts w:hint="default" w:ascii="Times New Roman" w:hAnsi="Times New Roman" w:cs="Times New Roman"/>
                <w:color w:val="auto"/>
                <w:highlight w:val="none"/>
              </w:rPr>
            </w:pPr>
            <w:r>
              <w:rPr>
                <w:rFonts w:hint="eastAsia" w:cs="Times New Roman"/>
                <w:color w:val="auto"/>
                <w:lang w:eastAsia="zh-CN"/>
              </w:rPr>
              <w:t>（</w:t>
            </w:r>
            <w:r>
              <w:rPr>
                <w:rFonts w:hint="eastAsia" w:cs="Times New Roman"/>
                <w:color w:val="auto"/>
                <w:lang w:val="en-US" w:eastAsia="zh-CN"/>
              </w:rPr>
              <w:t>4</w:t>
            </w:r>
            <w:r>
              <w:rPr>
                <w:rFonts w:hint="eastAsia" w:cs="Times New Roman"/>
                <w:color w:val="auto"/>
                <w:lang w:eastAsia="zh-CN"/>
              </w:rPr>
              <w:t>）运营期</w:t>
            </w:r>
            <w:r>
              <w:rPr>
                <w:rFonts w:hint="default" w:ascii="Times New Roman" w:hAnsi="Times New Roman" w:cs="Times New Roman"/>
                <w:color w:val="auto"/>
              </w:rPr>
              <w:t>做好环境保护设施的维护和运行管理，加强巡查和检查，保障发挥环境保护作用。定期开展环境监测，确保项目周围电磁环境符合《电磁环境控制限值》（GB8702-2014）中公众曝露控制限值要求，并及时解决公众合理的环境保</w:t>
            </w:r>
            <w:r>
              <w:rPr>
                <w:rFonts w:hint="default" w:ascii="Times New Roman" w:hAnsi="Times New Roman" w:cs="Times New Roman"/>
                <w:color w:val="auto"/>
                <w:highlight w:val="none"/>
              </w:rPr>
              <w:t>护诉求。</w:t>
            </w:r>
          </w:p>
          <w:p>
            <w:pPr>
              <w:ind w:firstLine="0" w:firstLineChars="0"/>
              <w:rPr>
                <w:rFonts w:hint="default" w:ascii="Times New Roman" w:hAnsi="Times New Roman" w:cs="Times New Roman"/>
                <w:b/>
                <w:bCs/>
                <w:color w:val="auto"/>
                <w:highlight w:val="none"/>
              </w:rPr>
            </w:pPr>
            <w:r>
              <w:rPr>
                <w:rFonts w:hint="eastAsia" w:ascii="Times New Roman" w:hAnsi="Times New Roman" w:cs="Times New Roman"/>
                <w:b/>
                <w:bCs/>
                <w:color w:val="auto"/>
                <w:highlight w:val="none"/>
                <w:lang w:val="en-US" w:eastAsia="zh-CN"/>
              </w:rPr>
              <w:t>3</w:t>
            </w:r>
            <w:r>
              <w:rPr>
                <w:rFonts w:hint="default" w:ascii="Times New Roman" w:hAnsi="Times New Roman" w:cs="Times New Roman"/>
                <w:b/>
                <w:bCs/>
                <w:color w:val="auto"/>
                <w:highlight w:val="none"/>
              </w:rPr>
              <w:t>、运营期</w:t>
            </w:r>
            <w:r>
              <w:rPr>
                <w:rFonts w:hint="eastAsia" w:ascii="Times New Roman" w:hAnsi="Times New Roman" w:cs="Times New Roman"/>
                <w:b/>
                <w:bCs/>
                <w:color w:val="auto"/>
                <w:highlight w:val="none"/>
                <w:lang w:val="en-US" w:eastAsia="zh-CN"/>
              </w:rPr>
              <w:t>大气</w:t>
            </w:r>
            <w:r>
              <w:rPr>
                <w:rFonts w:hint="default" w:ascii="Times New Roman" w:hAnsi="Times New Roman" w:cs="Times New Roman"/>
                <w:b/>
                <w:bCs/>
                <w:color w:val="auto"/>
                <w:highlight w:val="none"/>
              </w:rPr>
              <w:t>环境环境保护措施</w:t>
            </w:r>
          </w:p>
          <w:p>
            <w:pPr>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运营期环境空气影响主要为</w:t>
            </w:r>
            <w:r>
              <w:rPr>
                <w:rFonts w:hint="eastAsia" w:ascii="Times New Roman" w:hAnsi="Times New Roman" w:cs="Times New Roman"/>
                <w:color w:val="auto"/>
                <w:highlight w:val="none"/>
              </w:rPr>
              <w:t>食堂油烟废气</w:t>
            </w:r>
            <w:r>
              <w:rPr>
                <w:rFonts w:hint="eastAsia" w:cs="Times New Roman"/>
                <w:color w:val="auto"/>
                <w:highlight w:val="none"/>
                <w:lang w:eastAsia="zh-CN"/>
              </w:rPr>
              <w:t>、</w:t>
            </w:r>
            <w:r>
              <w:rPr>
                <w:rFonts w:hint="eastAsia"/>
                <w:b w:val="0"/>
                <w:bCs w:val="0"/>
                <w:u w:val="none"/>
                <w:lang w:val="en-US" w:eastAsia="zh-CN"/>
              </w:rPr>
              <w:t>变压器故障废气。</w:t>
            </w:r>
          </w:p>
          <w:p>
            <w:pPr>
              <w:spacing w:line="520" w:lineRule="exact"/>
              <w:ind w:firstLine="472" w:firstLineChars="200"/>
              <w:rPr>
                <w:sz w:val="24"/>
                <w:highlight w:val="none"/>
              </w:rPr>
            </w:pPr>
            <w:r>
              <w:rPr>
                <w:rFonts w:hint="eastAsia"/>
                <w:spacing w:val="-2"/>
                <w:sz w:val="24"/>
                <w:highlight w:val="none"/>
                <w:lang w:val="en-US" w:eastAsia="zh-CN"/>
              </w:rPr>
              <w:t>本项目</w:t>
            </w:r>
            <w:r>
              <w:rPr>
                <w:spacing w:val="-2"/>
                <w:sz w:val="24"/>
                <w:highlight w:val="none"/>
              </w:rPr>
              <w:t>拟建餐厅使用电和</w:t>
            </w:r>
            <w:r>
              <w:rPr>
                <w:rFonts w:hint="eastAsia"/>
                <w:spacing w:val="-2"/>
                <w:sz w:val="24"/>
                <w:highlight w:val="none"/>
              </w:rPr>
              <w:t>液化气</w:t>
            </w:r>
            <w:r>
              <w:rPr>
                <w:spacing w:val="-2"/>
                <w:sz w:val="24"/>
                <w:highlight w:val="none"/>
              </w:rPr>
              <w:t>等清洁能源，</w:t>
            </w:r>
            <w:r>
              <w:rPr>
                <w:rFonts w:hint="eastAsia"/>
                <w:spacing w:val="-2"/>
                <w:sz w:val="24"/>
                <w:highlight w:val="none"/>
                <w:lang w:val="en-US" w:eastAsia="zh-CN"/>
              </w:rPr>
              <w:t>并</w:t>
            </w:r>
            <w:r>
              <w:rPr>
                <w:rFonts w:hint="eastAsia" w:ascii="Times New Roman" w:hAnsi="Times New Roman" w:cs="Times New Roman"/>
                <w:color w:val="auto"/>
                <w:highlight w:val="none"/>
                <w:lang w:val="en-US" w:eastAsia="zh-CN"/>
              </w:rPr>
              <w:t>按</w:t>
            </w:r>
            <w:r>
              <w:rPr>
                <w:rFonts w:hint="default" w:ascii="Times New Roman" w:hAnsi="Times New Roman" w:cs="Times New Roman"/>
                <w:color w:val="auto"/>
                <w:highlight w:val="none"/>
              </w:rPr>
              <w:t>设计要求加装</w:t>
            </w:r>
            <w:r>
              <w:rPr>
                <w:rFonts w:hint="eastAsia" w:ascii="Times New Roman" w:hAnsi="Times New Roman" w:cs="Times New Roman"/>
                <w:color w:val="auto"/>
                <w:highlight w:val="none"/>
              </w:rPr>
              <w:t>烟气集气罩</w:t>
            </w:r>
            <w:r>
              <w:rPr>
                <w:rFonts w:hint="eastAsia" w:ascii="Times New Roman" w:hAnsi="Times New Roman" w:cs="Times New Roman"/>
                <w:color w:val="auto"/>
                <w:highlight w:val="none"/>
                <w:lang w:val="en-US" w:eastAsia="zh-CN"/>
              </w:rPr>
              <w:t>+</w:t>
            </w:r>
            <w:r>
              <w:rPr>
                <w:rFonts w:hint="default" w:ascii="Times New Roman" w:hAnsi="Times New Roman" w:cs="Times New Roman"/>
                <w:color w:val="auto"/>
                <w:highlight w:val="none"/>
              </w:rPr>
              <w:t>油烟净化器（处理效率：小型≥</w:t>
            </w:r>
            <w:r>
              <w:rPr>
                <w:rFonts w:hint="eastAsia" w:ascii="Times New Roman" w:hAnsi="Times New Roman" w:cs="Times New Roman"/>
                <w:color w:val="auto"/>
                <w:highlight w:val="none"/>
              </w:rPr>
              <w:t>9</w:t>
            </w:r>
            <w:r>
              <w:rPr>
                <w:rFonts w:hint="default" w:ascii="Times New Roman" w:hAnsi="Times New Roman" w:cs="Times New Roman"/>
                <w:color w:val="auto"/>
                <w:highlight w:val="none"/>
              </w:rPr>
              <w:t>0%），餐饮油烟经油烟净化系统处理</w:t>
            </w:r>
            <w:r>
              <w:rPr>
                <w:rFonts w:hint="eastAsia" w:ascii="Times New Roman" w:hAnsi="Times New Roman" w:cs="Times New Roman"/>
                <w:color w:val="auto"/>
                <w:highlight w:val="none"/>
              </w:rPr>
              <w:t>后</w:t>
            </w:r>
            <w:r>
              <w:rPr>
                <w:rFonts w:hint="default" w:ascii="Times New Roman" w:hAnsi="Times New Roman" w:cs="Times New Roman"/>
                <w:color w:val="auto"/>
                <w:highlight w:val="none"/>
              </w:rPr>
              <w:t>通过烟道</w:t>
            </w:r>
            <w:r>
              <w:rPr>
                <w:rFonts w:hint="eastAsia" w:ascii="Times New Roman" w:hAnsi="Times New Roman" w:cs="Times New Roman"/>
                <w:color w:val="auto"/>
                <w:highlight w:val="none"/>
              </w:rPr>
              <w:t>经房顶</w:t>
            </w:r>
            <w:r>
              <w:rPr>
                <w:rFonts w:hint="eastAsia" w:ascii="Times New Roman" w:hAnsi="Times New Roman" w:cs="Times New Roman"/>
                <w:color w:val="auto"/>
                <w:highlight w:val="none"/>
                <w:lang w:val="en-US" w:eastAsia="zh-CN"/>
              </w:rPr>
              <w:t>达标</w:t>
            </w:r>
            <w:r>
              <w:rPr>
                <w:rFonts w:hint="eastAsia" w:ascii="Times New Roman" w:hAnsi="Times New Roman" w:cs="Times New Roman"/>
                <w:color w:val="auto"/>
                <w:highlight w:val="none"/>
              </w:rPr>
              <w:t>排放。</w:t>
            </w:r>
            <w:r>
              <w:rPr>
                <w:sz w:val="24"/>
                <w:highlight w:val="none"/>
              </w:rPr>
              <w:t>采取以上治理措施后，项目食堂废气对外环境影响较小。</w:t>
            </w:r>
          </w:p>
          <w:p>
            <w:pPr>
              <w:autoSpaceDE w:val="0"/>
              <w:autoSpaceDN w:val="0"/>
              <w:adjustRightInd w:val="0"/>
              <w:spacing w:line="520" w:lineRule="exact"/>
              <w:ind w:firstLine="480" w:firstLineChars="200"/>
              <w:rPr>
                <w:rFonts w:hint="default"/>
                <w:b w:val="0"/>
                <w:bCs w:val="0"/>
                <w:u w:val="none"/>
                <w:lang w:val="en-US" w:eastAsia="zh-CN"/>
              </w:rPr>
            </w:pPr>
            <w:r>
              <w:rPr>
                <w:rFonts w:hint="eastAsia"/>
                <w:b w:val="0"/>
                <w:bCs w:val="0"/>
                <w:u w:val="none"/>
                <w:lang w:val="en-US" w:eastAsia="zh-CN"/>
              </w:rPr>
              <w:t>为提高配电系统的供电可靠性、减少项目运行过程中高压电弧产生频次，设计采用如下措施：</w:t>
            </w:r>
          </w:p>
          <w:p>
            <w:pPr>
              <w:autoSpaceDE w:val="0"/>
              <w:autoSpaceDN w:val="0"/>
              <w:adjustRightInd w:val="0"/>
              <w:spacing w:line="520" w:lineRule="exact"/>
              <w:ind w:firstLine="480" w:firstLineChars="200"/>
              <w:rPr>
                <w:rFonts w:hint="eastAsia"/>
                <w:b w:val="0"/>
                <w:bCs w:val="0"/>
                <w:u w:val="none"/>
                <w:lang w:val="en-US" w:eastAsia="zh-CN"/>
              </w:rPr>
            </w:pPr>
            <w:r>
              <w:rPr>
                <w:rFonts w:hint="eastAsia"/>
                <w:b w:val="0"/>
                <w:bCs w:val="0"/>
                <w:u w:val="none"/>
                <w:lang w:val="en-US" w:eastAsia="zh-CN"/>
              </w:rPr>
              <w:t>（1）设接地变压器。接地变压器的作用是为中性点不接地的系统提供一个人为的中性点，便于采用消弧线圈或小电阻的接地方式，以减小配电网发生接地短路故障时的对地电容电流大小，提高配电系统的供电可靠性。</w:t>
            </w:r>
          </w:p>
          <w:p>
            <w:pPr>
              <w:autoSpaceDE w:val="0"/>
              <w:autoSpaceDN w:val="0"/>
              <w:adjustRightInd w:val="0"/>
              <w:spacing w:line="520" w:lineRule="exact"/>
              <w:ind w:firstLine="480" w:firstLineChars="200"/>
              <w:rPr>
                <w:rFonts w:hint="eastAsia"/>
                <w:b w:val="0"/>
                <w:bCs w:val="0"/>
                <w:u w:val="none"/>
              </w:rPr>
            </w:pPr>
            <w:r>
              <w:rPr>
                <w:rFonts w:hint="eastAsia"/>
                <w:b w:val="0"/>
                <w:bCs w:val="0"/>
                <w:u w:val="none"/>
                <w:lang w:val="en-US" w:eastAsia="zh-CN"/>
              </w:rPr>
              <w:t>（2）采用六氟化硫断路器。六氟化硫</w:t>
            </w:r>
            <w:r>
              <w:rPr>
                <w:rFonts w:hint="default"/>
                <w:b w:val="0"/>
                <w:bCs w:val="0"/>
                <w:u w:val="none"/>
                <w:lang w:val="en-US" w:eastAsia="zh-CN"/>
              </w:rPr>
              <w:fldChar w:fldCharType="begin"/>
            </w:r>
            <w:r>
              <w:rPr>
                <w:rFonts w:hint="default"/>
                <w:b w:val="0"/>
                <w:bCs w:val="0"/>
                <w:u w:val="none"/>
                <w:lang w:val="en-US" w:eastAsia="zh-CN"/>
              </w:rPr>
              <w:instrText xml:space="preserve"> HYPERLINK "https://baike.baidu.com/item/%E6%96%AD%E8%B7%AF%E5%99%A8?fromModule=lemma_inlink" \t "https://baike.baidu.com/item/%E5%85%AD%E6%B0%9F%E5%8C%96%E7%A1%AB%E6%96%AD%E8%B7%AF%E5%99%A8/_blank" </w:instrText>
            </w:r>
            <w:r>
              <w:rPr>
                <w:rFonts w:hint="default"/>
                <w:b w:val="0"/>
                <w:bCs w:val="0"/>
                <w:u w:val="none"/>
                <w:lang w:val="en-US" w:eastAsia="zh-CN"/>
              </w:rPr>
              <w:fldChar w:fldCharType="separate"/>
            </w:r>
            <w:r>
              <w:rPr>
                <w:rFonts w:hint="default"/>
                <w:b w:val="0"/>
                <w:bCs w:val="0"/>
                <w:u w:val="none"/>
                <w:lang w:val="en-US" w:eastAsia="zh-CN"/>
              </w:rPr>
              <w:t>断路器</w:t>
            </w:r>
            <w:r>
              <w:rPr>
                <w:rFonts w:hint="default"/>
                <w:b w:val="0"/>
                <w:bCs w:val="0"/>
                <w:u w:val="none"/>
                <w:lang w:val="en-US" w:eastAsia="zh-CN"/>
              </w:rPr>
              <w:fldChar w:fldCharType="end"/>
            </w:r>
            <w:r>
              <w:rPr>
                <w:rFonts w:hint="default"/>
                <w:b w:val="0"/>
                <w:bCs w:val="0"/>
                <w:u w:val="none"/>
                <w:lang w:val="en-US" w:eastAsia="zh-CN"/>
              </w:rPr>
              <w:t>是利用</w:t>
            </w:r>
            <w:r>
              <w:rPr>
                <w:rFonts w:hint="eastAsia"/>
                <w:b w:val="0"/>
                <w:bCs w:val="0"/>
                <w:u w:val="none"/>
                <w:lang w:val="en-US" w:eastAsia="zh-CN"/>
              </w:rPr>
              <w:t>六氟化硫(SF</w:t>
            </w:r>
            <w:r>
              <w:rPr>
                <w:rFonts w:hint="eastAsia"/>
                <w:b w:val="0"/>
                <w:bCs w:val="0"/>
                <w:u w:val="none"/>
                <w:vertAlign w:val="subscript"/>
                <w:lang w:val="en-US" w:eastAsia="zh-CN"/>
              </w:rPr>
              <w:t>6</w:t>
            </w:r>
            <w:r>
              <w:rPr>
                <w:rFonts w:hint="eastAsia"/>
                <w:b w:val="0"/>
                <w:bCs w:val="0"/>
                <w:u w:val="none"/>
                <w:lang w:val="en-US" w:eastAsia="zh-CN"/>
              </w:rPr>
              <w:t>)</w:t>
            </w:r>
            <w:r>
              <w:rPr>
                <w:rFonts w:hint="default"/>
                <w:b w:val="0"/>
                <w:bCs w:val="0"/>
                <w:u w:val="none"/>
                <w:lang w:val="en-US" w:eastAsia="zh-CN"/>
              </w:rPr>
              <w:t>气体为绝缘介质和灭弧介质的无油化开关设备，其绝缘性能和灭弧特性都大大高于</w:t>
            </w:r>
            <w:r>
              <w:rPr>
                <w:rFonts w:hint="default"/>
                <w:b w:val="0"/>
                <w:bCs w:val="0"/>
                <w:u w:val="none"/>
                <w:lang w:val="en-US" w:eastAsia="zh-CN"/>
              </w:rPr>
              <w:fldChar w:fldCharType="begin"/>
            </w:r>
            <w:r>
              <w:rPr>
                <w:rFonts w:hint="default"/>
                <w:b w:val="0"/>
                <w:bCs w:val="0"/>
                <w:u w:val="none"/>
                <w:lang w:val="en-US" w:eastAsia="zh-CN"/>
              </w:rPr>
              <w:instrText xml:space="preserve"> HYPERLINK "https://baike.baidu.com/item/%E6%B2%B9%E6%96%AD%E8%B7%AF%E5%99%A8?fromModule=lemma_inlink" \t "https://baike.baidu.com/item/%E5%85%AD%E6%B0%9F%E5%8C%96%E7%A1%AB%E6%96%AD%E8%B7%AF%E5%99%A8/_blank" </w:instrText>
            </w:r>
            <w:r>
              <w:rPr>
                <w:rFonts w:hint="default"/>
                <w:b w:val="0"/>
                <w:bCs w:val="0"/>
                <w:u w:val="none"/>
                <w:lang w:val="en-US" w:eastAsia="zh-CN"/>
              </w:rPr>
              <w:fldChar w:fldCharType="separate"/>
            </w:r>
            <w:r>
              <w:rPr>
                <w:rFonts w:hint="default"/>
                <w:b w:val="0"/>
                <w:bCs w:val="0"/>
                <w:u w:val="none"/>
                <w:lang w:val="en-US" w:eastAsia="zh-CN"/>
              </w:rPr>
              <w:t>油断路器</w:t>
            </w:r>
            <w:r>
              <w:rPr>
                <w:rFonts w:hint="default"/>
                <w:b w:val="0"/>
                <w:bCs w:val="0"/>
                <w:u w:val="none"/>
                <w:lang w:val="en-US" w:eastAsia="zh-CN"/>
              </w:rPr>
              <w:fldChar w:fldCharType="end"/>
            </w:r>
            <w:r>
              <w:rPr>
                <w:rFonts w:hint="default"/>
                <w:b w:val="0"/>
                <w:bCs w:val="0"/>
                <w:u w:val="none"/>
                <w:lang w:val="en-US" w:eastAsia="zh-CN"/>
              </w:rPr>
              <w:t>，由于其价格较高，且对SF</w:t>
            </w:r>
            <w:r>
              <w:rPr>
                <w:rFonts w:hint="default"/>
                <w:b w:val="0"/>
                <w:bCs w:val="0"/>
                <w:u w:val="none"/>
                <w:vertAlign w:val="subscript"/>
                <w:lang w:val="en-US" w:eastAsia="zh-CN"/>
              </w:rPr>
              <w:t>6</w:t>
            </w:r>
            <w:r>
              <w:rPr>
                <w:rFonts w:hint="default"/>
                <w:b w:val="0"/>
                <w:bCs w:val="0"/>
                <w:u w:val="none"/>
                <w:lang w:val="en-US" w:eastAsia="zh-CN"/>
              </w:rPr>
              <w:t>气体的应用、管理、运行都有较高要求，故在中压（35、10kV）应用还不够广，主要应用于110kV以上的电压等级。</w:t>
            </w:r>
            <w:r>
              <w:rPr>
                <w:rFonts w:hint="eastAsia"/>
                <w:b w:val="0"/>
                <w:bCs w:val="0"/>
                <w:u w:val="none"/>
                <w:lang w:val="en-US" w:eastAsia="zh-CN"/>
              </w:rPr>
              <w:t>SF</w:t>
            </w:r>
            <w:r>
              <w:rPr>
                <w:rFonts w:hint="eastAsia"/>
                <w:b w:val="0"/>
                <w:bCs w:val="0"/>
                <w:u w:val="none"/>
                <w:vertAlign w:val="subscript"/>
                <w:lang w:val="en-US" w:eastAsia="zh-CN"/>
              </w:rPr>
              <w:t>6</w:t>
            </w:r>
            <w:r>
              <w:rPr>
                <w:rFonts w:hint="eastAsia"/>
                <w:b w:val="0"/>
                <w:bCs w:val="0"/>
                <w:u w:val="none"/>
                <w:lang w:val="en-US" w:eastAsia="zh-CN"/>
              </w:rPr>
              <w:t>是一种无色、无味、无毒、不可燃的</w:t>
            </w:r>
            <w:r>
              <w:rPr>
                <w:rFonts w:hint="default"/>
                <w:b w:val="0"/>
                <w:bCs w:val="0"/>
                <w:u w:val="none"/>
                <w:lang w:val="en-US" w:eastAsia="zh-CN"/>
              </w:rPr>
              <w:fldChar w:fldCharType="begin"/>
            </w:r>
            <w:r>
              <w:rPr>
                <w:rFonts w:hint="default"/>
                <w:b w:val="0"/>
                <w:bCs w:val="0"/>
                <w:u w:val="none"/>
                <w:lang w:val="en-US" w:eastAsia="zh-CN"/>
              </w:rPr>
              <w:instrText xml:space="preserve"> HYPERLINK "https://baike.baidu.com/item/%E6%83%B0%E6%80%A7%E6%B0%94%E4%BD%93/1836373?fromModule=lemma_inlink" \t "https://baike.baidu.com/item/%E5%85%AD%E6%B0%9F%E5%8C%96%E7%A1%AB%E6%96%AD%E8%B7%AF%E5%99%A8/_blank" </w:instrText>
            </w:r>
            <w:r>
              <w:rPr>
                <w:rFonts w:hint="default"/>
                <w:b w:val="0"/>
                <w:bCs w:val="0"/>
                <w:u w:val="none"/>
                <w:lang w:val="en-US" w:eastAsia="zh-CN"/>
              </w:rPr>
              <w:fldChar w:fldCharType="separate"/>
            </w:r>
            <w:r>
              <w:rPr>
                <w:rFonts w:hint="default"/>
                <w:b w:val="0"/>
                <w:bCs w:val="0"/>
                <w:u w:val="none"/>
                <w:lang w:val="en-US" w:eastAsia="zh-CN"/>
              </w:rPr>
              <w:t>惰性气体</w:t>
            </w:r>
            <w:r>
              <w:rPr>
                <w:rFonts w:hint="default"/>
                <w:b w:val="0"/>
                <w:bCs w:val="0"/>
                <w:u w:val="none"/>
                <w:lang w:val="en-US" w:eastAsia="zh-CN"/>
              </w:rPr>
              <w:fldChar w:fldCharType="end"/>
            </w:r>
            <w:r>
              <w:rPr>
                <w:rFonts w:hint="default"/>
                <w:b w:val="0"/>
                <w:bCs w:val="0"/>
                <w:u w:val="none"/>
                <w:lang w:val="en-US" w:eastAsia="zh-CN"/>
              </w:rPr>
              <w:t>，并有优异的冷却电弧特性，特别是在开关设备有电弧高温的作用下产生较高的冷却效应，避免局部高温的可能性。SF</w:t>
            </w:r>
            <w:r>
              <w:rPr>
                <w:rFonts w:hint="default"/>
                <w:b w:val="0"/>
                <w:bCs w:val="0"/>
                <w:u w:val="none"/>
                <w:vertAlign w:val="subscript"/>
                <w:lang w:val="en-US" w:eastAsia="zh-CN"/>
              </w:rPr>
              <w:t>6</w:t>
            </w:r>
            <w:r>
              <w:rPr>
                <w:rFonts w:hint="default"/>
                <w:b w:val="0"/>
                <w:bCs w:val="0"/>
                <w:u w:val="none"/>
                <w:lang w:val="en-US" w:eastAsia="zh-CN"/>
              </w:rPr>
              <w:t>的绝缘性能远远超过传统的油、空气绝缘介质。其用于电气设备中，可以缩小设备的尺寸，提高设备绝缘的可靠性。</w:t>
            </w:r>
          </w:p>
          <w:p>
            <w:pPr>
              <w:autoSpaceDE w:val="0"/>
              <w:autoSpaceDN w:val="0"/>
              <w:adjustRightInd w:val="0"/>
              <w:spacing w:line="520" w:lineRule="exact"/>
              <w:ind w:firstLine="480" w:firstLineChars="200"/>
              <w:rPr>
                <w:b w:val="0"/>
                <w:bCs w:val="0"/>
                <w:u w:val="none"/>
              </w:rPr>
            </w:pPr>
            <w:r>
              <w:rPr>
                <w:rFonts w:hint="eastAsia"/>
                <w:b w:val="0"/>
                <w:bCs w:val="0"/>
                <w:u w:val="none"/>
              </w:rPr>
              <w:t>在变压器安装、使用过程中，</w:t>
            </w:r>
            <w:r>
              <w:rPr>
                <w:rFonts w:hint="eastAsia"/>
                <w:b w:val="0"/>
                <w:bCs w:val="0"/>
                <w:u w:val="none"/>
                <w:lang w:val="en-US" w:eastAsia="zh-CN"/>
              </w:rPr>
              <w:t>建设单位应</w:t>
            </w:r>
            <w:r>
              <w:rPr>
                <w:rFonts w:hint="eastAsia"/>
                <w:b w:val="0"/>
                <w:bCs w:val="0"/>
                <w:u w:val="none"/>
              </w:rPr>
              <w:t>时刻关注变压器内部运行状态，如果发现疑似故障需要及时做好检查工作，避免</w:t>
            </w:r>
            <w:r>
              <w:rPr>
                <w:rFonts w:hint="eastAsia"/>
                <w:b w:val="0"/>
                <w:bCs w:val="0"/>
                <w:u w:val="none"/>
                <w:lang w:val="en-US" w:eastAsia="zh-CN"/>
              </w:rPr>
              <w:t>较大事故产生，减少故障废气排放。</w:t>
            </w:r>
          </w:p>
          <w:p>
            <w:pPr>
              <w:ind w:firstLine="0" w:firstLineChars="0"/>
              <w:rPr>
                <w:rFonts w:hint="default" w:ascii="Times New Roman" w:hAnsi="Times New Roman" w:cs="Times New Roman"/>
                <w:b/>
                <w:bCs/>
                <w:color w:val="auto"/>
              </w:rPr>
            </w:pPr>
            <w:r>
              <w:rPr>
                <w:rFonts w:hint="default" w:ascii="Times New Roman" w:hAnsi="Times New Roman" w:cs="Times New Roman"/>
                <w:b/>
                <w:bCs/>
                <w:color w:val="auto"/>
              </w:rPr>
              <w:t>4、运营期水环境环境保护措施</w:t>
            </w:r>
          </w:p>
          <w:p>
            <w:pPr>
              <w:ind w:firstLine="480"/>
              <w:rPr>
                <w:rFonts w:hint="default" w:ascii="Times New Roman" w:hAnsi="Times New Roman" w:cs="Times New Roman"/>
                <w:color w:val="auto"/>
              </w:rPr>
            </w:pPr>
            <w:r>
              <w:rPr>
                <w:rFonts w:hint="default" w:ascii="Times New Roman" w:hAnsi="Times New Roman" w:cs="Times New Roman"/>
                <w:color w:val="auto"/>
              </w:rPr>
              <w:t>本项目升压站</w:t>
            </w:r>
            <w:r>
              <w:rPr>
                <w:rFonts w:hint="default" w:ascii="Times New Roman" w:hAnsi="Times New Roman" w:cs="Times New Roman"/>
                <w:color w:val="auto"/>
                <w:lang w:val="en-US" w:eastAsia="zh-CN"/>
              </w:rPr>
              <w:t>运营期会有人员生活污水，</w:t>
            </w:r>
            <w:r>
              <w:rPr>
                <w:rFonts w:hint="default" w:ascii="Times New Roman" w:hAnsi="Times New Roman" w:cs="Times New Roman"/>
                <w:color w:val="auto"/>
              </w:rPr>
              <w:t>食堂废水经隔油池处理后，同其他生活污水混合后通过站区内的地埋式一体化生活污水处理装置处理达标后用于绿化和道路洒水，不外排。</w:t>
            </w:r>
          </w:p>
          <w:p>
            <w:pPr>
              <w:ind w:firstLine="480"/>
              <w:rPr>
                <w:rFonts w:hint="default" w:ascii="Times New Roman" w:hAnsi="Times New Roman" w:cs="Times New Roman"/>
                <w:color w:val="auto"/>
              </w:rPr>
            </w:pPr>
            <w:r>
              <w:rPr>
                <w:rFonts w:hint="default" w:ascii="Times New Roman" w:hAnsi="Times New Roman" w:cs="Times New Roman"/>
                <w:color w:val="auto"/>
                <w:lang w:val="en-US" w:eastAsia="zh-CN"/>
              </w:rPr>
              <w:t>一体化污水处理设备主要包含曝气机、污水泵、污泥泵三个单元，具体处理工艺见下图所示。化粪池占地15m</w:t>
            </w:r>
            <w:r>
              <w:rPr>
                <w:rFonts w:hint="default" w:ascii="Times New Roman" w:hAnsi="Times New Roman" w:cs="Times New Roman"/>
                <w:color w:val="auto"/>
                <w:vertAlign w:val="superscript"/>
                <w:lang w:val="en-US" w:eastAsia="zh-CN"/>
              </w:rPr>
              <w:t>2</w:t>
            </w:r>
            <w:r>
              <w:rPr>
                <w:rFonts w:hint="default" w:ascii="Times New Roman" w:hAnsi="Times New Roman" w:cs="Times New Roman"/>
                <w:color w:val="auto"/>
                <w:lang w:val="en-US" w:eastAsia="zh-CN"/>
              </w:rPr>
              <w:t>，污水处理设备处理能力为0.4m</w:t>
            </w:r>
            <w:r>
              <w:rPr>
                <w:rFonts w:hint="default" w:ascii="Times New Roman" w:hAnsi="Times New Roman" w:cs="Times New Roman"/>
                <w:color w:val="auto"/>
                <w:vertAlign w:val="superscript"/>
                <w:lang w:val="en-US" w:eastAsia="zh-CN"/>
              </w:rPr>
              <w:t>3</w:t>
            </w:r>
            <w:r>
              <w:rPr>
                <w:rFonts w:hint="default" w:ascii="Times New Roman" w:hAnsi="Times New Roman" w:cs="Times New Roman"/>
                <w:color w:val="auto"/>
                <w:lang w:val="en-US" w:eastAsia="zh-CN"/>
              </w:rPr>
              <w:t>/h，满足本升压站需求，污泥排泥周期24小时，生活污水排水管排至厂区化粪池和污水处理设备处理后达到</w:t>
            </w:r>
            <w:r>
              <w:rPr>
                <w:rFonts w:hint="eastAsia"/>
                <w:szCs w:val="24"/>
              </w:rPr>
              <w:t>《城市污水再生利用城市杂用水水质》（GB/T18920-2020）</w:t>
            </w:r>
            <w:r>
              <w:rPr>
                <w:rFonts w:hint="default" w:ascii="Times New Roman" w:hAnsi="Times New Roman" w:cs="Times New Roman"/>
                <w:color w:val="auto"/>
                <w:highlight w:val="none"/>
                <w:lang w:val="en-US" w:eastAsia="zh-CN"/>
              </w:rPr>
              <w:t>要求，</w:t>
            </w:r>
            <w:r>
              <w:rPr>
                <w:rFonts w:hint="default" w:ascii="Times New Roman" w:hAnsi="Times New Roman" w:cs="Times New Roman"/>
                <w:color w:val="auto"/>
                <w:lang w:val="en-US" w:eastAsia="zh-CN"/>
              </w:rPr>
              <w:t>用于站内绿化和道路</w:t>
            </w:r>
            <w:r>
              <w:rPr>
                <w:rFonts w:hint="eastAsia" w:cs="Times New Roman"/>
                <w:color w:val="auto"/>
                <w:lang w:val="en-US" w:eastAsia="zh-CN"/>
              </w:rPr>
              <w:t>洒水</w:t>
            </w:r>
            <w:r>
              <w:rPr>
                <w:rFonts w:hint="default" w:ascii="Times New Roman" w:hAnsi="Times New Roman" w:cs="Times New Roman"/>
                <w:color w:val="auto"/>
                <w:lang w:val="en-US" w:eastAsia="zh-CN"/>
              </w:rPr>
              <w:t>。</w:t>
            </w:r>
          </w:p>
          <w:p>
            <w:pPr>
              <w:ind w:firstLine="480"/>
              <w:rPr>
                <w:rFonts w:hint="default" w:ascii="Times New Roman" w:hAnsi="Times New Roman" w:cs="Times New Roman"/>
                <w:color w:val="auto"/>
                <w:lang w:val="en-US" w:eastAsia="zh-CN"/>
              </w:rPr>
            </w:pPr>
            <w:r>
              <w:rPr>
                <w:rFonts w:hint="default" w:ascii="Times New Roman" w:hAnsi="Times New Roman" w:cs="Times New Roman"/>
                <w:color w:val="auto"/>
                <w:lang w:val="en-US" w:eastAsia="zh-CN"/>
              </w:rPr>
              <w:t>地埋式生活污水处理装置工艺流程图</w:t>
            </w:r>
            <w:r>
              <w:rPr>
                <w:rFonts w:hint="eastAsia" w:ascii="Times New Roman" w:hAnsi="Times New Roman" w:cs="Times New Roman"/>
                <w:color w:val="auto"/>
                <w:lang w:val="en-US" w:eastAsia="zh-CN"/>
              </w:rPr>
              <w:t>见图5-1。</w:t>
            </w:r>
          </w:p>
          <w:p>
            <w:pPr>
              <w:pStyle w:val="34"/>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top"/>
              <w:rPr>
                <w:rFonts w:hint="default" w:ascii="Times New Roman" w:hAnsi="Times New Roman" w:cs="Times New Roman" w:eastAsiaTheme="minorEastAsia"/>
                <w:color w:val="auto"/>
                <w:lang w:eastAsia="zh-CN"/>
              </w:rPr>
            </w:pPr>
            <w:r>
              <w:rPr>
                <w:rFonts w:hint="default" w:ascii="Times New Roman" w:hAnsi="Times New Roman" w:cs="Times New Roman" w:eastAsiaTheme="minorEastAsia"/>
                <w:color w:val="auto"/>
                <w:lang w:eastAsia="zh-CN"/>
              </w:rPr>
              <w:drawing>
                <wp:inline distT="0" distB="0" distL="114300" distR="114300">
                  <wp:extent cx="3804920" cy="2100580"/>
                  <wp:effectExtent l="0" t="0" r="5080" b="13970"/>
                  <wp:docPr id="6" name="图片 6" descr="微信图片_202206131034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微信图片_20220613103413"/>
                          <pic:cNvPicPr>
                            <a:picLocks noChangeAspect="1"/>
                          </pic:cNvPicPr>
                        </pic:nvPicPr>
                        <pic:blipFill>
                          <a:blip r:embed="rId29">
                            <a:clrChange>
                              <a:clrFrom>
                                <a:srgbClr val="F9F9F9">
                                  <a:alpha val="100000"/>
                                </a:srgbClr>
                              </a:clrFrom>
                              <a:clrTo>
                                <a:srgbClr val="F9F9F9">
                                  <a:alpha val="100000"/>
                                  <a:alpha val="0"/>
                                </a:srgbClr>
                              </a:clrTo>
                            </a:clrChange>
                            <a:lum bright="6000" contrast="12000"/>
                          </a:blip>
                          <a:stretch>
                            <a:fillRect/>
                          </a:stretch>
                        </pic:blipFill>
                        <pic:spPr>
                          <a:xfrm>
                            <a:off x="0" y="0"/>
                            <a:ext cx="3804920" cy="2100580"/>
                          </a:xfrm>
                          <a:prstGeom prst="rect">
                            <a:avLst/>
                          </a:prstGeom>
                        </pic:spPr>
                      </pic:pic>
                    </a:graphicData>
                  </a:graphic>
                </wp:inline>
              </w:drawing>
            </w:r>
          </w:p>
          <w:p>
            <w:pPr>
              <w:ind w:firstLine="480"/>
              <w:jc w:val="center"/>
              <w:rPr>
                <w:rFonts w:hint="default" w:ascii="Times New Roman" w:hAnsi="Times New Roman" w:cs="Times New Roman"/>
                <w:b/>
                <w:bCs/>
                <w:color w:val="auto"/>
              </w:rPr>
            </w:pPr>
            <w:r>
              <w:rPr>
                <w:rFonts w:hint="default" w:ascii="Times New Roman" w:hAnsi="Times New Roman" w:cs="Times New Roman"/>
                <w:b/>
                <w:bCs/>
                <w:color w:val="auto"/>
                <w:lang w:val="en-US" w:eastAsia="zh-CN"/>
              </w:rPr>
              <w:t>图</w:t>
            </w:r>
            <w:r>
              <w:rPr>
                <w:rFonts w:hint="eastAsia" w:ascii="Times New Roman" w:hAnsi="Times New Roman" w:cs="Times New Roman"/>
                <w:b/>
                <w:bCs/>
                <w:color w:val="auto"/>
                <w:lang w:val="en-US" w:eastAsia="zh-CN"/>
              </w:rPr>
              <w:t>5-1</w:t>
            </w:r>
            <w:r>
              <w:rPr>
                <w:rFonts w:hint="default" w:ascii="Times New Roman" w:hAnsi="Times New Roman" w:cs="Times New Roman"/>
                <w:b/>
                <w:bCs/>
                <w:color w:val="auto"/>
                <w:lang w:val="en-US" w:eastAsia="zh-CN"/>
              </w:rPr>
              <w:t xml:space="preserve">  地埋式生活污水处理装置工艺流程图</w:t>
            </w:r>
          </w:p>
          <w:p>
            <w:pPr>
              <w:ind w:firstLine="0" w:firstLineChars="0"/>
              <w:rPr>
                <w:rFonts w:hint="default" w:ascii="Times New Roman" w:hAnsi="Times New Roman" w:cs="Times New Roman"/>
                <w:b/>
                <w:bCs/>
                <w:color w:val="auto"/>
              </w:rPr>
            </w:pPr>
            <w:r>
              <w:rPr>
                <w:rFonts w:hint="eastAsia" w:ascii="Times New Roman" w:hAnsi="Times New Roman" w:cs="Times New Roman"/>
                <w:b/>
                <w:bCs/>
                <w:color w:val="auto"/>
                <w:lang w:val="en-US" w:eastAsia="zh-CN"/>
              </w:rPr>
              <w:t>5</w:t>
            </w:r>
            <w:r>
              <w:rPr>
                <w:rFonts w:hint="default" w:ascii="Times New Roman" w:hAnsi="Times New Roman" w:cs="Times New Roman"/>
                <w:b/>
                <w:bCs/>
                <w:color w:val="auto"/>
              </w:rPr>
              <w:t>、运营期声环境保护措施</w:t>
            </w:r>
          </w:p>
          <w:p>
            <w:pPr>
              <w:ind w:firstLine="480"/>
              <w:rPr>
                <w:rFonts w:hint="default" w:ascii="Times New Roman" w:hAnsi="Times New Roman" w:cs="Times New Roman"/>
                <w:color w:val="auto"/>
              </w:rPr>
            </w:pPr>
            <w:r>
              <w:rPr>
                <w:rFonts w:hint="default" w:ascii="Times New Roman" w:hAnsi="Times New Roman" w:cs="Times New Roman"/>
                <w:color w:val="auto"/>
              </w:rPr>
              <w:t>（1）</w:t>
            </w:r>
            <w:r>
              <w:rPr>
                <w:rFonts w:hint="eastAsia" w:ascii="Times New Roman" w:hAnsi="Times New Roman" w:cs="Times New Roman"/>
                <w:color w:val="auto"/>
                <w:lang w:val="en-US" w:eastAsia="zh-CN"/>
              </w:rPr>
              <w:t>运营期噪声主要为主变运行时产生的噪声。加强设备的日常维修保养，避免高噪声设备在非正常状态下运转</w:t>
            </w:r>
            <w:r>
              <w:rPr>
                <w:rFonts w:hint="eastAsia" w:cs="Times New Roman"/>
                <w:color w:val="auto"/>
                <w:lang w:val="en-US" w:eastAsia="zh-CN"/>
              </w:rPr>
              <w:t>。</w:t>
            </w:r>
          </w:p>
          <w:p>
            <w:pPr>
              <w:ind w:firstLine="480"/>
              <w:rPr>
                <w:rFonts w:hint="default" w:ascii="Times New Roman" w:hAnsi="Times New Roman" w:cs="Times New Roman"/>
                <w:color w:val="auto"/>
              </w:rPr>
            </w:pPr>
            <w:r>
              <w:rPr>
                <w:rFonts w:hint="default" w:ascii="Times New Roman" w:hAnsi="Times New Roman" w:cs="Times New Roman"/>
                <w:color w:val="auto"/>
              </w:rPr>
              <w:t>（</w:t>
            </w:r>
            <w:r>
              <w:rPr>
                <w:rFonts w:hint="eastAsia" w:cs="Times New Roman"/>
                <w:color w:val="auto"/>
                <w:lang w:val="en-US" w:eastAsia="zh-CN"/>
              </w:rPr>
              <w:t>2</w:t>
            </w:r>
            <w:r>
              <w:rPr>
                <w:rFonts w:hint="default" w:ascii="Times New Roman" w:hAnsi="Times New Roman" w:cs="Times New Roman"/>
                <w:color w:val="auto"/>
              </w:rPr>
              <w:t>）定期开展环境监测，确保升压站厂界噪声符合《工业企业厂界环境噪声排放标准》（GB 12348-2008）中相应类别标准限值要求，并及时解决公众合理的环境保护诉求。</w:t>
            </w:r>
          </w:p>
          <w:p>
            <w:pPr>
              <w:ind w:firstLine="480"/>
              <w:rPr>
                <w:rFonts w:hint="default" w:ascii="Times New Roman" w:hAnsi="Times New Roman" w:cs="Times New Roman"/>
                <w:color w:val="auto"/>
              </w:rPr>
            </w:pPr>
            <w:r>
              <w:rPr>
                <w:rFonts w:hint="default" w:ascii="Times New Roman" w:hAnsi="Times New Roman" w:cs="Times New Roman"/>
                <w:color w:val="auto"/>
              </w:rPr>
              <w:t>（</w:t>
            </w:r>
            <w:r>
              <w:rPr>
                <w:rFonts w:hint="eastAsia" w:cs="Times New Roman"/>
                <w:color w:val="auto"/>
                <w:lang w:val="en-US" w:eastAsia="zh-CN"/>
              </w:rPr>
              <w:t>3</w:t>
            </w:r>
            <w:r>
              <w:rPr>
                <w:rFonts w:hint="default" w:ascii="Times New Roman" w:hAnsi="Times New Roman" w:cs="Times New Roman"/>
                <w:color w:val="auto"/>
              </w:rPr>
              <w:t>）主要声源设备大修前后，应对升压站厂界排放噪声进行监测，监测结果向社会公开。</w:t>
            </w:r>
          </w:p>
          <w:p>
            <w:pPr>
              <w:ind w:firstLine="0" w:firstLineChars="0"/>
              <w:rPr>
                <w:rFonts w:hint="default" w:ascii="Times New Roman" w:hAnsi="Times New Roman" w:cs="Times New Roman"/>
                <w:b/>
                <w:bCs/>
                <w:color w:val="auto"/>
              </w:rPr>
            </w:pPr>
            <w:r>
              <w:rPr>
                <w:rFonts w:hint="eastAsia" w:cs="Times New Roman"/>
                <w:b/>
                <w:bCs/>
                <w:color w:val="auto"/>
                <w:lang w:val="en-US" w:eastAsia="zh-CN"/>
              </w:rPr>
              <w:t>6</w:t>
            </w:r>
            <w:r>
              <w:rPr>
                <w:rFonts w:hint="default" w:ascii="Times New Roman" w:hAnsi="Times New Roman" w:cs="Times New Roman"/>
                <w:b/>
                <w:bCs/>
                <w:color w:val="auto"/>
              </w:rPr>
              <w:t>、运营期固体废物污染防治保护措施</w:t>
            </w:r>
          </w:p>
          <w:p>
            <w:pPr>
              <w:ind w:firstLine="480"/>
              <w:rPr>
                <w:rFonts w:hint="default" w:ascii="Times New Roman" w:hAnsi="Times New Roman" w:cs="Times New Roman"/>
                <w:color w:val="auto"/>
              </w:rPr>
            </w:pPr>
            <w:r>
              <w:rPr>
                <w:rFonts w:hint="default" w:ascii="Times New Roman" w:hAnsi="Times New Roman" w:cs="Times New Roman"/>
                <w:color w:val="auto"/>
              </w:rPr>
              <w:t>（1）检修人员产生的生活垃圾经分类收集后转运至当地的垃圾收集点交由环卫部门妥善处置。</w:t>
            </w:r>
          </w:p>
          <w:p>
            <w:pPr>
              <w:ind w:firstLine="480"/>
              <w:rPr>
                <w:rFonts w:hint="default" w:ascii="Times New Roman" w:hAnsi="Times New Roman" w:cs="Times New Roman" w:eastAsiaTheme="minorEastAsia"/>
                <w:color w:val="auto"/>
                <w:lang w:val="en-US" w:eastAsia="zh-CN"/>
              </w:rPr>
            </w:pPr>
            <w:r>
              <w:rPr>
                <w:rFonts w:hint="default" w:ascii="Times New Roman" w:hAnsi="Times New Roman" w:cs="Times New Roman"/>
                <w:color w:val="auto"/>
              </w:rPr>
              <w:t>（2）</w:t>
            </w:r>
            <w:r>
              <w:rPr>
                <w:rFonts w:hint="eastAsia" w:cs="Times New Roman"/>
                <w:color w:val="auto"/>
                <w:lang w:val="en-US" w:eastAsia="zh-CN"/>
              </w:rPr>
              <w:t>到期更换的废磷酸铁锂电池直接由厂家回收，不在站内储存。</w:t>
            </w:r>
          </w:p>
          <w:p>
            <w:pPr>
              <w:ind w:firstLine="480"/>
              <w:rPr>
                <w:rFonts w:hint="default" w:ascii="Times New Roman" w:hAnsi="Times New Roman" w:cs="Times New Roman"/>
                <w:color w:val="auto"/>
              </w:rPr>
            </w:pPr>
            <w:r>
              <w:rPr>
                <w:rFonts w:hint="eastAsia" w:cs="Times New Roman"/>
                <w:color w:val="auto"/>
                <w:lang w:eastAsia="zh-CN"/>
              </w:rPr>
              <w:t>（</w:t>
            </w:r>
            <w:r>
              <w:rPr>
                <w:rFonts w:hint="eastAsia" w:cs="Times New Roman"/>
                <w:color w:val="auto"/>
                <w:lang w:val="en-US" w:eastAsia="zh-CN"/>
              </w:rPr>
              <w:t>3</w:t>
            </w:r>
            <w:r>
              <w:rPr>
                <w:rFonts w:hint="eastAsia" w:cs="Times New Roman"/>
                <w:color w:val="auto"/>
                <w:lang w:eastAsia="zh-CN"/>
              </w:rPr>
              <w:t>）</w:t>
            </w:r>
            <w:r>
              <w:rPr>
                <w:rFonts w:hint="default" w:ascii="Times New Roman" w:hAnsi="Times New Roman" w:cs="Times New Roman"/>
                <w:color w:val="auto"/>
              </w:rPr>
              <w:t>对产生的废铅蓄电池装入托盘后，及时转移至站内危废暂存间贮存，并按照要求粘贴标签，定期交有资质单位处理。</w:t>
            </w:r>
          </w:p>
          <w:p>
            <w:pPr>
              <w:ind w:firstLine="480"/>
              <w:rPr>
                <w:rFonts w:hint="default" w:ascii="Times New Roman" w:hAnsi="Times New Roman" w:cs="Times New Roman"/>
                <w:color w:val="auto"/>
              </w:rPr>
            </w:pPr>
            <w:r>
              <w:rPr>
                <w:rFonts w:hint="default" w:ascii="Times New Roman" w:hAnsi="Times New Roman" w:cs="Times New Roman"/>
                <w:color w:val="auto"/>
              </w:rPr>
              <w:t>（</w:t>
            </w:r>
            <w:r>
              <w:rPr>
                <w:rFonts w:hint="eastAsia" w:cs="Times New Roman"/>
                <w:color w:val="auto"/>
                <w:lang w:val="en-US" w:eastAsia="zh-CN"/>
              </w:rPr>
              <w:t>4</w:t>
            </w:r>
            <w:r>
              <w:rPr>
                <w:rFonts w:hint="default" w:ascii="Times New Roman" w:hAnsi="Times New Roman" w:cs="Times New Roman"/>
                <w:color w:val="auto"/>
              </w:rPr>
              <w:t>）根据变压器维修计划，及时准备废油收集方案，如废油量产生量较小，则采用油桶收集后及时转移至站内危废暂存间贮存并按照要求粘贴标签，定期交有资质单位处理；如发生事故或大修产生废油较多，应事先联系危废处置单位，待维修结束或事故结束，及时转运至有资质单位处理。</w:t>
            </w:r>
          </w:p>
          <w:p>
            <w:pPr>
              <w:ind w:firstLine="480"/>
              <w:rPr>
                <w:rFonts w:hint="default" w:ascii="Times New Roman" w:hAnsi="Times New Roman" w:cs="Times New Roman"/>
                <w:color w:val="auto"/>
              </w:rPr>
            </w:pPr>
            <w:r>
              <w:rPr>
                <w:rFonts w:hint="default" w:ascii="Times New Roman" w:hAnsi="Times New Roman" w:cs="Times New Roman"/>
                <w:color w:val="auto"/>
              </w:rPr>
              <w:t>（</w:t>
            </w:r>
            <w:r>
              <w:rPr>
                <w:rFonts w:hint="eastAsia" w:cs="Times New Roman"/>
                <w:color w:val="auto"/>
                <w:lang w:val="en-US" w:eastAsia="zh-CN"/>
              </w:rPr>
              <w:t>5</w:t>
            </w:r>
            <w:r>
              <w:rPr>
                <w:rFonts w:hint="default" w:ascii="Times New Roman" w:hAnsi="Times New Roman" w:cs="Times New Roman"/>
                <w:color w:val="auto"/>
              </w:rPr>
              <w:t>）加强环保宣传教育工作，强化各项环境管理工作，按照国家规定申报登记危险废物产生情况，自觉接受环保主管部门对公司环保工作的监督指导。</w:t>
            </w:r>
          </w:p>
          <w:p>
            <w:pPr>
              <w:ind w:firstLine="0" w:firstLineChars="0"/>
              <w:rPr>
                <w:rFonts w:hint="default" w:ascii="Times New Roman" w:hAnsi="Times New Roman" w:cs="Times New Roman"/>
                <w:b/>
                <w:bCs/>
                <w:color w:val="auto"/>
              </w:rPr>
            </w:pPr>
            <w:r>
              <w:rPr>
                <w:rFonts w:hint="eastAsia" w:cs="Times New Roman"/>
                <w:b/>
                <w:bCs/>
                <w:color w:val="auto"/>
                <w:lang w:val="en-US" w:eastAsia="zh-CN"/>
              </w:rPr>
              <w:t>7</w:t>
            </w:r>
            <w:r>
              <w:rPr>
                <w:rFonts w:hint="default" w:ascii="Times New Roman" w:hAnsi="Times New Roman" w:cs="Times New Roman"/>
                <w:b/>
                <w:bCs/>
                <w:color w:val="auto"/>
              </w:rPr>
              <w:t>、环境风险管理措施</w:t>
            </w:r>
          </w:p>
          <w:p>
            <w:pPr>
              <w:ind w:firstLine="480"/>
              <w:rPr>
                <w:rFonts w:hint="eastAsia" w:ascii="Times New Roman" w:hAnsi="Times New Roman" w:cs="Times New Roman" w:eastAsiaTheme="minorEastAsia"/>
                <w:color w:val="auto"/>
                <w:lang w:val="en-US" w:eastAsia="zh-CN"/>
              </w:rPr>
            </w:pPr>
            <w:r>
              <w:rPr>
                <w:rFonts w:hint="eastAsia" w:cs="Times New Roman"/>
                <w:color w:val="auto"/>
                <w:lang w:eastAsia="zh-CN"/>
              </w:rPr>
              <w:t>运营期</w:t>
            </w:r>
            <w:r>
              <w:rPr>
                <w:rFonts w:hint="default" w:ascii="Times New Roman" w:hAnsi="Times New Roman" w:cs="Times New Roman"/>
                <w:color w:val="auto"/>
              </w:rPr>
              <w:t>应对事故油池的完好情况进行检查，确保无渗漏、无溢流。针对升压站站内可能发生的突发环境事件，应按照《建设项目环境风险评价技术导则》（HJ 169-2018）等国家有关规定制定突发环境事件应急预案，并定期演练</w:t>
            </w:r>
            <w:r>
              <w:rPr>
                <w:rFonts w:hint="eastAsia" w:ascii="Times New Roman" w:hAnsi="Times New Roman" w:cs="Times New Roman"/>
                <w:color w:val="auto"/>
                <w:lang w:eastAsia="zh-CN"/>
              </w:rPr>
              <w:t>。</w:t>
            </w:r>
          </w:p>
          <w:p>
            <w:pPr>
              <w:keepNext w:val="0"/>
              <w:keepLines w:val="0"/>
              <w:widowControl/>
              <w:suppressLineNumbers w:val="0"/>
              <w:jc w:val="left"/>
              <w:rPr>
                <w:rFonts w:hint="eastAsia" w:eastAsia="宋体" w:cs="Times New Roman"/>
                <w:b w:val="0"/>
                <w:bCs w:val="0"/>
                <w:color w:val="auto"/>
                <w:u w:val="none"/>
                <w:lang w:val="en-US" w:eastAsia="zh-CN"/>
              </w:rPr>
            </w:pPr>
            <w:r>
              <w:rPr>
                <w:rFonts w:hint="eastAsia" w:eastAsia="宋体" w:cs="Times New Roman"/>
                <w:b w:val="0"/>
                <w:bCs w:val="0"/>
                <w:color w:val="auto"/>
                <w:u w:val="none"/>
                <w:lang w:val="en-US" w:eastAsia="zh-CN"/>
              </w:rPr>
              <w:t>本项目环境风险防范措施（</w:t>
            </w:r>
            <w:r>
              <w:rPr>
                <w:rFonts w:hint="eastAsia" w:ascii="Times New Roman" w:hAnsi="Times New Roman" w:eastAsia="宋体" w:cs="Times New Roman"/>
                <w:b w:val="0"/>
                <w:bCs w:val="0"/>
                <w:color w:val="auto"/>
                <w:u w:val="none"/>
                <w:lang w:val="en-US" w:eastAsia="zh-CN"/>
              </w:rPr>
              <w:t>贮油坑</w:t>
            </w:r>
            <w:r>
              <w:rPr>
                <w:rFonts w:hint="eastAsia" w:eastAsia="宋体" w:cs="Times New Roman"/>
                <w:b w:val="0"/>
                <w:bCs w:val="0"/>
                <w:color w:val="auto"/>
                <w:u w:val="none"/>
                <w:lang w:val="en-US" w:eastAsia="zh-CN"/>
              </w:rPr>
              <w:t>+</w:t>
            </w:r>
            <w:r>
              <w:rPr>
                <w:rFonts w:hint="eastAsia" w:ascii="Times New Roman" w:hAnsi="Times New Roman" w:eastAsia="宋体" w:cs="Times New Roman"/>
                <w:b w:val="0"/>
                <w:bCs w:val="0"/>
                <w:color w:val="auto"/>
                <w:u w:val="none"/>
                <w:lang w:val="en-US" w:eastAsia="zh-CN"/>
              </w:rPr>
              <w:t>贮油</w:t>
            </w:r>
            <w:r>
              <w:rPr>
                <w:rFonts w:hint="eastAsia" w:eastAsia="宋体" w:cs="Times New Roman"/>
                <w:b w:val="0"/>
                <w:bCs w:val="0"/>
                <w:color w:val="auto"/>
                <w:u w:val="none"/>
                <w:lang w:val="en-US" w:eastAsia="zh-CN"/>
              </w:rPr>
              <w:t>池</w:t>
            </w:r>
            <w:r>
              <w:rPr>
                <w:rFonts w:hint="eastAsia" w:ascii="Times New Roman" w:hAnsi="Times New Roman" w:eastAsia="宋体" w:cs="Times New Roman"/>
                <w:b w:val="0"/>
                <w:bCs w:val="0"/>
                <w:color w:val="auto"/>
                <w:u w:val="none"/>
                <w:lang w:val="en-US" w:eastAsia="zh-CN"/>
              </w:rPr>
              <w:t>、</w:t>
            </w:r>
            <w:r>
              <w:rPr>
                <w:rFonts w:hint="eastAsia"/>
                <w:b w:val="0"/>
                <w:bCs w:val="0"/>
                <w:u w:val="none"/>
                <w:lang w:val="en-US" w:eastAsia="zh-CN"/>
              </w:rPr>
              <w:t>事故油池、消防设备等</w:t>
            </w:r>
            <w:r>
              <w:rPr>
                <w:rFonts w:hint="eastAsia" w:eastAsia="宋体" w:cs="Times New Roman"/>
                <w:b w:val="0"/>
                <w:bCs w:val="0"/>
                <w:color w:val="auto"/>
                <w:u w:val="none"/>
                <w:lang w:val="en-US" w:eastAsia="zh-CN"/>
              </w:rPr>
              <w:t>）见前文环境风险分析章节。运营期应对事故油池的完好情况进行检查，确保无渗漏、无溢流。</w:t>
            </w:r>
          </w:p>
          <w:p>
            <w:pPr>
              <w:ind w:firstLine="0" w:firstLineChars="0"/>
              <w:rPr>
                <w:rFonts w:hint="default" w:ascii="Times New Roman" w:hAnsi="Times New Roman" w:cs="Times New Roman"/>
                <w:b/>
                <w:bCs/>
                <w:color w:val="auto"/>
              </w:rPr>
            </w:pPr>
            <w:r>
              <w:rPr>
                <w:rFonts w:hint="eastAsia" w:cs="Times New Roman"/>
                <w:b/>
                <w:bCs/>
                <w:color w:val="auto"/>
                <w:lang w:val="en-US" w:eastAsia="zh-CN"/>
              </w:rPr>
              <w:t>8</w:t>
            </w:r>
            <w:r>
              <w:rPr>
                <w:rFonts w:hint="default" w:ascii="Times New Roman" w:hAnsi="Times New Roman" w:cs="Times New Roman"/>
                <w:b/>
                <w:bCs/>
                <w:color w:val="auto"/>
              </w:rPr>
              <w:t>、</w:t>
            </w:r>
            <w:r>
              <w:rPr>
                <w:rFonts w:hint="eastAsia" w:cs="Times New Roman"/>
                <w:b/>
                <w:bCs/>
                <w:color w:val="auto"/>
                <w:lang w:val="en-US" w:eastAsia="zh-CN"/>
              </w:rPr>
              <w:t>地下水、土壤保护</w:t>
            </w:r>
            <w:r>
              <w:rPr>
                <w:rFonts w:hint="default" w:ascii="Times New Roman" w:hAnsi="Times New Roman" w:cs="Times New Roman"/>
                <w:b/>
                <w:bCs/>
                <w:color w:val="auto"/>
              </w:rPr>
              <w:t>措施</w:t>
            </w:r>
          </w:p>
          <w:p>
            <w:pPr>
              <w:spacing w:line="520" w:lineRule="exact"/>
              <w:ind w:firstLine="480" w:firstLineChars="200"/>
              <w:rPr>
                <w:bCs/>
                <w:sz w:val="24"/>
                <w:highlight w:val="none"/>
              </w:rPr>
            </w:pPr>
            <w:r>
              <w:rPr>
                <w:bCs/>
                <w:sz w:val="24"/>
                <w:szCs w:val="20"/>
                <w:highlight w:val="none"/>
              </w:rPr>
              <w:t>结合建设项目特点，</w:t>
            </w:r>
            <w:r>
              <w:rPr>
                <w:bCs/>
                <w:sz w:val="24"/>
                <w:highlight w:val="none"/>
              </w:rPr>
              <w:t>为防止本项目对所在区域地下水、土壤的污染，按照“源头控制、分区控制、污染监控、应急响应”的原则，将建（构）筑物防渗分为重点防渗区、</w:t>
            </w:r>
            <w:r>
              <w:rPr>
                <w:rFonts w:hint="eastAsia"/>
                <w:bCs/>
                <w:sz w:val="24"/>
                <w:highlight w:val="none"/>
                <w:lang w:val="en-US" w:eastAsia="zh-CN"/>
              </w:rPr>
              <w:t>简单</w:t>
            </w:r>
            <w:r>
              <w:rPr>
                <w:bCs/>
                <w:sz w:val="24"/>
                <w:highlight w:val="none"/>
              </w:rPr>
              <w:t>防渗区，分区防渗。</w:t>
            </w:r>
          </w:p>
          <w:p>
            <w:pPr>
              <w:adjustRightInd w:val="0"/>
              <w:snapToGrid w:val="0"/>
              <w:spacing w:line="520" w:lineRule="exact"/>
              <w:ind w:firstLine="480" w:firstLineChars="200"/>
              <w:rPr>
                <w:bCs/>
                <w:sz w:val="24"/>
                <w:highlight w:val="none"/>
              </w:rPr>
            </w:pPr>
            <w:r>
              <w:rPr>
                <w:bCs/>
                <w:sz w:val="24"/>
                <w:highlight w:val="none"/>
              </w:rPr>
              <w:t>（1）重点防渗区</w:t>
            </w:r>
          </w:p>
          <w:p>
            <w:pPr>
              <w:spacing w:line="520" w:lineRule="exact"/>
              <w:ind w:firstLine="480" w:firstLineChars="200"/>
              <w:rPr>
                <w:color w:val="auto"/>
                <w:sz w:val="24"/>
                <w:highlight w:val="none"/>
              </w:rPr>
            </w:pPr>
            <w:r>
              <w:rPr>
                <w:sz w:val="24"/>
                <w:highlight w:val="none"/>
              </w:rPr>
              <w:t>重点防渗区包括危废间</w:t>
            </w:r>
            <w:r>
              <w:rPr>
                <w:sz w:val="24"/>
                <w:szCs w:val="24"/>
                <w:highlight w:val="none"/>
              </w:rPr>
              <w:t>、</w:t>
            </w:r>
            <w:r>
              <w:rPr>
                <w:rFonts w:hint="eastAsia" w:cs="Times New Roman"/>
                <w:bCs/>
                <w:color w:val="auto"/>
                <w:spacing w:val="10"/>
                <w:sz w:val="24"/>
                <w:szCs w:val="24"/>
                <w:highlight w:val="none"/>
                <w:lang w:val="en-US" w:eastAsia="zh-CN"/>
              </w:rPr>
              <w:t>贮</w:t>
            </w:r>
            <w:r>
              <w:rPr>
                <w:rFonts w:hint="default" w:ascii="Times New Roman" w:hAnsi="Times New Roman" w:cs="Times New Roman"/>
                <w:bCs/>
                <w:color w:val="auto"/>
                <w:spacing w:val="10"/>
                <w:sz w:val="24"/>
                <w:szCs w:val="24"/>
                <w:highlight w:val="none"/>
                <w:lang w:val="en-US" w:eastAsia="zh-CN"/>
              </w:rPr>
              <w:t>油</w:t>
            </w:r>
            <w:r>
              <w:rPr>
                <w:rFonts w:hint="eastAsia" w:cs="Times New Roman"/>
                <w:bCs/>
                <w:color w:val="auto"/>
                <w:spacing w:val="10"/>
                <w:sz w:val="24"/>
                <w:szCs w:val="24"/>
                <w:highlight w:val="none"/>
                <w:lang w:val="en-US" w:eastAsia="zh-CN"/>
              </w:rPr>
              <w:t>池、</w:t>
            </w:r>
            <w:r>
              <w:rPr>
                <w:rFonts w:hint="eastAsia"/>
                <w:sz w:val="24"/>
                <w:highlight w:val="none"/>
                <w:lang w:val="en-US" w:eastAsia="zh-CN"/>
              </w:rPr>
              <w:t>事故油池、</w:t>
            </w:r>
            <w:r>
              <w:rPr>
                <w:rFonts w:hint="eastAsia"/>
                <w:color w:val="auto"/>
                <w:sz w:val="24"/>
                <w:highlight w:val="none"/>
              </w:rPr>
              <w:t>化粪池、</w:t>
            </w:r>
            <w:r>
              <w:rPr>
                <w:rFonts w:hint="eastAsia"/>
                <w:color w:val="auto"/>
                <w:sz w:val="24"/>
                <w:highlight w:val="none"/>
                <w:lang w:val="en-US" w:eastAsia="zh-CN"/>
              </w:rPr>
              <w:t>隔油池</w:t>
            </w:r>
            <w:r>
              <w:rPr>
                <w:rFonts w:hint="eastAsia"/>
                <w:color w:val="auto"/>
                <w:sz w:val="24"/>
                <w:highlight w:val="none"/>
              </w:rPr>
              <w:t>、污水处理站</w:t>
            </w:r>
            <w:r>
              <w:rPr>
                <w:sz w:val="24"/>
                <w:highlight w:val="none"/>
              </w:rPr>
              <w:t>等。</w:t>
            </w:r>
            <w:r>
              <w:rPr>
                <w:rFonts w:hint="default" w:ascii="Times New Roman" w:hAnsi="Times New Roman" w:cs="Times New Roman"/>
                <w:color w:val="auto"/>
                <w:sz w:val="24"/>
                <w:highlight w:val="none"/>
              </w:rPr>
              <w:t>评价要求重点防渗区设防渗涂层，</w:t>
            </w:r>
            <w:r>
              <w:rPr>
                <w:rFonts w:hint="eastAsia" w:ascii="Times New Roman" w:hAnsi="Times New Roman" w:cs="Times New Roman"/>
                <w:color w:val="auto"/>
                <w:sz w:val="24"/>
                <w:highlight w:val="none"/>
                <w:lang w:val="en-US" w:eastAsia="zh-CN"/>
              </w:rPr>
              <w:t>防渗层的防渗</w:t>
            </w:r>
            <w:r>
              <w:rPr>
                <w:rFonts w:hint="default" w:ascii="Times New Roman" w:hAnsi="Times New Roman" w:cs="Times New Roman"/>
                <w:color w:val="auto"/>
                <w:sz w:val="24"/>
                <w:highlight w:val="none"/>
              </w:rPr>
              <w:t>性能</w:t>
            </w:r>
            <w:r>
              <w:rPr>
                <w:rFonts w:hint="eastAsia" w:ascii="Times New Roman" w:hAnsi="Times New Roman" w:cs="Times New Roman"/>
                <w:color w:val="auto"/>
                <w:sz w:val="24"/>
                <w:highlight w:val="none"/>
                <w:lang w:val="en-US" w:eastAsia="zh-CN"/>
              </w:rPr>
              <w:t>要求等效黏土防渗层</w:t>
            </w:r>
            <w:r>
              <w:rPr>
                <w:rFonts w:hint="default" w:ascii="Times New Roman" w:hAnsi="Times New Roman" w:cs="Times New Roman"/>
                <w:color w:val="auto"/>
                <w:sz w:val="24"/>
                <w:highlight w:val="none"/>
              </w:rPr>
              <w:t>Mb≥</w:t>
            </w:r>
            <w:r>
              <w:rPr>
                <w:rFonts w:hint="eastAsia" w:ascii="Times New Roman" w:hAnsi="Times New Roman" w:cs="Times New Roman"/>
                <w:color w:val="auto"/>
                <w:sz w:val="24"/>
                <w:highlight w:val="none"/>
                <w:lang w:val="en-US" w:eastAsia="zh-CN"/>
              </w:rPr>
              <w:t>6.0</w:t>
            </w:r>
            <w:r>
              <w:rPr>
                <w:rFonts w:hint="default" w:ascii="Times New Roman" w:hAnsi="Times New Roman" w:cs="Times New Roman"/>
                <w:color w:val="auto"/>
                <w:sz w:val="24"/>
                <w:highlight w:val="none"/>
              </w:rPr>
              <w:t>m，渗透系数K≤1×10</w:t>
            </w:r>
            <w:r>
              <w:rPr>
                <w:rFonts w:hint="default" w:ascii="Times New Roman" w:hAnsi="Times New Roman" w:cs="Times New Roman"/>
                <w:color w:val="auto"/>
                <w:sz w:val="24"/>
                <w:highlight w:val="none"/>
                <w:vertAlign w:val="superscript"/>
              </w:rPr>
              <w:t>-7</w:t>
            </w:r>
            <w:r>
              <w:rPr>
                <w:rFonts w:hint="default" w:ascii="Times New Roman" w:hAnsi="Times New Roman" w:cs="Times New Roman"/>
                <w:color w:val="auto"/>
                <w:sz w:val="24"/>
                <w:highlight w:val="none"/>
              </w:rPr>
              <w:t>cm/s</w:t>
            </w:r>
            <w:r>
              <w:rPr>
                <w:rFonts w:hint="eastAsia" w:ascii="Times New Roman" w:hAnsi="Times New Roman" w:cs="Times New Roman"/>
                <w:color w:val="auto"/>
                <w:sz w:val="24"/>
                <w:highlight w:val="none"/>
                <w:lang w:eastAsia="zh-CN"/>
              </w:rPr>
              <w:t>；</w:t>
            </w:r>
            <w:r>
              <w:rPr>
                <w:rFonts w:hint="eastAsia" w:ascii="Times New Roman" w:hAnsi="Times New Roman" w:cs="Times New Roman"/>
                <w:color w:val="auto"/>
                <w:sz w:val="24"/>
                <w:highlight w:val="none"/>
                <w:lang w:val="en-US" w:eastAsia="zh-CN"/>
              </w:rPr>
              <w:t>其中危废间</w:t>
            </w:r>
            <w:r>
              <w:rPr>
                <w:rFonts w:hint="eastAsia" w:ascii="Times New Roman" w:hAnsi="Times New Roman" w:eastAsia="宋体" w:cs="Times New Roman"/>
                <w:color w:val="auto"/>
                <w:sz w:val="24"/>
                <w:highlight w:val="none"/>
                <w:lang w:val="en-US" w:eastAsia="zh-CN"/>
              </w:rPr>
              <w:t>按《危险废物贮存污染控制标准》</w:t>
            </w:r>
            <w:r>
              <w:rPr>
                <w:rFonts w:hint="default" w:ascii="Times New Roman" w:hAnsi="Times New Roman" w:eastAsia="宋体" w:cs="Times New Roman"/>
                <w:color w:val="auto"/>
                <w:sz w:val="24"/>
                <w:highlight w:val="none"/>
                <w:lang w:val="en-US" w:eastAsia="zh-CN"/>
              </w:rPr>
              <w:t>GB18597-2001(2013</w:t>
            </w:r>
            <w:r>
              <w:rPr>
                <w:rFonts w:hint="eastAsia" w:ascii="Times New Roman" w:hAnsi="Times New Roman" w:eastAsia="宋体" w:cs="Times New Roman"/>
                <w:color w:val="auto"/>
                <w:sz w:val="24"/>
                <w:highlight w:val="none"/>
                <w:lang w:val="en-US" w:eastAsia="zh-CN"/>
              </w:rPr>
              <w:t>年修订</w:t>
            </w:r>
            <w:r>
              <w:rPr>
                <w:rFonts w:hint="default" w:ascii="Times New Roman" w:hAnsi="Times New Roman" w:eastAsia="宋体" w:cs="Times New Roman"/>
                <w:color w:val="auto"/>
                <w:sz w:val="24"/>
                <w:highlight w:val="none"/>
                <w:lang w:val="en-US" w:eastAsia="zh-CN"/>
              </w:rPr>
              <w:t>)</w:t>
            </w:r>
            <w:r>
              <w:rPr>
                <w:rFonts w:hint="eastAsia" w:ascii="Times New Roman" w:hAnsi="Times New Roman" w:eastAsia="宋体" w:cs="Times New Roman"/>
                <w:color w:val="auto"/>
                <w:sz w:val="24"/>
                <w:highlight w:val="none"/>
                <w:lang w:val="en-US" w:eastAsia="zh-CN"/>
              </w:rPr>
              <w:t>和规定的要求进行防渗（见前文危废间的防渗要求）。</w:t>
            </w:r>
          </w:p>
          <w:p>
            <w:pPr>
              <w:spacing w:line="520" w:lineRule="exact"/>
              <w:ind w:firstLine="480" w:firstLineChars="200"/>
              <w:rPr>
                <w:color w:val="auto"/>
                <w:sz w:val="24"/>
                <w:highlight w:val="none"/>
              </w:rPr>
            </w:pPr>
            <w:r>
              <w:rPr>
                <w:color w:val="auto"/>
                <w:sz w:val="24"/>
                <w:highlight w:val="none"/>
              </w:rPr>
              <w:t>（</w:t>
            </w:r>
            <w:r>
              <w:rPr>
                <w:rFonts w:hint="eastAsia"/>
                <w:color w:val="auto"/>
                <w:sz w:val="24"/>
                <w:highlight w:val="none"/>
                <w:lang w:val="en-US" w:eastAsia="zh-CN"/>
              </w:rPr>
              <w:t>2</w:t>
            </w:r>
            <w:r>
              <w:rPr>
                <w:color w:val="auto"/>
                <w:sz w:val="24"/>
                <w:highlight w:val="none"/>
              </w:rPr>
              <w:t>）简单防渗区</w:t>
            </w:r>
          </w:p>
          <w:p>
            <w:pPr>
              <w:spacing w:line="520" w:lineRule="exact"/>
              <w:ind w:firstLine="480" w:firstLineChars="200"/>
              <w:rPr>
                <w:color w:val="auto"/>
                <w:sz w:val="24"/>
                <w:highlight w:val="none"/>
              </w:rPr>
            </w:pPr>
            <w:r>
              <w:rPr>
                <w:color w:val="auto"/>
                <w:sz w:val="24"/>
                <w:highlight w:val="none"/>
              </w:rPr>
              <w:t>除上述区域外，项目厂区道路</w:t>
            </w:r>
            <w:r>
              <w:rPr>
                <w:rFonts w:hint="eastAsia"/>
                <w:color w:val="auto"/>
                <w:sz w:val="24"/>
                <w:highlight w:val="none"/>
              </w:rPr>
              <w:t>、办公区</w:t>
            </w:r>
            <w:r>
              <w:rPr>
                <w:color w:val="auto"/>
                <w:sz w:val="24"/>
                <w:highlight w:val="none"/>
              </w:rPr>
              <w:t>等辅助设施均属于简单防渗区，评价要求进行地面硬化即可。</w:t>
            </w:r>
          </w:p>
          <w:p>
            <w:pPr>
              <w:spacing w:line="520" w:lineRule="exact"/>
              <w:ind w:firstLine="480" w:firstLineChars="200"/>
              <w:rPr>
                <w:rFonts w:hint="default" w:ascii="Times New Roman" w:hAnsi="Times New Roman" w:cs="Times New Roman"/>
                <w:color w:val="0000FF"/>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78" w:hRule="atLeast"/>
          <w:jc w:val="center"/>
        </w:trPr>
        <w:tc>
          <w:tcPr>
            <w:tcW w:w="874" w:type="dxa"/>
            <w:tcMar>
              <w:left w:w="28" w:type="dxa"/>
              <w:right w:w="28" w:type="dxa"/>
            </w:tcMar>
            <w:vAlign w:val="center"/>
          </w:tcPr>
          <w:p>
            <w:pPr>
              <w:adjustRightInd w:val="0"/>
              <w:snapToGrid w:val="0"/>
              <w:spacing w:line="240" w:lineRule="auto"/>
              <w:ind w:firstLine="0" w:firstLineChars="0"/>
              <w:jc w:val="center"/>
              <w:rPr>
                <w:rFonts w:hint="default" w:ascii="Times New Roman" w:hAnsi="Times New Roman" w:cs="Times New Roman" w:eastAsiaTheme="minorEastAsia"/>
                <w:bCs/>
                <w:color w:val="0000FF"/>
                <w:spacing w:val="10"/>
                <w:kern w:val="2"/>
                <w:sz w:val="24"/>
                <w:szCs w:val="21"/>
                <w:lang w:val="en-US" w:eastAsia="zh-CN" w:bidi="ar-SA"/>
              </w:rPr>
            </w:pPr>
            <w:r>
              <w:rPr>
                <w:rFonts w:hint="default" w:ascii="Times New Roman" w:hAnsi="Times New Roman" w:cs="Times New Roman"/>
                <w:bCs/>
                <w:color w:val="auto"/>
                <w:szCs w:val="21"/>
              </w:rPr>
              <w:t>其他</w:t>
            </w:r>
          </w:p>
        </w:tc>
        <w:tc>
          <w:tcPr>
            <w:tcW w:w="8336" w:type="dxa"/>
            <w:vAlign w:val="top"/>
          </w:tcPr>
          <w:p>
            <w:pPr>
              <w:ind w:firstLine="0" w:firstLineChars="0"/>
              <w:rPr>
                <w:rFonts w:hint="default" w:ascii="Times New Roman" w:hAnsi="Times New Roman" w:cs="Times New Roman"/>
                <w:b/>
                <w:bCs/>
                <w:color w:val="auto"/>
              </w:rPr>
            </w:pPr>
          </w:p>
          <w:p>
            <w:pPr>
              <w:ind w:firstLine="0" w:firstLineChars="0"/>
              <w:rPr>
                <w:rFonts w:hint="default" w:ascii="Times New Roman" w:hAnsi="Times New Roman" w:cs="Times New Roman"/>
                <w:b/>
                <w:bCs/>
                <w:color w:val="auto"/>
              </w:rPr>
            </w:pPr>
            <w:r>
              <w:rPr>
                <w:rFonts w:hint="default" w:ascii="Times New Roman" w:hAnsi="Times New Roman" w:cs="Times New Roman"/>
                <w:b/>
                <w:bCs/>
                <w:color w:val="auto"/>
              </w:rPr>
              <w:t>环境管理及监测计划</w:t>
            </w:r>
          </w:p>
          <w:p>
            <w:pPr>
              <w:ind w:firstLine="480"/>
              <w:rPr>
                <w:rFonts w:hint="default" w:ascii="Times New Roman" w:hAnsi="Times New Roman" w:cs="Times New Roman"/>
                <w:color w:val="auto"/>
              </w:rPr>
            </w:pPr>
            <w:r>
              <w:rPr>
                <w:rFonts w:hint="default" w:ascii="Times New Roman" w:hAnsi="Times New Roman" w:cs="Times New Roman"/>
                <w:color w:val="auto"/>
              </w:rPr>
              <w:t>（1）环境管理机构</w:t>
            </w:r>
          </w:p>
          <w:p>
            <w:pPr>
              <w:ind w:firstLine="480"/>
              <w:rPr>
                <w:rFonts w:hint="default" w:ascii="Times New Roman" w:hAnsi="Times New Roman" w:cs="Times New Roman"/>
                <w:color w:val="auto"/>
              </w:rPr>
            </w:pPr>
            <w:r>
              <w:rPr>
                <w:rFonts w:hint="default" w:ascii="Times New Roman" w:hAnsi="Times New Roman" w:cs="Times New Roman"/>
                <w:color w:val="auto"/>
              </w:rPr>
              <w:t>建设管理单位在管理机构内配备必要的环保人员，负责项目的环境保护管理工作。</w:t>
            </w:r>
          </w:p>
          <w:p>
            <w:pPr>
              <w:ind w:firstLine="480"/>
              <w:rPr>
                <w:rFonts w:hint="default" w:ascii="Times New Roman" w:hAnsi="Times New Roman" w:cs="Times New Roman"/>
                <w:color w:val="auto"/>
              </w:rPr>
            </w:pPr>
            <w:r>
              <w:rPr>
                <w:rFonts w:hint="default" w:ascii="Times New Roman" w:hAnsi="Times New Roman" w:cs="Times New Roman"/>
                <w:color w:val="auto"/>
              </w:rPr>
              <w:t>（2）施工期环境管理</w:t>
            </w:r>
          </w:p>
          <w:p>
            <w:pPr>
              <w:ind w:firstLine="480"/>
              <w:rPr>
                <w:rFonts w:hint="default" w:ascii="Times New Roman" w:hAnsi="Times New Roman" w:cs="Times New Roman"/>
                <w:color w:val="auto"/>
              </w:rPr>
            </w:pPr>
            <w:r>
              <w:rPr>
                <w:rFonts w:hint="default" w:ascii="Times New Roman" w:hAnsi="Times New Roman" w:cs="Times New Roman"/>
                <w:color w:val="auto"/>
              </w:rPr>
              <w:t>鉴于建设期环境管理工作的重要性，同时根据国家有关要求，本工程施工采取招投标制。施工招标中应对投标单位提出建设期间的环保要求，并应对监理单位提出环境保护人员资质要求。在施工设计文件中详细说明建设期应注意的环保问题，严格要求施工单位按设计文件施工，特别是按环保设计要求施工。环境监理人员对施工中每一道工序都应严格检查是否满足环保要求，并不定期地对施工点进行抽查监督检查。建设期环境保护监理及环境管理的职责和任务如下：</w:t>
            </w:r>
          </w:p>
          <w:p>
            <w:pPr>
              <w:ind w:firstLine="480"/>
              <w:rPr>
                <w:rFonts w:hint="default" w:ascii="Times New Roman" w:hAnsi="Times New Roman" w:cs="Times New Roman"/>
                <w:color w:val="auto"/>
              </w:rPr>
            </w:pPr>
            <w:r>
              <w:rPr>
                <w:rFonts w:hint="default" w:ascii="Times New Roman" w:hAnsi="Times New Roman" w:cs="Times New Roman"/>
                <w:color w:val="auto"/>
              </w:rPr>
              <w:t>1）贯彻执行国家、地方的各项环境保护方针、政策、法规和各项规章制度。</w:t>
            </w:r>
          </w:p>
          <w:p>
            <w:pPr>
              <w:ind w:firstLine="480"/>
              <w:rPr>
                <w:rFonts w:hint="default" w:ascii="Times New Roman" w:hAnsi="Times New Roman" w:cs="Times New Roman"/>
                <w:color w:val="auto"/>
              </w:rPr>
            </w:pPr>
            <w:r>
              <w:rPr>
                <w:rFonts w:hint="default" w:ascii="Times New Roman" w:hAnsi="Times New Roman" w:cs="Times New Roman"/>
                <w:color w:val="auto"/>
              </w:rPr>
              <w:t>2）制定本工程施工中的环境保护计划，负责工程施工过程中各项环境保护措施实施的监督和日常管理。</w:t>
            </w:r>
          </w:p>
          <w:p>
            <w:pPr>
              <w:ind w:firstLine="480"/>
              <w:rPr>
                <w:rFonts w:hint="default" w:ascii="Times New Roman" w:hAnsi="Times New Roman" w:cs="Times New Roman"/>
                <w:color w:val="auto"/>
              </w:rPr>
            </w:pPr>
            <w:r>
              <w:rPr>
                <w:rFonts w:hint="default" w:ascii="Times New Roman" w:hAnsi="Times New Roman" w:cs="Times New Roman"/>
                <w:color w:val="auto"/>
              </w:rPr>
              <w:t>3）组织和开展对施工人员进行施工活动中应遵循的环保法规、知识的培训，提高全体员工文明施工的认识。</w:t>
            </w:r>
          </w:p>
          <w:p>
            <w:pPr>
              <w:ind w:firstLine="480"/>
              <w:rPr>
                <w:rFonts w:hint="default" w:ascii="Times New Roman" w:hAnsi="Times New Roman" w:cs="Times New Roman"/>
                <w:color w:val="auto"/>
              </w:rPr>
            </w:pPr>
            <w:r>
              <w:rPr>
                <w:rFonts w:hint="default" w:ascii="Times New Roman" w:hAnsi="Times New Roman" w:cs="Times New Roman"/>
                <w:color w:val="auto"/>
              </w:rPr>
              <w:t>4）负责日常施工活动中的环境监理工作，做好工程用地区域的环境特征调查，对于环境保护目标要作到心中有数。</w:t>
            </w:r>
          </w:p>
          <w:p>
            <w:pPr>
              <w:ind w:firstLine="480"/>
              <w:rPr>
                <w:rFonts w:hint="default" w:ascii="Times New Roman" w:hAnsi="Times New Roman" w:cs="Times New Roman"/>
                <w:color w:val="auto"/>
              </w:rPr>
            </w:pPr>
            <w:r>
              <w:rPr>
                <w:rFonts w:hint="default" w:ascii="Times New Roman" w:hAnsi="Times New Roman" w:cs="Times New Roman"/>
                <w:color w:val="auto"/>
              </w:rPr>
              <w:t>5）在施工计划中应适当计划设备运输道路，以避免影响当地居民生活，施工中应考虑保护生态和避免水土流失，合理组织施工。</w:t>
            </w:r>
          </w:p>
          <w:p>
            <w:pPr>
              <w:ind w:firstLine="480"/>
              <w:rPr>
                <w:rFonts w:hint="default" w:ascii="Times New Roman" w:hAnsi="Times New Roman" w:cs="Times New Roman"/>
                <w:color w:val="auto"/>
              </w:rPr>
            </w:pPr>
            <w:r>
              <w:rPr>
                <w:rFonts w:hint="default" w:ascii="Times New Roman" w:hAnsi="Times New Roman" w:cs="Times New Roman"/>
                <w:color w:val="auto"/>
              </w:rPr>
              <w:t>6）做好施工中各种环境问题的收集、记录、建档和处理工作。</w:t>
            </w:r>
          </w:p>
          <w:p>
            <w:pPr>
              <w:ind w:firstLine="480"/>
              <w:rPr>
                <w:rFonts w:hint="default" w:ascii="Times New Roman" w:hAnsi="Times New Roman" w:cs="Times New Roman"/>
                <w:color w:val="auto"/>
              </w:rPr>
            </w:pPr>
            <w:r>
              <w:rPr>
                <w:rFonts w:hint="default" w:ascii="Times New Roman" w:hAnsi="Times New Roman" w:cs="Times New Roman"/>
                <w:color w:val="auto"/>
              </w:rPr>
              <w:t>7）监督施工单位，使设计、施工过程的各项环境保护措施与主体工程同步实施。</w:t>
            </w:r>
          </w:p>
          <w:p>
            <w:pPr>
              <w:ind w:firstLine="480"/>
              <w:rPr>
                <w:rFonts w:hint="default" w:ascii="Times New Roman" w:hAnsi="Times New Roman" w:cs="Times New Roman"/>
                <w:color w:val="auto"/>
              </w:rPr>
            </w:pPr>
            <w:r>
              <w:rPr>
                <w:rFonts w:hint="default" w:ascii="Times New Roman" w:hAnsi="Times New Roman" w:cs="Times New Roman"/>
                <w:color w:val="auto"/>
              </w:rPr>
              <w:t>（3）</w:t>
            </w:r>
            <w:r>
              <w:rPr>
                <w:rFonts w:hint="eastAsia" w:cs="Times New Roman"/>
                <w:color w:val="auto"/>
                <w:lang w:eastAsia="zh-CN"/>
              </w:rPr>
              <w:t>运营期</w:t>
            </w:r>
            <w:r>
              <w:rPr>
                <w:rFonts w:hint="default" w:ascii="Times New Roman" w:hAnsi="Times New Roman" w:cs="Times New Roman"/>
                <w:color w:val="auto"/>
              </w:rPr>
              <w:t>环境管理</w:t>
            </w:r>
          </w:p>
          <w:p>
            <w:pPr>
              <w:ind w:firstLine="480"/>
              <w:rPr>
                <w:rFonts w:hint="default" w:ascii="Times New Roman" w:hAnsi="Times New Roman" w:cs="Times New Roman"/>
                <w:color w:val="auto"/>
              </w:rPr>
            </w:pPr>
            <w:r>
              <w:rPr>
                <w:rFonts w:hint="default" w:ascii="Times New Roman" w:hAnsi="Times New Roman" w:cs="Times New Roman"/>
                <w:color w:val="auto"/>
              </w:rPr>
              <w:t>根据项目所在区域的环境特点，建议运行主管单位分设环境管理部门，配备相应专业的管理人员。</w:t>
            </w:r>
          </w:p>
          <w:p>
            <w:pPr>
              <w:ind w:firstLine="480"/>
              <w:rPr>
                <w:rFonts w:hint="default" w:ascii="Times New Roman" w:hAnsi="Times New Roman" w:cs="Times New Roman"/>
                <w:color w:val="auto"/>
              </w:rPr>
            </w:pPr>
            <w:r>
              <w:rPr>
                <w:rFonts w:hint="default" w:ascii="Times New Roman" w:hAnsi="Times New Roman" w:cs="Times New Roman"/>
                <w:color w:val="auto"/>
              </w:rPr>
              <w:t>环境管理部门的职能为：</w:t>
            </w:r>
          </w:p>
          <w:p>
            <w:pPr>
              <w:ind w:firstLine="480"/>
              <w:rPr>
                <w:rFonts w:hint="default" w:ascii="Times New Roman" w:hAnsi="Times New Roman" w:cs="Times New Roman"/>
                <w:color w:val="auto"/>
              </w:rPr>
            </w:pPr>
            <w:r>
              <w:rPr>
                <w:rFonts w:hint="default" w:ascii="Times New Roman" w:hAnsi="Times New Roman" w:cs="Times New Roman"/>
                <w:color w:val="auto"/>
              </w:rPr>
              <w:t>1）制定和实施各项环境监督管理计划；</w:t>
            </w:r>
          </w:p>
          <w:p>
            <w:pPr>
              <w:ind w:firstLine="480"/>
              <w:rPr>
                <w:rFonts w:hint="default" w:ascii="Times New Roman" w:hAnsi="Times New Roman" w:cs="Times New Roman"/>
                <w:color w:val="auto"/>
              </w:rPr>
            </w:pPr>
            <w:r>
              <w:rPr>
                <w:rFonts w:hint="default" w:ascii="Times New Roman" w:hAnsi="Times New Roman" w:cs="Times New Roman"/>
                <w:color w:val="auto"/>
              </w:rPr>
              <w:t>2）建立电磁环境影响监测、生态环境现状数据档案，并定期报当地环境保护行政主管部门备案；</w:t>
            </w:r>
          </w:p>
          <w:p>
            <w:pPr>
              <w:ind w:firstLine="480"/>
              <w:rPr>
                <w:rFonts w:hint="default" w:ascii="Times New Roman" w:hAnsi="Times New Roman" w:cs="Times New Roman"/>
                <w:color w:val="auto"/>
              </w:rPr>
            </w:pPr>
            <w:r>
              <w:rPr>
                <w:rFonts w:hint="default" w:ascii="Times New Roman" w:hAnsi="Times New Roman" w:cs="Times New Roman"/>
                <w:color w:val="auto"/>
              </w:rPr>
              <w:t>3）检查各治理设施运行情况，及时处理出现的问题，保证治理设施的正常运行；</w:t>
            </w:r>
          </w:p>
          <w:p>
            <w:pPr>
              <w:ind w:firstLine="480"/>
              <w:rPr>
                <w:rFonts w:hint="default" w:ascii="Times New Roman" w:hAnsi="Times New Roman" w:cs="Times New Roman"/>
                <w:color w:val="auto"/>
              </w:rPr>
            </w:pPr>
            <w:r>
              <w:rPr>
                <w:rFonts w:hint="default" w:ascii="Times New Roman" w:hAnsi="Times New Roman" w:cs="Times New Roman"/>
                <w:color w:val="auto"/>
              </w:rPr>
              <w:t>4）协调配合上级环保主管部门所进行的环境调查、生态调查等工作。</w:t>
            </w:r>
          </w:p>
          <w:p>
            <w:pPr>
              <w:ind w:firstLine="480"/>
              <w:rPr>
                <w:rFonts w:hint="default" w:ascii="Times New Roman" w:hAnsi="Times New Roman" w:cs="Times New Roman"/>
                <w:color w:val="auto"/>
              </w:rPr>
            </w:pPr>
            <w:r>
              <w:rPr>
                <w:rFonts w:hint="default" w:ascii="Times New Roman" w:hAnsi="Times New Roman" w:cs="Times New Roman"/>
                <w:color w:val="auto"/>
              </w:rPr>
              <w:t>（4）环境监测计划</w:t>
            </w:r>
          </w:p>
          <w:p>
            <w:pPr>
              <w:ind w:firstLine="480"/>
              <w:rPr>
                <w:rFonts w:hint="default" w:ascii="Times New Roman" w:hAnsi="Times New Roman" w:cs="Times New Roman"/>
                <w:color w:val="auto"/>
              </w:rPr>
            </w:pPr>
            <w:r>
              <w:rPr>
                <w:rFonts w:hint="default" w:ascii="Times New Roman" w:hAnsi="Times New Roman" w:cs="Times New Roman"/>
                <w:color w:val="auto"/>
              </w:rPr>
              <w:t>根据项目的环境影响和环境管理要求，制定了环境监测计划，主要用于了解项目周边电磁环境、声环境影响程度和范围。电磁、声环境影响监测工作可委托相关有资质的单位完成，环境监测计划见表</w:t>
            </w:r>
            <w:r>
              <w:rPr>
                <w:rFonts w:hint="eastAsia" w:cs="Times New Roman"/>
                <w:color w:val="auto"/>
                <w:lang w:val="en-US" w:eastAsia="zh-CN"/>
              </w:rPr>
              <w:t>5-1</w:t>
            </w:r>
            <w:r>
              <w:rPr>
                <w:rFonts w:hint="default" w:ascii="Times New Roman" w:hAnsi="Times New Roman" w:cs="Times New Roman"/>
                <w:color w:val="auto"/>
              </w:rPr>
              <w:t>。</w:t>
            </w:r>
          </w:p>
          <w:p>
            <w:pPr>
              <w:pStyle w:val="3"/>
              <w:keepNext w:val="0"/>
              <w:keepLines w:val="0"/>
              <w:pageBreakBefore w:val="0"/>
              <w:widowControl w:val="0"/>
              <w:kinsoku/>
              <w:wordWrap/>
              <w:overflowPunct/>
              <w:topLinePunct w:val="0"/>
              <w:autoSpaceDE/>
              <w:autoSpaceDN/>
              <w:bidi w:val="0"/>
              <w:adjustRightInd/>
              <w:snapToGrid/>
              <w:spacing w:after="0"/>
              <w:textAlignment w:val="top"/>
              <w:rPr>
                <w:rFonts w:hint="default" w:ascii="Times New Roman" w:hAnsi="Times New Roman" w:cs="Times New Roman"/>
                <w:color w:val="auto"/>
              </w:rPr>
            </w:pPr>
          </w:p>
          <w:p>
            <w:pPr>
              <w:pStyle w:val="4"/>
              <w:keepNext w:val="0"/>
              <w:keepLines w:val="0"/>
              <w:pageBreakBefore w:val="0"/>
              <w:widowControl w:val="0"/>
              <w:kinsoku/>
              <w:wordWrap/>
              <w:overflowPunct/>
              <w:topLinePunct w:val="0"/>
              <w:autoSpaceDE/>
              <w:autoSpaceDN/>
              <w:bidi w:val="0"/>
              <w:adjustRightInd/>
              <w:snapToGrid/>
              <w:spacing w:before="0"/>
              <w:ind w:left="119"/>
              <w:textAlignment w:val="top"/>
              <w:rPr>
                <w:rFonts w:hint="default" w:ascii="Times New Roman" w:hAnsi="Times New Roman" w:cs="Times New Roman"/>
                <w:color w:val="auto"/>
              </w:rPr>
            </w:pPr>
          </w:p>
          <w:p>
            <w:pPr>
              <w:pStyle w:val="5"/>
              <w:keepNext w:val="0"/>
              <w:keepLines w:val="0"/>
              <w:pageBreakBefore w:val="0"/>
              <w:widowControl w:val="0"/>
              <w:kinsoku/>
              <w:wordWrap/>
              <w:overflowPunct/>
              <w:topLinePunct w:val="0"/>
              <w:autoSpaceDE/>
              <w:autoSpaceDN/>
              <w:bidi w:val="0"/>
              <w:adjustRightInd/>
              <w:snapToGrid/>
              <w:spacing w:after="0" w:line="240" w:lineRule="auto"/>
              <w:textAlignment w:val="top"/>
              <w:rPr>
                <w:rFonts w:hint="default" w:ascii="Times New Roman" w:hAnsi="Times New Roman" w:cs="Times New Roman"/>
                <w:color w:val="auto"/>
              </w:rPr>
            </w:pPr>
          </w:p>
          <w:p>
            <w:pPr>
              <w:pStyle w:val="5"/>
              <w:keepNext w:val="0"/>
              <w:keepLines w:val="0"/>
              <w:pageBreakBefore w:val="0"/>
              <w:widowControl w:val="0"/>
              <w:kinsoku/>
              <w:wordWrap/>
              <w:overflowPunct/>
              <w:topLinePunct w:val="0"/>
              <w:autoSpaceDE/>
              <w:autoSpaceDN/>
              <w:bidi w:val="0"/>
              <w:adjustRightInd/>
              <w:snapToGrid/>
              <w:spacing w:after="0"/>
              <w:textAlignment w:val="top"/>
              <w:rPr>
                <w:rFonts w:hint="default" w:ascii="Times New Roman" w:hAnsi="Times New Roman" w:cs="Times New Roman"/>
                <w:color w:val="auto"/>
              </w:rPr>
            </w:pPr>
          </w:p>
          <w:p>
            <w:pPr>
              <w:pStyle w:val="72"/>
              <w:spacing w:before="163"/>
              <w:ind w:firstLine="474"/>
              <w:textAlignment w:val="auto"/>
              <w:rPr>
                <w:rFonts w:hint="default" w:ascii="Times New Roman" w:hAnsi="Times New Roman" w:eastAsia="宋体" w:cs="Times New Roman"/>
                <w:szCs w:val="21"/>
              </w:rPr>
            </w:pPr>
            <w:r>
              <w:rPr>
                <w:rFonts w:hint="default" w:ascii="Times New Roman" w:hAnsi="Times New Roman" w:eastAsia="宋体" w:cs="Times New Roman"/>
                <w:szCs w:val="21"/>
              </w:rPr>
              <w:t xml:space="preserve">  </w:t>
            </w:r>
            <w:r>
              <w:rPr>
                <w:rFonts w:hint="eastAsia" w:eastAsia="宋体" w:cs="Times New Roman"/>
                <w:szCs w:val="21"/>
                <w:lang w:eastAsia="zh-CN"/>
              </w:rPr>
              <w:t>运营期</w:t>
            </w:r>
            <w:r>
              <w:rPr>
                <w:rFonts w:hint="default" w:ascii="Times New Roman" w:hAnsi="Times New Roman" w:eastAsia="宋体" w:cs="Times New Roman"/>
                <w:szCs w:val="21"/>
              </w:rPr>
              <w:t>环境监测计划</w:t>
            </w:r>
          </w:p>
          <w:tbl>
            <w:tblPr>
              <w:tblStyle w:val="23"/>
              <w:tblW w:w="0" w:type="auto"/>
              <w:jc w:val="center"/>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739"/>
              <w:gridCol w:w="880"/>
              <w:gridCol w:w="1238"/>
              <w:gridCol w:w="5263"/>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39"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序号</w:t>
                  </w:r>
                </w:p>
              </w:tc>
              <w:tc>
                <w:tcPr>
                  <w:tcW w:w="2118"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监测项目</w:t>
                  </w:r>
                </w:p>
              </w:tc>
              <w:tc>
                <w:tcPr>
                  <w:tcW w:w="52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内容</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39"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color w:val="auto"/>
                      <w:sz w:val="21"/>
                      <w:szCs w:val="21"/>
                    </w:rPr>
                  </w:pPr>
                  <w:r>
                    <w:rPr>
                      <w:rFonts w:hint="default" w:ascii="Times New Roman" w:hAnsi="Times New Roman" w:cs="Times New Roman"/>
                      <w:color w:val="auto"/>
                      <w:sz w:val="21"/>
                      <w:szCs w:val="21"/>
                    </w:rPr>
                    <w:t>1</w:t>
                  </w:r>
                </w:p>
              </w:tc>
              <w:tc>
                <w:tcPr>
                  <w:tcW w:w="880"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工频电磁场</w:t>
                  </w:r>
                </w:p>
              </w:tc>
              <w:tc>
                <w:tcPr>
                  <w:tcW w:w="123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点位布设</w:t>
                  </w:r>
                </w:p>
              </w:tc>
              <w:tc>
                <w:tcPr>
                  <w:tcW w:w="52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升压站厂界外5m处</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39"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color w:val="auto"/>
                      <w:sz w:val="21"/>
                      <w:szCs w:val="21"/>
                    </w:rPr>
                  </w:pPr>
                </w:p>
              </w:tc>
              <w:tc>
                <w:tcPr>
                  <w:tcW w:w="880"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color w:val="auto"/>
                      <w:sz w:val="21"/>
                      <w:szCs w:val="21"/>
                    </w:rPr>
                  </w:pPr>
                </w:p>
              </w:tc>
              <w:tc>
                <w:tcPr>
                  <w:tcW w:w="123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监测因子</w:t>
                  </w:r>
                </w:p>
              </w:tc>
              <w:tc>
                <w:tcPr>
                  <w:tcW w:w="52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工频电场、工频磁场</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39"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color w:val="auto"/>
                      <w:sz w:val="21"/>
                      <w:szCs w:val="21"/>
                    </w:rPr>
                  </w:pPr>
                </w:p>
              </w:tc>
              <w:tc>
                <w:tcPr>
                  <w:tcW w:w="880"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color w:val="auto"/>
                      <w:sz w:val="21"/>
                      <w:szCs w:val="21"/>
                    </w:rPr>
                  </w:pPr>
                </w:p>
              </w:tc>
              <w:tc>
                <w:tcPr>
                  <w:tcW w:w="123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监测方法</w:t>
                  </w:r>
                </w:p>
              </w:tc>
              <w:tc>
                <w:tcPr>
                  <w:tcW w:w="52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color w:val="auto"/>
                      <w:sz w:val="21"/>
                      <w:szCs w:val="21"/>
                    </w:rPr>
                  </w:pPr>
                  <w:r>
                    <w:rPr>
                      <w:rFonts w:hint="default" w:ascii="Times New Roman" w:hAnsi="Times New Roman" w:cs="Times New Roman"/>
                      <w:color w:val="auto"/>
                      <w:sz w:val="21"/>
                      <w:szCs w:val="21"/>
                    </w:rPr>
                    <w:t>《交流输变电工程电磁环境监测方法（试行）》（HJ681-2013）</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39"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color w:val="auto"/>
                      <w:sz w:val="21"/>
                      <w:szCs w:val="21"/>
                    </w:rPr>
                  </w:pPr>
                </w:p>
              </w:tc>
              <w:tc>
                <w:tcPr>
                  <w:tcW w:w="880"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color w:val="auto"/>
                      <w:sz w:val="21"/>
                      <w:szCs w:val="21"/>
                    </w:rPr>
                  </w:pPr>
                </w:p>
              </w:tc>
              <w:tc>
                <w:tcPr>
                  <w:tcW w:w="123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监测频次</w:t>
                  </w:r>
                </w:p>
              </w:tc>
              <w:tc>
                <w:tcPr>
                  <w:tcW w:w="52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top"/>
                    <w:rPr>
                      <w:rFonts w:hint="eastAsia" w:ascii="Times New Roman" w:hAnsi="Times New Roman" w:cs="Times New Roman" w:eastAsiaTheme="minorEastAsia"/>
                      <w:color w:val="auto"/>
                      <w:sz w:val="21"/>
                      <w:szCs w:val="21"/>
                      <w:lang w:eastAsia="zh-CN"/>
                    </w:rPr>
                  </w:pPr>
                  <w:r>
                    <w:rPr>
                      <w:rFonts w:hint="default" w:ascii="Times New Roman" w:hAnsi="Times New Roman" w:cs="Times New Roman"/>
                      <w:color w:val="auto"/>
                      <w:sz w:val="21"/>
                      <w:szCs w:val="21"/>
                    </w:rPr>
                    <w:t>正式投产后结合竣工环境保护验收监测一次，其他情况根据需要定期进行监测，每年监测一次或有纠纷投诉时监测</w:t>
                  </w:r>
                  <w:r>
                    <w:rPr>
                      <w:rFonts w:hint="eastAsia" w:cs="Times New Roman"/>
                      <w:color w:val="auto"/>
                      <w:sz w:val="21"/>
                      <w:szCs w:val="21"/>
                      <w:lang w:eastAsia="zh-CN"/>
                    </w:rPr>
                    <w:t>，</w:t>
                  </w:r>
                  <w:r>
                    <w:rPr>
                      <w:rFonts w:hint="eastAsia" w:cs="Times New Roman"/>
                      <w:color w:val="auto"/>
                      <w:sz w:val="21"/>
                      <w:szCs w:val="21"/>
                      <w:lang w:val="en-US" w:eastAsia="zh-CN"/>
                    </w:rPr>
                    <w:t>在</w:t>
                  </w:r>
                  <w:r>
                    <w:rPr>
                      <w:rFonts w:hint="default" w:ascii="Times New Roman" w:hAnsi="Times New Roman" w:cs="Times New Roman"/>
                      <w:color w:val="auto"/>
                      <w:sz w:val="21"/>
                      <w:szCs w:val="21"/>
                    </w:rPr>
                    <w:t>白天晴好天气下监测</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39"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color w:val="auto"/>
                      <w:sz w:val="21"/>
                      <w:szCs w:val="21"/>
                    </w:rPr>
                  </w:pPr>
                  <w:r>
                    <w:rPr>
                      <w:rFonts w:hint="default" w:ascii="Times New Roman" w:hAnsi="Times New Roman" w:cs="Times New Roman"/>
                      <w:color w:val="auto"/>
                      <w:sz w:val="21"/>
                      <w:szCs w:val="21"/>
                    </w:rPr>
                    <w:t>2</w:t>
                  </w:r>
                </w:p>
              </w:tc>
              <w:tc>
                <w:tcPr>
                  <w:tcW w:w="880"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噪声</w:t>
                  </w:r>
                </w:p>
              </w:tc>
              <w:tc>
                <w:tcPr>
                  <w:tcW w:w="123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点位布设</w:t>
                  </w:r>
                </w:p>
              </w:tc>
              <w:tc>
                <w:tcPr>
                  <w:tcW w:w="52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升压站厂界外1m处</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39"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color w:val="auto"/>
                      <w:sz w:val="21"/>
                      <w:szCs w:val="21"/>
                    </w:rPr>
                  </w:pPr>
                </w:p>
              </w:tc>
              <w:tc>
                <w:tcPr>
                  <w:tcW w:w="880"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color w:val="auto"/>
                      <w:sz w:val="21"/>
                      <w:szCs w:val="21"/>
                    </w:rPr>
                  </w:pPr>
                </w:p>
              </w:tc>
              <w:tc>
                <w:tcPr>
                  <w:tcW w:w="123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监测因子</w:t>
                  </w:r>
                </w:p>
              </w:tc>
              <w:tc>
                <w:tcPr>
                  <w:tcW w:w="52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color w:val="auto"/>
                      <w:sz w:val="21"/>
                      <w:szCs w:val="21"/>
                    </w:rPr>
                  </w:pPr>
                  <w:r>
                    <w:rPr>
                      <w:rFonts w:hint="default" w:ascii="Times New Roman" w:hAnsi="Times New Roman" w:cs="Times New Roman"/>
                      <w:color w:val="auto"/>
                      <w:sz w:val="21"/>
                      <w:szCs w:val="21"/>
                    </w:rPr>
                    <w:t>1min等效连续A声级</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39"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color w:val="auto"/>
                      <w:sz w:val="21"/>
                      <w:szCs w:val="21"/>
                    </w:rPr>
                  </w:pPr>
                </w:p>
              </w:tc>
              <w:tc>
                <w:tcPr>
                  <w:tcW w:w="880"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color w:val="auto"/>
                      <w:sz w:val="21"/>
                      <w:szCs w:val="21"/>
                    </w:rPr>
                  </w:pPr>
                </w:p>
              </w:tc>
              <w:tc>
                <w:tcPr>
                  <w:tcW w:w="123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监测方法</w:t>
                  </w:r>
                </w:p>
              </w:tc>
              <w:tc>
                <w:tcPr>
                  <w:tcW w:w="52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《声环境质量标准》（GB3096-2008）、</w:t>
                  </w:r>
                </w:p>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《工业企业厂界环境噪声排放标准》（GB 12348-2008）</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39"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color w:val="auto"/>
                      <w:sz w:val="21"/>
                      <w:szCs w:val="21"/>
                    </w:rPr>
                  </w:pPr>
                </w:p>
              </w:tc>
              <w:tc>
                <w:tcPr>
                  <w:tcW w:w="880"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color w:val="auto"/>
                      <w:sz w:val="21"/>
                      <w:szCs w:val="21"/>
                    </w:rPr>
                  </w:pPr>
                </w:p>
              </w:tc>
              <w:tc>
                <w:tcPr>
                  <w:tcW w:w="123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top"/>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监测频次</w:t>
                  </w:r>
                </w:p>
              </w:tc>
              <w:tc>
                <w:tcPr>
                  <w:tcW w:w="52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top"/>
                    <w:rPr>
                      <w:rFonts w:hint="eastAsia" w:ascii="Times New Roman" w:hAnsi="Times New Roman" w:cs="Times New Roman" w:eastAsiaTheme="minorEastAsia"/>
                      <w:color w:val="auto"/>
                      <w:sz w:val="21"/>
                      <w:szCs w:val="21"/>
                      <w:lang w:eastAsia="zh-CN"/>
                    </w:rPr>
                  </w:pPr>
                  <w:r>
                    <w:rPr>
                      <w:rFonts w:hint="default" w:ascii="Times New Roman" w:hAnsi="Times New Roman" w:cs="Times New Roman"/>
                      <w:color w:val="auto"/>
                      <w:sz w:val="21"/>
                      <w:szCs w:val="21"/>
                    </w:rPr>
                    <w:t>正式投产后结合竣工环境保护验收监测一次，其他情况根据需要定期进行监测，每年监测一次或</w:t>
                  </w:r>
                  <w:r>
                    <w:rPr>
                      <w:rFonts w:hint="eastAsia" w:cs="Times New Roman"/>
                      <w:color w:val="auto"/>
                      <w:sz w:val="21"/>
                      <w:szCs w:val="21"/>
                      <w:lang w:val="en-US" w:eastAsia="zh-CN"/>
                    </w:rPr>
                    <w:t>大修</w:t>
                  </w:r>
                  <w:r>
                    <w:rPr>
                      <w:rFonts w:hint="default" w:ascii="Times New Roman" w:hAnsi="Times New Roman" w:cs="Times New Roman"/>
                      <w:color w:val="auto"/>
                      <w:sz w:val="21"/>
                      <w:szCs w:val="21"/>
                    </w:rPr>
                    <w:t>时监测</w:t>
                  </w:r>
                  <w:r>
                    <w:rPr>
                      <w:rFonts w:hint="eastAsia" w:cs="Times New Roman"/>
                      <w:color w:val="auto"/>
                      <w:sz w:val="21"/>
                      <w:szCs w:val="21"/>
                      <w:lang w:eastAsia="zh-CN"/>
                    </w:rPr>
                    <w:t>，</w:t>
                  </w:r>
                  <w:r>
                    <w:rPr>
                      <w:rFonts w:hint="default" w:ascii="Times New Roman" w:hAnsi="Times New Roman" w:cs="Times New Roman"/>
                      <w:color w:val="auto"/>
                      <w:sz w:val="21"/>
                      <w:szCs w:val="21"/>
                    </w:rPr>
                    <w:t>昼夜间</w:t>
                  </w:r>
                  <w:r>
                    <w:rPr>
                      <w:rFonts w:hint="eastAsia" w:cs="Times New Roman"/>
                      <w:color w:val="auto"/>
                      <w:sz w:val="21"/>
                      <w:szCs w:val="21"/>
                      <w:lang w:val="en-US" w:eastAsia="zh-CN"/>
                    </w:rPr>
                    <w:t>各</w:t>
                  </w:r>
                  <w:r>
                    <w:rPr>
                      <w:rFonts w:hint="default" w:ascii="Times New Roman" w:hAnsi="Times New Roman" w:cs="Times New Roman"/>
                      <w:color w:val="auto"/>
                      <w:sz w:val="21"/>
                      <w:szCs w:val="21"/>
                    </w:rPr>
                    <w:t>监测一次</w:t>
                  </w:r>
                </w:p>
              </w:tc>
            </w:tr>
          </w:tbl>
          <w:p>
            <w:pPr>
              <w:spacing w:line="360" w:lineRule="auto"/>
              <w:ind w:firstLine="0" w:firstLineChars="0"/>
              <w:contextualSpacing/>
              <w:jc w:val="left"/>
              <w:rPr>
                <w:rFonts w:hint="default" w:ascii="Times New Roman" w:hAnsi="Times New Roman" w:cs="Times New Roman" w:eastAsiaTheme="minorEastAsia"/>
                <w:bCs/>
                <w:color w:val="0000FF"/>
                <w:spacing w:val="10"/>
                <w:kern w:val="2"/>
                <w:sz w:val="24"/>
                <w:szCs w:val="21"/>
                <w:lang w:val="en-US" w:eastAsia="zh-CN" w:bidi="ar-SA"/>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938" w:hRule="atLeast"/>
          <w:jc w:val="center"/>
        </w:trPr>
        <w:tc>
          <w:tcPr>
            <w:tcW w:w="874" w:type="dxa"/>
            <w:tcMar>
              <w:left w:w="28" w:type="dxa"/>
              <w:right w:w="28" w:type="dxa"/>
            </w:tcMar>
            <w:vAlign w:val="center"/>
          </w:tcPr>
          <w:p>
            <w:pPr>
              <w:adjustRightInd w:val="0"/>
              <w:snapToGrid w:val="0"/>
              <w:spacing w:line="240" w:lineRule="auto"/>
              <w:ind w:firstLine="0" w:firstLineChars="0"/>
              <w:jc w:val="center"/>
              <w:rPr>
                <w:rFonts w:hint="default" w:ascii="Times New Roman" w:hAnsi="Times New Roman" w:cs="Times New Roman" w:eastAsiaTheme="minorEastAsia"/>
                <w:bCs/>
                <w:color w:val="0000FF"/>
                <w:spacing w:val="10"/>
                <w:kern w:val="2"/>
                <w:sz w:val="24"/>
                <w:szCs w:val="21"/>
                <w:lang w:val="en-US" w:eastAsia="zh-CN" w:bidi="ar-SA"/>
              </w:rPr>
            </w:pPr>
            <w:r>
              <w:rPr>
                <w:rFonts w:hint="default" w:ascii="Times New Roman" w:hAnsi="Times New Roman" w:cs="Times New Roman"/>
                <w:bCs/>
                <w:color w:val="auto"/>
                <w:szCs w:val="21"/>
              </w:rPr>
              <w:t>环保投资</w:t>
            </w:r>
          </w:p>
        </w:tc>
        <w:tc>
          <w:tcPr>
            <w:tcW w:w="8336" w:type="dxa"/>
            <w:vAlign w:val="top"/>
          </w:tcPr>
          <w:p>
            <w:pPr>
              <w:spacing w:line="360" w:lineRule="auto"/>
              <w:ind w:firstLine="480"/>
              <w:rPr>
                <w:rFonts w:hint="default" w:ascii="Times New Roman" w:hAnsi="Times New Roman" w:cs="Times New Roman"/>
                <w:color w:val="auto"/>
              </w:rPr>
            </w:pPr>
            <w:r>
              <w:rPr>
                <w:rFonts w:hint="default" w:ascii="Times New Roman" w:hAnsi="Times New Roman" w:cs="Times New Roman"/>
                <w:color w:val="auto"/>
              </w:rPr>
              <w:t>由于项目升压站与风电场</w:t>
            </w:r>
            <w:r>
              <w:rPr>
                <w:rFonts w:hint="default" w:ascii="Times New Roman" w:hAnsi="Times New Roman" w:cs="Times New Roman"/>
                <w:color w:val="auto"/>
                <w:lang w:val="en-US" w:eastAsia="zh-CN"/>
              </w:rPr>
              <w:t>同</w:t>
            </w:r>
            <w:r>
              <w:rPr>
                <w:rFonts w:hint="default" w:ascii="Times New Roman" w:hAnsi="Times New Roman" w:cs="Times New Roman"/>
                <w:color w:val="auto"/>
              </w:rPr>
              <w:t>步进行施工，升压站施工期环保措施可依托风电场采取的措施，因此本次评价仅对升压站运营期环保投资进行估算。</w:t>
            </w:r>
          </w:p>
          <w:p>
            <w:pPr>
              <w:spacing w:line="360" w:lineRule="auto"/>
              <w:ind w:firstLine="480"/>
              <w:rPr>
                <w:rFonts w:hint="default"/>
              </w:rPr>
            </w:pPr>
            <w:r>
              <w:rPr>
                <w:rFonts w:hint="default" w:ascii="Times New Roman" w:hAnsi="Times New Roman" w:cs="Times New Roman"/>
                <w:color w:val="auto"/>
              </w:rPr>
              <w:t>项目升压站总投资为</w:t>
            </w:r>
            <w:r>
              <w:rPr>
                <w:rFonts w:hint="default" w:ascii="Times New Roman" w:hAnsi="Times New Roman" w:cs="Times New Roman"/>
                <w:color w:val="auto"/>
                <w:lang w:val="en-US" w:eastAsia="zh-CN"/>
              </w:rPr>
              <w:t>2154</w:t>
            </w:r>
            <w:r>
              <w:rPr>
                <w:rFonts w:hint="default" w:ascii="Times New Roman" w:hAnsi="Times New Roman" w:cs="Times New Roman"/>
                <w:color w:val="auto"/>
              </w:rPr>
              <w:t>万元，其中环保投资为</w:t>
            </w:r>
            <w:r>
              <w:rPr>
                <w:rFonts w:hint="default" w:ascii="Times New Roman" w:hAnsi="Times New Roman" w:cs="Times New Roman"/>
                <w:color w:val="auto"/>
                <w:lang w:val="en-US" w:eastAsia="zh-CN"/>
              </w:rPr>
              <w:t>58</w:t>
            </w:r>
            <w:r>
              <w:rPr>
                <w:rFonts w:hint="default" w:ascii="Times New Roman" w:hAnsi="Times New Roman" w:cs="Times New Roman"/>
                <w:color w:val="auto"/>
              </w:rPr>
              <w:t>万元，占总投资的</w:t>
            </w:r>
            <w:r>
              <w:rPr>
                <w:rFonts w:hint="default" w:ascii="Times New Roman" w:hAnsi="Times New Roman" w:cs="Times New Roman"/>
                <w:color w:val="auto"/>
                <w:lang w:val="en-US" w:eastAsia="zh-CN"/>
              </w:rPr>
              <w:t>2.7</w:t>
            </w:r>
            <w:r>
              <w:rPr>
                <w:rFonts w:hint="default" w:ascii="Times New Roman" w:hAnsi="Times New Roman" w:cs="Times New Roman"/>
                <w:color w:val="auto"/>
              </w:rPr>
              <w:t>%。本工程的环保措施投资估算见</w:t>
            </w:r>
            <w:r>
              <w:rPr>
                <w:rFonts w:hint="default" w:ascii="Times New Roman" w:hAnsi="Times New Roman" w:cs="Times New Roman"/>
                <w:color w:val="auto"/>
                <w:lang w:val="en-US" w:eastAsia="zh-CN"/>
              </w:rPr>
              <w:t>下表</w:t>
            </w:r>
            <w:r>
              <w:rPr>
                <w:rFonts w:hint="default" w:ascii="Times New Roman" w:hAnsi="Times New Roman" w:cs="Times New Roman"/>
                <w:color w:val="auto"/>
              </w:rPr>
              <w:t>。</w:t>
            </w:r>
          </w:p>
          <w:p>
            <w:pPr>
              <w:pStyle w:val="72"/>
              <w:spacing w:before="163"/>
              <w:ind w:firstLine="474"/>
              <w:textAlignment w:val="auto"/>
              <w:rPr>
                <w:rFonts w:hint="default" w:ascii="Times New Roman" w:hAnsi="Times New Roman" w:eastAsia="宋体" w:cs="Times New Roman"/>
                <w:szCs w:val="21"/>
              </w:rPr>
            </w:pPr>
            <w:r>
              <w:rPr>
                <w:rFonts w:hint="default" w:ascii="Times New Roman" w:hAnsi="Times New Roman" w:eastAsia="宋体" w:cs="Times New Roman"/>
                <w:szCs w:val="21"/>
              </w:rPr>
              <w:t xml:space="preserve">   环保措施投资估算表</w:t>
            </w:r>
          </w:p>
          <w:tbl>
            <w:tblPr>
              <w:tblStyle w:val="22"/>
              <w:tblW w:w="5000" w:type="pct"/>
              <w:jc w:val="center"/>
              <w:tblBorders>
                <w:top w:val="single" w:color="auto" w:sz="8" w:space="0"/>
                <w:left w:val="none" w:color="auto" w:sz="0" w:space="0"/>
                <w:bottom w:val="single" w:color="auto" w:sz="8" w:space="0"/>
                <w:right w:val="none" w:color="auto" w:sz="0" w:space="0"/>
                <w:insideH w:val="single" w:color="auto" w:sz="4" w:space="0"/>
                <w:insideV w:val="single" w:color="auto" w:sz="4" w:space="0"/>
              </w:tblBorders>
              <w:tblLayout w:type="autofit"/>
              <w:tblCellMar>
                <w:top w:w="0" w:type="dxa"/>
                <w:left w:w="28" w:type="dxa"/>
                <w:bottom w:w="0" w:type="dxa"/>
                <w:right w:w="28" w:type="dxa"/>
              </w:tblCellMar>
            </w:tblPr>
            <w:tblGrid>
              <w:gridCol w:w="628"/>
              <w:gridCol w:w="5283"/>
              <w:gridCol w:w="2209"/>
            </w:tblGrid>
            <w:tr>
              <w:tblPrEx>
                <w:tblBorders>
                  <w:top w:val="single" w:color="auto" w:sz="8" w:space="0"/>
                  <w:left w:val="none" w:color="auto" w:sz="0" w:space="0"/>
                  <w:bottom w:val="single" w:color="auto" w:sz="8"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387" w:type="pct"/>
                  <w:tcBorders>
                    <w:tl2br w:val="nil"/>
                    <w:tr2bl w:val="nil"/>
                  </w:tcBorders>
                  <w:vAlign w:val="center"/>
                </w:tcPr>
                <w:p>
                  <w:pPr>
                    <w:spacing w:line="320" w:lineRule="exact"/>
                    <w:ind w:firstLine="0" w:firstLineChars="0"/>
                    <w:contextualSpacing/>
                    <w:jc w:val="center"/>
                    <w:rPr>
                      <w:rFonts w:hint="default" w:ascii="Times New Roman" w:hAnsi="Times New Roman" w:cs="Times New Roman"/>
                      <w:bCs/>
                      <w:color w:val="auto"/>
                      <w:spacing w:val="10"/>
                      <w:sz w:val="21"/>
                      <w:szCs w:val="21"/>
                    </w:rPr>
                  </w:pPr>
                  <w:r>
                    <w:rPr>
                      <w:rFonts w:hint="default" w:ascii="Times New Roman" w:hAnsi="Times New Roman" w:cs="Times New Roman"/>
                      <w:bCs/>
                      <w:color w:val="auto"/>
                      <w:spacing w:val="10"/>
                      <w:sz w:val="21"/>
                      <w:szCs w:val="21"/>
                    </w:rPr>
                    <w:t>序号</w:t>
                  </w:r>
                </w:p>
              </w:tc>
              <w:tc>
                <w:tcPr>
                  <w:tcW w:w="3253" w:type="pct"/>
                  <w:tcBorders>
                    <w:tl2br w:val="nil"/>
                    <w:tr2bl w:val="nil"/>
                  </w:tcBorders>
                  <w:vAlign w:val="center"/>
                </w:tcPr>
                <w:p>
                  <w:pPr>
                    <w:spacing w:line="320" w:lineRule="exact"/>
                    <w:ind w:firstLine="0" w:firstLineChars="0"/>
                    <w:contextualSpacing/>
                    <w:jc w:val="center"/>
                    <w:rPr>
                      <w:rFonts w:hint="default" w:ascii="Times New Roman" w:hAnsi="Times New Roman" w:cs="Times New Roman"/>
                      <w:bCs/>
                      <w:color w:val="auto"/>
                      <w:spacing w:val="10"/>
                      <w:sz w:val="21"/>
                      <w:szCs w:val="21"/>
                    </w:rPr>
                  </w:pPr>
                  <w:r>
                    <w:rPr>
                      <w:rFonts w:hint="default" w:ascii="Times New Roman" w:hAnsi="Times New Roman" w:cs="Times New Roman"/>
                      <w:bCs/>
                      <w:color w:val="auto"/>
                      <w:spacing w:val="10"/>
                      <w:sz w:val="21"/>
                      <w:szCs w:val="21"/>
                    </w:rPr>
                    <w:t>项  目</w:t>
                  </w:r>
                </w:p>
              </w:tc>
              <w:tc>
                <w:tcPr>
                  <w:tcW w:w="1359" w:type="pct"/>
                  <w:tcBorders>
                    <w:tl2br w:val="nil"/>
                    <w:tr2bl w:val="nil"/>
                  </w:tcBorders>
                  <w:vAlign w:val="center"/>
                </w:tcPr>
                <w:p>
                  <w:pPr>
                    <w:spacing w:line="320" w:lineRule="exact"/>
                    <w:ind w:firstLine="0" w:firstLineChars="0"/>
                    <w:contextualSpacing/>
                    <w:jc w:val="center"/>
                    <w:rPr>
                      <w:rFonts w:hint="default" w:ascii="Times New Roman" w:hAnsi="Times New Roman" w:cs="Times New Roman"/>
                      <w:bCs/>
                      <w:color w:val="auto"/>
                      <w:spacing w:val="10"/>
                      <w:sz w:val="21"/>
                      <w:szCs w:val="21"/>
                    </w:rPr>
                  </w:pPr>
                  <w:r>
                    <w:rPr>
                      <w:rFonts w:hint="default" w:ascii="Times New Roman" w:hAnsi="Times New Roman" w:cs="Times New Roman"/>
                      <w:bCs/>
                      <w:color w:val="auto"/>
                      <w:spacing w:val="10"/>
                      <w:sz w:val="21"/>
                      <w:szCs w:val="21"/>
                    </w:rPr>
                    <w:t>投资估算（万元）</w:t>
                  </w:r>
                </w:p>
              </w:tc>
            </w:tr>
            <w:tr>
              <w:tblPrEx>
                <w:tblBorders>
                  <w:top w:val="single" w:color="auto" w:sz="8" w:space="0"/>
                  <w:left w:val="none" w:color="auto" w:sz="0" w:space="0"/>
                  <w:bottom w:val="single" w:color="auto" w:sz="8"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5000" w:type="pct"/>
                  <w:gridSpan w:val="3"/>
                  <w:tcBorders>
                    <w:tl2br w:val="nil"/>
                    <w:tr2bl w:val="nil"/>
                  </w:tcBorders>
                  <w:vAlign w:val="center"/>
                </w:tcPr>
                <w:p>
                  <w:pPr>
                    <w:spacing w:line="320" w:lineRule="exact"/>
                    <w:ind w:firstLine="0" w:firstLineChars="0"/>
                    <w:contextualSpacing/>
                    <w:jc w:val="center"/>
                    <w:rPr>
                      <w:rFonts w:hint="default" w:ascii="Times New Roman" w:hAnsi="Times New Roman" w:cs="Times New Roman"/>
                      <w:bCs/>
                      <w:color w:val="auto"/>
                      <w:spacing w:val="10"/>
                      <w:sz w:val="21"/>
                      <w:szCs w:val="21"/>
                    </w:rPr>
                  </w:pPr>
                  <w:r>
                    <w:rPr>
                      <w:rFonts w:hint="default" w:ascii="Times New Roman" w:hAnsi="Times New Roman" w:cs="Times New Roman"/>
                      <w:bCs/>
                      <w:color w:val="auto"/>
                      <w:spacing w:val="10"/>
                      <w:sz w:val="21"/>
                      <w:szCs w:val="21"/>
                    </w:rPr>
                    <w:t>环境保护设施费用</w:t>
                  </w:r>
                </w:p>
              </w:tc>
            </w:tr>
            <w:tr>
              <w:tblPrEx>
                <w:tblBorders>
                  <w:top w:val="single" w:color="auto" w:sz="8" w:space="0"/>
                  <w:left w:val="none" w:color="auto" w:sz="0" w:space="0"/>
                  <w:bottom w:val="single" w:color="auto" w:sz="8"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387" w:type="pct"/>
                  <w:tcBorders>
                    <w:tl2br w:val="nil"/>
                    <w:tr2bl w:val="nil"/>
                  </w:tcBorders>
                  <w:shd w:val="clear" w:color="auto" w:fill="auto"/>
                  <w:vAlign w:val="center"/>
                </w:tcPr>
                <w:p>
                  <w:pPr>
                    <w:spacing w:line="320" w:lineRule="exact"/>
                    <w:ind w:firstLine="0" w:firstLineChars="0"/>
                    <w:contextualSpacing/>
                    <w:jc w:val="center"/>
                    <w:rPr>
                      <w:rFonts w:hint="default" w:ascii="Times New Roman" w:hAnsi="Times New Roman" w:cs="Times New Roman"/>
                      <w:bCs/>
                      <w:color w:val="auto"/>
                      <w:spacing w:val="10"/>
                      <w:sz w:val="21"/>
                      <w:szCs w:val="21"/>
                    </w:rPr>
                  </w:pPr>
                  <w:r>
                    <w:rPr>
                      <w:rFonts w:hint="default" w:ascii="Times New Roman" w:hAnsi="Times New Roman" w:cs="Times New Roman"/>
                      <w:bCs/>
                      <w:color w:val="auto"/>
                      <w:spacing w:val="10"/>
                      <w:sz w:val="21"/>
                      <w:szCs w:val="21"/>
                    </w:rPr>
                    <w:t>1</w:t>
                  </w:r>
                </w:p>
              </w:tc>
              <w:tc>
                <w:tcPr>
                  <w:tcW w:w="3253" w:type="pct"/>
                  <w:tcBorders>
                    <w:tl2br w:val="nil"/>
                    <w:tr2bl w:val="nil"/>
                  </w:tcBorders>
                  <w:vAlign w:val="center"/>
                </w:tcPr>
                <w:p>
                  <w:pPr>
                    <w:spacing w:line="320" w:lineRule="exact"/>
                    <w:ind w:firstLine="0" w:firstLineChars="0"/>
                    <w:contextualSpacing/>
                    <w:jc w:val="center"/>
                    <w:rPr>
                      <w:rFonts w:hint="default" w:ascii="Times New Roman" w:hAnsi="Times New Roman" w:cs="Times New Roman" w:eastAsiaTheme="minorEastAsia"/>
                      <w:bCs/>
                      <w:color w:val="auto"/>
                      <w:spacing w:val="10"/>
                      <w:sz w:val="21"/>
                      <w:szCs w:val="21"/>
                      <w:highlight w:val="none"/>
                      <w:lang w:val="en-US" w:eastAsia="zh-CN"/>
                    </w:rPr>
                  </w:pPr>
                  <w:r>
                    <w:rPr>
                      <w:rFonts w:hint="eastAsia" w:ascii="Times New Roman" w:hAnsi="Times New Roman" w:cs="Times New Roman"/>
                      <w:bCs/>
                      <w:color w:val="auto"/>
                      <w:spacing w:val="10"/>
                      <w:sz w:val="21"/>
                      <w:szCs w:val="21"/>
                      <w:highlight w:val="none"/>
                      <w:lang w:val="en-US" w:eastAsia="zh-CN"/>
                    </w:rPr>
                    <w:t>废气：</w:t>
                  </w:r>
                  <w:r>
                    <w:rPr>
                      <w:rFonts w:hint="eastAsia" w:ascii="Times New Roman" w:hAnsi="Times New Roman"/>
                      <w:spacing w:val="-2"/>
                      <w:sz w:val="21"/>
                      <w:szCs w:val="21"/>
                      <w:highlight w:val="none"/>
                      <w:lang w:val="en-US" w:eastAsia="zh-CN"/>
                    </w:rPr>
                    <w:t>接地变压器、六氟化硫断路器</w:t>
                  </w:r>
                  <w:r>
                    <w:rPr>
                      <w:rFonts w:hint="eastAsia"/>
                      <w:spacing w:val="-2"/>
                      <w:sz w:val="21"/>
                      <w:szCs w:val="21"/>
                      <w:highlight w:val="none"/>
                      <w:lang w:val="en-US" w:eastAsia="zh-CN"/>
                    </w:rPr>
                    <w:t>，</w:t>
                  </w:r>
                  <w:r>
                    <w:rPr>
                      <w:rFonts w:hint="eastAsia" w:ascii="Times New Roman" w:hAnsi="Times New Roman" w:cs="Times New Roman"/>
                      <w:bCs/>
                      <w:color w:val="auto"/>
                      <w:spacing w:val="10"/>
                      <w:sz w:val="21"/>
                      <w:szCs w:val="21"/>
                      <w:highlight w:val="none"/>
                      <w:lang w:val="en-US" w:eastAsia="zh-CN"/>
                    </w:rPr>
                    <w:t>油烟净化器</w:t>
                  </w:r>
                </w:p>
              </w:tc>
              <w:tc>
                <w:tcPr>
                  <w:tcW w:w="1359" w:type="pct"/>
                  <w:tcBorders>
                    <w:tl2br w:val="nil"/>
                    <w:tr2bl w:val="nil"/>
                  </w:tcBorders>
                  <w:vAlign w:val="center"/>
                </w:tcPr>
                <w:p>
                  <w:pPr>
                    <w:spacing w:line="320" w:lineRule="exact"/>
                    <w:ind w:firstLine="0" w:firstLineChars="0"/>
                    <w:contextualSpacing/>
                    <w:jc w:val="center"/>
                    <w:rPr>
                      <w:rFonts w:hint="default" w:ascii="Times New Roman" w:hAnsi="Times New Roman" w:cs="Times New Roman" w:eastAsiaTheme="minorEastAsia"/>
                      <w:bCs/>
                      <w:color w:val="auto"/>
                      <w:spacing w:val="10"/>
                      <w:sz w:val="21"/>
                      <w:szCs w:val="21"/>
                      <w:highlight w:val="none"/>
                      <w:lang w:val="en-US" w:eastAsia="zh-CN"/>
                    </w:rPr>
                  </w:pPr>
                  <w:r>
                    <w:rPr>
                      <w:rFonts w:hint="eastAsia" w:ascii="Times New Roman" w:hAnsi="Times New Roman" w:cs="Times New Roman"/>
                      <w:bCs/>
                      <w:color w:val="auto"/>
                      <w:spacing w:val="10"/>
                      <w:sz w:val="21"/>
                      <w:szCs w:val="21"/>
                      <w:highlight w:val="none"/>
                      <w:lang w:val="en-US" w:eastAsia="zh-CN"/>
                    </w:rPr>
                    <w:t>1</w:t>
                  </w:r>
                </w:p>
              </w:tc>
            </w:tr>
            <w:tr>
              <w:tblPrEx>
                <w:tblBorders>
                  <w:top w:val="single" w:color="auto" w:sz="8" w:space="0"/>
                  <w:left w:val="none" w:color="auto" w:sz="0" w:space="0"/>
                  <w:bottom w:val="single" w:color="auto" w:sz="8"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387" w:type="pct"/>
                  <w:tcBorders>
                    <w:tl2br w:val="nil"/>
                    <w:tr2bl w:val="nil"/>
                  </w:tcBorders>
                  <w:shd w:val="clear" w:color="auto" w:fill="auto"/>
                  <w:vAlign w:val="center"/>
                </w:tcPr>
                <w:p>
                  <w:pPr>
                    <w:spacing w:line="320" w:lineRule="exact"/>
                    <w:ind w:firstLine="0" w:firstLineChars="0"/>
                    <w:contextualSpacing/>
                    <w:jc w:val="center"/>
                    <w:rPr>
                      <w:rFonts w:hint="eastAsia" w:ascii="Times New Roman" w:hAnsi="Times New Roman" w:cs="Times New Roman" w:eastAsiaTheme="minorEastAsia"/>
                      <w:bCs/>
                      <w:color w:val="auto"/>
                      <w:spacing w:val="10"/>
                      <w:sz w:val="21"/>
                      <w:szCs w:val="21"/>
                      <w:lang w:val="en-US" w:eastAsia="zh-CN"/>
                    </w:rPr>
                  </w:pPr>
                  <w:r>
                    <w:rPr>
                      <w:rFonts w:hint="eastAsia" w:ascii="Times New Roman" w:hAnsi="Times New Roman" w:cs="Times New Roman"/>
                      <w:bCs/>
                      <w:color w:val="auto"/>
                      <w:spacing w:val="10"/>
                      <w:sz w:val="21"/>
                      <w:szCs w:val="21"/>
                      <w:lang w:val="en-US" w:eastAsia="zh-CN"/>
                    </w:rPr>
                    <w:t>2</w:t>
                  </w:r>
                </w:p>
              </w:tc>
              <w:tc>
                <w:tcPr>
                  <w:tcW w:w="3253" w:type="pct"/>
                  <w:tcBorders>
                    <w:tl2br w:val="nil"/>
                    <w:tr2bl w:val="nil"/>
                  </w:tcBorders>
                  <w:vAlign w:val="center"/>
                </w:tcPr>
                <w:p>
                  <w:pPr>
                    <w:spacing w:line="320" w:lineRule="exact"/>
                    <w:ind w:firstLine="0" w:firstLineChars="0"/>
                    <w:contextualSpacing/>
                    <w:jc w:val="center"/>
                    <w:rPr>
                      <w:rFonts w:hint="default" w:ascii="Times New Roman" w:hAnsi="Times New Roman" w:cs="Times New Roman" w:eastAsiaTheme="minorEastAsia"/>
                      <w:bCs/>
                      <w:color w:val="auto"/>
                      <w:spacing w:val="10"/>
                      <w:kern w:val="2"/>
                      <w:sz w:val="21"/>
                      <w:szCs w:val="21"/>
                      <w:highlight w:val="none"/>
                      <w:lang w:val="en-US" w:eastAsia="zh-CN" w:bidi="ar-SA"/>
                    </w:rPr>
                  </w:pPr>
                  <w:r>
                    <w:rPr>
                      <w:rFonts w:hint="default" w:ascii="Times New Roman" w:hAnsi="Times New Roman" w:cs="Times New Roman"/>
                      <w:bCs/>
                      <w:color w:val="auto"/>
                      <w:spacing w:val="10"/>
                      <w:sz w:val="21"/>
                      <w:szCs w:val="21"/>
                      <w:highlight w:val="none"/>
                    </w:rPr>
                    <w:t>废水</w:t>
                  </w:r>
                  <w:r>
                    <w:rPr>
                      <w:rFonts w:hint="default" w:ascii="Times New Roman" w:hAnsi="Times New Roman" w:cs="Times New Roman"/>
                      <w:bCs/>
                      <w:color w:val="auto"/>
                      <w:spacing w:val="10"/>
                      <w:sz w:val="21"/>
                      <w:szCs w:val="21"/>
                      <w:highlight w:val="none"/>
                      <w:lang w:eastAsia="zh-CN"/>
                    </w:rPr>
                    <w:t>：</w:t>
                  </w:r>
                  <w:r>
                    <w:rPr>
                      <w:rFonts w:hint="default" w:ascii="Times New Roman" w:hAnsi="Times New Roman" w:cs="Times New Roman"/>
                      <w:bCs/>
                      <w:color w:val="auto"/>
                      <w:spacing w:val="10"/>
                      <w:sz w:val="21"/>
                      <w:szCs w:val="21"/>
                      <w:highlight w:val="none"/>
                      <w:lang w:val="en-US" w:eastAsia="zh-CN"/>
                    </w:rPr>
                    <w:t>化粪池、隔油池、一体化污水处理设备等</w:t>
                  </w:r>
                </w:p>
              </w:tc>
              <w:tc>
                <w:tcPr>
                  <w:tcW w:w="1359" w:type="pct"/>
                  <w:tcBorders>
                    <w:tl2br w:val="nil"/>
                    <w:tr2bl w:val="nil"/>
                  </w:tcBorders>
                  <w:vAlign w:val="center"/>
                </w:tcPr>
                <w:p>
                  <w:pPr>
                    <w:spacing w:line="320" w:lineRule="exact"/>
                    <w:ind w:firstLine="0" w:firstLineChars="0"/>
                    <w:contextualSpacing/>
                    <w:jc w:val="center"/>
                    <w:rPr>
                      <w:rFonts w:hint="default" w:ascii="Times New Roman" w:hAnsi="Times New Roman" w:cs="Times New Roman" w:eastAsiaTheme="minorEastAsia"/>
                      <w:bCs/>
                      <w:color w:val="auto"/>
                      <w:spacing w:val="10"/>
                      <w:kern w:val="2"/>
                      <w:sz w:val="21"/>
                      <w:szCs w:val="21"/>
                      <w:highlight w:val="none"/>
                      <w:lang w:val="en-US" w:eastAsia="zh-CN" w:bidi="ar-SA"/>
                    </w:rPr>
                  </w:pPr>
                  <w:r>
                    <w:rPr>
                      <w:rFonts w:hint="default" w:ascii="Times New Roman" w:hAnsi="Times New Roman" w:cs="Times New Roman"/>
                      <w:bCs/>
                      <w:color w:val="auto"/>
                      <w:spacing w:val="10"/>
                      <w:sz w:val="21"/>
                      <w:szCs w:val="21"/>
                      <w:highlight w:val="none"/>
                      <w:lang w:val="en-US" w:eastAsia="zh-CN"/>
                    </w:rPr>
                    <w:t>10</w:t>
                  </w:r>
                </w:p>
              </w:tc>
            </w:tr>
            <w:tr>
              <w:tblPrEx>
                <w:tblBorders>
                  <w:top w:val="single" w:color="auto" w:sz="8" w:space="0"/>
                  <w:left w:val="none" w:color="auto" w:sz="0" w:space="0"/>
                  <w:bottom w:val="single" w:color="auto" w:sz="8"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387" w:type="pct"/>
                  <w:tcBorders>
                    <w:tl2br w:val="nil"/>
                    <w:tr2bl w:val="nil"/>
                  </w:tcBorders>
                  <w:shd w:val="clear" w:color="auto" w:fill="auto"/>
                  <w:vAlign w:val="center"/>
                </w:tcPr>
                <w:p>
                  <w:pPr>
                    <w:spacing w:line="320" w:lineRule="exact"/>
                    <w:ind w:firstLine="0" w:firstLineChars="0"/>
                    <w:contextualSpacing/>
                    <w:jc w:val="center"/>
                    <w:rPr>
                      <w:rFonts w:hint="eastAsia" w:ascii="Times New Roman" w:hAnsi="Times New Roman" w:cs="Times New Roman" w:eastAsiaTheme="minorEastAsia"/>
                      <w:bCs/>
                      <w:color w:val="auto"/>
                      <w:spacing w:val="10"/>
                      <w:sz w:val="21"/>
                      <w:szCs w:val="21"/>
                      <w:lang w:val="en-US" w:eastAsia="zh-CN"/>
                    </w:rPr>
                  </w:pPr>
                  <w:r>
                    <w:rPr>
                      <w:rFonts w:hint="eastAsia" w:ascii="Times New Roman" w:hAnsi="Times New Roman" w:cs="Times New Roman"/>
                      <w:bCs/>
                      <w:color w:val="auto"/>
                      <w:spacing w:val="10"/>
                      <w:sz w:val="21"/>
                      <w:szCs w:val="21"/>
                      <w:lang w:val="en-US" w:eastAsia="zh-CN"/>
                    </w:rPr>
                    <w:t>3</w:t>
                  </w:r>
                </w:p>
              </w:tc>
              <w:tc>
                <w:tcPr>
                  <w:tcW w:w="3253" w:type="pct"/>
                  <w:tcBorders>
                    <w:tl2br w:val="nil"/>
                    <w:tr2bl w:val="nil"/>
                  </w:tcBorders>
                  <w:vAlign w:val="center"/>
                </w:tcPr>
                <w:p>
                  <w:pPr>
                    <w:spacing w:line="320" w:lineRule="exact"/>
                    <w:ind w:firstLine="0" w:firstLineChars="0"/>
                    <w:contextualSpacing/>
                    <w:jc w:val="center"/>
                    <w:rPr>
                      <w:rFonts w:hint="default" w:ascii="Times New Roman" w:hAnsi="Times New Roman" w:cs="Times New Roman" w:eastAsiaTheme="minorEastAsia"/>
                      <w:bCs/>
                      <w:color w:val="auto"/>
                      <w:spacing w:val="10"/>
                      <w:sz w:val="21"/>
                      <w:szCs w:val="21"/>
                      <w:highlight w:val="none"/>
                      <w:lang w:val="en-US" w:eastAsia="zh-CN"/>
                    </w:rPr>
                  </w:pPr>
                  <w:r>
                    <w:rPr>
                      <w:rFonts w:hint="eastAsia" w:cs="Times New Roman"/>
                      <w:bCs/>
                      <w:color w:val="auto"/>
                      <w:spacing w:val="10"/>
                      <w:sz w:val="21"/>
                      <w:szCs w:val="21"/>
                      <w:highlight w:val="none"/>
                      <w:lang w:val="en-US" w:eastAsia="zh-CN"/>
                    </w:rPr>
                    <w:t>噪声低</w:t>
                  </w:r>
                  <w:r>
                    <w:rPr>
                      <w:rFonts w:hint="default" w:ascii="Times New Roman" w:hAnsi="Times New Roman" w:cs="Times New Roman"/>
                      <w:bCs/>
                      <w:color w:val="auto"/>
                      <w:spacing w:val="10"/>
                      <w:sz w:val="21"/>
                      <w:szCs w:val="21"/>
                      <w:highlight w:val="none"/>
                    </w:rPr>
                    <w:t>噪声</w:t>
                  </w:r>
                  <w:r>
                    <w:rPr>
                      <w:rFonts w:hint="eastAsia" w:cs="Times New Roman"/>
                      <w:bCs/>
                      <w:color w:val="auto"/>
                      <w:spacing w:val="10"/>
                      <w:sz w:val="21"/>
                      <w:szCs w:val="21"/>
                      <w:highlight w:val="none"/>
                      <w:lang w:val="en-US" w:eastAsia="zh-CN"/>
                    </w:rPr>
                    <w:t>设备、隔声措施等</w:t>
                  </w:r>
                </w:p>
              </w:tc>
              <w:tc>
                <w:tcPr>
                  <w:tcW w:w="1359" w:type="pct"/>
                  <w:tcBorders>
                    <w:tl2br w:val="nil"/>
                    <w:tr2bl w:val="nil"/>
                  </w:tcBorders>
                  <w:vAlign w:val="center"/>
                </w:tcPr>
                <w:p>
                  <w:pPr>
                    <w:spacing w:line="320" w:lineRule="exact"/>
                    <w:ind w:firstLine="0" w:firstLineChars="0"/>
                    <w:contextualSpacing/>
                    <w:jc w:val="center"/>
                    <w:rPr>
                      <w:rFonts w:hint="default" w:ascii="Times New Roman" w:hAnsi="Times New Roman" w:cs="Times New Roman" w:eastAsiaTheme="minorEastAsia"/>
                      <w:bCs/>
                      <w:color w:val="auto"/>
                      <w:spacing w:val="10"/>
                      <w:sz w:val="21"/>
                      <w:szCs w:val="21"/>
                      <w:highlight w:val="none"/>
                      <w:lang w:eastAsia="zh-CN"/>
                    </w:rPr>
                  </w:pPr>
                  <w:r>
                    <w:rPr>
                      <w:rFonts w:hint="eastAsia" w:cs="Times New Roman"/>
                      <w:bCs/>
                      <w:color w:val="auto"/>
                      <w:spacing w:val="10"/>
                      <w:sz w:val="21"/>
                      <w:szCs w:val="21"/>
                      <w:highlight w:val="none"/>
                      <w:lang w:val="en-US" w:eastAsia="zh-CN"/>
                    </w:rPr>
                    <w:t>3</w:t>
                  </w:r>
                </w:p>
              </w:tc>
            </w:tr>
            <w:tr>
              <w:tblPrEx>
                <w:tblBorders>
                  <w:top w:val="single" w:color="auto" w:sz="8" w:space="0"/>
                  <w:left w:val="none" w:color="auto" w:sz="0" w:space="0"/>
                  <w:bottom w:val="single" w:color="auto" w:sz="8"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387" w:type="pct"/>
                  <w:tcBorders>
                    <w:tl2br w:val="nil"/>
                    <w:tr2bl w:val="nil"/>
                  </w:tcBorders>
                  <w:shd w:val="clear" w:color="auto" w:fill="auto"/>
                  <w:vAlign w:val="center"/>
                </w:tcPr>
                <w:p>
                  <w:pPr>
                    <w:spacing w:line="320" w:lineRule="exact"/>
                    <w:ind w:firstLine="0" w:firstLineChars="0"/>
                    <w:contextualSpacing/>
                    <w:jc w:val="center"/>
                    <w:rPr>
                      <w:rFonts w:hint="eastAsia" w:ascii="Times New Roman" w:hAnsi="Times New Roman" w:cs="Times New Roman" w:eastAsiaTheme="minorEastAsia"/>
                      <w:bCs/>
                      <w:color w:val="auto"/>
                      <w:spacing w:val="10"/>
                      <w:sz w:val="21"/>
                      <w:szCs w:val="21"/>
                      <w:lang w:val="en-US" w:eastAsia="zh-CN"/>
                    </w:rPr>
                  </w:pPr>
                  <w:r>
                    <w:rPr>
                      <w:rFonts w:hint="eastAsia" w:ascii="Times New Roman" w:hAnsi="Times New Roman" w:cs="Times New Roman"/>
                      <w:bCs/>
                      <w:color w:val="auto"/>
                      <w:spacing w:val="10"/>
                      <w:sz w:val="21"/>
                      <w:szCs w:val="21"/>
                      <w:lang w:val="en-US" w:eastAsia="zh-CN"/>
                    </w:rPr>
                    <w:t>4</w:t>
                  </w:r>
                </w:p>
              </w:tc>
              <w:tc>
                <w:tcPr>
                  <w:tcW w:w="3253" w:type="pct"/>
                  <w:tcBorders>
                    <w:tl2br w:val="nil"/>
                    <w:tr2bl w:val="nil"/>
                  </w:tcBorders>
                  <w:vAlign w:val="center"/>
                </w:tcPr>
                <w:p>
                  <w:pPr>
                    <w:spacing w:line="320" w:lineRule="exact"/>
                    <w:ind w:firstLine="0" w:firstLineChars="0"/>
                    <w:contextualSpacing/>
                    <w:jc w:val="center"/>
                    <w:rPr>
                      <w:rFonts w:hint="default" w:ascii="Times New Roman" w:hAnsi="Times New Roman" w:cs="Times New Roman" w:eastAsiaTheme="minorEastAsia"/>
                      <w:bCs/>
                      <w:color w:val="auto"/>
                      <w:spacing w:val="10"/>
                      <w:sz w:val="21"/>
                      <w:szCs w:val="21"/>
                      <w:highlight w:val="none"/>
                      <w:lang w:val="en-US" w:eastAsia="zh-CN"/>
                    </w:rPr>
                  </w:pPr>
                  <w:r>
                    <w:rPr>
                      <w:rFonts w:hint="default" w:ascii="Times New Roman" w:hAnsi="Times New Roman" w:cs="Times New Roman"/>
                      <w:bCs/>
                      <w:color w:val="auto"/>
                      <w:spacing w:val="10"/>
                      <w:sz w:val="21"/>
                      <w:szCs w:val="21"/>
                      <w:highlight w:val="none"/>
                    </w:rPr>
                    <w:t>固废</w:t>
                  </w:r>
                  <w:r>
                    <w:rPr>
                      <w:rFonts w:hint="default" w:ascii="Times New Roman" w:hAnsi="Times New Roman" w:cs="Times New Roman"/>
                      <w:bCs/>
                      <w:color w:val="auto"/>
                      <w:spacing w:val="10"/>
                      <w:sz w:val="21"/>
                      <w:szCs w:val="21"/>
                      <w:highlight w:val="none"/>
                      <w:lang w:eastAsia="zh-CN"/>
                    </w:rPr>
                    <w:t>：</w:t>
                  </w:r>
                  <w:r>
                    <w:rPr>
                      <w:rFonts w:hint="default" w:ascii="Times New Roman" w:hAnsi="Times New Roman" w:cs="Times New Roman"/>
                      <w:bCs/>
                      <w:color w:val="auto"/>
                      <w:spacing w:val="10"/>
                      <w:sz w:val="21"/>
                      <w:szCs w:val="21"/>
                      <w:highlight w:val="none"/>
                      <w:lang w:val="en-US" w:eastAsia="zh-CN"/>
                    </w:rPr>
                    <w:t>危废间、垃圾箱等</w:t>
                  </w:r>
                </w:p>
              </w:tc>
              <w:tc>
                <w:tcPr>
                  <w:tcW w:w="1359" w:type="pct"/>
                  <w:tcBorders>
                    <w:tl2br w:val="nil"/>
                    <w:tr2bl w:val="nil"/>
                  </w:tcBorders>
                  <w:vAlign w:val="center"/>
                </w:tcPr>
                <w:p>
                  <w:pPr>
                    <w:spacing w:line="320" w:lineRule="exact"/>
                    <w:ind w:firstLine="0" w:firstLineChars="0"/>
                    <w:contextualSpacing/>
                    <w:jc w:val="center"/>
                    <w:rPr>
                      <w:rFonts w:hint="default" w:ascii="Times New Roman" w:hAnsi="Times New Roman" w:cs="Times New Roman" w:eastAsiaTheme="minorEastAsia"/>
                      <w:bCs/>
                      <w:color w:val="auto"/>
                      <w:spacing w:val="10"/>
                      <w:sz w:val="21"/>
                      <w:szCs w:val="21"/>
                      <w:highlight w:val="none"/>
                      <w:lang w:val="en-US" w:eastAsia="zh-CN"/>
                    </w:rPr>
                  </w:pPr>
                  <w:r>
                    <w:rPr>
                      <w:rFonts w:hint="default" w:ascii="Times New Roman" w:hAnsi="Times New Roman" w:cs="Times New Roman"/>
                      <w:bCs/>
                      <w:color w:val="auto"/>
                      <w:spacing w:val="10"/>
                      <w:sz w:val="21"/>
                      <w:szCs w:val="21"/>
                      <w:highlight w:val="none"/>
                      <w:lang w:val="en-US" w:eastAsia="zh-CN"/>
                    </w:rPr>
                    <w:t>8</w:t>
                  </w:r>
                </w:p>
              </w:tc>
            </w:tr>
            <w:tr>
              <w:tblPrEx>
                <w:tblBorders>
                  <w:top w:val="single" w:color="auto" w:sz="8" w:space="0"/>
                  <w:left w:val="none" w:color="auto" w:sz="0" w:space="0"/>
                  <w:bottom w:val="single" w:color="auto" w:sz="8"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387" w:type="pct"/>
                  <w:tcBorders>
                    <w:tl2br w:val="nil"/>
                    <w:tr2bl w:val="nil"/>
                  </w:tcBorders>
                  <w:shd w:val="clear" w:color="auto" w:fill="auto"/>
                  <w:vAlign w:val="center"/>
                </w:tcPr>
                <w:p>
                  <w:pPr>
                    <w:spacing w:line="320" w:lineRule="exact"/>
                    <w:ind w:firstLine="0" w:firstLineChars="0"/>
                    <w:contextualSpacing/>
                    <w:jc w:val="center"/>
                    <w:rPr>
                      <w:rFonts w:hint="eastAsia" w:ascii="Times New Roman" w:hAnsi="Times New Roman" w:cs="Times New Roman" w:eastAsiaTheme="minorEastAsia"/>
                      <w:bCs/>
                      <w:color w:val="auto"/>
                      <w:spacing w:val="10"/>
                      <w:sz w:val="21"/>
                      <w:szCs w:val="21"/>
                      <w:lang w:val="en-US" w:eastAsia="zh-CN"/>
                    </w:rPr>
                  </w:pPr>
                  <w:r>
                    <w:rPr>
                      <w:rFonts w:hint="eastAsia" w:ascii="Times New Roman" w:hAnsi="Times New Roman" w:cs="Times New Roman"/>
                      <w:bCs/>
                      <w:color w:val="auto"/>
                      <w:spacing w:val="10"/>
                      <w:sz w:val="21"/>
                      <w:szCs w:val="21"/>
                      <w:lang w:val="en-US" w:eastAsia="zh-CN"/>
                    </w:rPr>
                    <w:t>5</w:t>
                  </w:r>
                </w:p>
              </w:tc>
              <w:tc>
                <w:tcPr>
                  <w:tcW w:w="3253" w:type="pct"/>
                  <w:tcBorders>
                    <w:tl2br w:val="nil"/>
                    <w:tr2bl w:val="nil"/>
                  </w:tcBorders>
                  <w:vAlign w:val="center"/>
                </w:tcPr>
                <w:p>
                  <w:pPr>
                    <w:spacing w:line="320" w:lineRule="exact"/>
                    <w:ind w:firstLine="0" w:firstLineChars="0"/>
                    <w:contextualSpacing/>
                    <w:jc w:val="center"/>
                    <w:rPr>
                      <w:rFonts w:hint="default" w:ascii="Times New Roman" w:hAnsi="Times New Roman" w:cs="Times New Roman" w:eastAsiaTheme="minorEastAsia"/>
                      <w:bCs/>
                      <w:color w:val="auto"/>
                      <w:spacing w:val="10"/>
                      <w:sz w:val="21"/>
                      <w:szCs w:val="21"/>
                      <w:highlight w:val="none"/>
                      <w:lang w:val="en-US" w:eastAsia="zh-CN"/>
                    </w:rPr>
                  </w:pPr>
                  <w:r>
                    <w:rPr>
                      <w:rFonts w:hint="default" w:ascii="Times New Roman" w:hAnsi="Times New Roman" w:cs="Times New Roman"/>
                      <w:bCs/>
                      <w:color w:val="auto"/>
                      <w:spacing w:val="10"/>
                      <w:sz w:val="21"/>
                      <w:szCs w:val="21"/>
                      <w:highlight w:val="none"/>
                    </w:rPr>
                    <w:t>风险</w:t>
                  </w:r>
                  <w:r>
                    <w:rPr>
                      <w:rFonts w:hint="default" w:ascii="Times New Roman" w:hAnsi="Times New Roman" w:cs="Times New Roman"/>
                      <w:bCs/>
                      <w:color w:val="auto"/>
                      <w:spacing w:val="10"/>
                      <w:sz w:val="21"/>
                      <w:szCs w:val="21"/>
                      <w:highlight w:val="none"/>
                      <w:lang w:eastAsia="zh-CN"/>
                    </w:rPr>
                    <w:t>：</w:t>
                  </w:r>
                  <w:r>
                    <w:rPr>
                      <w:rFonts w:hint="default" w:ascii="Times New Roman" w:hAnsi="Times New Roman" w:cs="Times New Roman"/>
                      <w:bCs/>
                      <w:color w:val="auto"/>
                      <w:spacing w:val="10"/>
                      <w:sz w:val="21"/>
                      <w:szCs w:val="21"/>
                      <w:highlight w:val="none"/>
                      <w:lang w:val="en-US" w:eastAsia="zh-CN"/>
                    </w:rPr>
                    <w:t>事故油池</w:t>
                  </w:r>
                  <w:r>
                    <w:rPr>
                      <w:rFonts w:hint="eastAsia" w:cs="Times New Roman"/>
                      <w:bCs/>
                      <w:color w:val="auto"/>
                      <w:spacing w:val="10"/>
                      <w:sz w:val="21"/>
                      <w:szCs w:val="21"/>
                      <w:highlight w:val="none"/>
                      <w:lang w:val="en-US" w:eastAsia="zh-CN"/>
                    </w:rPr>
                    <w:t>、贮</w:t>
                  </w:r>
                  <w:r>
                    <w:rPr>
                      <w:rFonts w:hint="default" w:ascii="Times New Roman" w:hAnsi="Times New Roman" w:cs="Times New Roman"/>
                      <w:bCs/>
                      <w:color w:val="auto"/>
                      <w:spacing w:val="10"/>
                      <w:sz w:val="21"/>
                      <w:szCs w:val="21"/>
                      <w:highlight w:val="none"/>
                      <w:lang w:val="en-US" w:eastAsia="zh-CN"/>
                    </w:rPr>
                    <w:t>油坑</w:t>
                  </w:r>
                  <w:r>
                    <w:rPr>
                      <w:rFonts w:hint="eastAsia" w:cs="Times New Roman"/>
                      <w:bCs/>
                      <w:color w:val="auto"/>
                      <w:spacing w:val="10"/>
                      <w:sz w:val="21"/>
                      <w:szCs w:val="21"/>
                      <w:highlight w:val="none"/>
                      <w:lang w:val="en-US" w:eastAsia="zh-CN"/>
                    </w:rPr>
                    <w:t>及贮</w:t>
                  </w:r>
                  <w:r>
                    <w:rPr>
                      <w:rFonts w:hint="default" w:ascii="Times New Roman" w:hAnsi="Times New Roman" w:cs="Times New Roman"/>
                      <w:bCs/>
                      <w:color w:val="auto"/>
                      <w:spacing w:val="10"/>
                      <w:sz w:val="21"/>
                      <w:szCs w:val="21"/>
                      <w:highlight w:val="none"/>
                      <w:lang w:val="en-US" w:eastAsia="zh-CN"/>
                    </w:rPr>
                    <w:t>油</w:t>
                  </w:r>
                  <w:r>
                    <w:rPr>
                      <w:rFonts w:hint="eastAsia" w:cs="Times New Roman"/>
                      <w:bCs/>
                      <w:color w:val="auto"/>
                      <w:spacing w:val="10"/>
                      <w:sz w:val="21"/>
                      <w:szCs w:val="21"/>
                      <w:highlight w:val="none"/>
                      <w:lang w:val="en-US" w:eastAsia="zh-CN"/>
                    </w:rPr>
                    <w:t>池</w:t>
                  </w:r>
                  <w:r>
                    <w:rPr>
                      <w:rFonts w:hint="default" w:ascii="Times New Roman" w:hAnsi="Times New Roman" w:cs="Times New Roman"/>
                      <w:bCs/>
                      <w:color w:val="auto"/>
                      <w:spacing w:val="10"/>
                      <w:sz w:val="21"/>
                      <w:szCs w:val="21"/>
                      <w:highlight w:val="none"/>
                      <w:lang w:val="en-US" w:eastAsia="zh-CN"/>
                    </w:rPr>
                    <w:t>、消防水池等</w:t>
                  </w:r>
                </w:p>
              </w:tc>
              <w:tc>
                <w:tcPr>
                  <w:tcW w:w="1359" w:type="pct"/>
                  <w:tcBorders>
                    <w:tl2br w:val="nil"/>
                    <w:tr2bl w:val="nil"/>
                  </w:tcBorders>
                  <w:vAlign w:val="center"/>
                </w:tcPr>
                <w:p>
                  <w:pPr>
                    <w:spacing w:line="320" w:lineRule="exact"/>
                    <w:ind w:firstLine="0" w:firstLineChars="0"/>
                    <w:contextualSpacing/>
                    <w:jc w:val="center"/>
                    <w:rPr>
                      <w:rFonts w:hint="default" w:ascii="Times New Roman" w:hAnsi="Times New Roman" w:cs="Times New Roman" w:eastAsiaTheme="minorEastAsia"/>
                      <w:bCs/>
                      <w:color w:val="auto"/>
                      <w:spacing w:val="10"/>
                      <w:sz w:val="21"/>
                      <w:szCs w:val="21"/>
                      <w:highlight w:val="none"/>
                      <w:lang w:val="en-US" w:eastAsia="zh-CN"/>
                    </w:rPr>
                  </w:pPr>
                  <w:r>
                    <w:rPr>
                      <w:rFonts w:hint="eastAsia" w:cs="Times New Roman"/>
                      <w:bCs/>
                      <w:color w:val="auto"/>
                      <w:spacing w:val="10"/>
                      <w:sz w:val="21"/>
                      <w:szCs w:val="21"/>
                      <w:highlight w:val="none"/>
                      <w:lang w:val="en-US" w:eastAsia="zh-CN"/>
                    </w:rPr>
                    <w:t>18</w:t>
                  </w:r>
                </w:p>
              </w:tc>
            </w:tr>
            <w:tr>
              <w:tblPrEx>
                <w:tblBorders>
                  <w:top w:val="single" w:color="auto" w:sz="8" w:space="0"/>
                  <w:left w:val="none" w:color="auto" w:sz="0" w:space="0"/>
                  <w:bottom w:val="single" w:color="auto" w:sz="8"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387" w:type="pct"/>
                  <w:tcBorders>
                    <w:tl2br w:val="nil"/>
                    <w:tr2bl w:val="nil"/>
                  </w:tcBorders>
                  <w:shd w:val="clear" w:color="auto" w:fill="auto"/>
                  <w:vAlign w:val="center"/>
                </w:tcPr>
                <w:p>
                  <w:pPr>
                    <w:spacing w:line="320" w:lineRule="exact"/>
                    <w:ind w:firstLine="0" w:firstLineChars="0"/>
                    <w:contextualSpacing/>
                    <w:jc w:val="center"/>
                    <w:rPr>
                      <w:rFonts w:hint="default" w:ascii="Times New Roman" w:hAnsi="Times New Roman" w:cs="Times New Roman" w:eastAsiaTheme="minorEastAsia"/>
                      <w:bCs/>
                      <w:color w:val="auto"/>
                      <w:spacing w:val="10"/>
                      <w:sz w:val="21"/>
                      <w:szCs w:val="21"/>
                      <w:lang w:val="en-US" w:eastAsia="zh-CN"/>
                    </w:rPr>
                  </w:pPr>
                  <w:r>
                    <w:rPr>
                      <w:rFonts w:hint="eastAsia" w:ascii="Times New Roman" w:hAnsi="Times New Roman" w:cs="Times New Roman"/>
                      <w:bCs/>
                      <w:color w:val="auto"/>
                      <w:spacing w:val="10"/>
                      <w:sz w:val="21"/>
                      <w:szCs w:val="21"/>
                      <w:lang w:val="en-US" w:eastAsia="zh-CN"/>
                    </w:rPr>
                    <w:t>6</w:t>
                  </w:r>
                </w:p>
              </w:tc>
              <w:tc>
                <w:tcPr>
                  <w:tcW w:w="3253" w:type="pct"/>
                  <w:tcBorders>
                    <w:tl2br w:val="nil"/>
                    <w:tr2bl w:val="nil"/>
                  </w:tcBorders>
                  <w:vAlign w:val="center"/>
                </w:tcPr>
                <w:p>
                  <w:pPr>
                    <w:spacing w:line="320" w:lineRule="exact"/>
                    <w:ind w:firstLine="0" w:firstLineChars="0"/>
                    <w:contextualSpacing/>
                    <w:jc w:val="left"/>
                    <w:rPr>
                      <w:rFonts w:hint="eastAsia" w:ascii="Times New Roman" w:hAnsi="Times New Roman" w:cs="Times New Roman" w:eastAsiaTheme="minorEastAsia"/>
                      <w:bCs/>
                      <w:color w:val="auto"/>
                      <w:spacing w:val="10"/>
                      <w:sz w:val="21"/>
                      <w:szCs w:val="21"/>
                      <w:highlight w:val="none"/>
                      <w:lang w:val="en-US" w:eastAsia="zh-CN"/>
                    </w:rPr>
                  </w:pPr>
                  <w:r>
                    <w:rPr>
                      <w:rFonts w:hint="eastAsia" w:cs="Times New Roman"/>
                      <w:bCs/>
                      <w:color w:val="auto"/>
                      <w:spacing w:val="10"/>
                      <w:sz w:val="21"/>
                      <w:szCs w:val="21"/>
                      <w:highlight w:val="none"/>
                      <w:lang w:val="en-US" w:eastAsia="zh-CN"/>
                    </w:rPr>
                    <w:t>重点防渗：</w:t>
                  </w:r>
                  <w:r>
                    <w:rPr>
                      <w:rFonts w:hint="default" w:ascii="Times New Roman" w:hAnsi="Times New Roman" w:cs="Times New Roman"/>
                      <w:bCs/>
                      <w:color w:val="auto"/>
                      <w:spacing w:val="10"/>
                      <w:sz w:val="21"/>
                      <w:szCs w:val="21"/>
                      <w:highlight w:val="none"/>
                    </w:rPr>
                    <w:t>危废间、</w:t>
                  </w:r>
                  <w:r>
                    <w:rPr>
                      <w:rFonts w:hint="eastAsia" w:cs="Times New Roman"/>
                      <w:bCs/>
                      <w:color w:val="auto"/>
                      <w:spacing w:val="10"/>
                      <w:sz w:val="21"/>
                      <w:szCs w:val="21"/>
                      <w:highlight w:val="none"/>
                      <w:lang w:val="en-US" w:eastAsia="zh-CN"/>
                    </w:rPr>
                    <w:t>贮</w:t>
                  </w:r>
                  <w:r>
                    <w:rPr>
                      <w:rFonts w:hint="default" w:ascii="Times New Roman" w:hAnsi="Times New Roman" w:cs="Times New Roman"/>
                      <w:bCs/>
                      <w:color w:val="auto"/>
                      <w:spacing w:val="10"/>
                      <w:sz w:val="21"/>
                      <w:szCs w:val="21"/>
                      <w:highlight w:val="none"/>
                      <w:lang w:val="en-US" w:eastAsia="zh-CN"/>
                    </w:rPr>
                    <w:t>油</w:t>
                  </w:r>
                  <w:r>
                    <w:rPr>
                      <w:rFonts w:hint="eastAsia" w:cs="Times New Roman"/>
                      <w:bCs/>
                      <w:color w:val="auto"/>
                      <w:spacing w:val="10"/>
                      <w:sz w:val="21"/>
                      <w:szCs w:val="21"/>
                      <w:highlight w:val="none"/>
                      <w:lang w:val="en-US" w:eastAsia="zh-CN"/>
                    </w:rPr>
                    <w:t>池、</w:t>
                  </w:r>
                  <w:r>
                    <w:rPr>
                      <w:rFonts w:hint="eastAsia" w:ascii="Times New Roman" w:hAnsi="Times New Roman" w:cs="Times New Roman"/>
                      <w:bCs/>
                      <w:color w:val="auto"/>
                      <w:spacing w:val="10"/>
                      <w:sz w:val="21"/>
                      <w:szCs w:val="21"/>
                      <w:highlight w:val="none"/>
                      <w:lang w:val="en-US" w:eastAsia="zh-CN"/>
                    </w:rPr>
                    <w:t>事故油池、</w:t>
                  </w:r>
                  <w:r>
                    <w:rPr>
                      <w:rFonts w:hint="eastAsia" w:ascii="Times New Roman" w:hAnsi="Times New Roman" w:cs="Times New Roman"/>
                      <w:bCs/>
                      <w:color w:val="auto"/>
                      <w:spacing w:val="10"/>
                      <w:sz w:val="21"/>
                      <w:szCs w:val="21"/>
                      <w:highlight w:val="none"/>
                    </w:rPr>
                    <w:t>化粪池、</w:t>
                  </w:r>
                  <w:r>
                    <w:rPr>
                      <w:rFonts w:hint="eastAsia" w:ascii="Times New Roman" w:hAnsi="Times New Roman" w:cs="Times New Roman"/>
                      <w:bCs/>
                      <w:color w:val="auto"/>
                      <w:spacing w:val="10"/>
                      <w:sz w:val="21"/>
                      <w:szCs w:val="21"/>
                      <w:highlight w:val="none"/>
                      <w:lang w:val="en-US" w:eastAsia="zh-CN"/>
                    </w:rPr>
                    <w:t>隔油池</w:t>
                  </w:r>
                  <w:r>
                    <w:rPr>
                      <w:rFonts w:hint="eastAsia" w:ascii="Times New Roman" w:hAnsi="Times New Roman" w:cs="Times New Roman"/>
                      <w:bCs/>
                      <w:color w:val="auto"/>
                      <w:spacing w:val="10"/>
                      <w:sz w:val="21"/>
                      <w:szCs w:val="21"/>
                      <w:highlight w:val="none"/>
                    </w:rPr>
                    <w:t>、污水处理站</w:t>
                  </w:r>
                  <w:r>
                    <w:rPr>
                      <w:rFonts w:hint="eastAsia" w:ascii="Times New Roman" w:hAnsi="Times New Roman" w:cs="Times New Roman"/>
                      <w:bCs/>
                      <w:color w:val="auto"/>
                      <w:spacing w:val="10"/>
                      <w:sz w:val="21"/>
                      <w:szCs w:val="21"/>
                      <w:highlight w:val="none"/>
                      <w:lang w:val="en-US" w:eastAsia="zh-CN"/>
                    </w:rPr>
                    <w:t>等</w:t>
                  </w:r>
                </w:p>
              </w:tc>
              <w:tc>
                <w:tcPr>
                  <w:tcW w:w="1359" w:type="pct"/>
                  <w:tcBorders>
                    <w:tl2br w:val="nil"/>
                    <w:tr2bl w:val="nil"/>
                  </w:tcBorders>
                  <w:vAlign w:val="center"/>
                </w:tcPr>
                <w:p>
                  <w:pPr>
                    <w:spacing w:line="320" w:lineRule="exact"/>
                    <w:ind w:firstLine="0" w:firstLineChars="0"/>
                    <w:contextualSpacing/>
                    <w:jc w:val="center"/>
                    <w:rPr>
                      <w:rFonts w:hint="default" w:ascii="Times New Roman" w:hAnsi="Times New Roman" w:cs="Times New Roman"/>
                      <w:bCs/>
                      <w:color w:val="auto"/>
                      <w:spacing w:val="10"/>
                      <w:sz w:val="21"/>
                      <w:szCs w:val="21"/>
                      <w:highlight w:val="none"/>
                      <w:lang w:val="en-US" w:eastAsia="zh-CN"/>
                    </w:rPr>
                  </w:pPr>
                  <w:r>
                    <w:rPr>
                      <w:rFonts w:hint="eastAsia" w:cs="Times New Roman"/>
                      <w:bCs/>
                      <w:color w:val="auto"/>
                      <w:spacing w:val="10"/>
                      <w:sz w:val="21"/>
                      <w:szCs w:val="21"/>
                      <w:highlight w:val="none"/>
                      <w:lang w:val="en-US" w:eastAsia="zh-CN"/>
                    </w:rPr>
                    <w:t>12</w:t>
                  </w:r>
                </w:p>
              </w:tc>
            </w:tr>
            <w:tr>
              <w:tblPrEx>
                <w:tblBorders>
                  <w:top w:val="single" w:color="auto" w:sz="8" w:space="0"/>
                  <w:left w:val="none" w:color="auto" w:sz="0" w:space="0"/>
                  <w:bottom w:val="single" w:color="auto" w:sz="8"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387" w:type="pct"/>
                  <w:tcBorders>
                    <w:tl2br w:val="nil"/>
                    <w:tr2bl w:val="nil"/>
                  </w:tcBorders>
                  <w:shd w:val="clear" w:color="auto" w:fill="auto"/>
                  <w:vAlign w:val="center"/>
                </w:tcPr>
                <w:p>
                  <w:pPr>
                    <w:spacing w:line="320" w:lineRule="exact"/>
                    <w:ind w:firstLine="0" w:firstLineChars="0"/>
                    <w:contextualSpacing/>
                    <w:jc w:val="center"/>
                    <w:rPr>
                      <w:rFonts w:hint="default" w:ascii="Times New Roman" w:hAnsi="Times New Roman" w:cs="Times New Roman" w:eastAsiaTheme="minorEastAsia"/>
                      <w:bCs/>
                      <w:color w:val="auto"/>
                      <w:spacing w:val="10"/>
                      <w:sz w:val="21"/>
                      <w:szCs w:val="21"/>
                      <w:lang w:val="en-US" w:eastAsia="zh-CN"/>
                    </w:rPr>
                  </w:pPr>
                  <w:r>
                    <w:rPr>
                      <w:rFonts w:hint="eastAsia" w:ascii="Times New Roman" w:hAnsi="Times New Roman" w:cs="Times New Roman"/>
                      <w:bCs/>
                      <w:color w:val="auto"/>
                      <w:spacing w:val="10"/>
                      <w:sz w:val="21"/>
                      <w:szCs w:val="21"/>
                      <w:lang w:val="en-US" w:eastAsia="zh-CN"/>
                    </w:rPr>
                    <w:t>7</w:t>
                  </w:r>
                </w:p>
              </w:tc>
              <w:tc>
                <w:tcPr>
                  <w:tcW w:w="3253" w:type="pct"/>
                  <w:tcBorders>
                    <w:tl2br w:val="nil"/>
                    <w:tr2bl w:val="nil"/>
                  </w:tcBorders>
                  <w:vAlign w:val="center"/>
                </w:tcPr>
                <w:p>
                  <w:pPr>
                    <w:spacing w:line="320" w:lineRule="exact"/>
                    <w:ind w:firstLine="0" w:firstLineChars="0"/>
                    <w:contextualSpacing/>
                    <w:jc w:val="center"/>
                    <w:rPr>
                      <w:rFonts w:hint="default" w:ascii="Times New Roman" w:hAnsi="Times New Roman" w:cs="Times New Roman" w:eastAsiaTheme="minorEastAsia"/>
                      <w:bCs/>
                      <w:color w:val="auto"/>
                      <w:spacing w:val="10"/>
                      <w:sz w:val="21"/>
                      <w:szCs w:val="21"/>
                      <w:highlight w:val="none"/>
                      <w:lang w:val="en-US" w:eastAsia="zh-CN"/>
                    </w:rPr>
                  </w:pPr>
                  <w:r>
                    <w:rPr>
                      <w:rFonts w:hint="default" w:ascii="Times New Roman" w:hAnsi="Times New Roman" w:cs="Times New Roman"/>
                      <w:bCs/>
                      <w:color w:val="auto"/>
                      <w:spacing w:val="10"/>
                      <w:sz w:val="21"/>
                      <w:szCs w:val="21"/>
                      <w:highlight w:val="none"/>
                    </w:rPr>
                    <w:t>绿化</w:t>
                  </w:r>
                  <w:r>
                    <w:rPr>
                      <w:rFonts w:hint="default" w:ascii="Times New Roman" w:hAnsi="Times New Roman" w:cs="Times New Roman"/>
                      <w:bCs/>
                      <w:color w:val="auto"/>
                      <w:spacing w:val="10"/>
                      <w:sz w:val="21"/>
                      <w:szCs w:val="21"/>
                      <w:highlight w:val="none"/>
                      <w:lang w:val="en-US" w:eastAsia="zh-CN"/>
                    </w:rPr>
                    <w:t>及水体保持（护坡、排水沟等）</w:t>
                  </w:r>
                </w:p>
              </w:tc>
              <w:tc>
                <w:tcPr>
                  <w:tcW w:w="1359" w:type="pct"/>
                  <w:tcBorders>
                    <w:tl2br w:val="nil"/>
                    <w:tr2bl w:val="nil"/>
                  </w:tcBorders>
                  <w:vAlign w:val="center"/>
                </w:tcPr>
                <w:p>
                  <w:pPr>
                    <w:spacing w:line="320" w:lineRule="exact"/>
                    <w:ind w:firstLine="0" w:firstLineChars="0"/>
                    <w:contextualSpacing/>
                    <w:jc w:val="center"/>
                    <w:rPr>
                      <w:rFonts w:hint="default" w:ascii="Times New Roman" w:hAnsi="Times New Roman" w:cs="Times New Roman" w:eastAsiaTheme="minorEastAsia"/>
                      <w:bCs/>
                      <w:color w:val="auto"/>
                      <w:spacing w:val="10"/>
                      <w:sz w:val="21"/>
                      <w:szCs w:val="21"/>
                      <w:highlight w:val="none"/>
                      <w:lang w:val="en-US" w:eastAsia="zh-CN"/>
                    </w:rPr>
                  </w:pPr>
                  <w:r>
                    <w:rPr>
                      <w:rFonts w:hint="eastAsia" w:cs="Times New Roman"/>
                      <w:bCs/>
                      <w:color w:val="auto"/>
                      <w:spacing w:val="10"/>
                      <w:sz w:val="21"/>
                      <w:szCs w:val="21"/>
                      <w:highlight w:val="none"/>
                      <w:lang w:val="en-US" w:eastAsia="zh-CN"/>
                    </w:rPr>
                    <w:t>6</w:t>
                  </w:r>
                </w:p>
              </w:tc>
            </w:tr>
            <w:tr>
              <w:tblPrEx>
                <w:tblBorders>
                  <w:top w:val="single" w:color="auto" w:sz="8" w:space="0"/>
                  <w:left w:val="none" w:color="auto" w:sz="0" w:space="0"/>
                  <w:bottom w:val="single" w:color="auto" w:sz="8"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3640" w:type="pct"/>
                  <w:gridSpan w:val="2"/>
                  <w:tcBorders>
                    <w:tl2br w:val="nil"/>
                    <w:tr2bl w:val="nil"/>
                  </w:tcBorders>
                  <w:shd w:val="clear" w:color="auto" w:fill="auto"/>
                  <w:vAlign w:val="center"/>
                </w:tcPr>
                <w:p>
                  <w:pPr>
                    <w:spacing w:line="320" w:lineRule="exact"/>
                    <w:ind w:firstLine="0" w:firstLineChars="0"/>
                    <w:contextualSpacing/>
                    <w:jc w:val="center"/>
                    <w:rPr>
                      <w:rFonts w:hint="default" w:ascii="Times New Roman" w:hAnsi="Times New Roman" w:cs="Times New Roman"/>
                      <w:bCs/>
                      <w:color w:val="auto"/>
                      <w:spacing w:val="10"/>
                      <w:sz w:val="21"/>
                      <w:szCs w:val="21"/>
                    </w:rPr>
                  </w:pPr>
                  <w:r>
                    <w:rPr>
                      <w:rFonts w:hint="default" w:ascii="Times New Roman" w:hAnsi="Times New Roman" w:cs="Times New Roman"/>
                      <w:bCs/>
                      <w:color w:val="auto"/>
                      <w:spacing w:val="10"/>
                      <w:sz w:val="21"/>
                      <w:szCs w:val="21"/>
                    </w:rPr>
                    <w:t>合计</w:t>
                  </w:r>
                </w:p>
              </w:tc>
              <w:tc>
                <w:tcPr>
                  <w:tcW w:w="1359" w:type="pct"/>
                  <w:tcBorders>
                    <w:tl2br w:val="nil"/>
                    <w:tr2bl w:val="nil"/>
                  </w:tcBorders>
                  <w:vAlign w:val="center"/>
                </w:tcPr>
                <w:p>
                  <w:pPr>
                    <w:spacing w:line="320" w:lineRule="exact"/>
                    <w:ind w:firstLine="0" w:firstLineChars="0"/>
                    <w:contextualSpacing/>
                    <w:jc w:val="center"/>
                    <w:rPr>
                      <w:rFonts w:hint="default" w:ascii="Times New Roman" w:hAnsi="Times New Roman" w:cs="Times New Roman" w:eastAsiaTheme="minorEastAsia"/>
                      <w:bCs/>
                      <w:color w:val="auto"/>
                      <w:spacing w:val="10"/>
                      <w:sz w:val="21"/>
                      <w:szCs w:val="21"/>
                      <w:lang w:val="en-US" w:eastAsia="zh-CN"/>
                    </w:rPr>
                  </w:pPr>
                  <w:r>
                    <w:rPr>
                      <w:rFonts w:hint="default" w:ascii="Times New Roman" w:hAnsi="Times New Roman" w:cs="Times New Roman"/>
                      <w:bCs/>
                      <w:color w:val="auto"/>
                      <w:spacing w:val="10"/>
                      <w:sz w:val="21"/>
                      <w:szCs w:val="21"/>
                      <w:lang w:val="en-US" w:eastAsia="zh-CN"/>
                    </w:rPr>
                    <w:t>58</w:t>
                  </w:r>
                </w:p>
              </w:tc>
            </w:tr>
            <w:tr>
              <w:tblPrEx>
                <w:tblBorders>
                  <w:top w:val="single" w:color="auto" w:sz="8" w:space="0"/>
                  <w:left w:val="none" w:color="auto" w:sz="0" w:space="0"/>
                  <w:bottom w:val="single" w:color="auto" w:sz="8"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3640" w:type="pct"/>
                  <w:gridSpan w:val="2"/>
                  <w:tcBorders>
                    <w:tl2br w:val="nil"/>
                    <w:tr2bl w:val="nil"/>
                  </w:tcBorders>
                  <w:shd w:val="clear" w:color="auto" w:fill="auto"/>
                  <w:vAlign w:val="center"/>
                </w:tcPr>
                <w:p>
                  <w:pPr>
                    <w:spacing w:line="320" w:lineRule="exact"/>
                    <w:ind w:firstLine="0" w:firstLineChars="0"/>
                    <w:contextualSpacing/>
                    <w:jc w:val="center"/>
                    <w:rPr>
                      <w:rFonts w:hint="default" w:ascii="Times New Roman" w:hAnsi="Times New Roman" w:cs="Times New Roman"/>
                      <w:bCs/>
                      <w:color w:val="auto"/>
                      <w:spacing w:val="10"/>
                      <w:sz w:val="21"/>
                      <w:szCs w:val="21"/>
                    </w:rPr>
                  </w:pPr>
                  <w:r>
                    <w:rPr>
                      <w:rFonts w:hint="default" w:ascii="Times New Roman" w:hAnsi="Times New Roman" w:cs="Times New Roman"/>
                      <w:bCs/>
                      <w:color w:val="auto"/>
                      <w:spacing w:val="10"/>
                      <w:sz w:val="21"/>
                      <w:szCs w:val="21"/>
                    </w:rPr>
                    <w:t>工程总投资</w:t>
                  </w:r>
                </w:p>
              </w:tc>
              <w:tc>
                <w:tcPr>
                  <w:tcW w:w="1359" w:type="pct"/>
                  <w:tcBorders>
                    <w:tl2br w:val="nil"/>
                    <w:tr2bl w:val="nil"/>
                  </w:tcBorders>
                  <w:vAlign w:val="center"/>
                </w:tcPr>
                <w:p>
                  <w:pPr>
                    <w:spacing w:line="320" w:lineRule="exact"/>
                    <w:ind w:firstLine="0" w:firstLineChars="0"/>
                    <w:contextualSpacing/>
                    <w:jc w:val="center"/>
                    <w:rPr>
                      <w:rFonts w:hint="default" w:ascii="Times New Roman" w:hAnsi="Times New Roman" w:cs="Times New Roman" w:eastAsiaTheme="minorEastAsia"/>
                      <w:bCs/>
                      <w:color w:val="auto"/>
                      <w:spacing w:val="10"/>
                      <w:sz w:val="21"/>
                      <w:szCs w:val="21"/>
                      <w:lang w:val="en-US" w:eastAsia="zh-CN"/>
                    </w:rPr>
                  </w:pPr>
                  <w:r>
                    <w:rPr>
                      <w:rFonts w:hint="default" w:ascii="Times New Roman" w:hAnsi="Times New Roman" w:cs="Times New Roman"/>
                      <w:bCs/>
                      <w:color w:val="auto"/>
                      <w:spacing w:val="10"/>
                      <w:sz w:val="21"/>
                      <w:szCs w:val="21"/>
                      <w:lang w:val="en-US" w:eastAsia="zh-CN"/>
                    </w:rPr>
                    <w:t>2154</w:t>
                  </w:r>
                </w:p>
              </w:tc>
            </w:tr>
            <w:tr>
              <w:tblPrEx>
                <w:tblBorders>
                  <w:top w:val="single" w:color="auto" w:sz="8" w:space="0"/>
                  <w:left w:val="none" w:color="auto" w:sz="0" w:space="0"/>
                  <w:bottom w:val="single" w:color="auto" w:sz="8"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3640" w:type="pct"/>
                  <w:gridSpan w:val="2"/>
                  <w:tcBorders>
                    <w:tl2br w:val="nil"/>
                    <w:tr2bl w:val="nil"/>
                  </w:tcBorders>
                  <w:shd w:val="clear" w:color="auto" w:fill="auto"/>
                  <w:vAlign w:val="center"/>
                </w:tcPr>
                <w:p>
                  <w:pPr>
                    <w:spacing w:line="320" w:lineRule="exact"/>
                    <w:ind w:firstLine="0" w:firstLineChars="0"/>
                    <w:contextualSpacing/>
                    <w:jc w:val="center"/>
                    <w:rPr>
                      <w:rFonts w:hint="default" w:ascii="Times New Roman" w:hAnsi="Times New Roman" w:cs="Times New Roman"/>
                      <w:bCs/>
                      <w:color w:val="auto"/>
                      <w:spacing w:val="10"/>
                      <w:sz w:val="21"/>
                      <w:szCs w:val="21"/>
                    </w:rPr>
                  </w:pPr>
                  <w:r>
                    <w:rPr>
                      <w:rFonts w:hint="default" w:ascii="Times New Roman" w:hAnsi="Times New Roman" w:cs="Times New Roman"/>
                      <w:bCs/>
                      <w:color w:val="auto"/>
                      <w:spacing w:val="10"/>
                      <w:sz w:val="21"/>
                      <w:szCs w:val="21"/>
                    </w:rPr>
                    <w:t>环保投资占总投资比例（%）</w:t>
                  </w:r>
                </w:p>
              </w:tc>
              <w:tc>
                <w:tcPr>
                  <w:tcW w:w="1359" w:type="pct"/>
                  <w:tcBorders>
                    <w:tl2br w:val="nil"/>
                    <w:tr2bl w:val="nil"/>
                  </w:tcBorders>
                  <w:vAlign w:val="center"/>
                </w:tcPr>
                <w:p>
                  <w:pPr>
                    <w:spacing w:line="320" w:lineRule="exact"/>
                    <w:ind w:firstLine="0" w:firstLineChars="0"/>
                    <w:contextualSpacing/>
                    <w:jc w:val="center"/>
                    <w:rPr>
                      <w:rFonts w:hint="default" w:ascii="Times New Roman" w:hAnsi="Times New Roman" w:cs="Times New Roman" w:eastAsiaTheme="minorEastAsia"/>
                      <w:bCs/>
                      <w:color w:val="auto"/>
                      <w:spacing w:val="10"/>
                      <w:sz w:val="21"/>
                      <w:szCs w:val="21"/>
                      <w:lang w:val="en-US" w:eastAsia="zh-CN"/>
                    </w:rPr>
                  </w:pPr>
                  <w:r>
                    <w:rPr>
                      <w:rFonts w:hint="default" w:ascii="Times New Roman" w:hAnsi="Times New Roman" w:cs="Times New Roman"/>
                      <w:bCs/>
                      <w:color w:val="auto"/>
                      <w:spacing w:val="10"/>
                      <w:sz w:val="21"/>
                      <w:szCs w:val="21"/>
                      <w:lang w:val="en-US" w:eastAsia="zh-CN"/>
                    </w:rPr>
                    <w:t>2.7</w:t>
                  </w:r>
                </w:p>
              </w:tc>
            </w:tr>
          </w:tbl>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top"/>
              <w:rPr>
                <w:rFonts w:hint="default" w:ascii="Times New Roman" w:hAnsi="Times New Roman" w:cs="Times New Roman" w:eastAsiaTheme="minorEastAsia"/>
                <w:bCs/>
                <w:color w:val="0000FF"/>
                <w:spacing w:val="10"/>
                <w:kern w:val="2"/>
                <w:sz w:val="24"/>
                <w:szCs w:val="21"/>
                <w:lang w:val="en-US" w:eastAsia="zh-CN" w:bidi="ar-SA"/>
              </w:rPr>
            </w:pPr>
          </w:p>
        </w:tc>
      </w:tr>
    </w:tbl>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textAlignment w:val="top"/>
        <w:rPr>
          <w:rFonts w:hint="default" w:ascii="Times New Roman" w:hAnsi="Times New Roman" w:cs="Times New Roman"/>
          <w:color w:val="0000FF"/>
          <w:sz w:val="10"/>
          <w:szCs w:val="10"/>
        </w:rPr>
      </w:pPr>
    </w:p>
    <w:p>
      <w:pPr>
        <w:keepNext w:val="0"/>
        <w:keepLines w:val="0"/>
        <w:pageBreakBefore w:val="0"/>
        <w:widowControl w:val="0"/>
        <w:kinsoku/>
        <w:wordWrap/>
        <w:overflowPunct/>
        <w:topLinePunct w:val="0"/>
        <w:autoSpaceDE/>
        <w:autoSpaceDN/>
        <w:bidi w:val="0"/>
        <w:adjustRightInd w:val="0"/>
        <w:snapToGrid w:val="0"/>
        <w:spacing w:line="240" w:lineRule="auto"/>
        <w:ind w:firstLine="480"/>
        <w:textAlignment w:val="top"/>
        <w:rPr>
          <w:rFonts w:hint="default" w:ascii="Times New Roman" w:hAnsi="Times New Roman" w:cs="Times New Roman"/>
          <w:color w:val="0000FF"/>
        </w:rPr>
        <w:sectPr>
          <w:pgSz w:w="11906" w:h="16838"/>
          <w:pgMar w:top="1418" w:right="1134" w:bottom="1247" w:left="1247" w:header="851" w:footer="283" w:gutter="0"/>
          <w:pgBorders>
            <w:top w:val="none" w:sz="0" w:space="0"/>
            <w:left w:val="none" w:sz="0" w:space="0"/>
            <w:bottom w:val="none" w:sz="0" w:space="0"/>
            <w:right w:val="none" w:sz="0" w:space="0"/>
          </w:pgBorders>
          <w:pgNumType w:fmt="decimal"/>
          <w:cols w:space="425" w:num="1"/>
          <w:docGrid w:type="lines" w:linePitch="326" w:charSpace="0"/>
        </w:sectPr>
      </w:pPr>
    </w:p>
    <w:p>
      <w:pPr>
        <w:pStyle w:val="6"/>
        <w:ind w:firstLine="0" w:firstLineChars="0"/>
        <w:jc w:val="center"/>
        <w:rPr>
          <w:rFonts w:hint="default" w:ascii="Times New Roman" w:hAnsi="Times New Roman" w:cs="Times New Roman"/>
          <w:color w:val="auto"/>
          <w:sz w:val="28"/>
        </w:rPr>
      </w:pPr>
      <w:bookmarkStart w:id="6" w:name="_Toc69745422"/>
      <w:r>
        <w:rPr>
          <w:rFonts w:hint="default" w:ascii="Times New Roman" w:hAnsi="Times New Roman" w:cs="Times New Roman"/>
          <w:color w:val="auto"/>
          <w:sz w:val="28"/>
        </w:rPr>
        <mc:AlternateContent>
          <mc:Choice Requires="wps">
            <w:drawing>
              <wp:anchor distT="0" distB="0" distL="114300" distR="114300" simplePos="0" relativeHeight="251660288" behindDoc="0" locked="0" layoutInCell="1" allowOverlap="1">
                <wp:simplePos x="0" y="0"/>
                <wp:positionH relativeFrom="column">
                  <wp:posOffset>-70485</wp:posOffset>
                </wp:positionH>
                <wp:positionV relativeFrom="paragraph">
                  <wp:posOffset>403860</wp:posOffset>
                </wp:positionV>
                <wp:extent cx="864235" cy="683260"/>
                <wp:effectExtent l="3175" t="3810" r="8890" b="11430"/>
                <wp:wrapNone/>
                <wp:docPr id="8" name="直接连接符 8"/>
                <wp:cNvGraphicFramePr/>
                <a:graphic xmlns:a="http://schemas.openxmlformats.org/drawingml/2006/main">
                  <a:graphicData uri="http://schemas.microsoft.com/office/word/2010/wordprocessingShape">
                    <wps:wsp>
                      <wps:cNvCnPr/>
                      <wps:spPr>
                        <a:xfrm>
                          <a:off x="0" y="0"/>
                          <a:ext cx="864235" cy="68326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5.55pt;margin-top:31.8pt;height:53.8pt;width:68.05pt;z-index:251660288;mso-width-relative:page;mso-height-relative:page;" filled="f" stroked="t" coordsize="21600,21600" o:gfxdata="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CeRMss1wAA&#10;AAoBAAAPAAAAAAAAAAEAIAAAACIAAABkcnMvZG93bnJldi54bWxQSwECFAAUAAAACACHTuJAVxlr&#10;kuYBAAC1AwAADgAAAAAAAAABACAAAAAmAQAAZHJzL2Uyb0RvYy54bWxQSwUGAAAAAAYABgBZAQAA&#10;fgUAAAAA&#10;">
                <v:fill on="f" focussize="0,0"/>
                <v:stroke weight="0.5pt" color="#000000 [3213]" miterlimit="8" joinstyle="miter"/>
                <v:imagedata o:title=""/>
                <o:lock v:ext="edit" aspectratio="f"/>
              </v:line>
            </w:pict>
          </mc:Fallback>
        </mc:AlternateContent>
      </w:r>
      <w:r>
        <w:rPr>
          <w:rFonts w:hint="default" w:ascii="Times New Roman" w:hAnsi="Times New Roman" w:cs="Times New Roman"/>
          <w:color w:val="auto"/>
          <w:sz w:val="28"/>
        </w:rPr>
        <w:t>六、生态环境保护措施监督检查清单</w:t>
      </w:r>
      <w:bookmarkEnd w:id="6"/>
    </w:p>
    <w:tbl>
      <w:tblPr>
        <w:tblStyle w:val="22"/>
        <w:tblW w:w="5000" w:type="pct"/>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1373"/>
        <w:gridCol w:w="3340"/>
        <w:gridCol w:w="2781"/>
        <w:gridCol w:w="3478"/>
        <w:gridCol w:w="3417"/>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477" w:type="pct"/>
            <w:vMerge w:val="restart"/>
          </w:tcPr>
          <w:p>
            <w:pPr>
              <w:pStyle w:val="20"/>
              <w:adjustRightInd w:val="0"/>
              <w:snapToGrid w:val="0"/>
              <w:spacing w:before="0" w:beforeAutospacing="0" w:after="0" w:afterAutospacing="0" w:line="240" w:lineRule="auto"/>
              <w:ind w:firstLine="0" w:firstLineChars="0"/>
              <w:jc w:val="center"/>
              <w:outlineLvl w:val="0"/>
              <w:rPr>
                <w:rFonts w:hint="default" w:ascii="Times New Roman" w:hAnsi="Times New Roman" w:eastAsia="宋体" w:cs="Times New Roman"/>
                <w:color w:val="auto"/>
                <w:kern w:val="2"/>
              </w:rPr>
            </w:pPr>
            <w:r>
              <w:rPr>
                <w:rFonts w:hint="default" w:ascii="Times New Roman" w:hAnsi="Times New Roman" w:eastAsia="宋体" w:cs="Times New Roman"/>
                <w:color w:val="0000FF"/>
                <w:kern w:val="2"/>
              </w:rPr>
              <w:t xml:space="preserve"> </w:t>
            </w:r>
            <w:bookmarkStart w:id="7" w:name="_Toc69745423"/>
            <w:bookmarkStart w:id="8" w:name="_Toc69392726"/>
            <w:r>
              <w:rPr>
                <w:rFonts w:hint="default" w:ascii="Times New Roman" w:hAnsi="Times New Roman" w:eastAsia="宋体" w:cs="Times New Roman"/>
                <w:color w:val="auto"/>
                <w:kern w:val="2"/>
              </w:rPr>
              <w:t xml:space="preserve">  </w:t>
            </w:r>
            <w:r>
              <w:rPr>
                <w:rFonts w:hint="eastAsia" w:ascii="Times New Roman" w:hAnsi="Times New Roman" w:eastAsia="宋体" w:cs="Times New Roman"/>
                <w:color w:val="auto"/>
                <w:kern w:val="2"/>
                <w:lang w:val="en-US" w:eastAsia="zh-CN"/>
              </w:rPr>
              <w:t xml:space="preserve"> </w:t>
            </w:r>
            <w:r>
              <w:rPr>
                <w:rFonts w:hint="default" w:ascii="Times New Roman" w:hAnsi="Times New Roman" w:eastAsia="宋体" w:cs="Times New Roman"/>
                <w:color w:val="auto"/>
                <w:kern w:val="2"/>
              </w:rPr>
              <w:t>内容</w:t>
            </w:r>
            <w:bookmarkEnd w:id="7"/>
            <w:bookmarkEnd w:id="8"/>
          </w:p>
          <w:p>
            <w:pPr>
              <w:pStyle w:val="20"/>
              <w:adjustRightInd w:val="0"/>
              <w:snapToGrid w:val="0"/>
              <w:spacing w:before="0" w:beforeAutospacing="0" w:after="0" w:afterAutospacing="0" w:line="240" w:lineRule="auto"/>
              <w:ind w:firstLine="0" w:firstLineChars="0"/>
              <w:jc w:val="both"/>
              <w:outlineLvl w:val="0"/>
              <w:rPr>
                <w:rFonts w:hint="default" w:ascii="Times New Roman" w:hAnsi="Times New Roman" w:eastAsia="宋体" w:cs="Times New Roman"/>
                <w:color w:val="auto"/>
                <w:kern w:val="2"/>
              </w:rPr>
            </w:pPr>
            <w:bookmarkStart w:id="9" w:name="_Toc69745424"/>
            <w:bookmarkStart w:id="10" w:name="_Toc69392727"/>
          </w:p>
          <w:p>
            <w:pPr>
              <w:pStyle w:val="20"/>
              <w:adjustRightInd w:val="0"/>
              <w:snapToGrid w:val="0"/>
              <w:spacing w:before="0" w:beforeAutospacing="0" w:after="0" w:afterAutospacing="0" w:line="240" w:lineRule="auto"/>
              <w:ind w:left="0" w:leftChars="0" w:firstLine="0" w:firstLineChars="0"/>
              <w:jc w:val="both"/>
              <w:outlineLvl w:val="0"/>
              <w:rPr>
                <w:rFonts w:hint="default" w:ascii="Times New Roman" w:hAnsi="Times New Roman" w:eastAsia="宋体" w:cs="Times New Roman"/>
                <w:color w:val="0000FF"/>
                <w:kern w:val="2"/>
              </w:rPr>
            </w:pPr>
            <w:r>
              <w:rPr>
                <w:rFonts w:hint="default" w:ascii="Times New Roman" w:hAnsi="Times New Roman" w:eastAsia="宋体" w:cs="Times New Roman"/>
                <w:color w:val="auto"/>
                <w:kern w:val="2"/>
              </w:rPr>
              <w:t>要素</w:t>
            </w:r>
            <w:bookmarkEnd w:id="9"/>
            <w:bookmarkEnd w:id="10"/>
          </w:p>
        </w:tc>
        <w:tc>
          <w:tcPr>
            <w:tcW w:w="2126" w:type="pct"/>
            <w:gridSpan w:val="2"/>
            <w:vAlign w:val="center"/>
          </w:tcPr>
          <w:p>
            <w:pPr>
              <w:pStyle w:val="20"/>
              <w:adjustRightInd w:val="0"/>
              <w:snapToGrid w:val="0"/>
              <w:spacing w:before="0" w:beforeAutospacing="0" w:after="0" w:afterAutospacing="0" w:line="240" w:lineRule="auto"/>
              <w:ind w:firstLine="0" w:firstLineChars="0"/>
              <w:jc w:val="center"/>
              <w:outlineLvl w:val="0"/>
              <w:rPr>
                <w:rFonts w:hint="default" w:ascii="Times New Roman" w:hAnsi="Times New Roman" w:eastAsia="宋体" w:cs="Times New Roman"/>
                <w:color w:val="auto"/>
                <w:kern w:val="2"/>
              </w:rPr>
            </w:pPr>
            <w:bookmarkStart w:id="11" w:name="_Toc69373869"/>
            <w:bookmarkStart w:id="12" w:name="_Toc68547872"/>
            <w:bookmarkStart w:id="13" w:name="_Toc69745425"/>
            <w:bookmarkStart w:id="14" w:name="_Toc69392728"/>
            <w:r>
              <w:rPr>
                <w:rFonts w:hint="default" w:ascii="Times New Roman" w:hAnsi="Times New Roman" w:eastAsia="宋体" w:cs="Times New Roman"/>
                <w:color w:val="auto"/>
                <w:kern w:val="2"/>
              </w:rPr>
              <w:t>施工期</w:t>
            </w:r>
            <w:bookmarkEnd w:id="11"/>
            <w:bookmarkEnd w:id="12"/>
            <w:bookmarkEnd w:id="13"/>
            <w:bookmarkEnd w:id="14"/>
          </w:p>
        </w:tc>
        <w:tc>
          <w:tcPr>
            <w:tcW w:w="2395" w:type="pct"/>
            <w:gridSpan w:val="2"/>
            <w:vAlign w:val="center"/>
          </w:tcPr>
          <w:p>
            <w:pPr>
              <w:pStyle w:val="20"/>
              <w:adjustRightInd w:val="0"/>
              <w:snapToGrid w:val="0"/>
              <w:spacing w:before="0" w:beforeAutospacing="0" w:after="0" w:afterAutospacing="0" w:line="240" w:lineRule="auto"/>
              <w:ind w:firstLine="0" w:firstLineChars="0"/>
              <w:jc w:val="center"/>
              <w:outlineLvl w:val="0"/>
              <w:rPr>
                <w:rFonts w:hint="default" w:ascii="Times New Roman" w:hAnsi="Times New Roman" w:eastAsia="宋体" w:cs="Times New Roman"/>
                <w:color w:val="auto"/>
                <w:kern w:val="2"/>
              </w:rPr>
            </w:pPr>
            <w:bookmarkStart w:id="15" w:name="_Toc69745426"/>
            <w:bookmarkStart w:id="16" w:name="_Toc69373870"/>
            <w:bookmarkStart w:id="17" w:name="_Toc68547873"/>
            <w:bookmarkStart w:id="18" w:name="_Toc69392729"/>
            <w:r>
              <w:rPr>
                <w:rFonts w:hint="default" w:ascii="Times New Roman" w:hAnsi="Times New Roman" w:eastAsia="宋体" w:cs="Times New Roman"/>
                <w:color w:val="auto"/>
                <w:kern w:val="2"/>
              </w:rPr>
              <w:t>运营期</w:t>
            </w:r>
            <w:bookmarkEnd w:id="15"/>
            <w:bookmarkEnd w:id="16"/>
            <w:bookmarkEnd w:id="17"/>
            <w:bookmarkEnd w:id="18"/>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477" w:type="pct"/>
            <w:vMerge w:val="continue"/>
          </w:tcPr>
          <w:p>
            <w:pPr>
              <w:pStyle w:val="20"/>
              <w:adjustRightInd w:val="0"/>
              <w:snapToGrid w:val="0"/>
              <w:spacing w:before="0" w:beforeAutospacing="0" w:after="0" w:afterAutospacing="0" w:line="240" w:lineRule="auto"/>
              <w:ind w:firstLine="0" w:firstLineChars="0"/>
              <w:jc w:val="center"/>
              <w:outlineLvl w:val="0"/>
              <w:rPr>
                <w:rFonts w:hint="default" w:ascii="Times New Roman" w:hAnsi="Times New Roman" w:eastAsia="宋体" w:cs="Times New Roman"/>
                <w:color w:val="0000FF"/>
                <w:kern w:val="2"/>
              </w:rPr>
            </w:pPr>
          </w:p>
        </w:tc>
        <w:tc>
          <w:tcPr>
            <w:tcW w:w="1160" w:type="pct"/>
            <w:vAlign w:val="center"/>
          </w:tcPr>
          <w:p>
            <w:pPr>
              <w:pStyle w:val="20"/>
              <w:adjustRightInd w:val="0"/>
              <w:snapToGrid w:val="0"/>
              <w:spacing w:before="0" w:beforeAutospacing="0" w:after="0" w:afterAutospacing="0" w:line="240" w:lineRule="auto"/>
              <w:ind w:firstLine="0" w:firstLineChars="0"/>
              <w:jc w:val="center"/>
              <w:outlineLvl w:val="0"/>
              <w:rPr>
                <w:rFonts w:hint="default" w:ascii="Times New Roman" w:hAnsi="Times New Roman" w:eastAsia="宋体" w:cs="Times New Roman"/>
                <w:color w:val="auto"/>
                <w:kern w:val="2"/>
              </w:rPr>
            </w:pPr>
            <w:bookmarkStart w:id="19" w:name="_Toc69745427"/>
            <w:bookmarkStart w:id="20" w:name="_Toc68547874"/>
            <w:bookmarkStart w:id="21" w:name="_Toc69373871"/>
            <w:bookmarkStart w:id="22" w:name="_Toc69392730"/>
            <w:r>
              <w:rPr>
                <w:rFonts w:hint="default" w:ascii="Times New Roman" w:hAnsi="Times New Roman" w:eastAsia="宋体" w:cs="Times New Roman"/>
                <w:color w:val="auto"/>
                <w:kern w:val="2"/>
              </w:rPr>
              <w:t>环境保护措施</w:t>
            </w:r>
            <w:bookmarkEnd w:id="19"/>
            <w:bookmarkEnd w:id="20"/>
            <w:bookmarkEnd w:id="21"/>
            <w:bookmarkEnd w:id="22"/>
          </w:p>
        </w:tc>
        <w:tc>
          <w:tcPr>
            <w:tcW w:w="966" w:type="pct"/>
            <w:vAlign w:val="center"/>
          </w:tcPr>
          <w:p>
            <w:pPr>
              <w:pStyle w:val="20"/>
              <w:adjustRightInd w:val="0"/>
              <w:snapToGrid w:val="0"/>
              <w:spacing w:before="0" w:beforeAutospacing="0" w:after="0" w:afterAutospacing="0" w:line="240" w:lineRule="auto"/>
              <w:ind w:firstLine="0" w:firstLineChars="0"/>
              <w:jc w:val="center"/>
              <w:outlineLvl w:val="0"/>
              <w:rPr>
                <w:rFonts w:hint="default" w:ascii="Times New Roman" w:hAnsi="Times New Roman" w:eastAsia="宋体" w:cs="Times New Roman"/>
                <w:color w:val="auto"/>
                <w:kern w:val="2"/>
              </w:rPr>
            </w:pPr>
            <w:bookmarkStart w:id="23" w:name="_Toc69373872"/>
            <w:bookmarkStart w:id="24" w:name="_Toc68547875"/>
            <w:bookmarkStart w:id="25" w:name="_Toc69745428"/>
            <w:bookmarkStart w:id="26" w:name="_Toc69392731"/>
            <w:r>
              <w:rPr>
                <w:rFonts w:hint="default" w:ascii="Times New Roman" w:hAnsi="Times New Roman" w:eastAsia="宋体" w:cs="Times New Roman"/>
                <w:color w:val="auto"/>
                <w:kern w:val="2"/>
              </w:rPr>
              <w:t>验收要求</w:t>
            </w:r>
            <w:bookmarkEnd w:id="23"/>
            <w:bookmarkEnd w:id="24"/>
            <w:bookmarkEnd w:id="25"/>
            <w:bookmarkEnd w:id="26"/>
          </w:p>
        </w:tc>
        <w:tc>
          <w:tcPr>
            <w:tcW w:w="1208" w:type="pct"/>
            <w:vAlign w:val="center"/>
          </w:tcPr>
          <w:p>
            <w:pPr>
              <w:pStyle w:val="20"/>
              <w:adjustRightInd w:val="0"/>
              <w:snapToGrid w:val="0"/>
              <w:spacing w:before="0" w:beforeAutospacing="0" w:after="0" w:afterAutospacing="0" w:line="240" w:lineRule="auto"/>
              <w:ind w:firstLine="0" w:firstLineChars="0"/>
              <w:jc w:val="center"/>
              <w:outlineLvl w:val="0"/>
              <w:rPr>
                <w:rFonts w:hint="default" w:ascii="Times New Roman" w:hAnsi="Times New Roman" w:eastAsia="宋体" w:cs="Times New Roman"/>
                <w:color w:val="auto"/>
                <w:kern w:val="2"/>
              </w:rPr>
            </w:pPr>
            <w:bookmarkStart w:id="27" w:name="_Toc69373873"/>
            <w:bookmarkStart w:id="28" w:name="_Toc69392732"/>
            <w:bookmarkStart w:id="29" w:name="_Toc68547876"/>
            <w:bookmarkStart w:id="30" w:name="_Toc69745429"/>
            <w:r>
              <w:rPr>
                <w:rFonts w:hint="default" w:ascii="Times New Roman" w:hAnsi="Times New Roman" w:eastAsia="宋体" w:cs="Times New Roman"/>
                <w:color w:val="auto"/>
                <w:kern w:val="2"/>
              </w:rPr>
              <w:t>环境保护措施</w:t>
            </w:r>
            <w:bookmarkEnd w:id="27"/>
            <w:bookmarkEnd w:id="28"/>
            <w:bookmarkEnd w:id="29"/>
            <w:bookmarkEnd w:id="30"/>
          </w:p>
        </w:tc>
        <w:tc>
          <w:tcPr>
            <w:tcW w:w="1187" w:type="pct"/>
            <w:vAlign w:val="center"/>
          </w:tcPr>
          <w:p>
            <w:pPr>
              <w:pStyle w:val="20"/>
              <w:adjustRightInd w:val="0"/>
              <w:snapToGrid w:val="0"/>
              <w:spacing w:before="0" w:beforeAutospacing="0" w:after="0" w:afterAutospacing="0" w:line="240" w:lineRule="auto"/>
              <w:ind w:firstLine="0" w:firstLineChars="0"/>
              <w:jc w:val="center"/>
              <w:outlineLvl w:val="0"/>
              <w:rPr>
                <w:rFonts w:hint="default" w:ascii="Times New Roman" w:hAnsi="Times New Roman" w:eastAsia="宋体" w:cs="Times New Roman"/>
                <w:color w:val="auto"/>
                <w:kern w:val="2"/>
              </w:rPr>
            </w:pPr>
            <w:bookmarkStart w:id="31" w:name="_Toc68547877"/>
            <w:bookmarkStart w:id="32" w:name="_Toc69392733"/>
            <w:bookmarkStart w:id="33" w:name="_Toc69373874"/>
            <w:bookmarkStart w:id="34" w:name="_Toc69745430"/>
            <w:r>
              <w:rPr>
                <w:rFonts w:hint="default" w:ascii="Times New Roman" w:hAnsi="Times New Roman" w:eastAsia="宋体" w:cs="Times New Roman"/>
                <w:color w:val="auto"/>
                <w:kern w:val="2"/>
              </w:rPr>
              <w:t>验收要求</w:t>
            </w:r>
            <w:bookmarkEnd w:id="31"/>
            <w:bookmarkEnd w:id="32"/>
            <w:bookmarkEnd w:id="33"/>
            <w:bookmarkEnd w:id="34"/>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58" w:hRule="atLeast"/>
          <w:jc w:val="center"/>
        </w:trPr>
        <w:tc>
          <w:tcPr>
            <w:tcW w:w="477"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auto"/>
              </w:rPr>
            </w:pPr>
            <w:r>
              <w:rPr>
                <w:rFonts w:hint="default" w:ascii="Times New Roman" w:hAnsi="Times New Roman" w:eastAsia="宋体" w:cs="Times New Roman"/>
                <w:color w:val="auto"/>
              </w:rPr>
              <w:t>陆生生态</w:t>
            </w:r>
          </w:p>
        </w:tc>
        <w:tc>
          <w:tcPr>
            <w:tcW w:w="1160"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0000FF"/>
                <w:sz w:val="21"/>
                <w:szCs w:val="21"/>
                <w:highlight w:val="none"/>
              </w:rPr>
            </w:pPr>
            <w:r>
              <w:rPr>
                <w:rFonts w:hint="default" w:ascii="Times New Roman" w:hAnsi="Times New Roman" w:eastAsia="宋体" w:cs="Times New Roman"/>
                <w:color w:val="auto"/>
                <w:sz w:val="21"/>
                <w:szCs w:val="21"/>
                <w:highlight w:val="none"/>
              </w:rPr>
              <w:t>严格控制开挖量及开挖范围；开挖后的裸露开挖面用苫布覆盖；</w:t>
            </w:r>
            <w:r>
              <w:rPr>
                <w:rFonts w:hint="eastAsia" w:ascii="Times New Roman" w:hAnsi="Times New Roman" w:cs="Times New Roman"/>
                <w:sz w:val="21"/>
                <w:szCs w:val="21"/>
                <w:highlight w:val="none"/>
                <w:lang w:val="en-US" w:eastAsia="zh-CN"/>
              </w:rPr>
              <w:t>场地施工时应进行表土剥离、对表土进行分类存放，并回用于场地内道路两侧绿化；</w:t>
            </w:r>
            <w:r>
              <w:rPr>
                <w:rFonts w:hint="default" w:ascii="Times New Roman" w:hAnsi="Times New Roman" w:eastAsia="宋体" w:cs="Times New Roman"/>
                <w:color w:val="auto"/>
                <w:sz w:val="21"/>
                <w:szCs w:val="21"/>
                <w:highlight w:val="none"/>
              </w:rPr>
              <w:t>开挖的</w:t>
            </w:r>
            <w:r>
              <w:rPr>
                <w:rFonts w:hint="eastAsia" w:ascii="Times New Roman" w:hAnsi="Times New Roman" w:eastAsia="宋体" w:cs="Times New Roman"/>
                <w:color w:val="auto"/>
                <w:sz w:val="21"/>
                <w:szCs w:val="21"/>
                <w:highlight w:val="none"/>
                <w:lang w:val="en-US" w:eastAsia="zh-CN"/>
              </w:rPr>
              <w:t>其他</w:t>
            </w:r>
            <w:r>
              <w:rPr>
                <w:rFonts w:hint="default" w:ascii="Times New Roman" w:hAnsi="Times New Roman" w:eastAsia="宋体" w:cs="Times New Roman"/>
                <w:color w:val="auto"/>
                <w:sz w:val="21"/>
                <w:szCs w:val="21"/>
                <w:highlight w:val="none"/>
              </w:rPr>
              <w:t>土石方</w:t>
            </w:r>
            <w:r>
              <w:rPr>
                <w:rFonts w:hint="eastAsia" w:eastAsia="宋体" w:cs="Times New Roman"/>
                <w:color w:val="auto"/>
                <w:sz w:val="21"/>
                <w:szCs w:val="21"/>
                <w:highlight w:val="none"/>
                <w:lang w:val="en-US" w:eastAsia="zh-CN"/>
              </w:rPr>
              <w:t>用于修路等；</w:t>
            </w:r>
            <w:r>
              <w:rPr>
                <w:rFonts w:hint="default" w:ascii="Times New Roman" w:hAnsi="Times New Roman" w:eastAsia="宋体" w:cs="Times New Roman"/>
                <w:color w:val="auto"/>
                <w:sz w:val="21"/>
                <w:szCs w:val="21"/>
                <w:highlight w:val="none"/>
              </w:rPr>
              <w:t>施工结束后，应及时清理施工现场，因地制宜进行土地功能恢复。</w:t>
            </w:r>
          </w:p>
        </w:tc>
        <w:tc>
          <w:tcPr>
            <w:tcW w:w="966"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0000FF"/>
                <w:sz w:val="21"/>
                <w:szCs w:val="21"/>
                <w:highlight w:val="none"/>
              </w:rPr>
            </w:pPr>
            <w:r>
              <w:rPr>
                <w:rFonts w:hint="default" w:ascii="Times New Roman" w:hAnsi="Times New Roman" w:eastAsia="宋体" w:cs="Times New Roman"/>
                <w:color w:val="auto"/>
                <w:sz w:val="21"/>
                <w:szCs w:val="21"/>
                <w:highlight w:val="none"/>
              </w:rPr>
              <w:t>落实环评及批复文件要求，对施工现场进行检查，生态恢复满足环评及批复文件要求。</w:t>
            </w:r>
          </w:p>
        </w:tc>
        <w:tc>
          <w:tcPr>
            <w:tcW w:w="1208"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0000FF"/>
                <w:sz w:val="21"/>
                <w:szCs w:val="21"/>
                <w:highlight w:val="none"/>
              </w:rPr>
            </w:pPr>
            <w:r>
              <w:rPr>
                <w:rFonts w:hint="default" w:ascii="Times New Roman" w:hAnsi="Times New Roman" w:eastAsia="宋体" w:cs="Times New Roman"/>
                <w:color w:val="0000FF"/>
                <w:sz w:val="21"/>
                <w:szCs w:val="21"/>
                <w:highlight w:val="none"/>
              </w:rPr>
              <w:t>/</w:t>
            </w:r>
          </w:p>
        </w:tc>
        <w:tc>
          <w:tcPr>
            <w:tcW w:w="1187"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0000FF"/>
                <w:sz w:val="21"/>
                <w:szCs w:val="21"/>
              </w:rPr>
            </w:pPr>
            <w:r>
              <w:rPr>
                <w:rFonts w:hint="default" w:ascii="Times New Roman" w:hAnsi="Times New Roman" w:eastAsia="宋体" w:cs="Times New Roman"/>
                <w:color w:val="0000FF"/>
                <w:sz w:val="21"/>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477"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auto"/>
              </w:rPr>
            </w:pPr>
            <w:r>
              <w:rPr>
                <w:rFonts w:hint="default" w:ascii="Times New Roman" w:hAnsi="Times New Roman" w:eastAsia="宋体" w:cs="Times New Roman"/>
                <w:color w:val="auto"/>
              </w:rPr>
              <w:t>水生生态</w:t>
            </w:r>
          </w:p>
        </w:tc>
        <w:tc>
          <w:tcPr>
            <w:tcW w:w="1160"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w:t>
            </w:r>
          </w:p>
        </w:tc>
        <w:tc>
          <w:tcPr>
            <w:tcW w:w="966"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w:t>
            </w:r>
          </w:p>
        </w:tc>
        <w:tc>
          <w:tcPr>
            <w:tcW w:w="1208"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w:t>
            </w:r>
          </w:p>
        </w:tc>
        <w:tc>
          <w:tcPr>
            <w:tcW w:w="1187"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0000FF"/>
                <w:sz w:val="21"/>
                <w:szCs w:val="21"/>
              </w:rPr>
            </w:pPr>
            <w:r>
              <w:rPr>
                <w:rFonts w:hint="default" w:ascii="Times New Roman" w:hAnsi="Times New Roman" w:eastAsia="宋体" w:cs="Times New Roman"/>
                <w:color w:val="0000FF"/>
                <w:sz w:val="21"/>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9" w:hRule="atLeast"/>
          <w:jc w:val="center"/>
        </w:trPr>
        <w:tc>
          <w:tcPr>
            <w:tcW w:w="477"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auto"/>
              </w:rPr>
            </w:pPr>
            <w:r>
              <w:rPr>
                <w:rFonts w:hint="default" w:ascii="Times New Roman" w:hAnsi="Times New Roman" w:eastAsia="宋体" w:cs="Times New Roman"/>
                <w:color w:val="auto"/>
              </w:rPr>
              <w:t>地表水环境</w:t>
            </w:r>
          </w:p>
        </w:tc>
        <w:tc>
          <w:tcPr>
            <w:tcW w:w="1160"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施工期间禁止向水体排放、倾倒垃圾、弃土、弃渣，禁止排放未经处理的钻浆等废弃物。</w:t>
            </w:r>
          </w:p>
        </w:tc>
        <w:tc>
          <w:tcPr>
            <w:tcW w:w="966"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落实环评及批复文件要求，核查项目周边涉及的地表水情况，地表水环境满足相应水质要求。</w:t>
            </w:r>
          </w:p>
        </w:tc>
        <w:tc>
          <w:tcPr>
            <w:tcW w:w="1208"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rPr>
              <w:t>升压站采用雨污分流，生活污水经</w:t>
            </w:r>
            <w:r>
              <w:rPr>
                <w:rFonts w:hint="default" w:ascii="Times New Roman" w:hAnsi="Times New Roman" w:eastAsia="宋体" w:cs="Times New Roman"/>
                <w:color w:val="auto"/>
                <w:sz w:val="21"/>
                <w:szCs w:val="21"/>
                <w:lang w:val="en-US" w:eastAsia="zh-CN"/>
              </w:rPr>
              <w:t>隔油池、</w:t>
            </w:r>
            <w:r>
              <w:rPr>
                <w:rFonts w:hint="default" w:ascii="Times New Roman" w:hAnsi="Times New Roman" w:eastAsia="宋体" w:cs="Times New Roman"/>
                <w:color w:val="auto"/>
                <w:sz w:val="21"/>
                <w:szCs w:val="21"/>
              </w:rPr>
              <w:t>地埋式一体化污水处理设备处理后</w:t>
            </w:r>
            <w:r>
              <w:rPr>
                <w:rFonts w:hint="default" w:ascii="Times New Roman" w:hAnsi="Times New Roman" w:eastAsia="宋体" w:cs="Times New Roman"/>
                <w:color w:val="auto"/>
                <w:sz w:val="21"/>
                <w:szCs w:val="21"/>
                <w:lang w:val="en-US" w:eastAsia="zh-CN"/>
              </w:rPr>
              <w:t>绿化，不外排</w:t>
            </w:r>
          </w:p>
        </w:tc>
        <w:tc>
          <w:tcPr>
            <w:tcW w:w="1187"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落实环评及批复文件要求，升压站采用雨污分流，生活污水经</w:t>
            </w:r>
            <w:r>
              <w:rPr>
                <w:rFonts w:hint="default" w:ascii="Times New Roman" w:hAnsi="Times New Roman" w:eastAsia="宋体" w:cs="Times New Roman"/>
                <w:color w:val="auto"/>
                <w:sz w:val="21"/>
                <w:szCs w:val="21"/>
                <w:lang w:val="en-US" w:eastAsia="zh-CN"/>
              </w:rPr>
              <w:t>隔油池、</w:t>
            </w:r>
            <w:r>
              <w:rPr>
                <w:rFonts w:hint="default" w:ascii="Times New Roman" w:hAnsi="Times New Roman" w:eastAsia="宋体" w:cs="Times New Roman"/>
                <w:color w:val="auto"/>
                <w:sz w:val="21"/>
                <w:szCs w:val="21"/>
              </w:rPr>
              <w:t>地埋式一体化污水处理设备处理后</w:t>
            </w:r>
            <w:r>
              <w:rPr>
                <w:rFonts w:hint="default" w:ascii="Times New Roman" w:hAnsi="Times New Roman" w:eastAsia="宋体" w:cs="Times New Roman"/>
                <w:color w:val="auto"/>
                <w:sz w:val="21"/>
                <w:szCs w:val="21"/>
                <w:lang w:val="en-US" w:eastAsia="zh-CN"/>
              </w:rPr>
              <w:t>绿化，不外排</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13" w:hRule="atLeast"/>
          <w:jc w:val="center"/>
        </w:trPr>
        <w:tc>
          <w:tcPr>
            <w:tcW w:w="477"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auto"/>
              </w:rPr>
            </w:pPr>
            <w:r>
              <w:rPr>
                <w:rFonts w:hint="default" w:ascii="Times New Roman" w:hAnsi="Times New Roman" w:eastAsia="宋体" w:cs="Times New Roman"/>
                <w:color w:val="auto"/>
              </w:rPr>
              <w:t>地下水及土壤环境</w:t>
            </w:r>
          </w:p>
        </w:tc>
        <w:tc>
          <w:tcPr>
            <w:tcW w:w="1160"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0000FF"/>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分区防渗：</w:t>
            </w:r>
            <w:r>
              <w:rPr>
                <w:rFonts w:hint="default" w:ascii="Times New Roman" w:hAnsi="Times New Roman" w:eastAsia="宋体" w:cs="Times New Roman"/>
                <w:color w:val="auto"/>
                <w:sz w:val="21"/>
                <w:szCs w:val="21"/>
                <w:highlight w:val="none"/>
              </w:rPr>
              <w:t>危废间、</w:t>
            </w:r>
            <w:r>
              <w:rPr>
                <w:rFonts w:hint="eastAsia" w:cs="Times New Roman"/>
                <w:bCs/>
                <w:color w:val="auto"/>
                <w:spacing w:val="10"/>
                <w:sz w:val="21"/>
                <w:szCs w:val="21"/>
                <w:highlight w:val="none"/>
                <w:lang w:val="en-US" w:eastAsia="zh-CN"/>
              </w:rPr>
              <w:t>贮</w:t>
            </w:r>
            <w:r>
              <w:rPr>
                <w:rFonts w:hint="default" w:ascii="Times New Roman" w:hAnsi="Times New Roman" w:cs="Times New Roman"/>
                <w:bCs/>
                <w:color w:val="auto"/>
                <w:spacing w:val="10"/>
                <w:sz w:val="21"/>
                <w:szCs w:val="21"/>
                <w:highlight w:val="none"/>
                <w:lang w:val="en-US" w:eastAsia="zh-CN"/>
              </w:rPr>
              <w:t>油</w:t>
            </w:r>
            <w:r>
              <w:rPr>
                <w:rFonts w:hint="eastAsia" w:cs="Times New Roman"/>
                <w:bCs/>
                <w:color w:val="auto"/>
                <w:spacing w:val="10"/>
                <w:sz w:val="21"/>
                <w:szCs w:val="21"/>
                <w:highlight w:val="none"/>
                <w:lang w:val="en-US" w:eastAsia="zh-CN"/>
              </w:rPr>
              <w:t>池、</w:t>
            </w:r>
            <w:r>
              <w:rPr>
                <w:rFonts w:hint="eastAsia" w:ascii="Times New Roman" w:hAnsi="Times New Roman" w:eastAsia="宋体" w:cs="Times New Roman"/>
                <w:color w:val="auto"/>
                <w:sz w:val="21"/>
                <w:szCs w:val="21"/>
                <w:highlight w:val="none"/>
                <w:lang w:val="en-US" w:eastAsia="zh-CN"/>
              </w:rPr>
              <w:t>事故油池、</w:t>
            </w:r>
            <w:r>
              <w:rPr>
                <w:rFonts w:hint="eastAsia" w:ascii="Times New Roman" w:hAnsi="Times New Roman" w:eastAsia="宋体" w:cs="Times New Roman"/>
                <w:color w:val="auto"/>
                <w:sz w:val="21"/>
                <w:szCs w:val="21"/>
                <w:highlight w:val="none"/>
              </w:rPr>
              <w:t>化粪池、</w:t>
            </w:r>
            <w:r>
              <w:rPr>
                <w:rFonts w:hint="eastAsia" w:ascii="Times New Roman" w:hAnsi="Times New Roman" w:eastAsia="宋体" w:cs="Times New Roman"/>
                <w:color w:val="auto"/>
                <w:sz w:val="21"/>
                <w:szCs w:val="21"/>
                <w:highlight w:val="none"/>
                <w:lang w:val="en-US" w:eastAsia="zh-CN"/>
              </w:rPr>
              <w:t>隔油池</w:t>
            </w:r>
            <w:r>
              <w:rPr>
                <w:rFonts w:hint="eastAsia" w:ascii="Times New Roman" w:hAnsi="Times New Roman" w:eastAsia="宋体" w:cs="Times New Roman"/>
                <w:color w:val="auto"/>
                <w:sz w:val="21"/>
                <w:szCs w:val="21"/>
                <w:highlight w:val="none"/>
              </w:rPr>
              <w:t>、污水处理站</w:t>
            </w:r>
            <w:r>
              <w:rPr>
                <w:rFonts w:hint="eastAsia" w:ascii="Times New Roman" w:hAnsi="Times New Roman" w:eastAsia="宋体" w:cs="Times New Roman"/>
                <w:color w:val="auto"/>
                <w:sz w:val="21"/>
                <w:szCs w:val="21"/>
                <w:highlight w:val="none"/>
                <w:lang w:val="en-US" w:eastAsia="zh-CN"/>
              </w:rPr>
              <w:t>等按重点防渗区要求进行防渗</w:t>
            </w:r>
          </w:p>
        </w:tc>
        <w:tc>
          <w:tcPr>
            <w:tcW w:w="966"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0000FF"/>
                <w:sz w:val="21"/>
                <w:szCs w:val="21"/>
                <w:highlight w:val="none"/>
                <w:lang w:val="en-US" w:eastAsia="zh-CN"/>
              </w:rPr>
            </w:pPr>
            <w:r>
              <w:rPr>
                <w:rFonts w:hint="default" w:ascii="Times New Roman" w:hAnsi="Times New Roman" w:eastAsia="宋体" w:cs="Times New Roman"/>
                <w:color w:val="auto"/>
                <w:sz w:val="21"/>
                <w:szCs w:val="21"/>
                <w:highlight w:val="none"/>
              </w:rPr>
              <w:t>落实环评及批复文件要求，核查</w:t>
            </w:r>
            <w:r>
              <w:rPr>
                <w:rFonts w:hint="eastAsia" w:ascii="Times New Roman" w:hAnsi="Times New Roman" w:eastAsia="宋体" w:cs="Times New Roman"/>
                <w:color w:val="auto"/>
                <w:sz w:val="21"/>
                <w:szCs w:val="21"/>
                <w:highlight w:val="none"/>
                <w:lang w:val="en-US" w:eastAsia="zh-CN"/>
              </w:rPr>
              <w:t>分区防渗施工验收</w:t>
            </w:r>
          </w:p>
        </w:tc>
        <w:tc>
          <w:tcPr>
            <w:tcW w:w="1208"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w:t>
            </w:r>
          </w:p>
        </w:tc>
        <w:tc>
          <w:tcPr>
            <w:tcW w:w="1187"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477"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auto"/>
              </w:rPr>
            </w:pPr>
            <w:r>
              <w:rPr>
                <w:rFonts w:hint="default" w:ascii="Times New Roman" w:hAnsi="Times New Roman" w:eastAsia="宋体" w:cs="Times New Roman"/>
                <w:color w:val="auto"/>
              </w:rPr>
              <w:t>声环境</w:t>
            </w:r>
          </w:p>
        </w:tc>
        <w:tc>
          <w:tcPr>
            <w:tcW w:w="1160"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使用低噪声施工机械设备，从源头上进行噪声控制。</w:t>
            </w:r>
          </w:p>
        </w:tc>
        <w:tc>
          <w:tcPr>
            <w:tcW w:w="966"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施工场界噪声满足GB 12523的标准（昼间70dB（A）、夜间55dB（A））。</w:t>
            </w:r>
          </w:p>
        </w:tc>
        <w:tc>
          <w:tcPr>
            <w:tcW w:w="1208" w:type="pct"/>
            <w:vAlign w:val="center"/>
          </w:tcPr>
          <w:p>
            <w:pPr>
              <w:adjustRightInd w:val="0"/>
              <w:snapToGrid w:val="0"/>
              <w:spacing w:line="240" w:lineRule="auto"/>
              <w:ind w:firstLine="0" w:firstLineChars="0"/>
              <w:jc w:val="center"/>
              <w:rPr>
                <w:rFonts w:hint="eastAsia"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加强设备的日常维修保养，避免高噪声设备在非正常状态下运转。</w:t>
            </w:r>
          </w:p>
        </w:tc>
        <w:tc>
          <w:tcPr>
            <w:tcW w:w="1187" w:type="pct"/>
            <w:vAlign w:val="center"/>
          </w:tcPr>
          <w:p>
            <w:pPr>
              <w:adjustRightInd w:val="0"/>
              <w:snapToGrid w:val="0"/>
              <w:spacing w:line="240" w:lineRule="auto"/>
              <w:ind w:firstLine="0" w:firstLineChars="0"/>
              <w:jc w:val="center"/>
              <w:rPr>
                <w:rFonts w:hint="eastAsia" w:ascii="Times New Roman" w:hAnsi="Times New Roman" w:eastAsia="宋体" w:cs="Times New Roman"/>
                <w:color w:val="auto"/>
                <w:sz w:val="21"/>
                <w:szCs w:val="21"/>
                <w:lang w:eastAsia="zh-CN"/>
              </w:rPr>
            </w:pPr>
            <w:r>
              <w:rPr>
                <w:rFonts w:hint="default" w:ascii="Times New Roman" w:hAnsi="Times New Roman" w:eastAsia="宋体" w:cs="Times New Roman"/>
                <w:color w:val="auto"/>
                <w:sz w:val="21"/>
                <w:szCs w:val="21"/>
              </w:rPr>
              <w:t>进行竣工验收现场检测，升压站厂界噪声符合《工业企业厂界环境噪声排放标准》（GB 12348-2008）中1类标准</w:t>
            </w:r>
            <w:r>
              <w:rPr>
                <w:rFonts w:hint="eastAsia" w:eastAsia="宋体" w:cs="Times New Roman"/>
                <w:color w:val="auto"/>
                <w:sz w:val="21"/>
                <w:szCs w:val="21"/>
                <w:lang w:eastAsia="zh-CN"/>
              </w:rPr>
              <w:t>：</w:t>
            </w:r>
            <w:r>
              <w:rPr>
                <w:rFonts w:hint="default" w:ascii="Times New Roman" w:hAnsi="Times New Roman" w:eastAsia="宋体" w:cs="Times New Roman"/>
                <w:color w:val="auto"/>
                <w:sz w:val="21"/>
                <w:szCs w:val="21"/>
              </w:rPr>
              <w:t>昼间</w:t>
            </w:r>
            <w:r>
              <w:rPr>
                <w:rFonts w:hint="eastAsia" w:eastAsia="宋体" w:cs="Times New Roman"/>
                <w:color w:val="auto"/>
                <w:sz w:val="21"/>
                <w:szCs w:val="21"/>
                <w:lang w:val="en-US" w:eastAsia="zh-CN"/>
              </w:rPr>
              <w:t>55</w:t>
            </w:r>
            <w:r>
              <w:rPr>
                <w:rFonts w:hint="default" w:ascii="Times New Roman" w:hAnsi="Times New Roman" w:eastAsia="宋体" w:cs="Times New Roman"/>
                <w:color w:val="auto"/>
                <w:sz w:val="21"/>
                <w:szCs w:val="21"/>
              </w:rPr>
              <w:t>dB（A）、夜间</w:t>
            </w:r>
            <w:r>
              <w:rPr>
                <w:rFonts w:hint="eastAsia" w:eastAsia="宋体" w:cs="Times New Roman"/>
                <w:color w:val="auto"/>
                <w:sz w:val="21"/>
                <w:szCs w:val="21"/>
                <w:lang w:val="en-US" w:eastAsia="zh-CN"/>
              </w:rPr>
              <w:t>4</w:t>
            </w:r>
            <w:r>
              <w:rPr>
                <w:rFonts w:hint="default" w:ascii="Times New Roman" w:hAnsi="Times New Roman" w:eastAsia="宋体" w:cs="Times New Roman"/>
                <w:color w:val="auto"/>
                <w:sz w:val="21"/>
                <w:szCs w:val="21"/>
              </w:rPr>
              <w:t>5dB（A）</w:t>
            </w:r>
            <w:r>
              <w:rPr>
                <w:rFonts w:hint="eastAsia" w:eastAsia="宋体" w:cs="Times New Roman"/>
                <w:color w:val="auto"/>
                <w:sz w:val="21"/>
                <w:szCs w:val="21"/>
                <w:lang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477"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auto"/>
              </w:rPr>
            </w:pPr>
            <w:r>
              <w:rPr>
                <w:rFonts w:hint="default" w:ascii="Times New Roman" w:hAnsi="Times New Roman" w:eastAsia="宋体" w:cs="Times New Roman"/>
                <w:color w:val="auto"/>
              </w:rPr>
              <w:t>振动</w:t>
            </w:r>
          </w:p>
        </w:tc>
        <w:tc>
          <w:tcPr>
            <w:tcW w:w="1160"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w:t>
            </w:r>
          </w:p>
        </w:tc>
        <w:tc>
          <w:tcPr>
            <w:tcW w:w="966"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w:t>
            </w:r>
          </w:p>
        </w:tc>
        <w:tc>
          <w:tcPr>
            <w:tcW w:w="1208"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w:t>
            </w:r>
          </w:p>
        </w:tc>
        <w:tc>
          <w:tcPr>
            <w:tcW w:w="1187"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0000FF"/>
                <w:sz w:val="21"/>
                <w:szCs w:val="21"/>
              </w:rPr>
            </w:pPr>
            <w:r>
              <w:rPr>
                <w:rFonts w:hint="default" w:ascii="Times New Roman" w:hAnsi="Times New Roman" w:eastAsia="宋体" w:cs="Times New Roman"/>
                <w:color w:val="0000FF"/>
                <w:sz w:val="21"/>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97" w:hRule="atLeast"/>
          <w:jc w:val="center"/>
        </w:trPr>
        <w:tc>
          <w:tcPr>
            <w:tcW w:w="477"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auto"/>
              </w:rPr>
            </w:pPr>
            <w:r>
              <w:rPr>
                <w:rFonts w:hint="default" w:ascii="Times New Roman" w:hAnsi="Times New Roman" w:eastAsia="宋体" w:cs="Times New Roman"/>
                <w:color w:val="auto"/>
              </w:rPr>
              <w:t>大气环境</w:t>
            </w:r>
          </w:p>
        </w:tc>
        <w:tc>
          <w:tcPr>
            <w:tcW w:w="1160"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采取扬尘防治措施，如洒水降尘措施、临时苫盖措施，保证施工扬尘得到有效控制。</w:t>
            </w:r>
          </w:p>
        </w:tc>
        <w:tc>
          <w:tcPr>
            <w:tcW w:w="966"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落实环评及批复文件要求，采用了有效的扬尘防治措施，施工扬尘得到有效控制。</w:t>
            </w:r>
          </w:p>
        </w:tc>
        <w:tc>
          <w:tcPr>
            <w:tcW w:w="1208" w:type="pct"/>
            <w:vAlign w:val="center"/>
          </w:tcPr>
          <w:p>
            <w:pPr>
              <w:adjustRightInd w:val="0"/>
              <w:snapToGrid w:val="0"/>
              <w:spacing w:line="240" w:lineRule="auto"/>
              <w:ind w:firstLine="0" w:firstLineChars="0"/>
              <w:jc w:val="center"/>
              <w:rPr>
                <w:rFonts w:hint="eastAsia" w:ascii="Times New Roman" w:hAnsi="Times New Roman" w:eastAsia="宋体" w:cs="Times New Roman"/>
                <w:color w:val="auto"/>
                <w:sz w:val="21"/>
                <w:szCs w:val="21"/>
                <w:highlight w:val="none"/>
                <w:lang w:eastAsia="zh-CN"/>
              </w:rPr>
            </w:pPr>
            <w:r>
              <w:rPr>
                <w:rFonts w:hint="eastAsia" w:ascii="Times New Roman" w:hAnsi="Times New Roman"/>
                <w:spacing w:val="-2"/>
                <w:sz w:val="21"/>
                <w:szCs w:val="21"/>
                <w:highlight w:val="none"/>
                <w:lang w:val="en-US" w:eastAsia="zh-CN"/>
              </w:rPr>
              <w:t>设接地变压器、采用六氟化硫断路器</w:t>
            </w:r>
            <w:r>
              <w:rPr>
                <w:rFonts w:hint="eastAsia"/>
                <w:spacing w:val="-2"/>
                <w:sz w:val="21"/>
                <w:szCs w:val="21"/>
                <w:highlight w:val="none"/>
                <w:lang w:val="en-US" w:eastAsia="zh-CN"/>
              </w:rPr>
              <w:t>，</w:t>
            </w:r>
            <w:r>
              <w:rPr>
                <w:rFonts w:hint="eastAsia" w:ascii="Times New Roman" w:hAnsi="Times New Roman" w:eastAsia="宋体" w:cs="Times New Roman"/>
                <w:color w:val="auto"/>
                <w:sz w:val="21"/>
                <w:szCs w:val="21"/>
                <w:lang w:val="en-US" w:eastAsia="zh-CN"/>
              </w:rPr>
              <w:t>加强</w:t>
            </w:r>
            <w:r>
              <w:rPr>
                <w:rFonts w:hint="eastAsia" w:ascii="Times New Roman" w:hAnsi="Times New Roman"/>
                <w:spacing w:val="-2"/>
                <w:sz w:val="21"/>
                <w:szCs w:val="21"/>
                <w:highlight w:val="none"/>
                <w:lang w:val="en-US" w:eastAsia="zh-CN"/>
              </w:rPr>
              <w:t>变压器运行状态</w:t>
            </w:r>
            <w:r>
              <w:rPr>
                <w:rFonts w:hint="eastAsia"/>
                <w:spacing w:val="-2"/>
                <w:sz w:val="21"/>
                <w:szCs w:val="21"/>
                <w:highlight w:val="none"/>
                <w:lang w:val="en-US" w:eastAsia="zh-CN"/>
              </w:rPr>
              <w:t>检查</w:t>
            </w:r>
            <w:r>
              <w:rPr>
                <w:rFonts w:hint="eastAsia"/>
                <w:spacing w:val="-2"/>
                <w:sz w:val="21"/>
                <w:szCs w:val="21"/>
                <w:highlight w:val="none"/>
                <w:lang w:eastAsia="zh-CN"/>
              </w:rPr>
              <w:t>；</w:t>
            </w:r>
            <w:r>
              <w:rPr>
                <w:spacing w:val="-2"/>
                <w:sz w:val="21"/>
                <w:szCs w:val="21"/>
                <w:highlight w:val="none"/>
              </w:rPr>
              <w:t>拟建餐厅使用清洁能源，</w:t>
            </w:r>
            <w:r>
              <w:rPr>
                <w:rFonts w:hint="eastAsia"/>
                <w:spacing w:val="-2"/>
                <w:sz w:val="21"/>
                <w:szCs w:val="21"/>
                <w:highlight w:val="none"/>
                <w:lang w:val="en-US" w:eastAsia="zh-CN"/>
              </w:rPr>
              <w:t>并</w:t>
            </w:r>
            <w:r>
              <w:rPr>
                <w:rFonts w:hint="default" w:ascii="Times New Roman" w:hAnsi="Times New Roman" w:cs="Times New Roman"/>
                <w:color w:val="auto"/>
                <w:sz w:val="21"/>
                <w:szCs w:val="21"/>
                <w:highlight w:val="none"/>
              </w:rPr>
              <w:t>加装</w:t>
            </w:r>
            <w:r>
              <w:rPr>
                <w:rFonts w:hint="eastAsia" w:ascii="Times New Roman" w:hAnsi="Times New Roman" w:cs="Times New Roman"/>
                <w:color w:val="auto"/>
                <w:sz w:val="21"/>
                <w:szCs w:val="21"/>
                <w:highlight w:val="none"/>
              </w:rPr>
              <w:t>烟气集气罩</w:t>
            </w:r>
            <w:r>
              <w:rPr>
                <w:rFonts w:hint="eastAsia" w:ascii="Times New Roman" w:hAnsi="Times New Roman" w:cs="Times New Roman"/>
                <w:color w:val="auto"/>
                <w:sz w:val="21"/>
                <w:szCs w:val="21"/>
                <w:highlight w:val="none"/>
                <w:lang w:val="en-US" w:eastAsia="zh-CN"/>
              </w:rPr>
              <w:t>+</w:t>
            </w:r>
            <w:r>
              <w:rPr>
                <w:rFonts w:hint="default" w:ascii="Times New Roman" w:hAnsi="Times New Roman" w:cs="Times New Roman"/>
                <w:color w:val="auto"/>
                <w:sz w:val="21"/>
                <w:szCs w:val="21"/>
                <w:highlight w:val="none"/>
              </w:rPr>
              <w:t>油烟净化器（处理效率：小型≥</w:t>
            </w:r>
            <w:r>
              <w:rPr>
                <w:rFonts w:hint="eastAsia" w:ascii="Times New Roman" w:hAnsi="Times New Roman" w:cs="Times New Roman"/>
                <w:color w:val="auto"/>
                <w:sz w:val="21"/>
                <w:szCs w:val="21"/>
                <w:highlight w:val="none"/>
              </w:rPr>
              <w:t>9</w:t>
            </w:r>
            <w:r>
              <w:rPr>
                <w:rFonts w:hint="default" w:ascii="Times New Roman" w:hAnsi="Times New Roman" w:cs="Times New Roman"/>
                <w:color w:val="auto"/>
                <w:sz w:val="21"/>
                <w:szCs w:val="21"/>
                <w:highlight w:val="none"/>
              </w:rPr>
              <w:t>0%），餐饮油烟经油烟净化系统处理</w:t>
            </w:r>
            <w:r>
              <w:rPr>
                <w:rFonts w:hint="eastAsia" w:ascii="Times New Roman" w:hAnsi="Times New Roman" w:cs="Times New Roman"/>
                <w:color w:val="auto"/>
                <w:sz w:val="21"/>
                <w:szCs w:val="21"/>
                <w:highlight w:val="none"/>
              </w:rPr>
              <w:t>后</w:t>
            </w:r>
            <w:r>
              <w:rPr>
                <w:rFonts w:hint="default" w:ascii="Times New Roman" w:hAnsi="Times New Roman" w:cs="Times New Roman"/>
                <w:color w:val="auto"/>
                <w:sz w:val="21"/>
                <w:szCs w:val="21"/>
                <w:highlight w:val="none"/>
              </w:rPr>
              <w:t>通过烟道</w:t>
            </w:r>
            <w:r>
              <w:rPr>
                <w:rFonts w:hint="eastAsia" w:ascii="Times New Roman" w:hAnsi="Times New Roman" w:cs="Times New Roman"/>
                <w:color w:val="auto"/>
                <w:sz w:val="21"/>
                <w:szCs w:val="21"/>
                <w:highlight w:val="none"/>
              </w:rPr>
              <w:t>经房顶排放</w:t>
            </w:r>
            <w:r>
              <w:rPr>
                <w:rFonts w:hint="default" w:ascii="Times New Roman" w:hAnsi="Times New Roman" w:eastAsia="宋体" w:cs="Times New Roman"/>
                <w:color w:val="auto"/>
                <w:sz w:val="21"/>
                <w:szCs w:val="21"/>
                <w:highlight w:val="none"/>
              </w:rPr>
              <w:t>。</w:t>
            </w:r>
          </w:p>
        </w:tc>
        <w:tc>
          <w:tcPr>
            <w:tcW w:w="1187" w:type="pct"/>
            <w:vAlign w:val="center"/>
          </w:tcPr>
          <w:p>
            <w:pPr>
              <w:adjustRightInd w:val="0"/>
              <w:snapToGrid w:val="0"/>
              <w:spacing w:line="240" w:lineRule="auto"/>
              <w:ind w:firstLine="0" w:firstLineChars="0"/>
              <w:jc w:val="center"/>
              <w:rPr>
                <w:rFonts w:hint="eastAsia" w:eastAsiaTheme="minorEastAsia"/>
                <w:sz w:val="21"/>
                <w:szCs w:val="21"/>
                <w:highlight w:val="none"/>
                <w:lang w:val="en-US" w:eastAsia="zh-CN"/>
              </w:rPr>
            </w:pPr>
            <w:r>
              <w:rPr>
                <w:rFonts w:hint="eastAsia" w:ascii="Times New Roman" w:hAnsi="Times New Roman"/>
                <w:spacing w:val="-2"/>
                <w:sz w:val="21"/>
                <w:szCs w:val="21"/>
                <w:highlight w:val="none"/>
                <w:lang w:val="en-US" w:eastAsia="zh-CN"/>
              </w:rPr>
              <w:t>进行</w:t>
            </w:r>
            <w:r>
              <w:rPr>
                <w:rFonts w:hint="default" w:ascii="Times New Roman" w:hAnsi="Times New Roman"/>
                <w:spacing w:val="-2"/>
                <w:sz w:val="21"/>
                <w:szCs w:val="21"/>
                <w:highlight w:val="none"/>
              </w:rPr>
              <w:t>竣工验收现场检测，确保</w:t>
            </w:r>
            <w:r>
              <w:rPr>
                <w:rFonts w:hint="eastAsia" w:ascii="Times New Roman" w:hAnsi="Times New Roman"/>
                <w:spacing w:val="-2"/>
                <w:sz w:val="21"/>
                <w:szCs w:val="21"/>
                <w:highlight w:val="none"/>
                <w:lang w:val="en-US" w:eastAsia="zh-CN"/>
              </w:rPr>
              <w:t>油烟符合</w:t>
            </w:r>
            <w:r>
              <w:rPr>
                <w:rFonts w:hint="eastAsia" w:ascii="Times New Roman" w:hAnsi="Times New Roman"/>
                <w:spacing w:val="-2"/>
                <w:sz w:val="21"/>
                <w:szCs w:val="21"/>
                <w:highlight w:val="none"/>
              </w:rPr>
              <w:t>河南省</w:t>
            </w:r>
            <w:r>
              <w:rPr>
                <w:rFonts w:hint="eastAsia" w:ascii="Times New Roman" w:hAnsi="Times New Roman"/>
                <w:spacing w:val="-2"/>
                <w:sz w:val="21"/>
                <w:szCs w:val="21"/>
                <w:highlight w:val="none"/>
                <w:lang w:val="en-US" w:eastAsia="zh-CN"/>
              </w:rPr>
              <w:t>地标</w:t>
            </w:r>
            <w:r>
              <w:rPr>
                <w:rFonts w:hint="eastAsia" w:ascii="Times New Roman" w:hAnsi="Times New Roman"/>
                <w:spacing w:val="-2"/>
                <w:sz w:val="21"/>
                <w:szCs w:val="21"/>
                <w:highlight w:val="none"/>
              </w:rPr>
              <w:t>《餐饮业油烟污染物排放标准》(DB41/1604-2018) 表1标准要求（处理后排放浓度1.5mg/m</w:t>
            </w:r>
            <w:r>
              <w:rPr>
                <w:rFonts w:hint="eastAsia" w:ascii="Times New Roman" w:hAnsi="Times New Roman"/>
                <w:spacing w:val="-2"/>
                <w:sz w:val="21"/>
                <w:szCs w:val="21"/>
                <w:highlight w:val="none"/>
                <w:vertAlign w:val="superscript"/>
              </w:rPr>
              <w:t>3</w:t>
            </w:r>
            <w:r>
              <w:rPr>
                <w:rFonts w:hint="eastAsia" w:ascii="Times New Roman" w:hAnsi="Times New Roman"/>
                <w:spacing w:val="-2"/>
                <w:sz w:val="21"/>
                <w:szCs w:val="21"/>
                <w:highlight w:val="none"/>
              </w:rPr>
              <w:t>，处理效率90%）</w:t>
            </w:r>
            <w:r>
              <w:rPr>
                <w:rFonts w:hint="default" w:ascii="Times New Roman" w:hAnsi="Times New Roman" w:eastAsia="宋体" w:cs="Times New Roman"/>
                <w:color w:val="auto"/>
                <w:sz w:val="21"/>
                <w:szCs w:val="21"/>
                <w:highlight w:val="none"/>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477"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auto"/>
              </w:rPr>
            </w:pPr>
            <w:r>
              <w:rPr>
                <w:rFonts w:hint="default" w:ascii="Times New Roman" w:hAnsi="Times New Roman" w:eastAsia="宋体" w:cs="Times New Roman"/>
                <w:color w:val="auto"/>
              </w:rPr>
              <w:t>固体废物</w:t>
            </w:r>
          </w:p>
        </w:tc>
        <w:tc>
          <w:tcPr>
            <w:tcW w:w="1160"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施工过程中产生的土石方、建筑垃圾、生活垃圾应分类集中收集，并按国家和地方有关规定定期进行清运处置，施工完成后及时做好迹地清理工作。</w:t>
            </w:r>
          </w:p>
        </w:tc>
        <w:tc>
          <w:tcPr>
            <w:tcW w:w="966"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施工过程中产生的土石方、建筑垃圾、生活垃圾按环评及批复要求进行处置，施工现场无固体废物残留，检查施工迹地恢复情况。</w:t>
            </w:r>
          </w:p>
        </w:tc>
        <w:tc>
          <w:tcPr>
            <w:tcW w:w="1208" w:type="pct"/>
            <w:vAlign w:val="center"/>
          </w:tcPr>
          <w:p>
            <w:pPr>
              <w:adjustRightInd w:val="0"/>
              <w:snapToGrid w:val="0"/>
              <w:spacing w:line="240" w:lineRule="auto"/>
              <w:ind w:firstLine="0" w:firstLineChars="0"/>
              <w:jc w:val="left"/>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生活垃圾经分类收集后妥善处置，</w:t>
            </w:r>
            <w:r>
              <w:rPr>
                <w:rFonts w:hint="eastAsia"/>
                <w:b w:val="0"/>
                <w:bCs w:val="0"/>
                <w:sz w:val="21"/>
                <w:szCs w:val="21"/>
                <w:highlight w:val="none"/>
                <w:u w:val="none"/>
                <w:lang w:val="en-US" w:eastAsia="zh-CN"/>
              </w:rPr>
              <w:t>废磷酸铁锂电池交由厂家回收，</w:t>
            </w:r>
            <w:r>
              <w:rPr>
                <w:rFonts w:hint="default" w:ascii="Times New Roman" w:hAnsi="Times New Roman" w:eastAsia="宋体" w:cs="Times New Roman"/>
                <w:b w:val="0"/>
                <w:bCs w:val="0"/>
                <w:color w:val="auto"/>
                <w:sz w:val="21"/>
                <w:szCs w:val="21"/>
                <w:highlight w:val="none"/>
                <w:u w:val="none"/>
                <w:lang w:val="en-US" w:eastAsia="zh-CN"/>
              </w:rPr>
              <w:t>废</w:t>
            </w:r>
            <w:r>
              <w:rPr>
                <w:rFonts w:hint="eastAsia" w:eastAsia="宋体" w:cs="Times New Roman"/>
                <w:b w:val="0"/>
                <w:bCs w:val="0"/>
                <w:color w:val="auto"/>
                <w:sz w:val="21"/>
                <w:szCs w:val="21"/>
                <w:highlight w:val="none"/>
                <w:u w:val="none"/>
                <w:lang w:val="en-US" w:eastAsia="zh-CN"/>
              </w:rPr>
              <w:t>变压器油、</w:t>
            </w:r>
            <w:r>
              <w:rPr>
                <w:rFonts w:hint="default" w:ascii="Times New Roman" w:hAnsi="Times New Roman" w:eastAsia="宋体" w:cs="Times New Roman"/>
                <w:b w:val="0"/>
                <w:bCs w:val="0"/>
                <w:color w:val="auto"/>
                <w:sz w:val="21"/>
                <w:szCs w:val="21"/>
                <w:highlight w:val="none"/>
                <w:u w:val="none"/>
                <w:lang w:val="en-US" w:eastAsia="zh-CN"/>
              </w:rPr>
              <w:t>废</w:t>
            </w:r>
            <w:r>
              <w:rPr>
                <w:rFonts w:hint="default"/>
                <w:b w:val="0"/>
                <w:bCs w:val="0"/>
                <w:sz w:val="21"/>
                <w:szCs w:val="21"/>
                <w:highlight w:val="none"/>
                <w:u w:val="none"/>
              </w:rPr>
              <w:t>铅酸</w:t>
            </w:r>
            <w:r>
              <w:rPr>
                <w:rFonts w:hint="default" w:ascii="Times New Roman" w:hAnsi="Times New Roman" w:eastAsia="宋体" w:cs="Times New Roman"/>
                <w:b w:val="0"/>
                <w:bCs w:val="0"/>
                <w:color w:val="auto"/>
                <w:sz w:val="21"/>
                <w:szCs w:val="21"/>
                <w:highlight w:val="none"/>
                <w:u w:val="none"/>
                <w:lang w:val="en-US" w:eastAsia="zh-CN"/>
              </w:rPr>
              <w:t>蓄电池</w:t>
            </w:r>
            <w:r>
              <w:rPr>
                <w:rFonts w:hint="default" w:ascii="Times New Roman" w:hAnsi="Times New Roman" w:cs="Times New Roman"/>
                <w:b w:val="0"/>
                <w:bCs w:val="0"/>
                <w:color w:val="auto"/>
                <w:sz w:val="21"/>
                <w:szCs w:val="21"/>
                <w:highlight w:val="none"/>
                <w:u w:val="none"/>
              </w:rPr>
              <w:t>等</w:t>
            </w:r>
            <w:r>
              <w:rPr>
                <w:rFonts w:hint="default" w:ascii="Times New Roman" w:hAnsi="Times New Roman" w:eastAsia="宋体" w:cs="Times New Roman"/>
                <w:color w:val="auto"/>
                <w:sz w:val="21"/>
                <w:szCs w:val="21"/>
              </w:rPr>
              <w:t>危险废物按管理要求交由有资质单位处置</w:t>
            </w:r>
            <w:r>
              <w:rPr>
                <w:rFonts w:hint="eastAsia" w:eastAsia="宋体" w:cs="Times New Roman"/>
                <w:color w:val="auto"/>
                <w:sz w:val="21"/>
                <w:szCs w:val="21"/>
                <w:lang w:eastAsia="zh-CN"/>
              </w:rPr>
              <w:t>，</w:t>
            </w:r>
            <w:r>
              <w:rPr>
                <w:rFonts w:hint="eastAsia" w:eastAsia="宋体" w:cs="Times New Roman"/>
                <w:color w:val="auto"/>
                <w:sz w:val="21"/>
                <w:szCs w:val="21"/>
                <w:lang w:val="en-US" w:eastAsia="zh-CN"/>
              </w:rPr>
              <w:t>站内设危废间用于危险</w:t>
            </w:r>
            <w:r>
              <w:rPr>
                <w:rFonts w:hint="default" w:ascii="Times New Roman" w:hAnsi="Times New Roman" w:eastAsia="宋体" w:cs="Times New Roman"/>
                <w:color w:val="auto"/>
                <w:sz w:val="21"/>
                <w:szCs w:val="21"/>
              </w:rPr>
              <w:t>废</w:t>
            </w:r>
            <w:r>
              <w:rPr>
                <w:rFonts w:hint="eastAsia" w:eastAsia="宋体" w:cs="Times New Roman"/>
                <w:color w:val="auto"/>
                <w:sz w:val="21"/>
                <w:szCs w:val="21"/>
                <w:lang w:val="en-US" w:eastAsia="zh-CN"/>
              </w:rPr>
              <w:t>物暂存</w:t>
            </w:r>
            <w:r>
              <w:rPr>
                <w:rFonts w:hint="default" w:ascii="Times New Roman" w:hAnsi="Times New Roman" w:eastAsia="宋体" w:cs="Times New Roman"/>
                <w:color w:val="auto"/>
                <w:sz w:val="21"/>
                <w:szCs w:val="21"/>
              </w:rPr>
              <w:t>。</w:t>
            </w:r>
          </w:p>
        </w:tc>
        <w:tc>
          <w:tcPr>
            <w:tcW w:w="1187"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auto"/>
                <w:sz w:val="21"/>
                <w:szCs w:val="21"/>
                <w:lang w:val="en-US" w:eastAsia="zh-CN"/>
              </w:rPr>
            </w:pPr>
            <w:r>
              <w:rPr>
                <w:rFonts w:hint="eastAsia" w:cs="Times New Roman"/>
                <w:bCs/>
                <w:color w:val="auto"/>
                <w:spacing w:val="10"/>
                <w:sz w:val="21"/>
                <w:szCs w:val="21"/>
                <w:highlight w:val="none"/>
                <w:lang w:val="en-US" w:eastAsia="zh-CN"/>
              </w:rPr>
              <w:t>25m</w:t>
            </w:r>
            <w:r>
              <w:rPr>
                <w:rFonts w:hint="eastAsia" w:cs="Times New Roman"/>
                <w:bCs/>
                <w:color w:val="auto"/>
                <w:spacing w:val="10"/>
                <w:sz w:val="21"/>
                <w:szCs w:val="21"/>
                <w:highlight w:val="none"/>
                <w:vertAlign w:val="superscript"/>
                <w:lang w:val="en-US" w:eastAsia="zh-CN"/>
              </w:rPr>
              <w:t>2</w:t>
            </w:r>
            <w:r>
              <w:rPr>
                <w:rFonts w:hint="eastAsia" w:cs="Times New Roman"/>
                <w:bCs/>
                <w:color w:val="auto"/>
                <w:spacing w:val="10"/>
                <w:sz w:val="21"/>
                <w:szCs w:val="21"/>
                <w:highlight w:val="none"/>
                <w:lang w:val="en-US" w:eastAsia="zh-CN"/>
              </w:rPr>
              <w:t>的</w:t>
            </w:r>
            <w:r>
              <w:rPr>
                <w:rFonts w:hint="default" w:ascii="Times New Roman" w:hAnsi="Times New Roman" w:cs="Times New Roman"/>
                <w:bCs/>
                <w:color w:val="auto"/>
                <w:spacing w:val="10"/>
                <w:sz w:val="21"/>
                <w:szCs w:val="21"/>
                <w:highlight w:val="none"/>
                <w:lang w:val="en-US" w:eastAsia="zh-CN"/>
              </w:rPr>
              <w:t>危废</w:t>
            </w:r>
            <w:r>
              <w:rPr>
                <w:rFonts w:hint="eastAsia" w:cs="Times New Roman"/>
                <w:bCs/>
                <w:color w:val="auto"/>
                <w:spacing w:val="10"/>
                <w:sz w:val="21"/>
                <w:szCs w:val="21"/>
                <w:highlight w:val="none"/>
                <w:lang w:val="en-US" w:eastAsia="zh-CN"/>
              </w:rPr>
              <w:t>暂存</w:t>
            </w:r>
            <w:r>
              <w:rPr>
                <w:rFonts w:hint="default" w:ascii="Times New Roman" w:hAnsi="Times New Roman" w:cs="Times New Roman"/>
                <w:bCs/>
                <w:color w:val="auto"/>
                <w:spacing w:val="10"/>
                <w:sz w:val="21"/>
                <w:szCs w:val="21"/>
                <w:highlight w:val="none"/>
                <w:lang w:val="en-US" w:eastAsia="zh-CN"/>
              </w:rPr>
              <w:t>间</w:t>
            </w:r>
            <w:r>
              <w:rPr>
                <w:rFonts w:hint="eastAsia" w:cs="Times New Roman"/>
                <w:bCs/>
                <w:color w:val="auto"/>
                <w:spacing w:val="10"/>
                <w:sz w:val="21"/>
                <w:szCs w:val="21"/>
                <w:highlight w:val="none"/>
                <w:lang w:val="en-US" w:eastAsia="zh-CN"/>
              </w:rPr>
              <w:t>1座；</w:t>
            </w:r>
            <w:r>
              <w:rPr>
                <w:rFonts w:hint="default" w:ascii="Times New Roman" w:hAnsi="Times New Roman" w:cs="Times New Roman"/>
                <w:bCs/>
                <w:color w:val="auto"/>
                <w:spacing w:val="10"/>
                <w:sz w:val="21"/>
                <w:szCs w:val="21"/>
                <w:highlight w:val="none"/>
                <w:lang w:val="en-US" w:eastAsia="zh-CN"/>
              </w:rPr>
              <w:t>垃圾箱</w:t>
            </w:r>
            <w:r>
              <w:rPr>
                <w:rFonts w:hint="eastAsia" w:cs="Times New Roman"/>
                <w:bCs/>
                <w:color w:val="auto"/>
                <w:spacing w:val="10"/>
                <w:sz w:val="21"/>
                <w:szCs w:val="21"/>
                <w:highlight w:val="none"/>
                <w:lang w:val="en-US" w:eastAsia="zh-CN"/>
              </w:rPr>
              <w:t>若干</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77"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auto"/>
              </w:rPr>
            </w:pPr>
            <w:r>
              <w:rPr>
                <w:rFonts w:hint="default" w:ascii="Times New Roman" w:hAnsi="Times New Roman" w:eastAsia="宋体" w:cs="Times New Roman"/>
                <w:color w:val="auto"/>
              </w:rPr>
              <w:t>电磁环境</w:t>
            </w:r>
          </w:p>
        </w:tc>
        <w:tc>
          <w:tcPr>
            <w:tcW w:w="1160"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w:t>
            </w:r>
          </w:p>
        </w:tc>
        <w:tc>
          <w:tcPr>
            <w:tcW w:w="966"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w:t>
            </w:r>
          </w:p>
        </w:tc>
        <w:tc>
          <w:tcPr>
            <w:tcW w:w="1208" w:type="pct"/>
            <w:vAlign w:val="center"/>
          </w:tcPr>
          <w:p>
            <w:pPr>
              <w:adjustRightInd w:val="0"/>
              <w:snapToGrid w:val="0"/>
              <w:spacing w:line="240" w:lineRule="auto"/>
              <w:ind w:firstLine="0" w:firstLineChars="0"/>
              <w:jc w:val="left"/>
              <w:rPr>
                <w:rFonts w:hint="default" w:ascii="Times New Roman" w:hAnsi="Times New Roman" w:eastAsia="宋体" w:cs="Times New Roman"/>
                <w:color w:val="auto"/>
                <w:sz w:val="21"/>
                <w:szCs w:val="21"/>
              </w:rPr>
            </w:pPr>
            <w:r>
              <w:rPr>
                <w:rFonts w:hint="eastAsia" w:ascii="Times New Roman" w:hAnsi="Times New Roman" w:eastAsia="宋体" w:cs="Times New Roman"/>
                <w:color w:val="auto"/>
                <w:sz w:val="21"/>
                <w:szCs w:val="21"/>
                <w:lang w:val="en-US" w:eastAsia="zh-CN"/>
              </w:rPr>
              <w:t>对电气设备进行合理布局，设置防雷接地保护装置，对产生大功率的电磁振荡设备采取必要的屏蔽及设备的孔、口、门缝的链接密封措施，</w:t>
            </w:r>
            <w:r>
              <w:rPr>
                <w:rFonts w:hint="default" w:ascii="Times New Roman" w:hAnsi="Times New Roman" w:eastAsia="宋体" w:cs="Times New Roman"/>
                <w:color w:val="auto"/>
                <w:sz w:val="21"/>
                <w:szCs w:val="21"/>
                <w:lang w:val="en-US" w:eastAsia="zh-CN"/>
              </w:rPr>
              <w:t>运行期做好环境保护设施的维护和运行管理，加强巡查和检查</w:t>
            </w:r>
            <w:r>
              <w:rPr>
                <w:rFonts w:hint="eastAsia" w:ascii="Times New Roman" w:hAnsi="Times New Roman" w:eastAsia="宋体" w:cs="Times New Roman"/>
                <w:color w:val="auto"/>
                <w:sz w:val="21"/>
                <w:szCs w:val="21"/>
                <w:lang w:val="en-US" w:eastAsia="zh-CN"/>
              </w:rPr>
              <w:t>。</w:t>
            </w:r>
          </w:p>
        </w:tc>
        <w:tc>
          <w:tcPr>
            <w:tcW w:w="1187"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进行竣工验收现场检测，确保电磁环境满足《电磁环境控制限值》（GB 8702-2014）中公众曝露控制限值要求</w:t>
            </w:r>
            <w:r>
              <w:rPr>
                <w:rFonts w:hint="default" w:ascii="Times New Roman" w:hAnsi="Times New Roman" w:eastAsia="宋体" w:cs="Times New Roman"/>
                <w:color w:val="auto"/>
                <w:sz w:val="21"/>
                <w:szCs w:val="21"/>
                <w:lang w:eastAsia="zh-CN"/>
              </w:rPr>
              <w:t>：工频电场强度 4000V/m；工频磁感应强度100μT</w:t>
            </w:r>
            <w:r>
              <w:rPr>
                <w:rFonts w:hint="default" w:ascii="Times New Roman" w:hAnsi="Times New Roman" w:eastAsia="宋体" w:cs="Times New Roman"/>
                <w:color w:val="auto"/>
                <w:sz w:val="21"/>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54" w:hRule="atLeast"/>
          <w:jc w:val="center"/>
        </w:trPr>
        <w:tc>
          <w:tcPr>
            <w:tcW w:w="477"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auto"/>
              </w:rPr>
            </w:pPr>
            <w:r>
              <w:rPr>
                <w:rFonts w:hint="default" w:ascii="Times New Roman" w:hAnsi="Times New Roman" w:eastAsia="宋体" w:cs="Times New Roman"/>
                <w:color w:val="auto"/>
              </w:rPr>
              <w:t>环境风险</w:t>
            </w:r>
          </w:p>
        </w:tc>
        <w:tc>
          <w:tcPr>
            <w:tcW w:w="1160"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w:t>
            </w:r>
          </w:p>
        </w:tc>
        <w:tc>
          <w:tcPr>
            <w:tcW w:w="966"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w:t>
            </w:r>
          </w:p>
        </w:tc>
        <w:tc>
          <w:tcPr>
            <w:tcW w:w="1208"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建设事故油池，</w:t>
            </w:r>
            <w:r>
              <w:rPr>
                <w:rFonts w:hint="eastAsia" w:ascii="Times New Roman" w:hAnsi="Times New Roman" w:eastAsia="宋体" w:cs="Times New Roman"/>
                <w:color w:val="auto"/>
                <w:sz w:val="21"/>
                <w:szCs w:val="21"/>
                <w:lang w:val="en-US" w:eastAsia="zh-CN"/>
              </w:rPr>
              <w:t>定期</w:t>
            </w:r>
            <w:r>
              <w:rPr>
                <w:rFonts w:hint="default" w:ascii="Times New Roman" w:hAnsi="Times New Roman" w:eastAsia="宋体" w:cs="Times New Roman"/>
                <w:color w:val="auto"/>
                <w:sz w:val="21"/>
                <w:szCs w:val="21"/>
                <w:lang w:val="en-US" w:eastAsia="zh-CN"/>
              </w:rPr>
              <w:t>对事故油池的完好情况进行检查，确保无渗漏、无溢流。</w:t>
            </w:r>
            <w:r>
              <w:rPr>
                <w:rFonts w:hint="eastAsia" w:ascii="Times New Roman" w:hAnsi="Times New Roman" w:eastAsia="宋体" w:cs="Times New Roman"/>
                <w:color w:val="auto"/>
                <w:sz w:val="21"/>
                <w:szCs w:val="21"/>
                <w:lang w:val="en-US" w:eastAsia="zh-CN"/>
              </w:rPr>
              <w:t>设灭火器、消防砂箱、消防铲等消防器材，主变压</w:t>
            </w:r>
            <w:r>
              <w:rPr>
                <w:rFonts w:hint="default" w:ascii="Times New Roman" w:hAnsi="Times New Roman" w:eastAsia="宋体" w:cs="Times New Roman"/>
                <w:color w:val="auto"/>
                <w:sz w:val="21"/>
                <w:szCs w:val="21"/>
                <w:lang w:val="en-US" w:eastAsia="zh-CN"/>
              </w:rPr>
              <w:t>器</w:t>
            </w:r>
            <w:r>
              <w:rPr>
                <w:rFonts w:hint="eastAsia" w:ascii="Times New Roman" w:hAnsi="Times New Roman" w:eastAsia="宋体" w:cs="Times New Roman"/>
                <w:color w:val="auto"/>
                <w:sz w:val="21"/>
                <w:szCs w:val="21"/>
                <w:lang w:val="en-US" w:eastAsia="zh-CN"/>
              </w:rPr>
              <w:t>周围</w:t>
            </w:r>
            <w:r>
              <w:rPr>
                <w:rFonts w:hint="default" w:ascii="Times New Roman" w:hAnsi="Times New Roman" w:eastAsia="宋体" w:cs="Times New Roman"/>
                <w:color w:val="auto"/>
                <w:sz w:val="21"/>
                <w:szCs w:val="21"/>
                <w:lang w:val="en-US" w:eastAsia="zh-CN"/>
              </w:rPr>
              <w:t>设消防车通道</w:t>
            </w:r>
            <w:r>
              <w:rPr>
                <w:rFonts w:hint="eastAsia" w:ascii="Times New Roman" w:hAnsi="Times New Roman" w:eastAsia="宋体" w:cs="Times New Roman"/>
                <w:color w:val="auto"/>
                <w:sz w:val="21"/>
                <w:szCs w:val="21"/>
                <w:lang w:val="en-US" w:eastAsia="zh-CN"/>
              </w:rPr>
              <w:t>。</w:t>
            </w:r>
            <w:r>
              <w:rPr>
                <w:rFonts w:hint="default" w:ascii="Times New Roman" w:hAnsi="Times New Roman" w:eastAsia="宋体" w:cs="Times New Roman"/>
                <w:color w:val="auto"/>
                <w:sz w:val="21"/>
                <w:szCs w:val="21"/>
              </w:rPr>
              <w:t>制定环境风险应急预案。</w:t>
            </w:r>
          </w:p>
        </w:tc>
        <w:tc>
          <w:tcPr>
            <w:tcW w:w="1187"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建</w:t>
            </w:r>
            <w:r>
              <w:rPr>
                <w:rFonts w:hint="default" w:ascii="Times New Roman" w:hAnsi="Times New Roman" w:eastAsia="宋体" w:cs="Times New Roman"/>
                <w:color w:val="auto"/>
                <w:sz w:val="21"/>
                <w:szCs w:val="21"/>
                <w:highlight w:val="none"/>
              </w:rPr>
              <w:t>设</w:t>
            </w:r>
            <w:r>
              <w:rPr>
                <w:rFonts w:hint="eastAsia" w:ascii="Times New Roman" w:hAnsi="Times New Roman" w:eastAsia="宋体" w:cs="Times New Roman"/>
                <w:color w:val="auto"/>
                <w:sz w:val="21"/>
                <w:szCs w:val="21"/>
                <w:highlight w:val="none"/>
                <w:lang w:val="en-US" w:eastAsia="zh-CN"/>
              </w:rPr>
              <w:t>6</w:t>
            </w:r>
            <w:r>
              <w:rPr>
                <w:rFonts w:hint="default" w:ascii="Times New Roman" w:hAnsi="Times New Roman" w:eastAsia="宋体" w:cs="Times New Roman"/>
                <w:color w:val="auto"/>
                <w:sz w:val="21"/>
                <w:szCs w:val="21"/>
                <w:highlight w:val="none"/>
              </w:rPr>
              <w:t>m</w:t>
            </w:r>
            <w:r>
              <w:rPr>
                <w:rFonts w:hint="default" w:ascii="Times New Roman" w:hAnsi="Times New Roman" w:eastAsia="宋体" w:cs="Times New Roman"/>
                <w:color w:val="auto"/>
                <w:sz w:val="21"/>
                <w:szCs w:val="21"/>
                <w:highlight w:val="none"/>
                <w:vertAlign w:val="superscript"/>
              </w:rPr>
              <w:t>3</w:t>
            </w:r>
            <w:r>
              <w:rPr>
                <w:rFonts w:hint="eastAsia" w:ascii="Times New Roman" w:hAnsi="Times New Roman" w:eastAsia="宋体" w:cs="Times New Roman"/>
                <w:color w:val="auto"/>
                <w:sz w:val="21"/>
                <w:szCs w:val="21"/>
                <w:highlight w:val="none"/>
                <w:lang w:val="en-US" w:eastAsia="zh-CN"/>
              </w:rPr>
              <w:t>贮</w:t>
            </w:r>
            <w:r>
              <w:rPr>
                <w:rFonts w:hint="default" w:ascii="Times New Roman" w:hAnsi="Times New Roman" w:eastAsia="宋体" w:cs="Times New Roman"/>
                <w:color w:val="auto"/>
                <w:sz w:val="21"/>
                <w:szCs w:val="21"/>
                <w:highlight w:val="none"/>
              </w:rPr>
              <w:t>油</w:t>
            </w:r>
            <w:r>
              <w:rPr>
                <w:rFonts w:hint="eastAsia" w:ascii="Times New Roman" w:hAnsi="Times New Roman" w:eastAsia="宋体" w:cs="Times New Roman"/>
                <w:color w:val="auto"/>
                <w:sz w:val="21"/>
                <w:szCs w:val="21"/>
                <w:highlight w:val="none"/>
                <w:lang w:val="en-US" w:eastAsia="zh-CN"/>
              </w:rPr>
              <w:t>坑</w:t>
            </w:r>
            <w:r>
              <w:rPr>
                <w:rFonts w:hint="eastAsia" w:eastAsia="宋体" w:cs="Times New Roman"/>
                <w:color w:val="auto"/>
                <w:sz w:val="21"/>
                <w:szCs w:val="21"/>
                <w:highlight w:val="none"/>
                <w:lang w:val="en-US" w:eastAsia="zh-CN"/>
              </w:rPr>
              <w:t>（坑内设</w:t>
            </w:r>
            <w:r>
              <w:rPr>
                <w:rFonts w:hint="eastAsia" w:ascii="Times New Roman" w:hAnsi="Times New Roman" w:eastAsia="宋体" w:cs="Times New Roman"/>
                <w:color w:val="auto"/>
                <w:sz w:val="21"/>
                <w:szCs w:val="21"/>
                <w:highlight w:val="none"/>
                <w:lang w:val="en-US" w:eastAsia="zh-CN"/>
              </w:rPr>
              <w:t>贮</w:t>
            </w:r>
            <w:r>
              <w:rPr>
                <w:rFonts w:hint="default" w:ascii="Times New Roman" w:hAnsi="Times New Roman" w:eastAsia="宋体" w:cs="Times New Roman"/>
                <w:color w:val="auto"/>
                <w:sz w:val="21"/>
                <w:szCs w:val="21"/>
                <w:highlight w:val="none"/>
              </w:rPr>
              <w:t>油</w:t>
            </w:r>
            <w:r>
              <w:rPr>
                <w:rFonts w:hint="eastAsia" w:eastAsia="宋体" w:cs="Times New Roman"/>
                <w:color w:val="auto"/>
                <w:sz w:val="21"/>
                <w:szCs w:val="21"/>
                <w:highlight w:val="none"/>
                <w:lang w:val="en-US" w:eastAsia="zh-CN"/>
              </w:rPr>
              <w:t>池与主变紧密连接）</w:t>
            </w:r>
            <w:r>
              <w:rPr>
                <w:rFonts w:hint="eastAsia" w:ascii="Times New Roman" w:hAnsi="Times New Roman" w:eastAsia="宋体" w:cs="Times New Roman"/>
                <w:color w:val="auto"/>
                <w:sz w:val="21"/>
                <w:szCs w:val="21"/>
                <w:highlight w:val="none"/>
                <w:lang w:val="en-US" w:eastAsia="zh-CN"/>
              </w:rPr>
              <w:t>+30</w:t>
            </w:r>
            <w:r>
              <w:rPr>
                <w:rFonts w:hint="default" w:ascii="Times New Roman" w:hAnsi="Times New Roman" w:eastAsia="宋体" w:cs="Times New Roman"/>
                <w:color w:val="auto"/>
                <w:sz w:val="21"/>
                <w:szCs w:val="21"/>
                <w:highlight w:val="none"/>
              </w:rPr>
              <w:t>m</w:t>
            </w:r>
            <w:r>
              <w:rPr>
                <w:rFonts w:hint="default" w:ascii="Times New Roman" w:hAnsi="Times New Roman" w:eastAsia="宋体" w:cs="Times New Roman"/>
                <w:color w:val="auto"/>
                <w:sz w:val="21"/>
                <w:szCs w:val="21"/>
                <w:highlight w:val="none"/>
                <w:vertAlign w:val="superscript"/>
              </w:rPr>
              <w:t>3</w:t>
            </w:r>
            <w:r>
              <w:rPr>
                <w:rFonts w:hint="default" w:ascii="Times New Roman" w:hAnsi="Times New Roman" w:eastAsia="宋体" w:cs="Times New Roman"/>
                <w:color w:val="auto"/>
                <w:sz w:val="21"/>
                <w:szCs w:val="21"/>
                <w:highlight w:val="none"/>
              </w:rPr>
              <w:t>事故油池</w:t>
            </w:r>
            <w:r>
              <w:rPr>
                <w:rFonts w:hint="default" w:ascii="Times New Roman" w:hAnsi="Times New Roman" w:eastAsia="宋体" w:cs="Times New Roman"/>
                <w:color w:val="auto"/>
                <w:sz w:val="21"/>
                <w:szCs w:val="21"/>
              </w:rPr>
              <w:t>，符合“三防”要求，制定环境风险应急预案。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24" w:hRule="atLeast"/>
          <w:jc w:val="center"/>
        </w:trPr>
        <w:tc>
          <w:tcPr>
            <w:tcW w:w="477"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auto"/>
              </w:rPr>
            </w:pPr>
            <w:r>
              <w:rPr>
                <w:rFonts w:hint="default" w:ascii="Times New Roman" w:hAnsi="Times New Roman" w:eastAsia="宋体" w:cs="Times New Roman"/>
                <w:color w:val="auto"/>
              </w:rPr>
              <w:t>环境监测</w:t>
            </w:r>
          </w:p>
        </w:tc>
        <w:tc>
          <w:tcPr>
            <w:tcW w:w="1160"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w:t>
            </w:r>
          </w:p>
        </w:tc>
        <w:tc>
          <w:tcPr>
            <w:tcW w:w="966"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w:t>
            </w:r>
          </w:p>
        </w:tc>
        <w:tc>
          <w:tcPr>
            <w:tcW w:w="1208"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制定环境监测制度，</w:t>
            </w:r>
            <w:r>
              <w:rPr>
                <w:rFonts w:hint="default" w:ascii="Times New Roman" w:hAnsi="Times New Roman" w:eastAsia="宋体" w:cs="Times New Roman"/>
                <w:bCs/>
                <w:color w:val="auto"/>
                <w:sz w:val="21"/>
                <w:szCs w:val="21"/>
              </w:rPr>
              <w:t>竣工环保验收时监测一次，其他情况根据需要定期进行监测或有纠纷投诉时监测</w:t>
            </w:r>
          </w:p>
        </w:tc>
        <w:tc>
          <w:tcPr>
            <w:tcW w:w="1187"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开展竣工环保验收监测，落实监测计划的执行情况，核查检测结果的达标情况。</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0" w:hRule="atLeast"/>
          <w:jc w:val="center"/>
        </w:trPr>
        <w:tc>
          <w:tcPr>
            <w:tcW w:w="477"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auto"/>
              </w:rPr>
            </w:pPr>
            <w:r>
              <w:rPr>
                <w:rFonts w:hint="default" w:ascii="Times New Roman" w:hAnsi="Times New Roman" w:eastAsia="宋体" w:cs="Times New Roman"/>
                <w:color w:val="auto"/>
              </w:rPr>
              <w:t>其他</w:t>
            </w:r>
          </w:p>
        </w:tc>
        <w:tc>
          <w:tcPr>
            <w:tcW w:w="1160"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环保培训</w:t>
            </w:r>
          </w:p>
        </w:tc>
        <w:tc>
          <w:tcPr>
            <w:tcW w:w="966"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进行了环保培训</w:t>
            </w:r>
          </w:p>
        </w:tc>
        <w:tc>
          <w:tcPr>
            <w:tcW w:w="1208"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设置环境管理机构、配备环保管理人员、制定环境管理制度。</w:t>
            </w:r>
          </w:p>
        </w:tc>
        <w:tc>
          <w:tcPr>
            <w:tcW w:w="1187" w:type="pct"/>
            <w:vAlign w:val="center"/>
          </w:tcPr>
          <w:p>
            <w:pPr>
              <w:adjustRightInd w:val="0"/>
              <w:snapToGrid w:val="0"/>
              <w:spacing w:line="240" w:lineRule="auto"/>
              <w:ind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设置有环境管理机构、配备有环保管理人员、制定有环境管理制度。</w:t>
            </w:r>
          </w:p>
        </w:tc>
      </w:tr>
    </w:tbl>
    <w:p>
      <w:pPr>
        <w:spacing w:line="360" w:lineRule="auto"/>
        <w:ind w:firstLine="480"/>
        <w:rPr>
          <w:rFonts w:hint="default" w:ascii="Times New Roman" w:hAnsi="Times New Roman" w:cs="Times New Roman"/>
          <w:color w:val="0000FF"/>
          <w:szCs w:val="32"/>
        </w:rPr>
        <w:sectPr>
          <w:pgSz w:w="16838" w:h="11906" w:orient="landscape"/>
          <w:pgMar w:top="1247" w:right="1418" w:bottom="1134" w:left="1247" w:header="851" w:footer="283" w:gutter="0"/>
          <w:pgBorders>
            <w:top w:val="none" w:sz="0" w:space="0"/>
            <w:left w:val="none" w:sz="0" w:space="0"/>
            <w:bottom w:val="none" w:sz="0" w:space="0"/>
            <w:right w:val="none" w:sz="0" w:space="0"/>
          </w:pgBorders>
          <w:pgNumType w:fmt="decimal"/>
          <w:cols w:space="425" w:num="1"/>
          <w:docGrid w:type="lines" w:linePitch="326" w:charSpace="0"/>
        </w:sectPr>
      </w:pPr>
    </w:p>
    <w:p>
      <w:pPr>
        <w:pStyle w:val="6"/>
        <w:ind w:firstLine="0" w:firstLineChars="0"/>
        <w:jc w:val="center"/>
        <w:rPr>
          <w:rFonts w:hint="default" w:ascii="Times New Roman" w:hAnsi="Times New Roman" w:cs="Times New Roman"/>
          <w:color w:val="auto"/>
        </w:rPr>
      </w:pPr>
      <w:bookmarkStart w:id="35" w:name="_Toc69745431"/>
      <w:bookmarkStart w:id="36" w:name="_Toc69392734"/>
      <w:bookmarkStart w:id="37" w:name="_Toc69373875"/>
      <w:r>
        <w:rPr>
          <w:rFonts w:hint="default" w:ascii="Times New Roman" w:hAnsi="Times New Roman" w:cs="Times New Roman"/>
          <w:color w:val="auto"/>
        </w:rPr>
        <w:t>七、结论</w:t>
      </w:r>
      <w:bookmarkEnd w:id="35"/>
      <w:bookmarkEnd w:id="36"/>
      <w:bookmarkEnd w:id="37"/>
    </w:p>
    <w:tbl>
      <w:tblPr>
        <w:tblStyle w:val="22"/>
        <w:tblW w:w="9516"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9516"/>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9516" w:type="dxa"/>
          </w:tcPr>
          <w:p>
            <w:pPr>
              <w:spacing w:line="360" w:lineRule="auto"/>
              <w:ind w:firstLine="480"/>
              <w:rPr>
                <w:rFonts w:hint="default" w:ascii="Times New Roman" w:hAnsi="Times New Roman" w:cs="Times New Roman"/>
                <w:color w:val="0000FF"/>
              </w:rPr>
            </w:pPr>
          </w:p>
          <w:p>
            <w:pPr>
              <w:ind w:firstLine="480"/>
              <w:rPr>
                <w:rFonts w:hint="default" w:ascii="Times New Roman" w:hAnsi="Times New Roman" w:cs="Times New Roman"/>
                <w:color w:val="auto"/>
              </w:rPr>
            </w:pPr>
            <w:r>
              <w:rPr>
                <w:rFonts w:hint="default" w:ascii="Times New Roman" w:hAnsi="Times New Roman" w:cs="Times New Roman"/>
                <w:color w:val="auto"/>
              </w:rPr>
              <w:t>综上分析，本工程的建设符合国家产业政策，工程建设区域环境质量现状所涉及的各项因子满足相应环境标准，经过环境影响预测分析，工程投运后各环境因子满足标准限值要求，工程在设计、施工和运行阶段拟采取一系列环境保护措施，在严格执行本环境影响报告表中提出的各项污染防治措施和生态保护措施后，从环境保护的角度而言，本项目是可行的。</w:t>
            </w:r>
          </w:p>
          <w:p>
            <w:pPr>
              <w:spacing w:line="360" w:lineRule="auto"/>
              <w:ind w:firstLine="480"/>
              <w:rPr>
                <w:rFonts w:hint="default" w:ascii="Times New Roman" w:hAnsi="Times New Roman" w:cs="Times New Roman"/>
                <w:color w:val="auto"/>
              </w:rPr>
            </w:pPr>
          </w:p>
          <w:p>
            <w:pPr>
              <w:spacing w:line="360" w:lineRule="auto"/>
              <w:ind w:firstLine="480"/>
              <w:rPr>
                <w:rFonts w:hint="default" w:ascii="Times New Roman" w:hAnsi="Times New Roman" w:cs="Times New Roman"/>
                <w:color w:val="0000FF"/>
              </w:rPr>
            </w:pPr>
          </w:p>
          <w:p>
            <w:pPr>
              <w:spacing w:line="360" w:lineRule="auto"/>
              <w:ind w:firstLine="480"/>
              <w:rPr>
                <w:rFonts w:hint="default" w:ascii="Times New Roman" w:hAnsi="Times New Roman" w:cs="Times New Roman"/>
                <w:color w:val="0000FF"/>
              </w:rPr>
            </w:pPr>
          </w:p>
          <w:p>
            <w:pPr>
              <w:spacing w:line="360" w:lineRule="auto"/>
              <w:ind w:firstLine="480"/>
              <w:rPr>
                <w:rFonts w:hint="default" w:ascii="Times New Roman" w:hAnsi="Times New Roman" w:cs="Times New Roman"/>
                <w:color w:val="0000FF"/>
              </w:rPr>
            </w:pPr>
          </w:p>
          <w:p>
            <w:pPr>
              <w:spacing w:line="360" w:lineRule="auto"/>
              <w:ind w:firstLine="480"/>
              <w:rPr>
                <w:rFonts w:hint="default" w:ascii="Times New Roman" w:hAnsi="Times New Roman" w:cs="Times New Roman"/>
                <w:color w:val="0000FF"/>
              </w:rPr>
            </w:pPr>
          </w:p>
          <w:p>
            <w:pPr>
              <w:spacing w:line="360" w:lineRule="auto"/>
              <w:ind w:firstLine="480"/>
              <w:rPr>
                <w:rFonts w:hint="default" w:ascii="Times New Roman" w:hAnsi="Times New Roman" w:cs="Times New Roman"/>
                <w:color w:val="0000FF"/>
              </w:rPr>
            </w:pPr>
          </w:p>
          <w:p>
            <w:pPr>
              <w:spacing w:line="360" w:lineRule="auto"/>
              <w:ind w:firstLine="480"/>
              <w:rPr>
                <w:rFonts w:hint="default" w:ascii="Times New Roman" w:hAnsi="Times New Roman" w:cs="Times New Roman"/>
                <w:color w:val="0000FF"/>
              </w:rPr>
            </w:pPr>
          </w:p>
          <w:p>
            <w:pPr>
              <w:spacing w:line="360" w:lineRule="auto"/>
              <w:ind w:firstLine="480"/>
              <w:rPr>
                <w:rFonts w:hint="default" w:ascii="Times New Roman" w:hAnsi="Times New Roman" w:cs="Times New Roman"/>
                <w:color w:val="0000FF"/>
              </w:rPr>
            </w:pPr>
          </w:p>
          <w:p>
            <w:pPr>
              <w:spacing w:line="360" w:lineRule="auto"/>
              <w:ind w:firstLine="480"/>
              <w:rPr>
                <w:rFonts w:hint="default" w:ascii="Times New Roman" w:hAnsi="Times New Roman" w:cs="Times New Roman"/>
                <w:color w:val="0000FF"/>
              </w:rPr>
            </w:pPr>
          </w:p>
          <w:p>
            <w:pPr>
              <w:spacing w:line="360" w:lineRule="auto"/>
              <w:ind w:firstLine="480"/>
              <w:rPr>
                <w:rFonts w:hint="default" w:ascii="Times New Roman" w:hAnsi="Times New Roman" w:cs="Times New Roman"/>
                <w:color w:val="0000FF"/>
              </w:rPr>
            </w:pPr>
          </w:p>
          <w:p>
            <w:pPr>
              <w:spacing w:line="360" w:lineRule="auto"/>
              <w:ind w:firstLine="480"/>
              <w:rPr>
                <w:rFonts w:hint="default" w:ascii="Times New Roman" w:hAnsi="Times New Roman" w:cs="Times New Roman"/>
                <w:color w:val="0000FF"/>
              </w:rPr>
            </w:pPr>
          </w:p>
          <w:p>
            <w:pPr>
              <w:spacing w:line="360" w:lineRule="auto"/>
              <w:ind w:firstLine="480"/>
              <w:rPr>
                <w:rFonts w:hint="default" w:ascii="Times New Roman" w:hAnsi="Times New Roman" w:cs="Times New Roman"/>
                <w:color w:val="0000FF"/>
              </w:rPr>
            </w:pPr>
          </w:p>
          <w:p>
            <w:pPr>
              <w:spacing w:line="360" w:lineRule="auto"/>
              <w:ind w:firstLine="480"/>
              <w:rPr>
                <w:rFonts w:hint="default" w:ascii="Times New Roman" w:hAnsi="Times New Roman" w:cs="Times New Roman"/>
                <w:color w:val="0000FF"/>
              </w:rPr>
            </w:pPr>
          </w:p>
          <w:p>
            <w:pPr>
              <w:spacing w:line="360" w:lineRule="auto"/>
              <w:ind w:firstLine="480"/>
              <w:rPr>
                <w:rFonts w:hint="default" w:ascii="Times New Roman" w:hAnsi="Times New Roman" w:cs="Times New Roman"/>
                <w:color w:val="0000FF"/>
              </w:rPr>
            </w:pPr>
          </w:p>
          <w:p>
            <w:pPr>
              <w:spacing w:line="360" w:lineRule="auto"/>
              <w:ind w:firstLine="480"/>
              <w:rPr>
                <w:rFonts w:hint="default" w:ascii="Times New Roman" w:hAnsi="Times New Roman" w:cs="Times New Roman"/>
                <w:color w:val="0000FF"/>
              </w:rPr>
            </w:pPr>
          </w:p>
          <w:p>
            <w:pPr>
              <w:spacing w:line="360" w:lineRule="auto"/>
              <w:ind w:firstLine="480"/>
              <w:rPr>
                <w:rFonts w:hint="default" w:ascii="Times New Roman" w:hAnsi="Times New Roman" w:cs="Times New Roman"/>
                <w:color w:val="0000FF"/>
              </w:rPr>
            </w:pPr>
          </w:p>
          <w:p>
            <w:pPr>
              <w:spacing w:line="360" w:lineRule="auto"/>
              <w:ind w:firstLine="480"/>
              <w:rPr>
                <w:rFonts w:hint="default" w:ascii="Times New Roman" w:hAnsi="Times New Roman" w:cs="Times New Roman"/>
                <w:color w:val="0000FF"/>
              </w:rPr>
            </w:pPr>
          </w:p>
          <w:p>
            <w:pPr>
              <w:spacing w:line="360" w:lineRule="auto"/>
              <w:ind w:firstLine="480"/>
              <w:rPr>
                <w:rFonts w:hint="default" w:ascii="Times New Roman" w:hAnsi="Times New Roman" w:cs="Times New Roman"/>
                <w:color w:val="0000FF"/>
              </w:rPr>
            </w:pPr>
          </w:p>
          <w:p>
            <w:pPr>
              <w:spacing w:line="360" w:lineRule="auto"/>
              <w:ind w:firstLine="480"/>
              <w:rPr>
                <w:rFonts w:hint="default" w:ascii="Times New Roman" w:hAnsi="Times New Roman" w:cs="Times New Roman"/>
                <w:color w:val="0000FF"/>
              </w:rPr>
            </w:pPr>
          </w:p>
          <w:p>
            <w:pPr>
              <w:spacing w:line="360" w:lineRule="auto"/>
              <w:ind w:firstLine="0" w:firstLineChars="0"/>
              <w:rPr>
                <w:rFonts w:hint="default" w:ascii="Times New Roman" w:hAnsi="Times New Roman" w:cs="Times New Roman"/>
                <w:color w:val="0000FF"/>
              </w:rPr>
            </w:pPr>
          </w:p>
        </w:tc>
      </w:tr>
    </w:tbl>
    <w:p>
      <w:pPr>
        <w:spacing w:line="360" w:lineRule="auto"/>
        <w:ind w:firstLine="0" w:firstLineChars="0"/>
        <w:rPr>
          <w:rFonts w:hint="default" w:ascii="Times New Roman" w:hAnsi="Times New Roman" w:cs="Times New Roman"/>
          <w:color w:val="0000FF"/>
          <w:szCs w:val="32"/>
        </w:rPr>
      </w:pPr>
    </w:p>
    <w:sectPr>
      <w:pgSz w:w="11906" w:h="16838"/>
      <w:pgMar w:top="1418" w:right="1134" w:bottom="1247" w:left="1247" w:header="851" w:footer="283" w:gutter="0"/>
      <w:pgBorders>
        <w:top w:val="none" w:sz="0" w:space="0"/>
        <w:left w:val="none" w:sz="0" w:space="0"/>
        <w:bottom w:val="none" w:sz="0" w:space="0"/>
        <w:right w:val="none" w:sz="0" w:space="0"/>
      </w:pgBorders>
      <w:pgNumType w:fmt="decimal"/>
      <w:cols w:space="425" w:num="1"/>
      <w:docGrid w:type="lines" w:linePitch="326"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4F"/>
    <w:family w:val="roman"/>
    <w:pitch w:val="default"/>
    <w:sig w:usb0="E0002EFF" w:usb1="C000785B"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
    <w:panose1 w:val="02010609060101010101"/>
    <w:charset w:val="86"/>
    <w:family w:val="modern"/>
    <w:pitch w:val="default"/>
    <w:sig w:usb0="800002BF" w:usb1="38CF7CFA" w:usb2="00000016" w:usb3="00000000" w:csb0="00040001" w:csb1="00000000"/>
  </w:font>
  <w:font w:name="ˎ̥">
    <w:altName w:val="Times New Roman"/>
    <w:panose1 w:val="00000000000000000000"/>
    <w:charset w:val="00"/>
    <w:family w:val="roman"/>
    <w:pitch w:val="default"/>
    <w:sig w:usb0="00000000" w:usb1="00000000" w:usb2="00000000" w:usb3="00000000" w:csb0="00040001" w:csb1="00000000"/>
  </w:font>
  <w:font w:name="TimesNewRoman">
    <w:altName w:val="Times New Roman"/>
    <w:panose1 w:val="00000000000000000000"/>
    <w:charset w:val="00"/>
    <w:family w:val="roman"/>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ind w:firstLine="360"/>
      <w:jc w:val="cente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sdt>
                          <w:sdtPr>
                            <w:id w:val="318470548"/>
                            <w:docPartObj>
                              <w:docPartGallery w:val="autotext"/>
                            </w:docPartObj>
                          </w:sdtPr>
                          <w:sdtContent>
                            <w:p>
                              <w:pPr>
                                <w:pStyle w:val="13"/>
                                <w:ind w:firstLine="360"/>
                                <w:jc w:val="center"/>
                              </w:pPr>
                              <w:r>
                                <w:fldChar w:fldCharType="begin"/>
                              </w:r>
                              <w:r>
                                <w:instrText xml:space="preserve">PAGE   \* MERGEFORMAT</w:instrText>
                              </w:r>
                              <w:r>
                                <w:fldChar w:fldCharType="separate"/>
                              </w:r>
                              <w:r>
                                <w:rPr>
                                  <w:lang w:val="zh-CN"/>
                                </w:rPr>
                                <w:t>2</w:t>
                              </w:r>
                              <w:r>
                                <w:fldChar w:fldCharType="end"/>
                              </w:r>
                            </w:p>
                          </w:sdtContent>
                        </w:sdt>
                        <w:p>
                          <w:pPr>
                            <w:pStyle w:val="3"/>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sdt>
                    <w:sdtPr>
                      <w:id w:val="318470548"/>
                      <w:docPartObj>
                        <w:docPartGallery w:val="autotext"/>
                      </w:docPartObj>
                    </w:sdtPr>
                    <w:sdtContent>
                      <w:p>
                        <w:pPr>
                          <w:pStyle w:val="13"/>
                          <w:ind w:firstLine="360"/>
                          <w:jc w:val="center"/>
                        </w:pPr>
                        <w:r>
                          <w:fldChar w:fldCharType="begin"/>
                        </w:r>
                        <w:r>
                          <w:instrText xml:space="preserve">PAGE   \* MERGEFORMAT</w:instrText>
                        </w:r>
                        <w:r>
                          <w:fldChar w:fldCharType="separate"/>
                        </w:r>
                        <w:r>
                          <w:rPr>
                            <w:lang w:val="zh-CN"/>
                          </w:rPr>
                          <w:t>2</w:t>
                        </w:r>
                        <w:r>
                          <w:fldChar w:fldCharType="end"/>
                        </w:r>
                      </w:p>
                    </w:sdtContent>
                  </w:sdt>
                  <w:p>
                    <w:pPr>
                      <w:pStyle w:val="3"/>
                    </w:pPr>
                  </w:p>
                </w:txbxContent>
              </v:textbox>
            </v:shape>
          </w:pict>
        </mc:Fallback>
      </mc:AlternateContent>
    </w:r>
  </w:p>
  <w:p>
    <w:pPr>
      <w:pStyle w:val="13"/>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ind w:firstLine="360"/>
      <w:jc w:val="cente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sdt>
                          <w:sdtPr>
                            <w:id w:val="318470548"/>
                            <w:docPartObj>
                              <w:docPartGallery w:val="autotext"/>
                            </w:docPartObj>
                          </w:sdtPr>
                          <w:sdtContent>
                            <w:p>
                              <w:pPr>
                                <w:pStyle w:val="13"/>
                                <w:ind w:firstLine="360"/>
                                <w:jc w:val="center"/>
                              </w:pPr>
                              <w:r>
                                <w:fldChar w:fldCharType="begin"/>
                              </w:r>
                              <w:r>
                                <w:instrText xml:space="preserve">PAGE   \* MERGEFORMAT</w:instrText>
                              </w:r>
                              <w:r>
                                <w:fldChar w:fldCharType="separate"/>
                              </w:r>
                              <w:r>
                                <w:rPr>
                                  <w:lang w:val="zh-CN"/>
                                </w:rPr>
                                <w:t>2</w:t>
                              </w:r>
                              <w:r>
                                <w:fldChar w:fldCharType="end"/>
                              </w:r>
                            </w:p>
                          </w:sdtContent>
                        </w:sdt>
                        <w:p>
                          <w:pPr>
                            <w:pStyle w:val="3"/>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sdt>
                    <w:sdtPr>
                      <w:id w:val="318470548"/>
                      <w:docPartObj>
                        <w:docPartGallery w:val="autotext"/>
                      </w:docPartObj>
                    </w:sdtPr>
                    <w:sdtContent>
                      <w:p>
                        <w:pPr>
                          <w:pStyle w:val="13"/>
                          <w:ind w:firstLine="360"/>
                          <w:jc w:val="center"/>
                        </w:pPr>
                        <w:r>
                          <w:fldChar w:fldCharType="begin"/>
                        </w:r>
                        <w:r>
                          <w:instrText xml:space="preserve">PAGE   \* MERGEFORMAT</w:instrText>
                        </w:r>
                        <w:r>
                          <w:fldChar w:fldCharType="separate"/>
                        </w:r>
                        <w:r>
                          <w:rPr>
                            <w:lang w:val="zh-CN"/>
                          </w:rPr>
                          <w:t>2</w:t>
                        </w:r>
                        <w:r>
                          <w:fldChar w:fldCharType="end"/>
                        </w:r>
                      </w:p>
                    </w:sdtContent>
                  </w:sdt>
                  <w:p>
                    <w:pPr>
                      <w:pStyle w:val="3"/>
                    </w:pPr>
                  </w:p>
                </w:txbxContent>
              </v:textbox>
            </v:shape>
          </w:pict>
        </mc:Fallback>
      </mc:AlternateContent>
    </w:r>
  </w:p>
  <w:p>
    <w:pPr>
      <w:pStyle w:val="13"/>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ind w:firstLine="360"/>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sdt>
                          <w:sdtPr>
                            <w:id w:val="-1796053029"/>
                            <w:docPartObj>
                              <w:docPartGallery w:val="autotext"/>
                            </w:docPartObj>
                          </w:sdtPr>
                          <w:sdtContent>
                            <w:p>
                              <w:pPr>
                                <w:pStyle w:val="13"/>
                                <w:ind w:firstLine="360"/>
                                <w:jc w:val="center"/>
                              </w:pPr>
                              <w:r>
                                <w:fldChar w:fldCharType="begin"/>
                              </w:r>
                              <w:r>
                                <w:instrText xml:space="preserve">PAGE   \* MERGEFORMAT</w:instrText>
                              </w:r>
                              <w:r>
                                <w:fldChar w:fldCharType="separate"/>
                              </w:r>
                              <w:r>
                                <w:rPr>
                                  <w:lang w:val="zh-CN"/>
                                </w:rPr>
                                <w:t>2</w:t>
                              </w:r>
                              <w:r>
                                <w:fldChar w:fldCharType="end"/>
                              </w:r>
                            </w:p>
                          </w:sdtContent>
                        </w:sdt>
                        <w:p>
                          <w:pPr>
                            <w:pStyle w:val="3"/>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sdt>
                    <w:sdtPr>
                      <w:id w:val="-1796053029"/>
                      <w:docPartObj>
                        <w:docPartGallery w:val="autotext"/>
                      </w:docPartObj>
                    </w:sdtPr>
                    <w:sdtContent>
                      <w:p>
                        <w:pPr>
                          <w:pStyle w:val="13"/>
                          <w:ind w:firstLine="360"/>
                          <w:jc w:val="center"/>
                        </w:pPr>
                        <w:r>
                          <w:fldChar w:fldCharType="begin"/>
                        </w:r>
                        <w:r>
                          <w:instrText xml:space="preserve">PAGE   \* MERGEFORMAT</w:instrText>
                        </w:r>
                        <w:r>
                          <w:fldChar w:fldCharType="separate"/>
                        </w:r>
                        <w:r>
                          <w:rPr>
                            <w:lang w:val="zh-CN"/>
                          </w:rPr>
                          <w:t>2</w:t>
                        </w:r>
                        <w:r>
                          <w:fldChar w:fldCharType="end"/>
                        </w:r>
                      </w:p>
                    </w:sdtContent>
                  </w:sdt>
                  <w:p>
                    <w:pPr>
                      <w:pStyle w:val="3"/>
                    </w:pPr>
                  </w:p>
                </w:txbxContent>
              </v:textbox>
            </v:shape>
          </w:pict>
        </mc:Fallback>
      </mc:AlternateContent>
    </w:r>
  </w:p>
  <w:p>
    <w:pPr>
      <w:pStyle w:val="13"/>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80"/>
      </w:pPr>
      <w:r>
        <w:separator/>
      </w:r>
    </w:p>
  </w:footnote>
  <w:footnote w:type="continuationSeparator" w:id="1">
    <w:p>
      <w:pPr>
        <w:spacing w:line="24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8EA1409"/>
    <w:multiLevelType w:val="multilevel"/>
    <w:tmpl w:val="98EA1409"/>
    <w:lvl w:ilvl="0" w:tentative="0">
      <w:start w:val="1"/>
      <w:numFmt w:val="decimal"/>
      <w:suff w:val="nothing"/>
      <w:lvlText w:val="第 %1 章  "/>
      <w:lvlJc w:val="left"/>
      <w:pPr>
        <w:ind w:left="425" w:hanging="425"/>
      </w:pPr>
      <w:rPr>
        <w:rFonts w:hint="eastAsia"/>
      </w:rPr>
    </w:lvl>
    <w:lvl w:ilvl="1" w:tentative="0">
      <w:start w:val="1"/>
      <w:numFmt w:val="decimal"/>
      <w:isLgl/>
      <w:suff w:val="space"/>
      <w:lvlText w:val="%1.%2"/>
      <w:lvlJc w:val="left"/>
      <w:pPr>
        <w:ind w:left="567" w:hanging="567"/>
      </w:pPr>
      <w:rPr>
        <w:rFonts w:hint="eastAsia"/>
      </w:rPr>
    </w:lvl>
    <w:lvl w:ilvl="2" w:tentative="0">
      <w:start w:val="1"/>
      <w:numFmt w:val="decimal"/>
      <w:isLgl/>
      <w:suff w:val="space"/>
      <w:lvlText w:val="%1.%2.%3"/>
      <w:lvlJc w:val="left"/>
      <w:pPr>
        <w:ind w:left="5749" w:hanging="709"/>
      </w:pPr>
      <w:rPr>
        <w:rFonts w:hint="eastAsia"/>
      </w:rPr>
    </w:lvl>
    <w:lvl w:ilvl="3" w:tentative="0">
      <w:start w:val="1"/>
      <w:numFmt w:val="decimal"/>
      <w:pStyle w:val="8"/>
      <w:isLgl/>
      <w:suff w:val="space"/>
      <w:lvlText w:val="%1.%2.%3.%4"/>
      <w:lvlJc w:val="left"/>
      <w:pPr>
        <w:ind w:left="2127" w:hanging="851"/>
      </w:pPr>
      <w:rPr>
        <w:rFonts w:hint="eastAsia"/>
      </w:rPr>
    </w:lvl>
    <w:lvl w:ilvl="4" w:tentative="0">
      <w:start w:val="1"/>
      <w:numFmt w:val="decimal"/>
      <w:suff w:val="space"/>
      <w:lvlText w:val="（%5）"/>
      <w:lvlJc w:val="left"/>
      <w:pPr>
        <w:ind w:left="992" w:hanging="992"/>
      </w:pPr>
      <w:rPr>
        <w:rFonts w:hint="eastAsia"/>
        <w:lang w:val="en-US"/>
      </w:rPr>
    </w:lvl>
    <w:lvl w:ilvl="5" w:tentative="0">
      <w:start w:val="1"/>
      <w:numFmt w:val="upperLetter"/>
      <w:suff w:val="space"/>
      <w:lvlText w:val="%6."/>
      <w:lvlJc w:val="left"/>
      <w:pPr>
        <w:ind w:left="1134" w:hanging="1134"/>
      </w:pPr>
      <w:rPr>
        <w:rFonts w:hint="eastAsia"/>
      </w:rPr>
    </w:lvl>
    <w:lvl w:ilvl="6" w:tentative="0">
      <w:start w:val="1"/>
      <w:numFmt w:val="lowerLetter"/>
      <w:suff w:val="space"/>
      <w:lvlText w:val="%7."/>
      <w:lvlJc w:val="left"/>
      <w:pPr>
        <w:ind w:left="1276" w:hanging="1276"/>
      </w:pPr>
      <w:rPr>
        <w:rFonts w:hint="eastAsia"/>
      </w:rPr>
    </w:lvl>
    <w:lvl w:ilvl="7" w:tentative="0">
      <w:start w:val="1"/>
      <w:numFmt w:val="decimal"/>
      <w:lvlText w:val="%1.%2.%3.%4.%5.%6.%7.%8."/>
      <w:lvlJc w:val="left"/>
      <w:pPr>
        <w:ind w:left="1418" w:hanging="1418"/>
      </w:pPr>
      <w:rPr>
        <w:rFonts w:hint="eastAsia"/>
      </w:rPr>
    </w:lvl>
    <w:lvl w:ilvl="8" w:tentative="0">
      <w:start w:val="1"/>
      <w:numFmt w:val="decimal"/>
      <w:lvlText w:val="%1.%2.%3.%4.%5.%6.%7.%8.%9."/>
      <w:lvlJc w:val="left"/>
      <w:pPr>
        <w:ind w:left="1559" w:hanging="1559"/>
      </w:pPr>
      <w:rPr>
        <w:rFonts w:hint="eastAsia"/>
      </w:rPr>
    </w:lvl>
  </w:abstractNum>
  <w:abstractNum w:abstractNumId="1">
    <w:nsid w:val="A9BEFD4C"/>
    <w:multiLevelType w:val="singleLevel"/>
    <w:tmpl w:val="A9BEFD4C"/>
    <w:lvl w:ilvl="0" w:tentative="0">
      <w:start w:val="1"/>
      <w:numFmt w:val="decimal"/>
      <w:pStyle w:val="70"/>
      <w:lvlText w:val="表4-%1"/>
      <w:lvlJc w:val="left"/>
      <w:pPr>
        <w:tabs>
          <w:tab w:val="left" w:pos="420"/>
        </w:tabs>
        <w:ind w:left="420" w:hanging="425"/>
      </w:pPr>
      <w:rPr>
        <w:rFonts w:hint="default" w:ascii="宋体" w:hAnsi="宋体" w:eastAsia="宋体" w:cs="宋体"/>
        <w:color w:val="auto"/>
      </w:rPr>
    </w:lvl>
  </w:abstractNum>
  <w:abstractNum w:abstractNumId="2">
    <w:nsid w:val="DA30169E"/>
    <w:multiLevelType w:val="singleLevel"/>
    <w:tmpl w:val="DA30169E"/>
    <w:lvl w:ilvl="0" w:tentative="0">
      <w:start w:val="1"/>
      <w:numFmt w:val="decimal"/>
      <w:pStyle w:val="72"/>
      <w:lvlText w:val="表5-%1"/>
      <w:lvlJc w:val="left"/>
      <w:pPr>
        <w:tabs>
          <w:tab w:val="left" w:pos="420"/>
        </w:tabs>
        <w:ind w:left="425" w:hanging="425"/>
      </w:pPr>
      <w:rPr>
        <w:rFonts w:hint="default" w:ascii="宋体" w:hAnsi="宋体" w:eastAsia="宋体" w:cs="宋体"/>
        <w:color w:val="auto"/>
      </w:rPr>
    </w:lvl>
  </w:abstractNum>
  <w:abstractNum w:abstractNumId="3">
    <w:nsid w:val="FECE5923"/>
    <w:multiLevelType w:val="singleLevel"/>
    <w:tmpl w:val="FECE5923"/>
    <w:lvl w:ilvl="0" w:tentative="0">
      <w:start w:val="1"/>
      <w:numFmt w:val="decimal"/>
      <w:pStyle w:val="30"/>
      <w:lvlText w:val="表1-%1"/>
      <w:lvlJc w:val="left"/>
      <w:pPr>
        <w:tabs>
          <w:tab w:val="left" w:pos="397"/>
        </w:tabs>
        <w:ind w:left="454" w:hanging="454"/>
      </w:pPr>
      <w:rPr>
        <w:rFonts w:hint="default" w:ascii="宋体" w:hAnsi="宋体" w:eastAsia="宋体" w:cs="宋体"/>
      </w:rPr>
    </w:lvl>
  </w:abstractNum>
  <w:abstractNum w:abstractNumId="4">
    <w:nsid w:val="0FF80F95"/>
    <w:multiLevelType w:val="singleLevel"/>
    <w:tmpl w:val="0FF80F95"/>
    <w:lvl w:ilvl="0" w:tentative="0">
      <w:start w:val="1"/>
      <w:numFmt w:val="decimal"/>
      <w:pStyle w:val="69"/>
      <w:lvlText w:val="表3-%1"/>
      <w:lvlJc w:val="left"/>
      <w:pPr>
        <w:tabs>
          <w:tab w:val="left" w:pos="420"/>
        </w:tabs>
        <w:ind w:left="425" w:hanging="425"/>
      </w:pPr>
      <w:rPr>
        <w:rFonts w:hint="default" w:ascii="宋体" w:hAnsi="宋体" w:eastAsia="宋体" w:cs="宋体"/>
        <w:color w:val="auto"/>
      </w:rPr>
    </w:lvl>
  </w:abstractNum>
  <w:abstractNum w:abstractNumId="5">
    <w:nsid w:val="164F05FF"/>
    <w:multiLevelType w:val="multilevel"/>
    <w:tmpl w:val="164F05FF"/>
    <w:lvl w:ilvl="0" w:tentative="0">
      <w:start w:val="1"/>
      <w:numFmt w:val="decimal"/>
      <w:pStyle w:val="64"/>
      <w:lvlText w:val="表%1  "/>
      <w:lvlJc w:val="left"/>
      <w:pPr>
        <w:ind w:left="420" w:hanging="420"/>
      </w:pPr>
      <w:rPr>
        <w:rFonts w:hint="eastAsia"/>
        <w:lang w:val="en-U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733E7179"/>
    <w:multiLevelType w:val="singleLevel"/>
    <w:tmpl w:val="733E7179"/>
    <w:lvl w:ilvl="0" w:tentative="0">
      <w:start w:val="1"/>
      <w:numFmt w:val="decimal"/>
      <w:pStyle w:val="31"/>
      <w:lvlText w:val="表2-%1"/>
      <w:lvlJc w:val="left"/>
      <w:pPr>
        <w:tabs>
          <w:tab w:val="left" w:pos="397"/>
        </w:tabs>
        <w:ind w:left="454" w:hanging="454"/>
      </w:pPr>
      <w:rPr>
        <w:rFonts w:hint="default"/>
      </w:rPr>
    </w:lvl>
  </w:abstractNum>
  <w:abstractNum w:abstractNumId="7">
    <w:nsid w:val="73896078"/>
    <w:multiLevelType w:val="singleLevel"/>
    <w:tmpl w:val="73896078"/>
    <w:lvl w:ilvl="0" w:tentative="0">
      <w:start w:val="4"/>
      <w:numFmt w:val="chineseCounting"/>
      <w:suff w:val="nothing"/>
      <w:lvlText w:val="%1、"/>
      <w:lvlJc w:val="left"/>
      <w:rPr>
        <w:rFonts w:hint="eastAsia"/>
      </w:rPr>
    </w:lvl>
  </w:abstractNum>
  <w:abstractNum w:abstractNumId="8">
    <w:nsid w:val="7A610151"/>
    <w:multiLevelType w:val="singleLevel"/>
    <w:tmpl w:val="7A610151"/>
    <w:lvl w:ilvl="0" w:tentative="0">
      <w:start w:val="1"/>
      <w:numFmt w:val="chineseCounting"/>
      <w:suff w:val="nothing"/>
      <w:lvlText w:val="%1、"/>
      <w:lvlJc w:val="left"/>
      <w:rPr>
        <w:rFonts w:hint="eastAsia"/>
      </w:rPr>
    </w:lvl>
  </w:abstractNum>
  <w:num w:numId="1">
    <w:abstractNumId w:val="0"/>
  </w:num>
  <w:num w:numId="2">
    <w:abstractNumId w:val="3"/>
  </w:num>
  <w:num w:numId="3">
    <w:abstractNumId w:val="6"/>
  </w:num>
  <w:num w:numId="4">
    <w:abstractNumId w:val="5"/>
  </w:num>
  <w:num w:numId="5">
    <w:abstractNumId w:val="4"/>
  </w:num>
  <w:num w:numId="6">
    <w:abstractNumId w:val="1"/>
  </w:num>
  <w:num w:numId="7">
    <w:abstractNumId w:val="2"/>
  </w:num>
  <w:num w:numId="8">
    <w:abstractNumId w:val="8"/>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80"/>
  <w:autoHyphenation/>
  <w:drawingGridHorizontalSpacing w:val="120"/>
  <w:drawingGridVerticalSpacing w:val="163"/>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I4ZDFhNTE2Y2MzMTAxOGI0ZGU5MTFiNWViY2JlZTUifQ=="/>
  </w:docVars>
  <w:rsids>
    <w:rsidRoot w:val="00172A27"/>
    <w:rsid w:val="00001A39"/>
    <w:rsid w:val="00004C00"/>
    <w:rsid w:val="0000785F"/>
    <w:rsid w:val="0001303A"/>
    <w:rsid w:val="0001325E"/>
    <w:rsid w:val="00014D60"/>
    <w:rsid w:val="0001567D"/>
    <w:rsid w:val="00016707"/>
    <w:rsid w:val="00016C71"/>
    <w:rsid w:val="0002028F"/>
    <w:rsid w:val="0002218A"/>
    <w:rsid w:val="0002226E"/>
    <w:rsid w:val="0002236A"/>
    <w:rsid w:val="000239C8"/>
    <w:rsid w:val="000267E2"/>
    <w:rsid w:val="00031319"/>
    <w:rsid w:val="00031BA6"/>
    <w:rsid w:val="00031CB8"/>
    <w:rsid w:val="00034052"/>
    <w:rsid w:val="0004471F"/>
    <w:rsid w:val="000532C3"/>
    <w:rsid w:val="000544AF"/>
    <w:rsid w:val="00060A02"/>
    <w:rsid w:val="0006218F"/>
    <w:rsid w:val="00063FD9"/>
    <w:rsid w:val="0006742A"/>
    <w:rsid w:val="000741A3"/>
    <w:rsid w:val="00075259"/>
    <w:rsid w:val="000837FA"/>
    <w:rsid w:val="00090402"/>
    <w:rsid w:val="00091413"/>
    <w:rsid w:val="000927C3"/>
    <w:rsid w:val="00093068"/>
    <w:rsid w:val="00094CFA"/>
    <w:rsid w:val="000A1281"/>
    <w:rsid w:val="000A276C"/>
    <w:rsid w:val="000A461C"/>
    <w:rsid w:val="000A64DB"/>
    <w:rsid w:val="000A7271"/>
    <w:rsid w:val="000B1440"/>
    <w:rsid w:val="000B2255"/>
    <w:rsid w:val="000B3D20"/>
    <w:rsid w:val="000B4770"/>
    <w:rsid w:val="000B486C"/>
    <w:rsid w:val="000B7042"/>
    <w:rsid w:val="000B7242"/>
    <w:rsid w:val="000C35B7"/>
    <w:rsid w:val="000C536F"/>
    <w:rsid w:val="000C53F0"/>
    <w:rsid w:val="000D4E55"/>
    <w:rsid w:val="000D6069"/>
    <w:rsid w:val="000E0978"/>
    <w:rsid w:val="000E3647"/>
    <w:rsid w:val="000E4488"/>
    <w:rsid w:val="000E5CB7"/>
    <w:rsid w:val="000E6123"/>
    <w:rsid w:val="000F03B8"/>
    <w:rsid w:val="000F322F"/>
    <w:rsid w:val="000F3EDF"/>
    <w:rsid w:val="000F7242"/>
    <w:rsid w:val="000F7B0F"/>
    <w:rsid w:val="00100C2B"/>
    <w:rsid w:val="0010357E"/>
    <w:rsid w:val="00104778"/>
    <w:rsid w:val="001071B0"/>
    <w:rsid w:val="0010759A"/>
    <w:rsid w:val="00110708"/>
    <w:rsid w:val="00110B2C"/>
    <w:rsid w:val="001117E0"/>
    <w:rsid w:val="00111DE9"/>
    <w:rsid w:val="00113A4A"/>
    <w:rsid w:val="00114A11"/>
    <w:rsid w:val="00120899"/>
    <w:rsid w:val="001232C5"/>
    <w:rsid w:val="00126C00"/>
    <w:rsid w:val="0013173F"/>
    <w:rsid w:val="001419B4"/>
    <w:rsid w:val="00144472"/>
    <w:rsid w:val="00144F11"/>
    <w:rsid w:val="00145F50"/>
    <w:rsid w:val="00146578"/>
    <w:rsid w:val="00153044"/>
    <w:rsid w:val="00154844"/>
    <w:rsid w:val="00154BFC"/>
    <w:rsid w:val="00155AA3"/>
    <w:rsid w:val="00160BBE"/>
    <w:rsid w:val="00164E34"/>
    <w:rsid w:val="001657D9"/>
    <w:rsid w:val="00172A27"/>
    <w:rsid w:val="00173680"/>
    <w:rsid w:val="001763B4"/>
    <w:rsid w:val="00177F2C"/>
    <w:rsid w:val="001845FC"/>
    <w:rsid w:val="00185458"/>
    <w:rsid w:val="00187740"/>
    <w:rsid w:val="00187A2C"/>
    <w:rsid w:val="001903BC"/>
    <w:rsid w:val="00192A3B"/>
    <w:rsid w:val="00195B11"/>
    <w:rsid w:val="00196EB9"/>
    <w:rsid w:val="00196F72"/>
    <w:rsid w:val="001A035A"/>
    <w:rsid w:val="001A1106"/>
    <w:rsid w:val="001A1FDF"/>
    <w:rsid w:val="001A34C3"/>
    <w:rsid w:val="001A4242"/>
    <w:rsid w:val="001A7A23"/>
    <w:rsid w:val="001B2E93"/>
    <w:rsid w:val="001C3A2A"/>
    <w:rsid w:val="001C5FED"/>
    <w:rsid w:val="001D235B"/>
    <w:rsid w:val="001E074F"/>
    <w:rsid w:val="001E2BD6"/>
    <w:rsid w:val="001E4851"/>
    <w:rsid w:val="001E5056"/>
    <w:rsid w:val="001E6D69"/>
    <w:rsid w:val="001F0D9C"/>
    <w:rsid w:val="001F36B2"/>
    <w:rsid w:val="00201EAD"/>
    <w:rsid w:val="00202600"/>
    <w:rsid w:val="00202CB6"/>
    <w:rsid w:val="002055F5"/>
    <w:rsid w:val="00211815"/>
    <w:rsid w:val="00212BC1"/>
    <w:rsid w:val="00215E13"/>
    <w:rsid w:val="00221CE3"/>
    <w:rsid w:val="00224773"/>
    <w:rsid w:val="0022501E"/>
    <w:rsid w:val="0022569F"/>
    <w:rsid w:val="00227A2D"/>
    <w:rsid w:val="002304CA"/>
    <w:rsid w:val="00232B3B"/>
    <w:rsid w:val="00233400"/>
    <w:rsid w:val="00236B4D"/>
    <w:rsid w:val="00237255"/>
    <w:rsid w:val="00237588"/>
    <w:rsid w:val="00240841"/>
    <w:rsid w:val="00240A53"/>
    <w:rsid w:val="002417C8"/>
    <w:rsid w:val="00241F7B"/>
    <w:rsid w:val="00246A5C"/>
    <w:rsid w:val="00246CB5"/>
    <w:rsid w:val="00251A19"/>
    <w:rsid w:val="0025272C"/>
    <w:rsid w:val="002527DB"/>
    <w:rsid w:val="00256522"/>
    <w:rsid w:val="002575B1"/>
    <w:rsid w:val="00257691"/>
    <w:rsid w:val="00261493"/>
    <w:rsid w:val="00263EFE"/>
    <w:rsid w:val="0026418F"/>
    <w:rsid w:val="00264F95"/>
    <w:rsid w:val="002652E0"/>
    <w:rsid w:val="00267576"/>
    <w:rsid w:val="0027370A"/>
    <w:rsid w:val="00274506"/>
    <w:rsid w:val="00275CC8"/>
    <w:rsid w:val="002773F3"/>
    <w:rsid w:val="00280E2D"/>
    <w:rsid w:val="002818DD"/>
    <w:rsid w:val="00284BD9"/>
    <w:rsid w:val="002861D3"/>
    <w:rsid w:val="002865FB"/>
    <w:rsid w:val="00286B8A"/>
    <w:rsid w:val="002873AB"/>
    <w:rsid w:val="002A0936"/>
    <w:rsid w:val="002A3581"/>
    <w:rsid w:val="002B39DD"/>
    <w:rsid w:val="002B478B"/>
    <w:rsid w:val="002C163C"/>
    <w:rsid w:val="002C3E43"/>
    <w:rsid w:val="002C50E5"/>
    <w:rsid w:val="002C5AFA"/>
    <w:rsid w:val="002C696C"/>
    <w:rsid w:val="002D1805"/>
    <w:rsid w:val="002D20D5"/>
    <w:rsid w:val="002E402E"/>
    <w:rsid w:val="002E5AB8"/>
    <w:rsid w:val="002F1C7B"/>
    <w:rsid w:val="002F20F3"/>
    <w:rsid w:val="002F2EB4"/>
    <w:rsid w:val="002F4196"/>
    <w:rsid w:val="002F4BF0"/>
    <w:rsid w:val="002F4C1E"/>
    <w:rsid w:val="003032C9"/>
    <w:rsid w:val="003068D2"/>
    <w:rsid w:val="003075A8"/>
    <w:rsid w:val="00313F44"/>
    <w:rsid w:val="00316389"/>
    <w:rsid w:val="00316FB0"/>
    <w:rsid w:val="0032379E"/>
    <w:rsid w:val="0032401B"/>
    <w:rsid w:val="00325A8F"/>
    <w:rsid w:val="003260E9"/>
    <w:rsid w:val="00327143"/>
    <w:rsid w:val="00334050"/>
    <w:rsid w:val="003341CD"/>
    <w:rsid w:val="00336984"/>
    <w:rsid w:val="00336DC3"/>
    <w:rsid w:val="00340439"/>
    <w:rsid w:val="003412DB"/>
    <w:rsid w:val="003413DD"/>
    <w:rsid w:val="003445EF"/>
    <w:rsid w:val="00344AEA"/>
    <w:rsid w:val="0034719D"/>
    <w:rsid w:val="0035173A"/>
    <w:rsid w:val="00354A36"/>
    <w:rsid w:val="003561D4"/>
    <w:rsid w:val="00357CCD"/>
    <w:rsid w:val="0036193A"/>
    <w:rsid w:val="00362A64"/>
    <w:rsid w:val="003636DA"/>
    <w:rsid w:val="00370444"/>
    <w:rsid w:val="00374277"/>
    <w:rsid w:val="0037487B"/>
    <w:rsid w:val="00386370"/>
    <w:rsid w:val="00395CF5"/>
    <w:rsid w:val="00395F0E"/>
    <w:rsid w:val="003A2D53"/>
    <w:rsid w:val="003A2D5F"/>
    <w:rsid w:val="003A47BB"/>
    <w:rsid w:val="003A665C"/>
    <w:rsid w:val="003A7E8C"/>
    <w:rsid w:val="003B193D"/>
    <w:rsid w:val="003B40BD"/>
    <w:rsid w:val="003B4871"/>
    <w:rsid w:val="003B6465"/>
    <w:rsid w:val="003B6DD5"/>
    <w:rsid w:val="003C07AC"/>
    <w:rsid w:val="003C1B8C"/>
    <w:rsid w:val="003C2575"/>
    <w:rsid w:val="003C3816"/>
    <w:rsid w:val="003C3873"/>
    <w:rsid w:val="003C4418"/>
    <w:rsid w:val="003C7728"/>
    <w:rsid w:val="003D0CA4"/>
    <w:rsid w:val="003D22B7"/>
    <w:rsid w:val="003D43C5"/>
    <w:rsid w:val="003D4AB5"/>
    <w:rsid w:val="003D5748"/>
    <w:rsid w:val="003D5FBA"/>
    <w:rsid w:val="003E0468"/>
    <w:rsid w:val="003E6C5D"/>
    <w:rsid w:val="003F1A8D"/>
    <w:rsid w:val="003F4EB9"/>
    <w:rsid w:val="003F55BE"/>
    <w:rsid w:val="004004E5"/>
    <w:rsid w:val="00402DF5"/>
    <w:rsid w:val="004030EF"/>
    <w:rsid w:val="00404096"/>
    <w:rsid w:val="00415C29"/>
    <w:rsid w:val="00417073"/>
    <w:rsid w:val="00417B81"/>
    <w:rsid w:val="00421BDC"/>
    <w:rsid w:val="004220F5"/>
    <w:rsid w:val="00422D59"/>
    <w:rsid w:val="00423A85"/>
    <w:rsid w:val="00425F48"/>
    <w:rsid w:val="00427303"/>
    <w:rsid w:val="0043197F"/>
    <w:rsid w:val="00431BC4"/>
    <w:rsid w:val="00432217"/>
    <w:rsid w:val="004327E9"/>
    <w:rsid w:val="00432911"/>
    <w:rsid w:val="00435193"/>
    <w:rsid w:val="00435216"/>
    <w:rsid w:val="004378BE"/>
    <w:rsid w:val="00441543"/>
    <w:rsid w:val="00442BC9"/>
    <w:rsid w:val="0044491B"/>
    <w:rsid w:val="00447201"/>
    <w:rsid w:val="00450454"/>
    <w:rsid w:val="004538B4"/>
    <w:rsid w:val="00454A33"/>
    <w:rsid w:val="004610BF"/>
    <w:rsid w:val="00462037"/>
    <w:rsid w:val="00464914"/>
    <w:rsid w:val="00466E41"/>
    <w:rsid w:val="00471F88"/>
    <w:rsid w:val="00473F14"/>
    <w:rsid w:val="00476B77"/>
    <w:rsid w:val="00477613"/>
    <w:rsid w:val="00486FF9"/>
    <w:rsid w:val="004874AE"/>
    <w:rsid w:val="004878DC"/>
    <w:rsid w:val="0048792B"/>
    <w:rsid w:val="00490DB0"/>
    <w:rsid w:val="00491811"/>
    <w:rsid w:val="004926A8"/>
    <w:rsid w:val="0049459F"/>
    <w:rsid w:val="0049516B"/>
    <w:rsid w:val="004966A4"/>
    <w:rsid w:val="004A1BB4"/>
    <w:rsid w:val="004A2040"/>
    <w:rsid w:val="004A251A"/>
    <w:rsid w:val="004A423F"/>
    <w:rsid w:val="004A5172"/>
    <w:rsid w:val="004B0582"/>
    <w:rsid w:val="004B0D4A"/>
    <w:rsid w:val="004B3C6E"/>
    <w:rsid w:val="004B5681"/>
    <w:rsid w:val="004C241F"/>
    <w:rsid w:val="004C3E7A"/>
    <w:rsid w:val="004C50C8"/>
    <w:rsid w:val="004D1C90"/>
    <w:rsid w:val="004D3EC1"/>
    <w:rsid w:val="004D6F85"/>
    <w:rsid w:val="004E438B"/>
    <w:rsid w:val="004E44D6"/>
    <w:rsid w:val="004E4C40"/>
    <w:rsid w:val="004F3080"/>
    <w:rsid w:val="004F3480"/>
    <w:rsid w:val="004F442A"/>
    <w:rsid w:val="004F6833"/>
    <w:rsid w:val="004F7CE6"/>
    <w:rsid w:val="00501311"/>
    <w:rsid w:val="0050284F"/>
    <w:rsid w:val="00504226"/>
    <w:rsid w:val="0051161B"/>
    <w:rsid w:val="0051184F"/>
    <w:rsid w:val="00514094"/>
    <w:rsid w:val="00514502"/>
    <w:rsid w:val="00520679"/>
    <w:rsid w:val="005224B6"/>
    <w:rsid w:val="005251A9"/>
    <w:rsid w:val="00532FB0"/>
    <w:rsid w:val="00533712"/>
    <w:rsid w:val="00534869"/>
    <w:rsid w:val="005407B9"/>
    <w:rsid w:val="00541B27"/>
    <w:rsid w:val="00543F38"/>
    <w:rsid w:val="00544BAA"/>
    <w:rsid w:val="00547EF2"/>
    <w:rsid w:val="00550C4F"/>
    <w:rsid w:val="005564BE"/>
    <w:rsid w:val="0055781C"/>
    <w:rsid w:val="00560DC6"/>
    <w:rsid w:val="00561113"/>
    <w:rsid w:val="005618AE"/>
    <w:rsid w:val="00563262"/>
    <w:rsid w:val="00564528"/>
    <w:rsid w:val="00574492"/>
    <w:rsid w:val="00575E12"/>
    <w:rsid w:val="0057642F"/>
    <w:rsid w:val="00581123"/>
    <w:rsid w:val="00585880"/>
    <w:rsid w:val="00586122"/>
    <w:rsid w:val="0059196D"/>
    <w:rsid w:val="00594897"/>
    <w:rsid w:val="00594C47"/>
    <w:rsid w:val="005A073D"/>
    <w:rsid w:val="005A1394"/>
    <w:rsid w:val="005A26B8"/>
    <w:rsid w:val="005A5E34"/>
    <w:rsid w:val="005A6828"/>
    <w:rsid w:val="005A716C"/>
    <w:rsid w:val="005B1720"/>
    <w:rsid w:val="005B2976"/>
    <w:rsid w:val="005B2AB6"/>
    <w:rsid w:val="005B51C8"/>
    <w:rsid w:val="005B7354"/>
    <w:rsid w:val="005C384F"/>
    <w:rsid w:val="005C3CDD"/>
    <w:rsid w:val="005C4ED6"/>
    <w:rsid w:val="005C749C"/>
    <w:rsid w:val="005D1462"/>
    <w:rsid w:val="005D2862"/>
    <w:rsid w:val="005D4DC5"/>
    <w:rsid w:val="005E09A8"/>
    <w:rsid w:val="005E24D6"/>
    <w:rsid w:val="005E462A"/>
    <w:rsid w:val="005E7052"/>
    <w:rsid w:val="005F175A"/>
    <w:rsid w:val="005F3E60"/>
    <w:rsid w:val="005F42F2"/>
    <w:rsid w:val="005F4AE2"/>
    <w:rsid w:val="005F710A"/>
    <w:rsid w:val="005F730D"/>
    <w:rsid w:val="005F74FE"/>
    <w:rsid w:val="0060268B"/>
    <w:rsid w:val="00602EF9"/>
    <w:rsid w:val="0060680D"/>
    <w:rsid w:val="0061109B"/>
    <w:rsid w:val="006139FA"/>
    <w:rsid w:val="00613ADE"/>
    <w:rsid w:val="00615C95"/>
    <w:rsid w:val="00616365"/>
    <w:rsid w:val="006274F3"/>
    <w:rsid w:val="00630F41"/>
    <w:rsid w:val="00632DD6"/>
    <w:rsid w:val="00635311"/>
    <w:rsid w:val="00637328"/>
    <w:rsid w:val="00640445"/>
    <w:rsid w:val="00641364"/>
    <w:rsid w:val="00643125"/>
    <w:rsid w:val="006457FE"/>
    <w:rsid w:val="00647A51"/>
    <w:rsid w:val="006502A0"/>
    <w:rsid w:val="006514A4"/>
    <w:rsid w:val="00654D27"/>
    <w:rsid w:val="00655AC1"/>
    <w:rsid w:val="006567DC"/>
    <w:rsid w:val="00656A7B"/>
    <w:rsid w:val="00657606"/>
    <w:rsid w:val="00662692"/>
    <w:rsid w:val="00663B11"/>
    <w:rsid w:val="006677CF"/>
    <w:rsid w:val="00667AA1"/>
    <w:rsid w:val="00671628"/>
    <w:rsid w:val="0067383A"/>
    <w:rsid w:val="00680140"/>
    <w:rsid w:val="00681A4C"/>
    <w:rsid w:val="00683789"/>
    <w:rsid w:val="00687186"/>
    <w:rsid w:val="00690BE1"/>
    <w:rsid w:val="0069198B"/>
    <w:rsid w:val="00691CCE"/>
    <w:rsid w:val="006A480A"/>
    <w:rsid w:val="006A7E64"/>
    <w:rsid w:val="006B0471"/>
    <w:rsid w:val="006B2F59"/>
    <w:rsid w:val="006B766B"/>
    <w:rsid w:val="006C0B4E"/>
    <w:rsid w:val="006D1A01"/>
    <w:rsid w:val="006D2675"/>
    <w:rsid w:val="006D47AE"/>
    <w:rsid w:val="006D63EB"/>
    <w:rsid w:val="006D6836"/>
    <w:rsid w:val="006D6F3B"/>
    <w:rsid w:val="006E37A9"/>
    <w:rsid w:val="006E6045"/>
    <w:rsid w:val="006F21E4"/>
    <w:rsid w:val="006F2C45"/>
    <w:rsid w:val="006F4404"/>
    <w:rsid w:val="006F4D72"/>
    <w:rsid w:val="00700013"/>
    <w:rsid w:val="0070099B"/>
    <w:rsid w:val="007025B1"/>
    <w:rsid w:val="00702C4F"/>
    <w:rsid w:val="007034F0"/>
    <w:rsid w:val="007040C3"/>
    <w:rsid w:val="0070636A"/>
    <w:rsid w:val="007106D6"/>
    <w:rsid w:val="00714B98"/>
    <w:rsid w:val="0071545F"/>
    <w:rsid w:val="00716788"/>
    <w:rsid w:val="007238E4"/>
    <w:rsid w:val="007264F6"/>
    <w:rsid w:val="00726BC9"/>
    <w:rsid w:val="00731E0D"/>
    <w:rsid w:val="00736978"/>
    <w:rsid w:val="00742713"/>
    <w:rsid w:val="007518A1"/>
    <w:rsid w:val="00751BF4"/>
    <w:rsid w:val="007528F0"/>
    <w:rsid w:val="00755274"/>
    <w:rsid w:val="0075726F"/>
    <w:rsid w:val="00757675"/>
    <w:rsid w:val="00760B51"/>
    <w:rsid w:val="00761790"/>
    <w:rsid w:val="00762D26"/>
    <w:rsid w:val="00763161"/>
    <w:rsid w:val="00763A62"/>
    <w:rsid w:val="00771B4D"/>
    <w:rsid w:val="0077292A"/>
    <w:rsid w:val="007747E4"/>
    <w:rsid w:val="00775559"/>
    <w:rsid w:val="007759C5"/>
    <w:rsid w:val="00777DE8"/>
    <w:rsid w:val="00780C8A"/>
    <w:rsid w:val="00781EC2"/>
    <w:rsid w:val="0078270F"/>
    <w:rsid w:val="00791951"/>
    <w:rsid w:val="0079273E"/>
    <w:rsid w:val="00797DC4"/>
    <w:rsid w:val="007A0618"/>
    <w:rsid w:val="007A68D8"/>
    <w:rsid w:val="007A6C40"/>
    <w:rsid w:val="007A6EB9"/>
    <w:rsid w:val="007A785D"/>
    <w:rsid w:val="007B0801"/>
    <w:rsid w:val="007B0EA6"/>
    <w:rsid w:val="007B1A51"/>
    <w:rsid w:val="007B2CDB"/>
    <w:rsid w:val="007B3351"/>
    <w:rsid w:val="007B4CBF"/>
    <w:rsid w:val="007B72DB"/>
    <w:rsid w:val="007C1265"/>
    <w:rsid w:val="007C143D"/>
    <w:rsid w:val="007C1588"/>
    <w:rsid w:val="007C2BCA"/>
    <w:rsid w:val="007C3223"/>
    <w:rsid w:val="007C5305"/>
    <w:rsid w:val="007C5470"/>
    <w:rsid w:val="007D0BF1"/>
    <w:rsid w:val="007D1286"/>
    <w:rsid w:val="007D4926"/>
    <w:rsid w:val="007D5969"/>
    <w:rsid w:val="007D6760"/>
    <w:rsid w:val="007D7ABB"/>
    <w:rsid w:val="007E3D96"/>
    <w:rsid w:val="007E41C5"/>
    <w:rsid w:val="007E515A"/>
    <w:rsid w:val="007E72A1"/>
    <w:rsid w:val="007F3151"/>
    <w:rsid w:val="007F3B10"/>
    <w:rsid w:val="00803D21"/>
    <w:rsid w:val="00810ACC"/>
    <w:rsid w:val="008116A9"/>
    <w:rsid w:val="00811DC7"/>
    <w:rsid w:val="0081624B"/>
    <w:rsid w:val="0082003F"/>
    <w:rsid w:val="00822AA4"/>
    <w:rsid w:val="00823411"/>
    <w:rsid w:val="00825CC0"/>
    <w:rsid w:val="00834F33"/>
    <w:rsid w:val="00834F8D"/>
    <w:rsid w:val="008350BA"/>
    <w:rsid w:val="008453CA"/>
    <w:rsid w:val="0085003F"/>
    <w:rsid w:val="00851A59"/>
    <w:rsid w:val="008565FC"/>
    <w:rsid w:val="008645B8"/>
    <w:rsid w:val="008657B6"/>
    <w:rsid w:val="008668DA"/>
    <w:rsid w:val="00870004"/>
    <w:rsid w:val="00870D27"/>
    <w:rsid w:val="00871D41"/>
    <w:rsid w:val="00873DE4"/>
    <w:rsid w:val="00874DC0"/>
    <w:rsid w:val="00875621"/>
    <w:rsid w:val="00876D3A"/>
    <w:rsid w:val="00881CFB"/>
    <w:rsid w:val="008917C0"/>
    <w:rsid w:val="00896830"/>
    <w:rsid w:val="00897012"/>
    <w:rsid w:val="008A0D21"/>
    <w:rsid w:val="008A0DA9"/>
    <w:rsid w:val="008A1182"/>
    <w:rsid w:val="008A45AE"/>
    <w:rsid w:val="008B03E3"/>
    <w:rsid w:val="008B7891"/>
    <w:rsid w:val="008B7C57"/>
    <w:rsid w:val="008C0D43"/>
    <w:rsid w:val="008C56E6"/>
    <w:rsid w:val="008C59CB"/>
    <w:rsid w:val="008E6B3F"/>
    <w:rsid w:val="008E6DE8"/>
    <w:rsid w:val="008F4B43"/>
    <w:rsid w:val="009014D8"/>
    <w:rsid w:val="009031FA"/>
    <w:rsid w:val="0090449B"/>
    <w:rsid w:val="00906C92"/>
    <w:rsid w:val="00910711"/>
    <w:rsid w:val="00916764"/>
    <w:rsid w:val="00916CC4"/>
    <w:rsid w:val="009176AC"/>
    <w:rsid w:val="009209EA"/>
    <w:rsid w:val="009219A3"/>
    <w:rsid w:val="00923ADB"/>
    <w:rsid w:val="00927D36"/>
    <w:rsid w:val="00927FB2"/>
    <w:rsid w:val="009301CC"/>
    <w:rsid w:val="00931B3B"/>
    <w:rsid w:val="00932EDF"/>
    <w:rsid w:val="00936EC3"/>
    <w:rsid w:val="009418E5"/>
    <w:rsid w:val="00942C5F"/>
    <w:rsid w:val="00943B49"/>
    <w:rsid w:val="0094469E"/>
    <w:rsid w:val="00954086"/>
    <w:rsid w:val="00956DB0"/>
    <w:rsid w:val="0095775A"/>
    <w:rsid w:val="00957D7C"/>
    <w:rsid w:val="009616AF"/>
    <w:rsid w:val="00962A7C"/>
    <w:rsid w:val="00962C4A"/>
    <w:rsid w:val="00963F21"/>
    <w:rsid w:val="00964C42"/>
    <w:rsid w:val="00964CAF"/>
    <w:rsid w:val="00967C3B"/>
    <w:rsid w:val="00967ED5"/>
    <w:rsid w:val="009729D0"/>
    <w:rsid w:val="00976BB9"/>
    <w:rsid w:val="00982C92"/>
    <w:rsid w:val="00983C97"/>
    <w:rsid w:val="00986615"/>
    <w:rsid w:val="00991387"/>
    <w:rsid w:val="009924E4"/>
    <w:rsid w:val="00993A6F"/>
    <w:rsid w:val="009947D0"/>
    <w:rsid w:val="009968F9"/>
    <w:rsid w:val="00996E45"/>
    <w:rsid w:val="009A3065"/>
    <w:rsid w:val="009B0D87"/>
    <w:rsid w:val="009B21DA"/>
    <w:rsid w:val="009B277C"/>
    <w:rsid w:val="009B27B1"/>
    <w:rsid w:val="009B6F49"/>
    <w:rsid w:val="009B7383"/>
    <w:rsid w:val="009C01B8"/>
    <w:rsid w:val="009C231C"/>
    <w:rsid w:val="009C4116"/>
    <w:rsid w:val="009C6CBB"/>
    <w:rsid w:val="009C6E02"/>
    <w:rsid w:val="009C740D"/>
    <w:rsid w:val="009D0457"/>
    <w:rsid w:val="009D2C57"/>
    <w:rsid w:val="009D2F7A"/>
    <w:rsid w:val="009D728D"/>
    <w:rsid w:val="009E451F"/>
    <w:rsid w:val="009E59AE"/>
    <w:rsid w:val="009F2D9D"/>
    <w:rsid w:val="009F6FEB"/>
    <w:rsid w:val="00A00517"/>
    <w:rsid w:val="00A00CB9"/>
    <w:rsid w:val="00A0256F"/>
    <w:rsid w:val="00A046B0"/>
    <w:rsid w:val="00A04DC2"/>
    <w:rsid w:val="00A07849"/>
    <w:rsid w:val="00A1004B"/>
    <w:rsid w:val="00A110C8"/>
    <w:rsid w:val="00A13027"/>
    <w:rsid w:val="00A138AE"/>
    <w:rsid w:val="00A13EAE"/>
    <w:rsid w:val="00A2003F"/>
    <w:rsid w:val="00A202A8"/>
    <w:rsid w:val="00A21328"/>
    <w:rsid w:val="00A271C2"/>
    <w:rsid w:val="00A4033E"/>
    <w:rsid w:val="00A40F51"/>
    <w:rsid w:val="00A423E3"/>
    <w:rsid w:val="00A42C87"/>
    <w:rsid w:val="00A43C4F"/>
    <w:rsid w:val="00A44C53"/>
    <w:rsid w:val="00A45F30"/>
    <w:rsid w:val="00A46C0B"/>
    <w:rsid w:val="00A50EA3"/>
    <w:rsid w:val="00A557A0"/>
    <w:rsid w:val="00A6114E"/>
    <w:rsid w:val="00A62C08"/>
    <w:rsid w:val="00A63447"/>
    <w:rsid w:val="00A6376B"/>
    <w:rsid w:val="00A64139"/>
    <w:rsid w:val="00A642C0"/>
    <w:rsid w:val="00A6524D"/>
    <w:rsid w:val="00A71F30"/>
    <w:rsid w:val="00A7467A"/>
    <w:rsid w:val="00A7510B"/>
    <w:rsid w:val="00A8332B"/>
    <w:rsid w:val="00A860FA"/>
    <w:rsid w:val="00A91F8E"/>
    <w:rsid w:val="00A9467F"/>
    <w:rsid w:val="00A94B8D"/>
    <w:rsid w:val="00A95E55"/>
    <w:rsid w:val="00A95FF0"/>
    <w:rsid w:val="00A96760"/>
    <w:rsid w:val="00A96D58"/>
    <w:rsid w:val="00A97221"/>
    <w:rsid w:val="00AA005B"/>
    <w:rsid w:val="00AA113D"/>
    <w:rsid w:val="00AA2258"/>
    <w:rsid w:val="00AA2D4E"/>
    <w:rsid w:val="00AB12A0"/>
    <w:rsid w:val="00AB2504"/>
    <w:rsid w:val="00AB2EDC"/>
    <w:rsid w:val="00AB4A9D"/>
    <w:rsid w:val="00AB4C1B"/>
    <w:rsid w:val="00AC212F"/>
    <w:rsid w:val="00AC23A7"/>
    <w:rsid w:val="00AC3D5F"/>
    <w:rsid w:val="00AD1D73"/>
    <w:rsid w:val="00AD1F8A"/>
    <w:rsid w:val="00AE1DDA"/>
    <w:rsid w:val="00AE5A38"/>
    <w:rsid w:val="00AE687A"/>
    <w:rsid w:val="00AE7FFD"/>
    <w:rsid w:val="00AF154F"/>
    <w:rsid w:val="00AF59DD"/>
    <w:rsid w:val="00B012B9"/>
    <w:rsid w:val="00B0430A"/>
    <w:rsid w:val="00B05045"/>
    <w:rsid w:val="00B05E15"/>
    <w:rsid w:val="00B068DA"/>
    <w:rsid w:val="00B07545"/>
    <w:rsid w:val="00B120D9"/>
    <w:rsid w:val="00B13817"/>
    <w:rsid w:val="00B15783"/>
    <w:rsid w:val="00B17042"/>
    <w:rsid w:val="00B17A96"/>
    <w:rsid w:val="00B20BF7"/>
    <w:rsid w:val="00B20CAE"/>
    <w:rsid w:val="00B2271A"/>
    <w:rsid w:val="00B22EF4"/>
    <w:rsid w:val="00B24594"/>
    <w:rsid w:val="00B24CA5"/>
    <w:rsid w:val="00B258A9"/>
    <w:rsid w:val="00B30DA6"/>
    <w:rsid w:val="00B3188C"/>
    <w:rsid w:val="00B36EEB"/>
    <w:rsid w:val="00B41543"/>
    <w:rsid w:val="00B46125"/>
    <w:rsid w:val="00B4744F"/>
    <w:rsid w:val="00B52F26"/>
    <w:rsid w:val="00B54999"/>
    <w:rsid w:val="00B5517A"/>
    <w:rsid w:val="00B5671A"/>
    <w:rsid w:val="00B575BE"/>
    <w:rsid w:val="00B631CD"/>
    <w:rsid w:val="00B6459E"/>
    <w:rsid w:val="00B64FAC"/>
    <w:rsid w:val="00B65B09"/>
    <w:rsid w:val="00B67131"/>
    <w:rsid w:val="00B6738C"/>
    <w:rsid w:val="00B70B3C"/>
    <w:rsid w:val="00B7254B"/>
    <w:rsid w:val="00B87800"/>
    <w:rsid w:val="00B91E22"/>
    <w:rsid w:val="00B937D9"/>
    <w:rsid w:val="00B94339"/>
    <w:rsid w:val="00B9682D"/>
    <w:rsid w:val="00BA0C0C"/>
    <w:rsid w:val="00BA357F"/>
    <w:rsid w:val="00BA46FE"/>
    <w:rsid w:val="00BA54AA"/>
    <w:rsid w:val="00BA68F9"/>
    <w:rsid w:val="00BA7B3E"/>
    <w:rsid w:val="00BA7CA7"/>
    <w:rsid w:val="00BB04AD"/>
    <w:rsid w:val="00BB2A12"/>
    <w:rsid w:val="00BB5CCF"/>
    <w:rsid w:val="00BB72E9"/>
    <w:rsid w:val="00BB7D12"/>
    <w:rsid w:val="00BC0570"/>
    <w:rsid w:val="00BC1687"/>
    <w:rsid w:val="00BC1731"/>
    <w:rsid w:val="00BC17A9"/>
    <w:rsid w:val="00BC2617"/>
    <w:rsid w:val="00BC4703"/>
    <w:rsid w:val="00BC68CD"/>
    <w:rsid w:val="00BD1D1D"/>
    <w:rsid w:val="00BD219E"/>
    <w:rsid w:val="00BD40E0"/>
    <w:rsid w:val="00BE328A"/>
    <w:rsid w:val="00BE4F66"/>
    <w:rsid w:val="00BE53A0"/>
    <w:rsid w:val="00BF0AD1"/>
    <w:rsid w:val="00BF28C4"/>
    <w:rsid w:val="00BF4050"/>
    <w:rsid w:val="00BF7EBF"/>
    <w:rsid w:val="00C0199B"/>
    <w:rsid w:val="00C06945"/>
    <w:rsid w:val="00C07BB7"/>
    <w:rsid w:val="00C105D1"/>
    <w:rsid w:val="00C110D9"/>
    <w:rsid w:val="00C11AB8"/>
    <w:rsid w:val="00C13D58"/>
    <w:rsid w:val="00C15AD2"/>
    <w:rsid w:val="00C20235"/>
    <w:rsid w:val="00C2198B"/>
    <w:rsid w:val="00C23979"/>
    <w:rsid w:val="00C24DD3"/>
    <w:rsid w:val="00C25753"/>
    <w:rsid w:val="00C32AA1"/>
    <w:rsid w:val="00C4316E"/>
    <w:rsid w:val="00C43177"/>
    <w:rsid w:val="00C45158"/>
    <w:rsid w:val="00C456B0"/>
    <w:rsid w:val="00C456CE"/>
    <w:rsid w:val="00C45864"/>
    <w:rsid w:val="00C46745"/>
    <w:rsid w:val="00C50700"/>
    <w:rsid w:val="00C514CC"/>
    <w:rsid w:val="00C6099E"/>
    <w:rsid w:val="00C60CAF"/>
    <w:rsid w:val="00C61421"/>
    <w:rsid w:val="00C61D2E"/>
    <w:rsid w:val="00C61D85"/>
    <w:rsid w:val="00C62E0B"/>
    <w:rsid w:val="00C63B14"/>
    <w:rsid w:val="00C65ED4"/>
    <w:rsid w:val="00C70F6B"/>
    <w:rsid w:val="00C712D8"/>
    <w:rsid w:val="00C72FEE"/>
    <w:rsid w:val="00C74CC6"/>
    <w:rsid w:val="00C751EC"/>
    <w:rsid w:val="00C77A8D"/>
    <w:rsid w:val="00C825FF"/>
    <w:rsid w:val="00C85AE8"/>
    <w:rsid w:val="00C90744"/>
    <w:rsid w:val="00C91222"/>
    <w:rsid w:val="00C916FF"/>
    <w:rsid w:val="00C923A1"/>
    <w:rsid w:val="00CA2B2D"/>
    <w:rsid w:val="00CA2EDB"/>
    <w:rsid w:val="00CA4113"/>
    <w:rsid w:val="00CA59FC"/>
    <w:rsid w:val="00CA5C44"/>
    <w:rsid w:val="00CA5D4E"/>
    <w:rsid w:val="00CA68F2"/>
    <w:rsid w:val="00CA765E"/>
    <w:rsid w:val="00CB0417"/>
    <w:rsid w:val="00CB107E"/>
    <w:rsid w:val="00CB1976"/>
    <w:rsid w:val="00CB1A90"/>
    <w:rsid w:val="00CB2689"/>
    <w:rsid w:val="00CB2B00"/>
    <w:rsid w:val="00CB66EF"/>
    <w:rsid w:val="00CB78F3"/>
    <w:rsid w:val="00CC1436"/>
    <w:rsid w:val="00CC38F3"/>
    <w:rsid w:val="00CC3D59"/>
    <w:rsid w:val="00CD0544"/>
    <w:rsid w:val="00CD2538"/>
    <w:rsid w:val="00CD44DD"/>
    <w:rsid w:val="00CD4D09"/>
    <w:rsid w:val="00CD6084"/>
    <w:rsid w:val="00CE052C"/>
    <w:rsid w:val="00CE205A"/>
    <w:rsid w:val="00CE3014"/>
    <w:rsid w:val="00CE3A28"/>
    <w:rsid w:val="00CE53E2"/>
    <w:rsid w:val="00CE566C"/>
    <w:rsid w:val="00CE7917"/>
    <w:rsid w:val="00CE7BA4"/>
    <w:rsid w:val="00CF1BAC"/>
    <w:rsid w:val="00CF52A6"/>
    <w:rsid w:val="00CF6139"/>
    <w:rsid w:val="00D018E5"/>
    <w:rsid w:val="00D06180"/>
    <w:rsid w:val="00D064F9"/>
    <w:rsid w:val="00D06FB1"/>
    <w:rsid w:val="00D07AC4"/>
    <w:rsid w:val="00D11ABB"/>
    <w:rsid w:val="00D12E34"/>
    <w:rsid w:val="00D22228"/>
    <w:rsid w:val="00D24E6D"/>
    <w:rsid w:val="00D303AE"/>
    <w:rsid w:val="00D329E1"/>
    <w:rsid w:val="00D413FE"/>
    <w:rsid w:val="00D501E8"/>
    <w:rsid w:val="00D50839"/>
    <w:rsid w:val="00D50C66"/>
    <w:rsid w:val="00D53995"/>
    <w:rsid w:val="00D5428E"/>
    <w:rsid w:val="00D545B5"/>
    <w:rsid w:val="00D546E4"/>
    <w:rsid w:val="00D54E31"/>
    <w:rsid w:val="00D6194F"/>
    <w:rsid w:val="00D658A4"/>
    <w:rsid w:val="00D73FE0"/>
    <w:rsid w:val="00D7423F"/>
    <w:rsid w:val="00D76F8C"/>
    <w:rsid w:val="00D82D2F"/>
    <w:rsid w:val="00D90CB1"/>
    <w:rsid w:val="00D94CA4"/>
    <w:rsid w:val="00DA06CA"/>
    <w:rsid w:val="00DA52D7"/>
    <w:rsid w:val="00DB086B"/>
    <w:rsid w:val="00DB7871"/>
    <w:rsid w:val="00DC02AE"/>
    <w:rsid w:val="00DC20B8"/>
    <w:rsid w:val="00DC2E8F"/>
    <w:rsid w:val="00DC33EC"/>
    <w:rsid w:val="00DC45DC"/>
    <w:rsid w:val="00DC5D05"/>
    <w:rsid w:val="00DC6147"/>
    <w:rsid w:val="00DD1CAE"/>
    <w:rsid w:val="00DD255C"/>
    <w:rsid w:val="00DD2674"/>
    <w:rsid w:val="00DD3061"/>
    <w:rsid w:val="00DD41CF"/>
    <w:rsid w:val="00DD76FF"/>
    <w:rsid w:val="00DE3713"/>
    <w:rsid w:val="00DE37AC"/>
    <w:rsid w:val="00DE54F9"/>
    <w:rsid w:val="00DF0ACC"/>
    <w:rsid w:val="00DF3E03"/>
    <w:rsid w:val="00DF6C60"/>
    <w:rsid w:val="00E00090"/>
    <w:rsid w:val="00E017D0"/>
    <w:rsid w:val="00E02F8F"/>
    <w:rsid w:val="00E0486C"/>
    <w:rsid w:val="00E05205"/>
    <w:rsid w:val="00E12175"/>
    <w:rsid w:val="00E13283"/>
    <w:rsid w:val="00E1691A"/>
    <w:rsid w:val="00E21367"/>
    <w:rsid w:val="00E22CC7"/>
    <w:rsid w:val="00E23629"/>
    <w:rsid w:val="00E23A04"/>
    <w:rsid w:val="00E25280"/>
    <w:rsid w:val="00E31B95"/>
    <w:rsid w:val="00E34E05"/>
    <w:rsid w:val="00E35ABB"/>
    <w:rsid w:val="00E448BC"/>
    <w:rsid w:val="00E47409"/>
    <w:rsid w:val="00E512D5"/>
    <w:rsid w:val="00E54BBF"/>
    <w:rsid w:val="00E5740F"/>
    <w:rsid w:val="00E6293A"/>
    <w:rsid w:val="00E64215"/>
    <w:rsid w:val="00E67BED"/>
    <w:rsid w:val="00E70962"/>
    <w:rsid w:val="00E723C8"/>
    <w:rsid w:val="00E72B6F"/>
    <w:rsid w:val="00E734ED"/>
    <w:rsid w:val="00E74671"/>
    <w:rsid w:val="00E803BB"/>
    <w:rsid w:val="00E8128B"/>
    <w:rsid w:val="00E853CC"/>
    <w:rsid w:val="00E87287"/>
    <w:rsid w:val="00E87A8C"/>
    <w:rsid w:val="00E901ED"/>
    <w:rsid w:val="00E90283"/>
    <w:rsid w:val="00E91FCD"/>
    <w:rsid w:val="00E920DA"/>
    <w:rsid w:val="00E9295B"/>
    <w:rsid w:val="00E9752F"/>
    <w:rsid w:val="00EA07FB"/>
    <w:rsid w:val="00EA099B"/>
    <w:rsid w:val="00EA156D"/>
    <w:rsid w:val="00EA46F6"/>
    <w:rsid w:val="00EB1640"/>
    <w:rsid w:val="00EB59E5"/>
    <w:rsid w:val="00EB7366"/>
    <w:rsid w:val="00EC01A6"/>
    <w:rsid w:val="00EC5BBD"/>
    <w:rsid w:val="00EC5C8E"/>
    <w:rsid w:val="00EC72F1"/>
    <w:rsid w:val="00EC7E3A"/>
    <w:rsid w:val="00ED5FD8"/>
    <w:rsid w:val="00EE1002"/>
    <w:rsid w:val="00EE335C"/>
    <w:rsid w:val="00EF0E5D"/>
    <w:rsid w:val="00EF1F6C"/>
    <w:rsid w:val="00EF2891"/>
    <w:rsid w:val="00EF3E14"/>
    <w:rsid w:val="00EF4D8D"/>
    <w:rsid w:val="00EF7474"/>
    <w:rsid w:val="00F000AB"/>
    <w:rsid w:val="00F04701"/>
    <w:rsid w:val="00F0622B"/>
    <w:rsid w:val="00F07F86"/>
    <w:rsid w:val="00F12A19"/>
    <w:rsid w:val="00F13F30"/>
    <w:rsid w:val="00F14ED7"/>
    <w:rsid w:val="00F16B06"/>
    <w:rsid w:val="00F2000F"/>
    <w:rsid w:val="00F222DA"/>
    <w:rsid w:val="00F27145"/>
    <w:rsid w:val="00F27716"/>
    <w:rsid w:val="00F31D0A"/>
    <w:rsid w:val="00F32328"/>
    <w:rsid w:val="00F33571"/>
    <w:rsid w:val="00F403F7"/>
    <w:rsid w:val="00F404B6"/>
    <w:rsid w:val="00F44DCA"/>
    <w:rsid w:val="00F455B4"/>
    <w:rsid w:val="00F456F1"/>
    <w:rsid w:val="00F470EA"/>
    <w:rsid w:val="00F50CDF"/>
    <w:rsid w:val="00F51815"/>
    <w:rsid w:val="00F53A73"/>
    <w:rsid w:val="00F544E9"/>
    <w:rsid w:val="00F54E84"/>
    <w:rsid w:val="00F56601"/>
    <w:rsid w:val="00F57F02"/>
    <w:rsid w:val="00F6076F"/>
    <w:rsid w:val="00F61C91"/>
    <w:rsid w:val="00F62CFB"/>
    <w:rsid w:val="00F63D8C"/>
    <w:rsid w:val="00F66BAA"/>
    <w:rsid w:val="00F72AAF"/>
    <w:rsid w:val="00F72EE1"/>
    <w:rsid w:val="00F735A1"/>
    <w:rsid w:val="00F74292"/>
    <w:rsid w:val="00F7736E"/>
    <w:rsid w:val="00F81AAC"/>
    <w:rsid w:val="00F81B2E"/>
    <w:rsid w:val="00F92558"/>
    <w:rsid w:val="00FA2396"/>
    <w:rsid w:val="00FA36CA"/>
    <w:rsid w:val="00FA581F"/>
    <w:rsid w:val="00FA5B30"/>
    <w:rsid w:val="00FA5B78"/>
    <w:rsid w:val="00FA7753"/>
    <w:rsid w:val="00FA7D96"/>
    <w:rsid w:val="00FB04FC"/>
    <w:rsid w:val="00FB193D"/>
    <w:rsid w:val="00FB2D5A"/>
    <w:rsid w:val="00FB38FF"/>
    <w:rsid w:val="00FB4AA5"/>
    <w:rsid w:val="00FB71A0"/>
    <w:rsid w:val="00FC0D31"/>
    <w:rsid w:val="00FC1119"/>
    <w:rsid w:val="00FC302A"/>
    <w:rsid w:val="00FC366B"/>
    <w:rsid w:val="00FD18A1"/>
    <w:rsid w:val="00FD1B65"/>
    <w:rsid w:val="00FD4712"/>
    <w:rsid w:val="00FE14D0"/>
    <w:rsid w:val="00FE1CEF"/>
    <w:rsid w:val="00FE57D8"/>
    <w:rsid w:val="00FE6FC7"/>
    <w:rsid w:val="00FE78FA"/>
    <w:rsid w:val="00FF0672"/>
    <w:rsid w:val="00FF41F5"/>
    <w:rsid w:val="00FF4FB1"/>
    <w:rsid w:val="00FF6CEE"/>
    <w:rsid w:val="00FF786E"/>
    <w:rsid w:val="01042C82"/>
    <w:rsid w:val="01061F3A"/>
    <w:rsid w:val="012A20E1"/>
    <w:rsid w:val="014852B3"/>
    <w:rsid w:val="0159301C"/>
    <w:rsid w:val="016814B1"/>
    <w:rsid w:val="016F283F"/>
    <w:rsid w:val="01703E9A"/>
    <w:rsid w:val="01790193"/>
    <w:rsid w:val="01967DCC"/>
    <w:rsid w:val="01C22176"/>
    <w:rsid w:val="01C805F1"/>
    <w:rsid w:val="01D628BE"/>
    <w:rsid w:val="01DD1C4C"/>
    <w:rsid w:val="01FE7152"/>
    <w:rsid w:val="025D6B3C"/>
    <w:rsid w:val="0278409A"/>
    <w:rsid w:val="0279313E"/>
    <w:rsid w:val="029F53A6"/>
    <w:rsid w:val="02A70258"/>
    <w:rsid w:val="02AE0D7A"/>
    <w:rsid w:val="02D52B76"/>
    <w:rsid w:val="02E128C2"/>
    <w:rsid w:val="03183C1F"/>
    <w:rsid w:val="031E62CB"/>
    <w:rsid w:val="034321D6"/>
    <w:rsid w:val="03443858"/>
    <w:rsid w:val="035276BF"/>
    <w:rsid w:val="036F1307"/>
    <w:rsid w:val="036F6B27"/>
    <w:rsid w:val="039A6B56"/>
    <w:rsid w:val="03A954A4"/>
    <w:rsid w:val="03C4784F"/>
    <w:rsid w:val="03CE1B85"/>
    <w:rsid w:val="03D60954"/>
    <w:rsid w:val="03ED1C61"/>
    <w:rsid w:val="03F45779"/>
    <w:rsid w:val="04157C14"/>
    <w:rsid w:val="04247911"/>
    <w:rsid w:val="044B0531"/>
    <w:rsid w:val="045E61D6"/>
    <w:rsid w:val="04877EA0"/>
    <w:rsid w:val="04A22CEF"/>
    <w:rsid w:val="04A86794"/>
    <w:rsid w:val="04AB1DE0"/>
    <w:rsid w:val="04E377CC"/>
    <w:rsid w:val="05132F92"/>
    <w:rsid w:val="059F4B0C"/>
    <w:rsid w:val="05AA1E96"/>
    <w:rsid w:val="05B922DB"/>
    <w:rsid w:val="05C72C4A"/>
    <w:rsid w:val="05FC5BF3"/>
    <w:rsid w:val="06023C82"/>
    <w:rsid w:val="0619677C"/>
    <w:rsid w:val="06616FE7"/>
    <w:rsid w:val="068C5C42"/>
    <w:rsid w:val="068F5714"/>
    <w:rsid w:val="06930D7E"/>
    <w:rsid w:val="06C13B3D"/>
    <w:rsid w:val="06C22D28"/>
    <w:rsid w:val="06C64683"/>
    <w:rsid w:val="06C64729"/>
    <w:rsid w:val="06F36DFF"/>
    <w:rsid w:val="07026738"/>
    <w:rsid w:val="070752C8"/>
    <w:rsid w:val="070E48A8"/>
    <w:rsid w:val="07584B6E"/>
    <w:rsid w:val="07740BAF"/>
    <w:rsid w:val="07816AF8"/>
    <w:rsid w:val="07894165"/>
    <w:rsid w:val="07A1571D"/>
    <w:rsid w:val="0818436A"/>
    <w:rsid w:val="08311AAD"/>
    <w:rsid w:val="084542FA"/>
    <w:rsid w:val="085F360E"/>
    <w:rsid w:val="088A4403"/>
    <w:rsid w:val="08B2598C"/>
    <w:rsid w:val="08D40A45"/>
    <w:rsid w:val="08D538D0"/>
    <w:rsid w:val="08EE4968"/>
    <w:rsid w:val="08FD4DA1"/>
    <w:rsid w:val="092E2FE0"/>
    <w:rsid w:val="09654674"/>
    <w:rsid w:val="097906FF"/>
    <w:rsid w:val="098A14AB"/>
    <w:rsid w:val="098E6F3F"/>
    <w:rsid w:val="099E36AA"/>
    <w:rsid w:val="09B50D32"/>
    <w:rsid w:val="09BE4F14"/>
    <w:rsid w:val="09C609CC"/>
    <w:rsid w:val="09DC0C8E"/>
    <w:rsid w:val="09DE67B4"/>
    <w:rsid w:val="09F43C2A"/>
    <w:rsid w:val="0A132919"/>
    <w:rsid w:val="0A1B3769"/>
    <w:rsid w:val="0A1B3A14"/>
    <w:rsid w:val="0A2C5771"/>
    <w:rsid w:val="0A546DC3"/>
    <w:rsid w:val="0A6E5D8A"/>
    <w:rsid w:val="0A7348B4"/>
    <w:rsid w:val="0AAE262A"/>
    <w:rsid w:val="0AB13EC9"/>
    <w:rsid w:val="0ABD0ABF"/>
    <w:rsid w:val="0ACA383B"/>
    <w:rsid w:val="0AFB3396"/>
    <w:rsid w:val="0AFE15A5"/>
    <w:rsid w:val="0B0B1E9F"/>
    <w:rsid w:val="0B1A7CC0"/>
    <w:rsid w:val="0B215EA9"/>
    <w:rsid w:val="0B303275"/>
    <w:rsid w:val="0B494D3B"/>
    <w:rsid w:val="0B5E5F86"/>
    <w:rsid w:val="0B8B296C"/>
    <w:rsid w:val="0B995089"/>
    <w:rsid w:val="0BBF43C3"/>
    <w:rsid w:val="0C2506CA"/>
    <w:rsid w:val="0C360B29"/>
    <w:rsid w:val="0C6446A1"/>
    <w:rsid w:val="0CA21D1B"/>
    <w:rsid w:val="0CCC6D98"/>
    <w:rsid w:val="0CDA1DC0"/>
    <w:rsid w:val="0CDE4906"/>
    <w:rsid w:val="0D044784"/>
    <w:rsid w:val="0D0C48A9"/>
    <w:rsid w:val="0D110C4F"/>
    <w:rsid w:val="0D3112F1"/>
    <w:rsid w:val="0D324FE3"/>
    <w:rsid w:val="0D3D5EE8"/>
    <w:rsid w:val="0D5E1E91"/>
    <w:rsid w:val="0D795E72"/>
    <w:rsid w:val="0D817B82"/>
    <w:rsid w:val="0D8B27AF"/>
    <w:rsid w:val="0DB23961"/>
    <w:rsid w:val="0DB717F6"/>
    <w:rsid w:val="0E15476E"/>
    <w:rsid w:val="0E1F44C8"/>
    <w:rsid w:val="0E2331AF"/>
    <w:rsid w:val="0E575035"/>
    <w:rsid w:val="0E604BC5"/>
    <w:rsid w:val="0E6E1987"/>
    <w:rsid w:val="0E6F3E7F"/>
    <w:rsid w:val="0EA06458"/>
    <w:rsid w:val="0EA746DB"/>
    <w:rsid w:val="0EB0660D"/>
    <w:rsid w:val="0EB440B4"/>
    <w:rsid w:val="0EC66605"/>
    <w:rsid w:val="0ED07905"/>
    <w:rsid w:val="0ED65CAC"/>
    <w:rsid w:val="0EDE2041"/>
    <w:rsid w:val="0EF21DE3"/>
    <w:rsid w:val="0EFB73F5"/>
    <w:rsid w:val="0EFF2FF5"/>
    <w:rsid w:val="0F0071CD"/>
    <w:rsid w:val="0F0E337D"/>
    <w:rsid w:val="0F163172"/>
    <w:rsid w:val="0F331350"/>
    <w:rsid w:val="0F895414"/>
    <w:rsid w:val="0FAB7138"/>
    <w:rsid w:val="0FAD566D"/>
    <w:rsid w:val="0FEA4300"/>
    <w:rsid w:val="0FFF37F5"/>
    <w:rsid w:val="10196798"/>
    <w:rsid w:val="102D5D9F"/>
    <w:rsid w:val="106D2640"/>
    <w:rsid w:val="10A342B4"/>
    <w:rsid w:val="10B67259"/>
    <w:rsid w:val="10C20BDE"/>
    <w:rsid w:val="10D208A0"/>
    <w:rsid w:val="110A60E1"/>
    <w:rsid w:val="110F45F0"/>
    <w:rsid w:val="11162CD7"/>
    <w:rsid w:val="111807FE"/>
    <w:rsid w:val="11230F50"/>
    <w:rsid w:val="11243834"/>
    <w:rsid w:val="113413B0"/>
    <w:rsid w:val="113673DC"/>
    <w:rsid w:val="114E2471"/>
    <w:rsid w:val="11902A8A"/>
    <w:rsid w:val="11A52583"/>
    <w:rsid w:val="11AB1672"/>
    <w:rsid w:val="11B15666"/>
    <w:rsid w:val="11B36778"/>
    <w:rsid w:val="11B87527"/>
    <w:rsid w:val="11E017B7"/>
    <w:rsid w:val="11FC1ECD"/>
    <w:rsid w:val="124307F3"/>
    <w:rsid w:val="12541D09"/>
    <w:rsid w:val="125567EC"/>
    <w:rsid w:val="126678B4"/>
    <w:rsid w:val="12696E37"/>
    <w:rsid w:val="127B54E8"/>
    <w:rsid w:val="129B16E6"/>
    <w:rsid w:val="12C624DB"/>
    <w:rsid w:val="12D8665A"/>
    <w:rsid w:val="134E6759"/>
    <w:rsid w:val="13620456"/>
    <w:rsid w:val="13623FB2"/>
    <w:rsid w:val="137912FC"/>
    <w:rsid w:val="138230A8"/>
    <w:rsid w:val="138B4CE4"/>
    <w:rsid w:val="139F5206"/>
    <w:rsid w:val="13A5467B"/>
    <w:rsid w:val="13E7095B"/>
    <w:rsid w:val="141C0605"/>
    <w:rsid w:val="1424570B"/>
    <w:rsid w:val="14261483"/>
    <w:rsid w:val="14401E85"/>
    <w:rsid w:val="148461AA"/>
    <w:rsid w:val="14874FFC"/>
    <w:rsid w:val="149051FE"/>
    <w:rsid w:val="14D022B6"/>
    <w:rsid w:val="14F42964"/>
    <w:rsid w:val="14F4728F"/>
    <w:rsid w:val="14F96B98"/>
    <w:rsid w:val="1534302C"/>
    <w:rsid w:val="153D48AE"/>
    <w:rsid w:val="15633753"/>
    <w:rsid w:val="156428CB"/>
    <w:rsid w:val="15690C6A"/>
    <w:rsid w:val="157B198B"/>
    <w:rsid w:val="15804BC3"/>
    <w:rsid w:val="159E66E7"/>
    <w:rsid w:val="15C471A6"/>
    <w:rsid w:val="15FF01DE"/>
    <w:rsid w:val="160144A3"/>
    <w:rsid w:val="16380D23"/>
    <w:rsid w:val="16886A94"/>
    <w:rsid w:val="16897AA8"/>
    <w:rsid w:val="1695644C"/>
    <w:rsid w:val="16C53632"/>
    <w:rsid w:val="16D04F9A"/>
    <w:rsid w:val="16F77107"/>
    <w:rsid w:val="17060D80"/>
    <w:rsid w:val="170D06D9"/>
    <w:rsid w:val="174279CC"/>
    <w:rsid w:val="1747663F"/>
    <w:rsid w:val="1768590F"/>
    <w:rsid w:val="17771FF6"/>
    <w:rsid w:val="17A308E9"/>
    <w:rsid w:val="17AB1D6E"/>
    <w:rsid w:val="17BD3EAD"/>
    <w:rsid w:val="17C045F0"/>
    <w:rsid w:val="17C85BF8"/>
    <w:rsid w:val="17CD5743"/>
    <w:rsid w:val="17E01949"/>
    <w:rsid w:val="17F9073D"/>
    <w:rsid w:val="1809081F"/>
    <w:rsid w:val="18090EA0"/>
    <w:rsid w:val="181F7DCB"/>
    <w:rsid w:val="1833416F"/>
    <w:rsid w:val="18550589"/>
    <w:rsid w:val="18697B91"/>
    <w:rsid w:val="1876405C"/>
    <w:rsid w:val="18784278"/>
    <w:rsid w:val="188744BB"/>
    <w:rsid w:val="18F34C32"/>
    <w:rsid w:val="18F921AF"/>
    <w:rsid w:val="19085D55"/>
    <w:rsid w:val="190F698A"/>
    <w:rsid w:val="192937B0"/>
    <w:rsid w:val="19334B75"/>
    <w:rsid w:val="194D1260"/>
    <w:rsid w:val="19600F94"/>
    <w:rsid w:val="19662322"/>
    <w:rsid w:val="197C418D"/>
    <w:rsid w:val="19CA30CB"/>
    <w:rsid w:val="19D454DE"/>
    <w:rsid w:val="19E06DC2"/>
    <w:rsid w:val="1A2132E3"/>
    <w:rsid w:val="1A244FB6"/>
    <w:rsid w:val="1A5834C1"/>
    <w:rsid w:val="1A847190"/>
    <w:rsid w:val="1AA41354"/>
    <w:rsid w:val="1AAC0209"/>
    <w:rsid w:val="1AC27A2C"/>
    <w:rsid w:val="1ACD4116"/>
    <w:rsid w:val="1AD0039B"/>
    <w:rsid w:val="1AD734D7"/>
    <w:rsid w:val="1B49545A"/>
    <w:rsid w:val="1B505038"/>
    <w:rsid w:val="1B830B4F"/>
    <w:rsid w:val="1B9029E8"/>
    <w:rsid w:val="1B982E35"/>
    <w:rsid w:val="1BA023E3"/>
    <w:rsid w:val="1BA51384"/>
    <w:rsid w:val="1BC33A5C"/>
    <w:rsid w:val="1BDF6818"/>
    <w:rsid w:val="1BE7599C"/>
    <w:rsid w:val="1C0320AA"/>
    <w:rsid w:val="1C0B3F5D"/>
    <w:rsid w:val="1C1B3898"/>
    <w:rsid w:val="1C3B7A96"/>
    <w:rsid w:val="1C5841A4"/>
    <w:rsid w:val="1C8036FB"/>
    <w:rsid w:val="1C931680"/>
    <w:rsid w:val="1CA5773B"/>
    <w:rsid w:val="1CAC3729"/>
    <w:rsid w:val="1CC23D13"/>
    <w:rsid w:val="1CDD570C"/>
    <w:rsid w:val="1CE343B6"/>
    <w:rsid w:val="1CF616E5"/>
    <w:rsid w:val="1D04463B"/>
    <w:rsid w:val="1D047E88"/>
    <w:rsid w:val="1D1D10C4"/>
    <w:rsid w:val="1D207450"/>
    <w:rsid w:val="1D3F1395"/>
    <w:rsid w:val="1D5C1227"/>
    <w:rsid w:val="1D666D95"/>
    <w:rsid w:val="1D7B695B"/>
    <w:rsid w:val="1DC24A09"/>
    <w:rsid w:val="1DCE69D7"/>
    <w:rsid w:val="1E030214"/>
    <w:rsid w:val="1E081BFA"/>
    <w:rsid w:val="1E0E3F6F"/>
    <w:rsid w:val="1E0F7DF6"/>
    <w:rsid w:val="1E311151"/>
    <w:rsid w:val="1E3D7AF5"/>
    <w:rsid w:val="1E3E386E"/>
    <w:rsid w:val="1E5135A1"/>
    <w:rsid w:val="1E5805A2"/>
    <w:rsid w:val="1E601A36"/>
    <w:rsid w:val="1E6C3F37"/>
    <w:rsid w:val="1E9A2507"/>
    <w:rsid w:val="1E9D2598"/>
    <w:rsid w:val="1EAB0AD1"/>
    <w:rsid w:val="1EB61656"/>
    <w:rsid w:val="1EC64AAC"/>
    <w:rsid w:val="1EC81561"/>
    <w:rsid w:val="1F0C571A"/>
    <w:rsid w:val="1F1A4049"/>
    <w:rsid w:val="1F360DFF"/>
    <w:rsid w:val="1F3F1975"/>
    <w:rsid w:val="1F4C6DAE"/>
    <w:rsid w:val="1F783959"/>
    <w:rsid w:val="1F884DA0"/>
    <w:rsid w:val="1F93301B"/>
    <w:rsid w:val="1F9A3AD1"/>
    <w:rsid w:val="1FA6791C"/>
    <w:rsid w:val="1FAD5EBA"/>
    <w:rsid w:val="1FDB5818"/>
    <w:rsid w:val="1FDC0020"/>
    <w:rsid w:val="1FEB532F"/>
    <w:rsid w:val="20346CD6"/>
    <w:rsid w:val="204038CD"/>
    <w:rsid w:val="2063161E"/>
    <w:rsid w:val="20831A05"/>
    <w:rsid w:val="209E23A2"/>
    <w:rsid w:val="20B56C5B"/>
    <w:rsid w:val="20C92C37"/>
    <w:rsid w:val="20DC5225"/>
    <w:rsid w:val="20EF09AB"/>
    <w:rsid w:val="210C7C53"/>
    <w:rsid w:val="21145C12"/>
    <w:rsid w:val="21166CBA"/>
    <w:rsid w:val="212127B6"/>
    <w:rsid w:val="21235BEB"/>
    <w:rsid w:val="21402200"/>
    <w:rsid w:val="215C0087"/>
    <w:rsid w:val="21920158"/>
    <w:rsid w:val="21B666AF"/>
    <w:rsid w:val="21BF6A73"/>
    <w:rsid w:val="21D00C81"/>
    <w:rsid w:val="21D40D3D"/>
    <w:rsid w:val="22192627"/>
    <w:rsid w:val="221C5A61"/>
    <w:rsid w:val="22230F15"/>
    <w:rsid w:val="22254BA1"/>
    <w:rsid w:val="222C5FD6"/>
    <w:rsid w:val="223D2B73"/>
    <w:rsid w:val="22462CF1"/>
    <w:rsid w:val="22565038"/>
    <w:rsid w:val="22592A24"/>
    <w:rsid w:val="226477C8"/>
    <w:rsid w:val="228153EB"/>
    <w:rsid w:val="22C205C9"/>
    <w:rsid w:val="22E53DE6"/>
    <w:rsid w:val="22E91FFA"/>
    <w:rsid w:val="231D6694"/>
    <w:rsid w:val="23256DAA"/>
    <w:rsid w:val="234724B6"/>
    <w:rsid w:val="23517B9F"/>
    <w:rsid w:val="236B2A0F"/>
    <w:rsid w:val="23761019"/>
    <w:rsid w:val="238231D4"/>
    <w:rsid w:val="238E2BA1"/>
    <w:rsid w:val="239301B8"/>
    <w:rsid w:val="23A54B7A"/>
    <w:rsid w:val="23AD08C2"/>
    <w:rsid w:val="23B331FB"/>
    <w:rsid w:val="23DD3802"/>
    <w:rsid w:val="23E12CD1"/>
    <w:rsid w:val="23FA0237"/>
    <w:rsid w:val="23FF75FB"/>
    <w:rsid w:val="240370EB"/>
    <w:rsid w:val="240F5A90"/>
    <w:rsid w:val="2423153B"/>
    <w:rsid w:val="247E49C4"/>
    <w:rsid w:val="248875F1"/>
    <w:rsid w:val="249C309C"/>
    <w:rsid w:val="24A26904"/>
    <w:rsid w:val="24AC1531"/>
    <w:rsid w:val="24AC1A13"/>
    <w:rsid w:val="24B93C4E"/>
    <w:rsid w:val="24C30629"/>
    <w:rsid w:val="24E72CE5"/>
    <w:rsid w:val="24F15B17"/>
    <w:rsid w:val="24F5112A"/>
    <w:rsid w:val="25287D7B"/>
    <w:rsid w:val="253571D5"/>
    <w:rsid w:val="253C3EE9"/>
    <w:rsid w:val="25643BBA"/>
    <w:rsid w:val="25662009"/>
    <w:rsid w:val="25755DC7"/>
    <w:rsid w:val="25953082"/>
    <w:rsid w:val="25BB1D17"/>
    <w:rsid w:val="26146AA0"/>
    <w:rsid w:val="26402A87"/>
    <w:rsid w:val="26451C3D"/>
    <w:rsid w:val="2694227D"/>
    <w:rsid w:val="26B24DF9"/>
    <w:rsid w:val="26C30DB4"/>
    <w:rsid w:val="26D06541"/>
    <w:rsid w:val="27010CE7"/>
    <w:rsid w:val="27313F6F"/>
    <w:rsid w:val="2736725E"/>
    <w:rsid w:val="27452B8C"/>
    <w:rsid w:val="27517274"/>
    <w:rsid w:val="276D24A6"/>
    <w:rsid w:val="27861288"/>
    <w:rsid w:val="278F5DB8"/>
    <w:rsid w:val="279544FE"/>
    <w:rsid w:val="279C61D3"/>
    <w:rsid w:val="27CC3C98"/>
    <w:rsid w:val="27D25752"/>
    <w:rsid w:val="27E9484A"/>
    <w:rsid w:val="2849115D"/>
    <w:rsid w:val="285223EF"/>
    <w:rsid w:val="28523542"/>
    <w:rsid w:val="28610884"/>
    <w:rsid w:val="28722A91"/>
    <w:rsid w:val="287A0545"/>
    <w:rsid w:val="28866BDA"/>
    <w:rsid w:val="28A30E9D"/>
    <w:rsid w:val="28BE712E"/>
    <w:rsid w:val="28DE7153"/>
    <w:rsid w:val="28EC45F2"/>
    <w:rsid w:val="28F60923"/>
    <w:rsid w:val="2914516F"/>
    <w:rsid w:val="29567CBD"/>
    <w:rsid w:val="297B4A4C"/>
    <w:rsid w:val="299E3E32"/>
    <w:rsid w:val="29B11398"/>
    <w:rsid w:val="29B12DB2"/>
    <w:rsid w:val="29BA46F0"/>
    <w:rsid w:val="29CF4E63"/>
    <w:rsid w:val="29E1434C"/>
    <w:rsid w:val="29F1182C"/>
    <w:rsid w:val="2A0E2346"/>
    <w:rsid w:val="2A1457CE"/>
    <w:rsid w:val="2A467D32"/>
    <w:rsid w:val="2A607039"/>
    <w:rsid w:val="2A704DAF"/>
    <w:rsid w:val="2A7478CE"/>
    <w:rsid w:val="2A7A5C2D"/>
    <w:rsid w:val="2A9F5694"/>
    <w:rsid w:val="2AB21B97"/>
    <w:rsid w:val="2B2071C3"/>
    <w:rsid w:val="2B2800AD"/>
    <w:rsid w:val="2B65243A"/>
    <w:rsid w:val="2B7A66FF"/>
    <w:rsid w:val="2B9D7E25"/>
    <w:rsid w:val="2BA54F2C"/>
    <w:rsid w:val="2BB96DF3"/>
    <w:rsid w:val="2BD36B73"/>
    <w:rsid w:val="2BD82C0B"/>
    <w:rsid w:val="2BED47AD"/>
    <w:rsid w:val="2C11611D"/>
    <w:rsid w:val="2C1A7E96"/>
    <w:rsid w:val="2C273B93"/>
    <w:rsid w:val="2C637C4B"/>
    <w:rsid w:val="2C680972"/>
    <w:rsid w:val="2C7105D2"/>
    <w:rsid w:val="2CB230DE"/>
    <w:rsid w:val="2CD930DF"/>
    <w:rsid w:val="2CFB17B6"/>
    <w:rsid w:val="2CFC5935"/>
    <w:rsid w:val="2D095047"/>
    <w:rsid w:val="2D5173FC"/>
    <w:rsid w:val="2D855414"/>
    <w:rsid w:val="2DB43204"/>
    <w:rsid w:val="2DB7023A"/>
    <w:rsid w:val="2DB91A5A"/>
    <w:rsid w:val="2DD204C3"/>
    <w:rsid w:val="2DDC528E"/>
    <w:rsid w:val="2DE33B96"/>
    <w:rsid w:val="2DE53D06"/>
    <w:rsid w:val="2DE941A0"/>
    <w:rsid w:val="2DEC6A83"/>
    <w:rsid w:val="2E100D83"/>
    <w:rsid w:val="2E2D7EC9"/>
    <w:rsid w:val="2E4C6A1B"/>
    <w:rsid w:val="2E8B0409"/>
    <w:rsid w:val="2E8D2725"/>
    <w:rsid w:val="2EB03B26"/>
    <w:rsid w:val="2EC27BA3"/>
    <w:rsid w:val="2EC41B6D"/>
    <w:rsid w:val="2ECF77DB"/>
    <w:rsid w:val="2ED022C0"/>
    <w:rsid w:val="2EE94AC2"/>
    <w:rsid w:val="2F0B779C"/>
    <w:rsid w:val="2F25085E"/>
    <w:rsid w:val="2F2B65FB"/>
    <w:rsid w:val="2F2F4B3E"/>
    <w:rsid w:val="2F4A5FB7"/>
    <w:rsid w:val="2FAA2B11"/>
    <w:rsid w:val="2FCF07C9"/>
    <w:rsid w:val="2FD91648"/>
    <w:rsid w:val="30190D4E"/>
    <w:rsid w:val="30292137"/>
    <w:rsid w:val="30564A47"/>
    <w:rsid w:val="306165F6"/>
    <w:rsid w:val="30955807"/>
    <w:rsid w:val="30A05CC2"/>
    <w:rsid w:val="30E3452C"/>
    <w:rsid w:val="30F34FAB"/>
    <w:rsid w:val="314B0324"/>
    <w:rsid w:val="316B4522"/>
    <w:rsid w:val="319F2C08"/>
    <w:rsid w:val="31B1462B"/>
    <w:rsid w:val="31D07719"/>
    <w:rsid w:val="31EA47BF"/>
    <w:rsid w:val="321149C8"/>
    <w:rsid w:val="32513718"/>
    <w:rsid w:val="32821B23"/>
    <w:rsid w:val="328A5C9B"/>
    <w:rsid w:val="328C29A2"/>
    <w:rsid w:val="32B83797"/>
    <w:rsid w:val="32CC506E"/>
    <w:rsid w:val="32F01183"/>
    <w:rsid w:val="32F50547"/>
    <w:rsid w:val="32FD167E"/>
    <w:rsid w:val="331F55C4"/>
    <w:rsid w:val="332E1CAB"/>
    <w:rsid w:val="33320DF9"/>
    <w:rsid w:val="33382100"/>
    <w:rsid w:val="33590AD6"/>
    <w:rsid w:val="33930C0C"/>
    <w:rsid w:val="33BC1065"/>
    <w:rsid w:val="33C5096D"/>
    <w:rsid w:val="33D153C3"/>
    <w:rsid w:val="33D4047E"/>
    <w:rsid w:val="33DC57C3"/>
    <w:rsid w:val="340D26DB"/>
    <w:rsid w:val="342310E4"/>
    <w:rsid w:val="343A09EB"/>
    <w:rsid w:val="347436ED"/>
    <w:rsid w:val="34796F56"/>
    <w:rsid w:val="34831B82"/>
    <w:rsid w:val="34A13E5A"/>
    <w:rsid w:val="34D67F04"/>
    <w:rsid w:val="35180C39"/>
    <w:rsid w:val="3524606F"/>
    <w:rsid w:val="35380AC0"/>
    <w:rsid w:val="35527230"/>
    <w:rsid w:val="356E2393"/>
    <w:rsid w:val="358A766C"/>
    <w:rsid w:val="3592207D"/>
    <w:rsid w:val="35A420F6"/>
    <w:rsid w:val="35A46254"/>
    <w:rsid w:val="35B2271F"/>
    <w:rsid w:val="35D408E8"/>
    <w:rsid w:val="35D95EFE"/>
    <w:rsid w:val="35DC59EE"/>
    <w:rsid w:val="35DD3FA0"/>
    <w:rsid w:val="35E42E57"/>
    <w:rsid w:val="36046059"/>
    <w:rsid w:val="36260A17"/>
    <w:rsid w:val="365B4B65"/>
    <w:rsid w:val="36670688"/>
    <w:rsid w:val="36885A3C"/>
    <w:rsid w:val="369328A0"/>
    <w:rsid w:val="36A83274"/>
    <w:rsid w:val="36C97D20"/>
    <w:rsid w:val="36D50CD8"/>
    <w:rsid w:val="36DB7533"/>
    <w:rsid w:val="36DD5C5F"/>
    <w:rsid w:val="36E44B5A"/>
    <w:rsid w:val="36F31241"/>
    <w:rsid w:val="372413FB"/>
    <w:rsid w:val="372633C5"/>
    <w:rsid w:val="37313B18"/>
    <w:rsid w:val="373405BF"/>
    <w:rsid w:val="3736112E"/>
    <w:rsid w:val="37593782"/>
    <w:rsid w:val="375F1330"/>
    <w:rsid w:val="37751C56"/>
    <w:rsid w:val="377A246D"/>
    <w:rsid w:val="37E1553E"/>
    <w:rsid w:val="37E35125"/>
    <w:rsid w:val="37ED7960"/>
    <w:rsid w:val="3814146F"/>
    <w:rsid w:val="381E22EE"/>
    <w:rsid w:val="38393E83"/>
    <w:rsid w:val="383D3227"/>
    <w:rsid w:val="3845787B"/>
    <w:rsid w:val="384649F7"/>
    <w:rsid w:val="38765C86"/>
    <w:rsid w:val="38775C68"/>
    <w:rsid w:val="38832151"/>
    <w:rsid w:val="389604FC"/>
    <w:rsid w:val="38A26A7B"/>
    <w:rsid w:val="38A50319"/>
    <w:rsid w:val="38C2372A"/>
    <w:rsid w:val="38C34C43"/>
    <w:rsid w:val="38CD7870"/>
    <w:rsid w:val="38D2614B"/>
    <w:rsid w:val="38E075A3"/>
    <w:rsid w:val="38F56C4C"/>
    <w:rsid w:val="38F8669B"/>
    <w:rsid w:val="393422F3"/>
    <w:rsid w:val="39415F1A"/>
    <w:rsid w:val="39581830"/>
    <w:rsid w:val="395F671A"/>
    <w:rsid w:val="397A3554"/>
    <w:rsid w:val="398E0D3B"/>
    <w:rsid w:val="39A46823"/>
    <w:rsid w:val="39BB73F5"/>
    <w:rsid w:val="39E25EBF"/>
    <w:rsid w:val="39E633B2"/>
    <w:rsid w:val="39FF7EFD"/>
    <w:rsid w:val="3A0A080C"/>
    <w:rsid w:val="3A212E34"/>
    <w:rsid w:val="3A240899"/>
    <w:rsid w:val="3A3B0671"/>
    <w:rsid w:val="3A6366DE"/>
    <w:rsid w:val="3A6426F9"/>
    <w:rsid w:val="3A6601B1"/>
    <w:rsid w:val="3A836257"/>
    <w:rsid w:val="3AA143C6"/>
    <w:rsid w:val="3ACA08FD"/>
    <w:rsid w:val="3AE14D6F"/>
    <w:rsid w:val="3AE95052"/>
    <w:rsid w:val="3B162537"/>
    <w:rsid w:val="3B2E0A9A"/>
    <w:rsid w:val="3B3E4B44"/>
    <w:rsid w:val="3B5C4891"/>
    <w:rsid w:val="3B8C0867"/>
    <w:rsid w:val="3B984165"/>
    <w:rsid w:val="3BA743A8"/>
    <w:rsid w:val="3BB865B6"/>
    <w:rsid w:val="3BE9174D"/>
    <w:rsid w:val="3BEC54D2"/>
    <w:rsid w:val="3C0A045D"/>
    <w:rsid w:val="3C12216A"/>
    <w:rsid w:val="3C187054"/>
    <w:rsid w:val="3C221C81"/>
    <w:rsid w:val="3C2359E3"/>
    <w:rsid w:val="3C28106B"/>
    <w:rsid w:val="3C633B99"/>
    <w:rsid w:val="3C7C5835"/>
    <w:rsid w:val="3C825373"/>
    <w:rsid w:val="3C876996"/>
    <w:rsid w:val="3CA60FC7"/>
    <w:rsid w:val="3CBB635D"/>
    <w:rsid w:val="3CD37402"/>
    <w:rsid w:val="3CD613E9"/>
    <w:rsid w:val="3D07620B"/>
    <w:rsid w:val="3D154195"/>
    <w:rsid w:val="3D292A8A"/>
    <w:rsid w:val="3D2B2933"/>
    <w:rsid w:val="3D560099"/>
    <w:rsid w:val="3D76710A"/>
    <w:rsid w:val="3D842BF3"/>
    <w:rsid w:val="3DA4289A"/>
    <w:rsid w:val="3DA46412"/>
    <w:rsid w:val="3DC15BF5"/>
    <w:rsid w:val="3DD2013D"/>
    <w:rsid w:val="3DF633C5"/>
    <w:rsid w:val="3E246184"/>
    <w:rsid w:val="3E264AF2"/>
    <w:rsid w:val="3E312263"/>
    <w:rsid w:val="3E323108"/>
    <w:rsid w:val="3E371A14"/>
    <w:rsid w:val="3E442382"/>
    <w:rsid w:val="3E495252"/>
    <w:rsid w:val="3E52684D"/>
    <w:rsid w:val="3E733F06"/>
    <w:rsid w:val="3E7762B4"/>
    <w:rsid w:val="3E990920"/>
    <w:rsid w:val="3E9F1D3A"/>
    <w:rsid w:val="3EA352FB"/>
    <w:rsid w:val="3EC52261"/>
    <w:rsid w:val="3ED01E68"/>
    <w:rsid w:val="3ED41958"/>
    <w:rsid w:val="3EFE44F2"/>
    <w:rsid w:val="3F007384"/>
    <w:rsid w:val="3F0D1AF3"/>
    <w:rsid w:val="3F0D4532"/>
    <w:rsid w:val="3F1D5F61"/>
    <w:rsid w:val="3F29586C"/>
    <w:rsid w:val="3F376756"/>
    <w:rsid w:val="3F637047"/>
    <w:rsid w:val="3F8B7E22"/>
    <w:rsid w:val="3FA44FA9"/>
    <w:rsid w:val="3FB53538"/>
    <w:rsid w:val="3FEC2CD2"/>
    <w:rsid w:val="400B3158"/>
    <w:rsid w:val="401E5979"/>
    <w:rsid w:val="401F1BBD"/>
    <w:rsid w:val="407B226C"/>
    <w:rsid w:val="408256C5"/>
    <w:rsid w:val="40836872"/>
    <w:rsid w:val="40A55A46"/>
    <w:rsid w:val="40B20A12"/>
    <w:rsid w:val="40B530C4"/>
    <w:rsid w:val="40F41E3E"/>
    <w:rsid w:val="411963AC"/>
    <w:rsid w:val="41320CF3"/>
    <w:rsid w:val="41384420"/>
    <w:rsid w:val="415A01F3"/>
    <w:rsid w:val="41650F8E"/>
    <w:rsid w:val="41736ECB"/>
    <w:rsid w:val="418275F3"/>
    <w:rsid w:val="41913B31"/>
    <w:rsid w:val="41C334FC"/>
    <w:rsid w:val="41E706E2"/>
    <w:rsid w:val="41F30347"/>
    <w:rsid w:val="42132798"/>
    <w:rsid w:val="421E63F1"/>
    <w:rsid w:val="422B3C32"/>
    <w:rsid w:val="42530DE6"/>
    <w:rsid w:val="425D3A13"/>
    <w:rsid w:val="42666D6B"/>
    <w:rsid w:val="4288252C"/>
    <w:rsid w:val="429C4853"/>
    <w:rsid w:val="429C64A2"/>
    <w:rsid w:val="42A1683A"/>
    <w:rsid w:val="42A463CD"/>
    <w:rsid w:val="42A80921"/>
    <w:rsid w:val="42A87384"/>
    <w:rsid w:val="42D737C5"/>
    <w:rsid w:val="42D90F98"/>
    <w:rsid w:val="42DF1F5D"/>
    <w:rsid w:val="42E45EE2"/>
    <w:rsid w:val="43313F64"/>
    <w:rsid w:val="43340C18"/>
    <w:rsid w:val="435E41F6"/>
    <w:rsid w:val="43CF0940"/>
    <w:rsid w:val="43DD305D"/>
    <w:rsid w:val="43EA7528"/>
    <w:rsid w:val="441D7903"/>
    <w:rsid w:val="443609BF"/>
    <w:rsid w:val="44683FF6"/>
    <w:rsid w:val="447E0D38"/>
    <w:rsid w:val="449D0A3E"/>
    <w:rsid w:val="449F20D0"/>
    <w:rsid w:val="44AE67A8"/>
    <w:rsid w:val="44B21DCB"/>
    <w:rsid w:val="44B7028C"/>
    <w:rsid w:val="44B813D4"/>
    <w:rsid w:val="44CF437C"/>
    <w:rsid w:val="44F22B38"/>
    <w:rsid w:val="45182F1B"/>
    <w:rsid w:val="45611A6C"/>
    <w:rsid w:val="45617CBE"/>
    <w:rsid w:val="456552F9"/>
    <w:rsid w:val="45A02594"/>
    <w:rsid w:val="45D02BB0"/>
    <w:rsid w:val="45EB3B0A"/>
    <w:rsid w:val="46491AD3"/>
    <w:rsid w:val="464F5D68"/>
    <w:rsid w:val="46506593"/>
    <w:rsid w:val="465B470D"/>
    <w:rsid w:val="46724741"/>
    <w:rsid w:val="46853538"/>
    <w:rsid w:val="46902609"/>
    <w:rsid w:val="469B2D5C"/>
    <w:rsid w:val="46A469CD"/>
    <w:rsid w:val="46AF06D2"/>
    <w:rsid w:val="46B300A5"/>
    <w:rsid w:val="46C6602A"/>
    <w:rsid w:val="46FD57C4"/>
    <w:rsid w:val="47090BE9"/>
    <w:rsid w:val="47175B4C"/>
    <w:rsid w:val="47376913"/>
    <w:rsid w:val="47541888"/>
    <w:rsid w:val="475E71A6"/>
    <w:rsid w:val="476B2426"/>
    <w:rsid w:val="477517FF"/>
    <w:rsid w:val="477E4B57"/>
    <w:rsid w:val="478101A3"/>
    <w:rsid w:val="479C4FDD"/>
    <w:rsid w:val="47AA76FA"/>
    <w:rsid w:val="47B64259"/>
    <w:rsid w:val="47BC11DC"/>
    <w:rsid w:val="47CA1B4A"/>
    <w:rsid w:val="47DD63B7"/>
    <w:rsid w:val="47E726FC"/>
    <w:rsid w:val="47E81FD1"/>
    <w:rsid w:val="47FB61A8"/>
    <w:rsid w:val="480D2874"/>
    <w:rsid w:val="48287D77"/>
    <w:rsid w:val="484710C3"/>
    <w:rsid w:val="486F6C2C"/>
    <w:rsid w:val="4880045B"/>
    <w:rsid w:val="488717E9"/>
    <w:rsid w:val="489E3F5C"/>
    <w:rsid w:val="48A872DD"/>
    <w:rsid w:val="48AC61DB"/>
    <w:rsid w:val="48DB78B8"/>
    <w:rsid w:val="48F151CD"/>
    <w:rsid w:val="4907292A"/>
    <w:rsid w:val="493279A7"/>
    <w:rsid w:val="493F20C4"/>
    <w:rsid w:val="495E079C"/>
    <w:rsid w:val="496646FC"/>
    <w:rsid w:val="497004D0"/>
    <w:rsid w:val="497F0713"/>
    <w:rsid w:val="49891591"/>
    <w:rsid w:val="499E6DEB"/>
    <w:rsid w:val="49EA75C8"/>
    <w:rsid w:val="49F54651"/>
    <w:rsid w:val="4A2540DF"/>
    <w:rsid w:val="4A2B7A9C"/>
    <w:rsid w:val="4A2F2139"/>
    <w:rsid w:val="4A300936"/>
    <w:rsid w:val="4A3B0ADD"/>
    <w:rsid w:val="4A3E32E9"/>
    <w:rsid w:val="4A58697D"/>
    <w:rsid w:val="4A82260E"/>
    <w:rsid w:val="4AB34B18"/>
    <w:rsid w:val="4AD827D0"/>
    <w:rsid w:val="4AE20F59"/>
    <w:rsid w:val="4AF869CF"/>
    <w:rsid w:val="4B01029F"/>
    <w:rsid w:val="4B4C0AC8"/>
    <w:rsid w:val="4B4E65EF"/>
    <w:rsid w:val="4B6C4CC7"/>
    <w:rsid w:val="4B7777B6"/>
    <w:rsid w:val="4B8745D3"/>
    <w:rsid w:val="4BB9615E"/>
    <w:rsid w:val="4BDD0FEE"/>
    <w:rsid w:val="4BFE0015"/>
    <w:rsid w:val="4C325F10"/>
    <w:rsid w:val="4C391B2E"/>
    <w:rsid w:val="4C3D6D8F"/>
    <w:rsid w:val="4C87681A"/>
    <w:rsid w:val="4C91334A"/>
    <w:rsid w:val="4CB10565"/>
    <w:rsid w:val="4CB725DA"/>
    <w:rsid w:val="4CC34DBA"/>
    <w:rsid w:val="4D275349"/>
    <w:rsid w:val="4D475126"/>
    <w:rsid w:val="4D87403A"/>
    <w:rsid w:val="4D9F4D50"/>
    <w:rsid w:val="4DCC33A6"/>
    <w:rsid w:val="4DEC7E61"/>
    <w:rsid w:val="4E0305C4"/>
    <w:rsid w:val="4E112932"/>
    <w:rsid w:val="4E26745D"/>
    <w:rsid w:val="4E30583C"/>
    <w:rsid w:val="4E5C7732"/>
    <w:rsid w:val="4E850579"/>
    <w:rsid w:val="4E8C5DAC"/>
    <w:rsid w:val="4EA74993"/>
    <w:rsid w:val="4EAF3848"/>
    <w:rsid w:val="4EB7039E"/>
    <w:rsid w:val="4ED4505D"/>
    <w:rsid w:val="4F0C2A48"/>
    <w:rsid w:val="4F11005F"/>
    <w:rsid w:val="4F111E0D"/>
    <w:rsid w:val="4F3733DD"/>
    <w:rsid w:val="4F4915A7"/>
    <w:rsid w:val="4F516D9C"/>
    <w:rsid w:val="4F616F52"/>
    <w:rsid w:val="4F622AF1"/>
    <w:rsid w:val="4F6E5583"/>
    <w:rsid w:val="4F752B05"/>
    <w:rsid w:val="4F9D5D96"/>
    <w:rsid w:val="4FA258F9"/>
    <w:rsid w:val="4FF534DD"/>
    <w:rsid w:val="50025BF9"/>
    <w:rsid w:val="50121208"/>
    <w:rsid w:val="501A73E7"/>
    <w:rsid w:val="502D5540"/>
    <w:rsid w:val="503A35E5"/>
    <w:rsid w:val="503E2E70"/>
    <w:rsid w:val="50593A6B"/>
    <w:rsid w:val="506A19D2"/>
    <w:rsid w:val="50827466"/>
    <w:rsid w:val="50865D61"/>
    <w:rsid w:val="50A11925"/>
    <w:rsid w:val="50D70E34"/>
    <w:rsid w:val="50ED2406"/>
    <w:rsid w:val="50F814D6"/>
    <w:rsid w:val="51220301"/>
    <w:rsid w:val="512D6CA6"/>
    <w:rsid w:val="5135035B"/>
    <w:rsid w:val="51424F9F"/>
    <w:rsid w:val="51490F23"/>
    <w:rsid w:val="5151351A"/>
    <w:rsid w:val="51542485"/>
    <w:rsid w:val="515F16A4"/>
    <w:rsid w:val="516E5520"/>
    <w:rsid w:val="51842D6A"/>
    <w:rsid w:val="51B353FD"/>
    <w:rsid w:val="51D11D27"/>
    <w:rsid w:val="51D718C7"/>
    <w:rsid w:val="51E31EDE"/>
    <w:rsid w:val="51ED6AE7"/>
    <w:rsid w:val="52045C59"/>
    <w:rsid w:val="52102100"/>
    <w:rsid w:val="523F3135"/>
    <w:rsid w:val="526D7CA2"/>
    <w:rsid w:val="527A416D"/>
    <w:rsid w:val="527F2686"/>
    <w:rsid w:val="52AB5EA7"/>
    <w:rsid w:val="52AC74D5"/>
    <w:rsid w:val="52B0368A"/>
    <w:rsid w:val="52B61DA9"/>
    <w:rsid w:val="52D65847"/>
    <w:rsid w:val="52F1442F"/>
    <w:rsid w:val="52FE197D"/>
    <w:rsid w:val="52FE3C2E"/>
    <w:rsid w:val="5323271F"/>
    <w:rsid w:val="53266552"/>
    <w:rsid w:val="532A6A74"/>
    <w:rsid w:val="53334A48"/>
    <w:rsid w:val="53574017"/>
    <w:rsid w:val="53591FD4"/>
    <w:rsid w:val="537D3F15"/>
    <w:rsid w:val="5383175D"/>
    <w:rsid w:val="539B25ED"/>
    <w:rsid w:val="539C7C39"/>
    <w:rsid w:val="539F20DD"/>
    <w:rsid w:val="53B9199A"/>
    <w:rsid w:val="53D3015B"/>
    <w:rsid w:val="53DF072C"/>
    <w:rsid w:val="53E47A5B"/>
    <w:rsid w:val="540845BE"/>
    <w:rsid w:val="54167BBA"/>
    <w:rsid w:val="54291C7E"/>
    <w:rsid w:val="54295E4B"/>
    <w:rsid w:val="54B5148C"/>
    <w:rsid w:val="54B629D5"/>
    <w:rsid w:val="54B97620"/>
    <w:rsid w:val="54BC3E13"/>
    <w:rsid w:val="54C346A0"/>
    <w:rsid w:val="54D2315A"/>
    <w:rsid w:val="54ED01D3"/>
    <w:rsid w:val="54EF0E42"/>
    <w:rsid w:val="54FF095A"/>
    <w:rsid w:val="55004DFD"/>
    <w:rsid w:val="55380DEE"/>
    <w:rsid w:val="55453A67"/>
    <w:rsid w:val="55676C2B"/>
    <w:rsid w:val="556829A3"/>
    <w:rsid w:val="557F502C"/>
    <w:rsid w:val="55833339"/>
    <w:rsid w:val="55CE0A58"/>
    <w:rsid w:val="55F66200"/>
    <w:rsid w:val="56020701"/>
    <w:rsid w:val="563602E3"/>
    <w:rsid w:val="56464A92"/>
    <w:rsid w:val="565D4542"/>
    <w:rsid w:val="566118CC"/>
    <w:rsid w:val="56660836"/>
    <w:rsid w:val="567809C3"/>
    <w:rsid w:val="56793D07"/>
    <w:rsid w:val="56835CE6"/>
    <w:rsid w:val="568C4E01"/>
    <w:rsid w:val="56C37E7C"/>
    <w:rsid w:val="56D55E16"/>
    <w:rsid w:val="56DE4CCA"/>
    <w:rsid w:val="56FC15F5"/>
    <w:rsid w:val="56FE2C66"/>
    <w:rsid w:val="57030BD5"/>
    <w:rsid w:val="570B1838"/>
    <w:rsid w:val="570D55B0"/>
    <w:rsid w:val="571C0B9A"/>
    <w:rsid w:val="57637EE3"/>
    <w:rsid w:val="57664CC0"/>
    <w:rsid w:val="5778511F"/>
    <w:rsid w:val="579A6119"/>
    <w:rsid w:val="579E445A"/>
    <w:rsid w:val="57D165DD"/>
    <w:rsid w:val="57ED1430"/>
    <w:rsid w:val="57FF5D02"/>
    <w:rsid w:val="5818245E"/>
    <w:rsid w:val="581853C4"/>
    <w:rsid w:val="581D55FC"/>
    <w:rsid w:val="58354DBE"/>
    <w:rsid w:val="583B37E8"/>
    <w:rsid w:val="583C69A4"/>
    <w:rsid w:val="58403E7B"/>
    <w:rsid w:val="587C0647"/>
    <w:rsid w:val="587F0D45"/>
    <w:rsid w:val="58873140"/>
    <w:rsid w:val="58AF4A36"/>
    <w:rsid w:val="58B35E4E"/>
    <w:rsid w:val="58D52F92"/>
    <w:rsid w:val="58D8399B"/>
    <w:rsid w:val="58E67043"/>
    <w:rsid w:val="58FA6008"/>
    <w:rsid w:val="59211DD2"/>
    <w:rsid w:val="5924740E"/>
    <w:rsid w:val="59264FCD"/>
    <w:rsid w:val="59592D2E"/>
    <w:rsid w:val="59777E98"/>
    <w:rsid w:val="59D301C0"/>
    <w:rsid w:val="59D353B0"/>
    <w:rsid w:val="5A0F7891"/>
    <w:rsid w:val="5A403EEE"/>
    <w:rsid w:val="5A7E6050"/>
    <w:rsid w:val="5A813C4E"/>
    <w:rsid w:val="5AA1498D"/>
    <w:rsid w:val="5AB26B9A"/>
    <w:rsid w:val="5AD54331"/>
    <w:rsid w:val="5AE244AA"/>
    <w:rsid w:val="5AFE1DDF"/>
    <w:rsid w:val="5B01542B"/>
    <w:rsid w:val="5B16346B"/>
    <w:rsid w:val="5B280C0A"/>
    <w:rsid w:val="5B345E0E"/>
    <w:rsid w:val="5B624C9A"/>
    <w:rsid w:val="5B793214"/>
    <w:rsid w:val="5B8008B2"/>
    <w:rsid w:val="5B800A46"/>
    <w:rsid w:val="5B8F6887"/>
    <w:rsid w:val="5BD26DC8"/>
    <w:rsid w:val="5BD62414"/>
    <w:rsid w:val="5BF23D45"/>
    <w:rsid w:val="5C031DA2"/>
    <w:rsid w:val="5C036F81"/>
    <w:rsid w:val="5C4239A0"/>
    <w:rsid w:val="5C4D4F5F"/>
    <w:rsid w:val="5C621EFA"/>
    <w:rsid w:val="5C661389"/>
    <w:rsid w:val="5C7B2FBB"/>
    <w:rsid w:val="5C9252B7"/>
    <w:rsid w:val="5CA51446"/>
    <w:rsid w:val="5CDC7EFE"/>
    <w:rsid w:val="5D096819"/>
    <w:rsid w:val="5D0B433F"/>
    <w:rsid w:val="5D23153B"/>
    <w:rsid w:val="5D280D98"/>
    <w:rsid w:val="5D30024A"/>
    <w:rsid w:val="5D347D3A"/>
    <w:rsid w:val="5D4707F2"/>
    <w:rsid w:val="5D495085"/>
    <w:rsid w:val="5D5F28DD"/>
    <w:rsid w:val="5D5F6439"/>
    <w:rsid w:val="5D660083"/>
    <w:rsid w:val="5D952313"/>
    <w:rsid w:val="5D9A4928"/>
    <w:rsid w:val="5DA622BA"/>
    <w:rsid w:val="5DC15346"/>
    <w:rsid w:val="5DD07337"/>
    <w:rsid w:val="5DD642A8"/>
    <w:rsid w:val="5DD757CB"/>
    <w:rsid w:val="5DE132F2"/>
    <w:rsid w:val="5E040DA7"/>
    <w:rsid w:val="5E0A04BE"/>
    <w:rsid w:val="5E1030F0"/>
    <w:rsid w:val="5E2C5CA3"/>
    <w:rsid w:val="5E530FA1"/>
    <w:rsid w:val="5E8C5954"/>
    <w:rsid w:val="5EC06DD3"/>
    <w:rsid w:val="5EE237C6"/>
    <w:rsid w:val="5F0D0843"/>
    <w:rsid w:val="5F0E1CB1"/>
    <w:rsid w:val="5F100A21"/>
    <w:rsid w:val="5F315FBD"/>
    <w:rsid w:val="5F553F98"/>
    <w:rsid w:val="5F555D46"/>
    <w:rsid w:val="5F7E34EF"/>
    <w:rsid w:val="5F7F7267"/>
    <w:rsid w:val="5F823F53"/>
    <w:rsid w:val="5F8507E9"/>
    <w:rsid w:val="5F942D12"/>
    <w:rsid w:val="5FAB27A9"/>
    <w:rsid w:val="5FBA204D"/>
    <w:rsid w:val="5FD56866"/>
    <w:rsid w:val="5FEA76FE"/>
    <w:rsid w:val="5FF05A6E"/>
    <w:rsid w:val="601654D5"/>
    <w:rsid w:val="6017749F"/>
    <w:rsid w:val="6025396A"/>
    <w:rsid w:val="604007A4"/>
    <w:rsid w:val="60536283"/>
    <w:rsid w:val="60651FB9"/>
    <w:rsid w:val="607E751E"/>
    <w:rsid w:val="60AE3960"/>
    <w:rsid w:val="60BA04E1"/>
    <w:rsid w:val="60DF7FBD"/>
    <w:rsid w:val="61107282"/>
    <w:rsid w:val="61487ADA"/>
    <w:rsid w:val="617104C0"/>
    <w:rsid w:val="61782B00"/>
    <w:rsid w:val="618126A5"/>
    <w:rsid w:val="619D771D"/>
    <w:rsid w:val="61A47D19"/>
    <w:rsid w:val="61BF394A"/>
    <w:rsid w:val="61D0609E"/>
    <w:rsid w:val="62141EE8"/>
    <w:rsid w:val="621517BC"/>
    <w:rsid w:val="622D5384"/>
    <w:rsid w:val="62353C0D"/>
    <w:rsid w:val="624D71A8"/>
    <w:rsid w:val="627A7BBE"/>
    <w:rsid w:val="62854BF8"/>
    <w:rsid w:val="62AB6402"/>
    <w:rsid w:val="62AC3ECF"/>
    <w:rsid w:val="62DB2A06"/>
    <w:rsid w:val="62E41B8A"/>
    <w:rsid w:val="62FA7330"/>
    <w:rsid w:val="63040DEB"/>
    <w:rsid w:val="63065CD5"/>
    <w:rsid w:val="6333793B"/>
    <w:rsid w:val="634406AB"/>
    <w:rsid w:val="637E2D0B"/>
    <w:rsid w:val="638210D3"/>
    <w:rsid w:val="63963B4E"/>
    <w:rsid w:val="63A96660"/>
    <w:rsid w:val="63CC483F"/>
    <w:rsid w:val="640E2967"/>
    <w:rsid w:val="64210182"/>
    <w:rsid w:val="64240C66"/>
    <w:rsid w:val="643421F6"/>
    <w:rsid w:val="64526CF8"/>
    <w:rsid w:val="64532385"/>
    <w:rsid w:val="64634A61"/>
    <w:rsid w:val="647A1DAB"/>
    <w:rsid w:val="64867564"/>
    <w:rsid w:val="64957CF3"/>
    <w:rsid w:val="64EC0EFA"/>
    <w:rsid w:val="64F03E7B"/>
    <w:rsid w:val="64F16F19"/>
    <w:rsid w:val="64F25DE5"/>
    <w:rsid w:val="650D3CB3"/>
    <w:rsid w:val="652F7039"/>
    <w:rsid w:val="65387850"/>
    <w:rsid w:val="653B59DE"/>
    <w:rsid w:val="653F727C"/>
    <w:rsid w:val="655D7702"/>
    <w:rsid w:val="65776508"/>
    <w:rsid w:val="65921AA2"/>
    <w:rsid w:val="65BD2897"/>
    <w:rsid w:val="65DD0843"/>
    <w:rsid w:val="661701F9"/>
    <w:rsid w:val="6632293D"/>
    <w:rsid w:val="66374BCE"/>
    <w:rsid w:val="66383CCB"/>
    <w:rsid w:val="66432D9C"/>
    <w:rsid w:val="66576847"/>
    <w:rsid w:val="665D4C34"/>
    <w:rsid w:val="66611474"/>
    <w:rsid w:val="668B64F1"/>
    <w:rsid w:val="669B5AAC"/>
    <w:rsid w:val="66BF4375"/>
    <w:rsid w:val="66C13CC1"/>
    <w:rsid w:val="66CB4B3F"/>
    <w:rsid w:val="66D05BAC"/>
    <w:rsid w:val="66D86074"/>
    <w:rsid w:val="670C7632"/>
    <w:rsid w:val="67423054"/>
    <w:rsid w:val="67447379"/>
    <w:rsid w:val="674E67A5"/>
    <w:rsid w:val="67535261"/>
    <w:rsid w:val="679F2254"/>
    <w:rsid w:val="67AC2BC3"/>
    <w:rsid w:val="67BB1EEE"/>
    <w:rsid w:val="67C11445"/>
    <w:rsid w:val="67C41CBB"/>
    <w:rsid w:val="67DA40A9"/>
    <w:rsid w:val="67DF6A32"/>
    <w:rsid w:val="67EB7CE8"/>
    <w:rsid w:val="67EC2FBF"/>
    <w:rsid w:val="681349F0"/>
    <w:rsid w:val="68152516"/>
    <w:rsid w:val="68354966"/>
    <w:rsid w:val="683E6AC3"/>
    <w:rsid w:val="686B0388"/>
    <w:rsid w:val="687B43E7"/>
    <w:rsid w:val="68866D0B"/>
    <w:rsid w:val="68906041"/>
    <w:rsid w:val="68BD438B"/>
    <w:rsid w:val="68F72664"/>
    <w:rsid w:val="68FE5EE8"/>
    <w:rsid w:val="68FF4175"/>
    <w:rsid w:val="69116C63"/>
    <w:rsid w:val="692844CB"/>
    <w:rsid w:val="69344C1E"/>
    <w:rsid w:val="69403E2B"/>
    <w:rsid w:val="694C6069"/>
    <w:rsid w:val="69715E72"/>
    <w:rsid w:val="69795C75"/>
    <w:rsid w:val="69AA3132"/>
    <w:rsid w:val="69C92C32"/>
    <w:rsid w:val="69CE0BCF"/>
    <w:rsid w:val="69D537A2"/>
    <w:rsid w:val="69E3409F"/>
    <w:rsid w:val="69FC398E"/>
    <w:rsid w:val="69FE02E4"/>
    <w:rsid w:val="6A12254A"/>
    <w:rsid w:val="6A1F58CE"/>
    <w:rsid w:val="6A227335"/>
    <w:rsid w:val="6A4C5F97"/>
    <w:rsid w:val="6A5512F0"/>
    <w:rsid w:val="6A791071"/>
    <w:rsid w:val="6A8F247E"/>
    <w:rsid w:val="6A944E30"/>
    <w:rsid w:val="6A9A6D03"/>
    <w:rsid w:val="6A9E3270"/>
    <w:rsid w:val="6AA656A7"/>
    <w:rsid w:val="6ACB3360"/>
    <w:rsid w:val="6AE31BCD"/>
    <w:rsid w:val="6AF10D4E"/>
    <w:rsid w:val="6AF428B7"/>
    <w:rsid w:val="6AF6662F"/>
    <w:rsid w:val="6B131F63"/>
    <w:rsid w:val="6B3B4544"/>
    <w:rsid w:val="6B3E511E"/>
    <w:rsid w:val="6B574BF4"/>
    <w:rsid w:val="6B5E3739"/>
    <w:rsid w:val="6B781786"/>
    <w:rsid w:val="6B8E2D0B"/>
    <w:rsid w:val="6BD909E7"/>
    <w:rsid w:val="6BD9385B"/>
    <w:rsid w:val="6BE51F4F"/>
    <w:rsid w:val="6BEB4CE0"/>
    <w:rsid w:val="6BEE37AA"/>
    <w:rsid w:val="6BF82A20"/>
    <w:rsid w:val="6BFD39ED"/>
    <w:rsid w:val="6C2471CC"/>
    <w:rsid w:val="6C6475C8"/>
    <w:rsid w:val="6C806E06"/>
    <w:rsid w:val="6C8D569E"/>
    <w:rsid w:val="6CD96999"/>
    <w:rsid w:val="6D024C06"/>
    <w:rsid w:val="6D082649"/>
    <w:rsid w:val="6D0936FF"/>
    <w:rsid w:val="6D22126E"/>
    <w:rsid w:val="6D396CA7"/>
    <w:rsid w:val="6D3C2668"/>
    <w:rsid w:val="6D44537D"/>
    <w:rsid w:val="6D45389E"/>
    <w:rsid w:val="6D463172"/>
    <w:rsid w:val="6D633D24"/>
    <w:rsid w:val="6D7952F5"/>
    <w:rsid w:val="6D7D4DE5"/>
    <w:rsid w:val="6DB4632D"/>
    <w:rsid w:val="6DD32C57"/>
    <w:rsid w:val="6DF606F4"/>
    <w:rsid w:val="6E0077C5"/>
    <w:rsid w:val="6E0219CE"/>
    <w:rsid w:val="6E22773B"/>
    <w:rsid w:val="6E3015B8"/>
    <w:rsid w:val="6E396833"/>
    <w:rsid w:val="6E55366C"/>
    <w:rsid w:val="6E62776A"/>
    <w:rsid w:val="6E836764"/>
    <w:rsid w:val="6E971ED7"/>
    <w:rsid w:val="6EA63EC8"/>
    <w:rsid w:val="6EC86534"/>
    <w:rsid w:val="6ED36C87"/>
    <w:rsid w:val="6F060E0B"/>
    <w:rsid w:val="6F2234BC"/>
    <w:rsid w:val="6F2C0C04"/>
    <w:rsid w:val="6F2E5F39"/>
    <w:rsid w:val="6F3200AE"/>
    <w:rsid w:val="6F3C482C"/>
    <w:rsid w:val="6F5C6C7D"/>
    <w:rsid w:val="6F7F0208"/>
    <w:rsid w:val="6F8749F8"/>
    <w:rsid w:val="6FB24AEE"/>
    <w:rsid w:val="6FBA26C0"/>
    <w:rsid w:val="6FC1619E"/>
    <w:rsid w:val="6FC34DE5"/>
    <w:rsid w:val="6FC34F4E"/>
    <w:rsid w:val="6FDB5DF3"/>
    <w:rsid w:val="6FE02F83"/>
    <w:rsid w:val="6FE27182"/>
    <w:rsid w:val="6FEE62C6"/>
    <w:rsid w:val="70230710"/>
    <w:rsid w:val="7040659E"/>
    <w:rsid w:val="704C4F43"/>
    <w:rsid w:val="704C69B2"/>
    <w:rsid w:val="706446E8"/>
    <w:rsid w:val="70741DA4"/>
    <w:rsid w:val="70860455"/>
    <w:rsid w:val="70862203"/>
    <w:rsid w:val="708B6B37"/>
    <w:rsid w:val="70910BA8"/>
    <w:rsid w:val="70944183"/>
    <w:rsid w:val="70980188"/>
    <w:rsid w:val="70C06831"/>
    <w:rsid w:val="70CC398E"/>
    <w:rsid w:val="70F37D17"/>
    <w:rsid w:val="7104581E"/>
    <w:rsid w:val="711E068D"/>
    <w:rsid w:val="711F7D3D"/>
    <w:rsid w:val="7129574B"/>
    <w:rsid w:val="71353934"/>
    <w:rsid w:val="714452D3"/>
    <w:rsid w:val="719C5CE4"/>
    <w:rsid w:val="719D319D"/>
    <w:rsid w:val="71C07421"/>
    <w:rsid w:val="71E05943"/>
    <w:rsid w:val="71E1084C"/>
    <w:rsid w:val="720369C0"/>
    <w:rsid w:val="720C498A"/>
    <w:rsid w:val="72216555"/>
    <w:rsid w:val="722C2B09"/>
    <w:rsid w:val="72380797"/>
    <w:rsid w:val="72AC7F1B"/>
    <w:rsid w:val="72C214EC"/>
    <w:rsid w:val="737A5559"/>
    <w:rsid w:val="737E3DC3"/>
    <w:rsid w:val="73835540"/>
    <w:rsid w:val="738801EA"/>
    <w:rsid w:val="73AA26AC"/>
    <w:rsid w:val="73B70925"/>
    <w:rsid w:val="73BE7DDD"/>
    <w:rsid w:val="73CE763C"/>
    <w:rsid w:val="73D27BD5"/>
    <w:rsid w:val="73E15971"/>
    <w:rsid w:val="73FC458A"/>
    <w:rsid w:val="73FE430C"/>
    <w:rsid w:val="740D7281"/>
    <w:rsid w:val="741A0B04"/>
    <w:rsid w:val="741D6067"/>
    <w:rsid w:val="742B7611"/>
    <w:rsid w:val="74554843"/>
    <w:rsid w:val="745B7503"/>
    <w:rsid w:val="746A3BEA"/>
    <w:rsid w:val="74AA048A"/>
    <w:rsid w:val="74B03807"/>
    <w:rsid w:val="74C94487"/>
    <w:rsid w:val="74CB3E5A"/>
    <w:rsid w:val="74CD63DB"/>
    <w:rsid w:val="74CF7DF7"/>
    <w:rsid w:val="74EA15CF"/>
    <w:rsid w:val="74FC7843"/>
    <w:rsid w:val="75141345"/>
    <w:rsid w:val="751F687A"/>
    <w:rsid w:val="756A4AC4"/>
    <w:rsid w:val="75771A18"/>
    <w:rsid w:val="75A258CF"/>
    <w:rsid w:val="75BA46FD"/>
    <w:rsid w:val="75E25F59"/>
    <w:rsid w:val="75FC3BE3"/>
    <w:rsid w:val="761B7AE2"/>
    <w:rsid w:val="766C1E9B"/>
    <w:rsid w:val="768F2938"/>
    <w:rsid w:val="76A5715B"/>
    <w:rsid w:val="76D24B93"/>
    <w:rsid w:val="76D37824"/>
    <w:rsid w:val="76EA0448"/>
    <w:rsid w:val="77026400"/>
    <w:rsid w:val="77091498"/>
    <w:rsid w:val="770B2A9D"/>
    <w:rsid w:val="770E6AAE"/>
    <w:rsid w:val="7715608F"/>
    <w:rsid w:val="772207AC"/>
    <w:rsid w:val="77274014"/>
    <w:rsid w:val="77306C55"/>
    <w:rsid w:val="77396180"/>
    <w:rsid w:val="777E7235"/>
    <w:rsid w:val="77A8610A"/>
    <w:rsid w:val="77AB07A1"/>
    <w:rsid w:val="77AE0291"/>
    <w:rsid w:val="77B02C49"/>
    <w:rsid w:val="77D0645A"/>
    <w:rsid w:val="77D55594"/>
    <w:rsid w:val="77DA38B1"/>
    <w:rsid w:val="77EF68E0"/>
    <w:rsid w:val="77F758F8"/>
    <w:rsid w:val="77F9159B"/>
    <w:rsid w:val="781C51FB"/>
    <w:rsid w:val="782F0E21"/>
    <w:rsid w:val="78320EC2"/>
    <w:rsid w:val="783D76BC"/>
    <w:rsid w:val="78526E6F"/>
    <w:rsid w:val="786F7A21"/>
    <w:rsid w:val="78AC0EF3"/>
    <w:rsid w:val="78C642E0"/>
    <w:rsid w:val="78DB50B6"/>
    <w:rsid w:val="78EE6B97"/>
    <w:rsid w:val="7956473D"/>
    <w:rsid w:val="798B088A"/>
    <w:rsid w:val="7993773F"/>
    <w:rsid w:val="799A0ACD"/>
    <w:rsid w:val="79B2081D"/>
    <w:rsid w:val="79C67B14"/>
    <w:rsid w:val="79F35A34"/>
    <w:rsid w:val="79FD48AD"/>
    <w:rsid w:val="79FF3026"/>
    <w:rsid w:val="7A1268B5"/>
    <w:rsid w:val="7A141D09"/>
    <w:rsid w:val="7A15284A"/>
    <w:rsid w:val="7A1563A6"/>
    <w:rsid w:val="7A3D5210"/>
    <w:rsid w:val="7A456C8B"/>
    <w:rsid w:val="7A4647B1"/>
    <w:rsid w:val="7A496A0F"/>
    <w:rsid w:val="7A8C34FD"/>
    <w:rsid w:val="7A9420F2"/>
    <w:rsid w:val="7A9814B1"/>
    <w:rsid w:val="7AA07F3E"/>
    <w:rsid w:val="7AAB2866"/>
    <w:rsid w:val="7AD85BB9"/>
    <w:rsid w:val="7AD9755A"/>
    <w:rsid w:val="7ADE2C3C"/>
    <w:rsid w:val="7AE75F94"/>
    <w:rsid w:val="7AF85599"/>
    <w:rsid w:val="7B0E0AF7"/>
    <w:rsid w:val="7B2D0FF8"/>
    <w:rsid w:val="7B3D106F"/>
    <w:rsid w:val="7B42141C"/>
    <w:rsid w:val="7B5D1A9A"/>
    <w:rsid w:val="7B811F45"/>
    <w:rsid w:val="7B822292"/>
    <w:rsid w:val="7BAE260E"/>
    <w:rsid w:val="7BBF2A6D"/>
    <w:rsid w:val="7BC23F8C"/>
    <w:rsid w:val="7BF22E42"/>
    <w:rsid w:val="7BF75646"/>
    <w:rsid w:val="7C175EFA"/>
    <w:rsid w:val="7C1903CF"/>
    <w:rsid w:val="7C3104AE"/>
    <w:rsid w:val="7C3F3BAE"/>
    <w:rsid w:val="7C5C4760"/>
    <w:rsid w:val="7C6D071B"/>
    <w:rsid w:val="7C9061B7"/>
    <w:rsid w:val="7C9637A0"/>
    <w:rsid w:val="7C9D2763"/>
    <w:rsid w:val="7CA5194C"/>
    <w:rsid w:val="7CF57011"/>
    <w:rsid w:val="7CFD12C8"/>
    <w:rsid w:val="7CFE75C5"/>
    <w:rsid w:val="7D3A0F6A"/>
    <w:rsid w:val="7D3A23EB"/>
    <w:rsid w:val="7D593F54"/>
    <w:rsid w:val="7D5A77DB"/>
    <w:rsid w:val="7D5E0064"/>
    <w:rsid w:val="7D657644"/>
    <w:rsid w:val="7D8A3276"/>
    <w:rsid w:val="7DC46119"/>
    <w:rsid w:val="7E056EE5"/>
    <w:rsid w:val="7E1201E2"/>
    <w:rsid w:val="7E370FE0"/>
    <w:rsid w:val="7E3F60E7"/>
    <w:rsid w:val="7E4A710B"/>
    <w:rsid w:val="7E556593"/>
    <w:rsid w:val="7E6E5B8A"/>
    <w:rsid w:val="7E8071A3"/>
    <w:rsid w:val="7E9B75E8"/>
    <w:rsid w:val="7EA06B86"/>
    <w:rsid w:val="7EBE0DBA"/>
    <w:rsid w:val="7ECB34D7"/>
    <w:rsid w:val="7F0013D2"/>
    <w:rsid w:val="7F0D2839"/>
    <w:rsid w:val="7F1879D8"/>
    <w:rsid w:val="7F211349"/>
    <w:rsid w:val="7F280929"/>
    <w:rsid w:val="7F4C0F6E"/>
    <w:rsid w:val="7F5D6825"/>
    <w:rsid w:val="7F7858DE"/>
    <w:rsid w:val="7F87206B"/>
    <w:rsid w:val="7FB979CC"/>
    <w:rsid w:val="7FC468A4"/>
    <w:rsid w:val="7FD14E6E"/>
    <w:rsid w:val="7FE47F40"/>
    <w:rsid w:val="7FE52F2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0" w:semiHidden="0" w:name="Normal Indent"/>
    <w:lsdException w:qFormat="1" w:unhideWhenUsed="0" w:uiPriority="99"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qFormat="1" w:uiPriority="99"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qFormat="1" w:unhideWhenUsed="0" w:uiPriority="0" w:semiHidden="0" w:name="Block Text"/>
    <w:lsdException w:qFormat="1"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59" w:semiHidden="0" w:name="Table Grid"/>
    <w:lsdException w:uiPriority="0" w:name="Table Theme"/>
    <w:lsdException w:qFormat="1" w:unhideWhenUsed="0" w:uiPriority="99" w:name="Placeholder Text"/>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520" w:lineRule="exact"/>
      <w:ind w:firstLine="560" w:firstLineChars="200"/>
      <w:jc w:val="both"/>
      <w:textAlignment w:val="top"/>
    </w:pPr>
    <w:rPr>
      <w:rFonts w:ascii="Times New Roman" w:hAnsi="Times New Roman" w:eastAsiaTheme="minorEastAsia" w:cstheme="minorBidi"/>
      <w:kern w:val="2"/>
      <w:sz w:val="24"/>
      <w:szCs w:val="24"/>
      <w:lang w:val="en-US" w:eastAsia="zh-CN" w:bidi="ar-SA"/>
    </w:rPr>
  </w:style>
  <w:style w:type="paragraph" w:styleId="6">
    <w:name w:val="heading 1"/>
    <w:basedOn w:val="1"/>
    <w:next w:val="1"/>
    <w:qFormat/>
    <w:uiPriority w:val="0"/>
    <w:pPr>
      <w:keepNext/>
      <w:keepLines/>
      <w:spacing w:line="360" w:lineRule="auto"/>
      <w:outlineLvl w:val="0"/>
    </w:pPr>
    <w:rPr>
      <w:rFonts w:eastAsia="黑体"/>
      <w:b/>
      <w:kern w:val="44"/>
      <w:sz w:val="30"/>
    </w:rPr>
  </w:style>
  <w:style w:type="paragraph" w:styleId="7">
    <w:name w:val="heading 2"/>
    <w:basedOn w:val="1"/>
    <w:next w:val="1"/>
    <w:link w:val="48"/>
    <w:unhideWhenUsed/>
    <w:qFormat/>
    <w:uiPriority w:val="0"/>
    <w:pPr>
      <w:keepNext/>
      <w:keepLines/>
      <w:spacing w:line="360" w:lineRule="auto"/>
      <w:outlineLvl w:val="1"/>
    </w:pPr>
    <w:rPr>
      <w:rFonts w:eastAsia="宋体"/>
      <w:b/>
      <w:sz w:val="28"/>
    </w:rPr>
  </w:style>
  <w:style w:type="paragraph" w:styleId="8">
    <w:name w:val="heading 4"/>
    <w:basedOn w:val="1"/>
    <w:next w:val="1"/>
    <w:semiHidden/>
    <w:unhideWhenUsed/>
    <w:qFormat/>
    <w:uiPriority w:val="0"/>
    <w:pPr>
      <w:keepNext/>
      <w:keepLines/>
      <w:numPr>
        <w:ilvl w:val="3"/>
        <w:numId w:val="1"/>
      </w:numPr>
      <w:spacing w:before="280" w:beforeLines="0" w:beforeAutospacing="0" w:after="290" w:afterLines="0" w:afterAutospacing="0" w:line="372" w:lineRule="auto"/>
      <w:ind w:left="2127" w:hanging="851" w:firstLineChars="0"/>
      <w:outlineLvl w:val="3"/>
    </w:pPr>
    <w:rPr>
      <w:rFonts w:ascii="Times New Roman" w:hAnsi="Times New Roman" w:eastAsia="宋体" w:cs="Times New Roman"/>
      <w:b/>
      <w:sz w:val="24"/>
    </w:rPr>
  </w:style>
  <w:style w:type="character" w:default="1" w:styleId="24">
    <w:name w:val="Default Paragraph Font"/>
    <w:semiHidden/>
    <w:unhideWhenUsed/>
    <w:qFormat/>
    <w:uiPriority w:val="1"/>
  </w:style>
  <w:style w:type="table" w:default="1" w:styleId="22">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1"/>
    <w:unhideWhenUsed/>
    <w:qFormat/>
    <w:uiPriority w:val="0"/>
    <w:pPr>
      <w:ind w:left="0" w:leftChars="0" w:firstLine="420"/>
    </w:pPr>
    <w:rPr>
      <w:szCs w:val="20"/>
    </w:rPr>
  </w:style>
  <w:style w:type="paragraph" w:styleId="3">
    <w:name w:val="Body Text Indent"/>
    <w:basedOn w:val="1"/>
    <w:next w:val="4"/>
    <w:link w:val="46"/>
    <w:qFormat/>
    <w:uiPriority w:val="0"/>
    <w:pPr>
      <w:spacing w:after="120"/>
      <w:ind w:left="420" w:leftChars="200"/>
    </w:pPr>
  </w:style>
  <w:style w:type="paragraph" w:styleId="4">
    <w:name w:val="Body Text"/>
    <w:basedOn w:val="1"/>
    <w:next w:val="5"/>
    <w:link w:val="55"/>
    <w:unhideWhenUsed/>
    <w:qFormat/>
    <w:uiPriority w:val="99"/>
    <w:pPr>
      <w:spacing w:before="14"/>
      <w:ind w:left="121"/>
    </w:pPr>
    <w:rPr>
      <w:rFonts w:hint="eastAsia" w:ascii="宋体" w:hAnsi="宋体" w:eastAsia="宋体"/>
      <w:sz w:val="28"/>
    </w:rPr>
  </w:style>
  <w:style w:type="paragraph" w:styleId="5">
    <w:name w:val="Body Text 2"/>
    <w:basedOn w:val="1"/>
    <w:qFormat/>
    <w:uiPriority w:val="0"/>
    <w:pPr>
      <w:spacing w:after="120" w:line="480" w:lineRule="auto"/>
    </w:pPr>
  </w:style>
  <w:style w:type="paragraph" w:styleId="9">
    <w:name w:val="Normal Indent"/>
    <w:basedOn w:val="1"/>
    <w:next w:val="8"/>
    <w:unhideWhenUsed/>
    <w:qFormat/>
    <w:uiPriority w:val="0"/>
    <w:pPr>
      <w:ind w:firstLine="420"/>
    </w:pPr>
  </w:style>
  <w:style w:type="paragraph" w:styleId="10">
    <w:name w:val="caption"/>
    <w:basedOn w:val="1"/>
    <w:next w:val="1"/>
    <w:link w:val="45"/>
    <w:qFormat/>
    <w:uiPriority w:val="0"/>
    <w:pPr>
      <w:jc w:val="center"/>
    </w:pPr>
    <w:rPr>
      <w:rFonts w:ascii="Arial" w:hAnsi="Arial" w:eastAsia="黑体"/>
      <w:szCs w:val="22"/>
    </w:rPr>
  </w:style>
  <w:style w:type="paragraph" w:styleId="11">
    <w:name w:val="annotation text"/>
    <w:basedOn w:val="1"/>
    <w:qFormat/>
    <w:uiPriority w:val="0"/>
    <w:pPr>
      <w:jc w:val="left"/>
    </w:pPr>
  </w:style>
  <w:style w:type="paragraph" w:styleId="12">
    <w:name w:val="Block Text"/>
    <w:basedOn w:val="1"/>
    <w:next w:val="1"/>
    <w:qFormat/>
    <w:uiPriority w:val="0"/>
    <w:pPr>
      <w:autoSpaceDE w:val="0"/>
      <w:autoSpaceDN w:val="0"/>
      <w:adjustRightInd w:val="0"/>
      <w:spacing w:line="537" w:lineRule="exact"/>
      <w:ind w:left="88" w:right="6"/>
    </w:pPr>
    <w:rPr>
      <w:kern w:val="0"/>
      <w:sz w:val="28"/>
      <w:szCs w:val="20"/>
    </w:rPr>
  </w:style>
  <w:style w:type="paragraph" w:styleId="13">
    <w:name w:val="footer"/>
    <w:basedOn w:val="1"/>
    <w:link w:val="66"/>
    <w:qFormat/>
    <w:uiPriority w:val="99"/>
    <w:pPr>
      <w:tabs>
        <w:tab w:val="center" w:pos="4153"/>
        <w:tab w:val="right" w:pos="8306"/>
      </w:tabs>
      <w:snapToGrid w:val="0"/>
      <w:jc w:val="left"/>
    </w:pPr>
    <w:rPr>
      <w:sz w:val="18"/>
    </w:rPr>
  </w:style>
  <w:style w:type="paragraph" w:styleId="14">
    <w:name w:val="header"/>
    <w:basedOn w:val="1"/>
    <w:link w:val="58"/>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5">
    <w:name w:val="toc 1"/>
    <w:basedOn w:val="1"/>
    <w:next w:val="1"/>
    <w:qFormat/>
    <w:uiPriority w:val="39"/>
    <w:pPr>
      <w:spacing w:line="360" w:lineRule="auto"/>
    </w:pPr>
    <w:rPr>
      <w:rFonts w:eastAsia="楷体"/>
      <w:sz w:val="30"/>
    </w:rPr>
  </w:style>
  <w:style w:type="paragraph" w:styleId="16">
    <w:name w:val="List"/>
    <w:basedOn w:val="1"/>
    <w:next w:val="1"/>
    <w:qFormat/>
    <w:uiPriority w:val="0"/>
    <w:pPr>
      <w:adjustRightInd w:val="0"/>
      <w:spacing w:line="312" w:lineRule="atLeast"/>
      <w:ind w:left="420" w:hanging="420"/>
      <w:textAlignment w:val="baseline"/>
    </w:pPr>
    <w:rPr>
      <w:kern w:val="0"/>
    </w:rPr>
  </w:style>
  <w:style w:type="paragraph" w:styleId="17">
    <w:name w:val="footnote text"/>
    <w:basedOn w:val="1"/>
    <w:qFormat/>
    <w:uiPriority w:val="99"/>
    <w:pPr>
      <w:snapToGrid w:val="0"/>
      <w:jc w:val="left"/>
    </w:pPr>
    <w:rPr>
      <w:sz w:val="18"/>
      <w:szCs w:val="18"/>
    </w:rPr>
  </w:style>
  <w:style w:type="paragraph" w:styleId="18">
    <w:name w:val="Body Text Indent 3"/>
    <w:basedOn w:val="1"/>
    <w:link w:val="59"/>
    <w:qFormat/>
    <w:uiPriority w:val="0"/>
    <w:pPr>
      <w:spacing w:after="120"/>
      <w:ind w:left="420" w:leftChars="200"/>
    </w:pPr>
    <w:rPr>
      <w:sz w:val="16"/>
      <w:szCs w:val="16"/>
    </w:rPr>
  </w:style>
  <w:style w:type="paragraph" w:styleId="19">
    <w:name w:val="toc 2"/>
    <w:basedOn w:val="1"/>
    <w:next w:val="1"/>
    <w:qFormat/>
    <w:uiPriority w:val="39"/>
    <w:pPr>
      <w:spacing w:line="360" w:lineRule="auto"/>
      <w:ind w:left="420" w:leftChars="200"/>
    </w:pPr>
    <w:rPr>
      <w:rFonts w:eastAsia="宋体"/>
    </w:rPr>
  </w:style>
  <w:style w:type="paragraph" w:styleId="20">
    <w:name w:val="Normal (Web)"/>
    <w:basedOn w:val="1"/>
    <w:link w:val="41"/>
    <w:qFormat/>
    <w:uiPriority w:val="99"/>
    <w:pPr>
      <w:widowControl/>
      <w:spacing w:before="100" w:beforeAutospacing="1" w:after="100" w:afterAutospacing="1"/>
      <w:jc w:val="left"/>
    </w:pPr>
    <w:rPr>
      <w:rFonts w:ascii="宋体" w:hAnsi="宋体"/>
      <w:kern w:val="0"/>
    </w:rPr>
  </w:style>
  <w:style w:type="paragraph" w:styleId="21">
    <w:name w:val="Body Text First Indent"/>
    <w:basedOn w:val="4"/>
    <w:qFormat/>
    <w:uiPriority w:val="0"/>
    <w:pPr>
      <w:snapToGrid w:val="0"/>
      <w:spacing w:line="360" w:lineRule="auto"/>
      <w:ind w:left="0"/>
    </w:pPr>
    <w:rPr>
      <w:sz w:val="24"/>
    </w:rPr>
  </w:style>
  <w:style w:type="table" w:styleId="23">
    <w:name w:val="Table Grid"/>
    <w:basedOn w:val="22"/>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5">
    <w:name w:val="page number"/>
    <w:basedOn w:val="24"/>
    <w:qFormat/>
    <w:uiPriority w:val="0"/>
  </w:style>
  <w:style w:type="character" w:styleId="26">
    <w:name w:val="FollowedHyperlink"/>
    <w:basedOn w:val="24"/>
    <w:qFormat/>
    <w:uiPriority w:val="0"/>
    <w:rPr>
      <w:color w:val="607FA6"/>
      <w:u w:val="none"/>
    </w:rPr>
  </w:style>
  <w:style w:type="character" w:styleId="27">
    <w:name w:val="Emphasis"/>
    <w:basedOn w:val="24"/>
    <w:qFormat/>
    <w:uiPriority w:val="0"/>
    <w:rPr>
      <w:i/>
    </w:rPr>
  </w:style>
  <w:style w:type="character" w:styleId="28">
    <w:name w:val="Hyperlink"/>
    <w:basedOn w:val="24"/>
    <w:unhideWhenUsed/>
    <w:qFormat/>
    <w:uiPriority w:val="99"/>
    <w:rPr>
      <w:color w:val="0563C1" w:themeColor="hyperlink"/>
      <w:u w:val="single"/>
      <w14:textFill>
        <w14:solidFill>
          <w14:schemeClr w14:val="hlink"/>
        </w14:solidFill>
      </w14:textFill>
    </w:rPr>
  </w:style>
  <w:style w:type="character" w:styleId="29">
    <w:name w:val="footnote reference"/>
    <w:basedOn w:val="24"/>
    <w:semiHidden/>
    <w:unhideWhenUsed/>
    <w:qFormat/>
    <w:uiPriority w:val="99"/>
    <w:rPr>
      <w:vertAlign w:val="superscript"/>
    </w:rPr>
  </w:style>
  <w:style w:type="paragraph" w:customStyle="1" w:styleId="30">
    <w:name w:val="第一章表名"/>
    <w:basedOn w:val="1"/>
    <w:qFormat/>
    <w:uiPriority w:val="0"/>
    <w:pPr>
      <w:numPr>
        <w:ilvl w:val="0"/>
        <w:numId w:val="2"/>
      </w:numPr>
      <w:adjustRightInd w:val="0"/>
      <w:snapToGrid w:val="0"/>
      <w:spacing w:line="360" w:lineRule="auto"/>
      <w:ind w:left="0" w:firstLine="425"/>
      <w:jc w:val="center"/>
    </w:pPr>
    <w:rPr>
      <w:rFonts w:ascii="Times New Roman" w:hAnsi="Times New Roman" w:eastAsia="宋体"/>
      <w:b/>
      <w:sz w:val="24"/>
    </w:rPr>
  </w:style>
  <w:style w:type="paragraph" w:customStyle="1" w:styleId="31">
    <w:name w:val="第二章表名"/>
    <w:basedOn w:val="1"/>
    <w:qFormat/>
    <w:uiPriority w:val="0"/>
    <w:pPr>
      <w:numPr>
        <w:ilvl w:val="0"/>
        <w:numId w:val="3"/>
      </w:numPr>
      <w:adjustRightInd w:val="0"/>
      <w:snapToGrid w:val="0"/>
      <w:spacing w:line="520" w:lineRule="exact"/>
      <w:ind w:left="0" w:firstLine="0"/>
      <w:jc w:val="center"/>
    </w:pPr>
    <w:rPr>
      <w:rFonts w:ascii="Times New Roman" w:hAnsi="Times New Roman" w:eastAsia="宋体"/>
      <w:b/>
      <w:sz w:val="24"/>
    </w:rPr>
  </w:style>
  <w:style w:type="paragraph" w:customStyle="1" w:styleId="32">
    <w:name w:val="Default"/>
    <w:basedOn w:val="33"/>
    <w:next w:val="34"/>
    <w:unhideWhenUsed/>
    <w:qFormat/>
    <w:uiPriority w:val="0"/>
    <w:pPr>
      <w:widowControl w:val="0"/>
      <w:autoSpaceDE w:val="0"/>
      <w:autoSpaceDN w:val="0"/>
      <w:adjustRightInd w:val="0"/>
    </w:pPr>
    <w:rPr>
      <w:rFonts w:hint="eastAsia" w:ascii="黑体" w:hAnsi="黑体" w:eastAsia="黑体" w:cs="ˎ̥"/>
      <w:color w:val="000000"/>
      <w:sz w:val="24"/>
      <w:lang w:val="en-US" w:eastAsia="zh-CN" w:bidi="ar-SA"/>
    </w:rPr>
  </w:style>
  <w:style w:type="paragraph" w:customStyle="1" w:styleId="33">
    <w:name w:val="纯文本1"/>
    <w:basedOn w:val="1"/>
    <w:qFormat/>
    <w:uiPriority w:val="0"/>
    <w:pPr>
      <w:adjustRightInd w:val="0"/>
    </w:pPr>
    <w:rPr>
      <w:rFonts w:ascii="宋体" w:hAnsi="Courier New"/>
      <w:szCs w:val="20"/>
    </w:rPr>
  </w:style>
  <w:style w:type="paragraph" w:customStyle="1" w:styleId="34">
    <w:name w:val="表格文字"/>
    <w:basedOn w:val="9"/>
    <w:next w:val="1"/>
    <w:link w:val="44"/>
    <w:qFormat/>
    <w:uiPriority w:val="0"/>
    <w:rPr>
      <w:rFonts w:eastAsiaTheme="minorEastAsia"/>
      <w:sz w:val="24"/>
      <w:szCs w:val="22"/>
    </w:rPr>
  </w:style>
  <w:style w:type="paragraph" w:customStyle="1" w:styleId="35">
    <w:name w:val="xl27"/>
    <w:basedOn w:val="1"/>
    <w:qFormat/>
    <w:uiPriority w:val="0"/>
    <w:pPr>
      <w:widowControl/>
      <w:spacing w:before="100" w:after="100"/>
      <w:jc w:val="center"/>
      <w:textAlignment w:val="center"/>
    </w:pPr>
    <w:rPr>
      <w:rFonts w:ascii="宋体" w:hAnsi="宋体"/>
      <w:kern w:val="0"/>
      <w:szCs w:val="20"/>
    </w:rPr>
  </w:style>
  <w:style w:type="paragraph" w:customStyle="1" w:styleId="36">
    <w:name w:val="正文格式刷"/>
    <w:basedOn w:val="9"/>
    <w:link w:val="51"/>
    <w:qFormat/>
    <w:uiPriority w:val="0"/>
    <w:pPr>
      <w:spacing w:line="360" w:lineRule="auto"/>
      <w:ind w:firstLine="480"/>
    </w:pPr>
  </w:style>
  <w:style w:type="paragraph" w:customStyle="1" w:styleId="37">
    <w:name w:val="正文字体格式（首行缩进）"/>
    <w:basedOn w:val="1"/>
    <w:qFormat/>
    <w:uiPriority w:val="0"/>
    <w:pPr>
      <w:spacing w:line="360" w:lineRule="auto"/>
      <w:ind w:firstLine="200"/>
    </w:pPr>
  </w:style>
  <w:style w:type="paragraph" w:customStyle="1" w:styleId="38">
    <w:name w:val="样式 正文缩进s4标题4表正文正文非缩进图标题段1Body Text(ch)缩进ALT+Z特点四号正文不..."/>
    <w:basedOn w:val="9"/>
    <w:qFormat/>
    <w:uiPriority w:val="0"/>
    <w:pPr>
      <w:adjustRightInd w:val="0"/>
      <w:snapToGrid w:val="0"/>
      <w:spacing w:line="360" w:lineRule="auto"/>
      <w:ind w:firstLine="472"/>
      <w:outlineLvl w:val="4"/>
    </w:pPr>
    <w:rPr>
      <w:rFonts w:ascii="宋体" w:hAnsi="宋体" w:cs="宋体"/>
      <w:spacing w:val="-2"/>
      <w:kern w:val="16"/>
    </w:rPr>
  </w:style>
  <w:style w:type="paragraph" w:customStyle="1" w:styleId="39">
    <w:name w:val="正文用"/>
    <w:basedOn w:val="1"/>
    <w:qFormat/>
    <w:uiPriority w:val="0"/>
    <w:pPr>
      <w:spacing w:line="360" w:lineRule="auto"/>
      <w:ind w:left="6" w:firstLine="200"/>
    </w:pPr>
  </w:style>
  <w:style w:type="paragraph" w:customStyle="1" w:styleId="40">
    <w:name w:val="表格"/>
    <w:basedOn w:val="10"/>
    <w:link w:val="47"/>
    <w:qFormat/>
    <w:uiPriority w:val="0"/>
    <w:pPr>
      <w:adjustRightInd w:val="0"/>
      <w:snapToGrid w:val="0"/>
      <w:spacing w:line="240" w:lineRule="atLeast"/>
    </w:pPr>
    <w:rPr>
      <w:rFonts w:ascii="宋体"/>
      <w:kern w:val="0"/>
    </w:rPr>
  </w:style>
  <w:style w:type="character" w:customStyle="1" w:styleId="41">
    <w:name w:val="普通(网站) 字符"/>
    <w:link w:val="20"/>
    <w:qFormat/>
    <w:locked/>
    <w:uiPriority w:val="0"/>
    <w:rPr>
      <w:rFonts w:ascii="宋体" w:hAnsi="宋体" w:eastAsiaTheme="minorEastAsia" w:cstheme="minorBidi"/>
      <w:sz w:val="24"/>
      <w:szCs w:val="24"/>
    </w:rPr>
  </w:style>
  <w:style w:type="paragraph" w:customStyle="1" w:styleId="42">
    <w:name w:val="zw"/>
    <w:basedOn w:val="1"/>
    <w:link w:val="43"/>
    <w:qFormat/>
    <w:uiPriority w:val="0"/>
    <w:pPr>
      <w:shd w:val="clear" w:color="auto" w:fill="FFFFFF"/>
      <w:adjustRightInd w:val="0"/>
      <w:snapToGrid w:val="0"/>
      <w:spacing w:line="360" w:lineRule="auto"/>
      <w:ind w:firstLine="480"/>
    </w:pPr>
    <w:rPr>
      <w:rFonts w:eastAsia="宋体" w:cs="Times New Roman"/>
      <w:snapToGrid w:val="0"/>
      <w:kern w:val="0"/>
    </w:rPr>
  </w:style>
  <w:style w:type="character" w:customStyle="1" w:styleId="43">
    <w:name w:val="zw Char"/>
    <w:link w:val="42"/>
    <w:qFormat/>
    <w:uiPriority w:val="0"/>
    <w:rPr>
      <w:rFonts w:ascii="Times New Roman" w:hAnsi="Times New Roman" w:cs="Times New Roman"/>
      <w:snapToGrid w:val="0"/>
      <w:sz w:val="24"/>
      <w:szCs w:val="24"/>
      <w:shd w:val="clear" w:color="auto" w:fill="FFFFFF"/>
    </w:rPr>
  </w:style>
  <w:style w:type="character" w:customStyle="1" w:styleId="44">
    <w:name w:val="表格文字 Char"/>
    <w:link w:val="34"/>
    <w:qFormat/>
    <w:uiPriority w:val="0"/>
    <w:rPr>
      <w:rFonts w:ascii="宋体" w:hAnsi="宋体" w:eastAsiaTheme="minorEastAsia" w:cstheme="minorBidi"/>
      <w:kern w:val="2"/>
      <w:sz w:val="24"/>
      <w:szCs w:val="22"/>
    </w:rPr>
  </w:style>
  <w:style w:type="character" w:customStyle="1" w:styleId="45">
    <w:name w:val="题注 字符"/>
    <w:link w:val="10"/>
    <w:qFormat/>
    <w:uiPriority w:val="0"/>
    <w:rPr>
      <w:rFonts w:ascii="Arial" w:hAnsi="Arial" w:eastAsia="黑体" w:cstheme="minorBidi"/>
      <w:kern w:val="2"/>
      <w:sz w:val="21"/>
      <w:szCs w:val="22"/>
    </w:rPr>
  </w:style>
  <w:style w:type="character" w:customStyle="1" w:styleId="46">
    <w:name w:val="正文文本缩进 字符"/>
    <w:basedOn w:val="24"/>
    <w:link w:val="3"/>
    <w:qFormat/>
    <w:uiPriority w:val="0"/>
    <w:rPr>
      <w:rFonts w:asciiTheme="minorHAnsi" w:hAnsiTheme="minorHAnsi" w:eastAsiaTheme="minorEastAsia" w:cstheme="minorBidi"/>
      <w:kern w:val="2"/>
      <w:sz w:val="21"/>
      <w:szCs w:val="24"/>
    </w:rPr>
  </w:style>
  <w:style w:type="character" w:customStyle="1" w:styleId="47">
    <w:name w:val="表格 Char"/>
    <w:link w:val="40"/>
    <w:qFormat/>
    <w:locked/>
    <w:uiPriority w:val="0"/>
    <w:rPr>
      <w:rFonts w:ascii="宋体" w:hAnsiTheme="minorHAnsi" w:eastAsiaTheme="minorEastAsia" w:cstheme="minorBidi"/>
      <w:sz w:val="24"/>
      <w:szCs w:val="24"/>
    </w:rPr>
  </w:style>
  <w:style w:type="character" w:customStyle="1" w:styleId="48">
    <w:name w:val="标题 2 字符"/>
    <w:basedOn w:val="24"/>
    <w:link w:val="7"/>
    <w:qFormat/>
    <w:uiPriority w:val="0"/>
    <w:rPr>
      <w:rFonts w:ascii="Times New Roman" w:hAnsi="Times New Roman" w:cstheme="minorBidi"/>
      <w:b/>
      <w:kern w:val="2"/>
      <w:sz w:val="28"/>
      <w:szCs w:val="24"/>
    </w:rPr>
  </w:style>
  <w:style w:type="paragraph" w:customStyle="1" w:styleId="49">
    <w:name w:val="列出段落1"/>
    <w:basedOn w:val="1"/>
    <w:qFormat/>
    <w:uiPriority w:val="34"/>
    <w:pPr>
      <w:ind w:firstLine="420"/>
    </w:pPr>
  </w:style>
  <w:style w:type="character" w:customStyle="1" w:styleId="50">
    <w:name w:val="题注 Char"/>
    <w:qFormat/>
    <w:locked/>
    <w:uiPriority w:val="0"/>
    <w:rPr>
      <w:rFonts w:ascii="Arial" w:hAnsi="Arial" w:eastAsia="黑体"/>
    </w:rPr>
  </w:style>
  <w:style w:type="character" w:customStyle="1" w:styleId="51">
    <w:name w:val="正文格式刷 Char"/>
    <w:link w:val="36"/>
    <w:qFormat/>
    <w:uiPriority w:val="0"/>
    <w:rPr>
      <w:rFonts w:asciiTheme="minorHAnsi" w:hAnsiTheme="minorHAnsi" w:eastAsiaTheme="minorEastAsia" w:cstheme="minorBidi"/>
      <w:kern w:val="2"/>
      <w:sz w:val="24"/>
      <w:szCs w:val="24"/>
    </w:rPr>
  </w:style>
  <w:style w:type="paragraph" w:customStyle="1" w:styleId="52">
    <w:name w:val="Char"/>
    <w:basedOn w:val="1"/>
    <w:qFormat/>
    <w:uiPriority w:val="0"/>
    <w:pPr>
      <w:spacing w:before="312" w:beforeLines="100" w:after="312" w:afterLines="100"/>
      <w:ind w:firstLine="200"/>
    </w:pPr>
    <w:rPr>
      <w:rFonts w:eastAsia="宋体" w:cs="Times New Roman"/>
    </w:rPr>
  </w:style>
  <w:style w:type="character" w:customStyle="1" w:styleId="53">
    <w:name w:val="img_detail1"/>
    <w:basedOn w:val="24"/>
    <w:qFormat/>
    <w:uiPriority w:val="0"/>
  </w:style>
  <w:style w:type="character" w:customStyle="1" w:styleId="54">
    <w:name w:val="fontstyle01"/>
    <w:basedOn w:val="24"/>
    <w:qFormat/>
    <w:uiPriority w:val="0"/>
    <w:rPr>
      <w:rFonts w:hint="eastAsia" w:ascii="宋体" w:hAnsi="宋体" w:eastAsia="宋体"/>
      <w:color w:val="000000"/>
      <w:sz w:val="24"/>
      <w:szCs w:val="24"/>
    </w:rPr>
  </w:style>
  <w:style w:type="character" w:customStyle="1" w:styleId="55">
    <w:name w:val="正文文本 字符"/>
    <w:basedOn w:val="24"/>
    <w:link w:val="4"/>
    <w:qFormat/>
    <w:uiPriority w:val="99"/>
    <w:rPr>
      <w:rFonts w:ascii="宋体" w:hAnsi="宋体" w:cstheme="minorBidi"/>
      <w:kern w:val="2"/>
      <w:sz w:val="28"/>
      <w:szCs w:val="24"/>
    </w:rPr>
  </w:style>
  <w:style w:type="character" w:customStyle="1" w:styleId="56">
    <w:name w:val="fontstyle21"/>
    <w:basedOn w:val="24"/>
    <w:qFormat/>
    <w:uiPriority w:val="0"/>
    <w:rPr>
      <w:rFonts w:hint="default" w:ascii="TimesNewRoman" w:hAnsi="TimesNewRoman"/>
      <w:color w:val="000000"/>
      <w:sz w:val="24"/>
      <w:szCs w:val="24"/>
    </w:rPr>
  </w:style>
  <w:style w:type="character" w:customStyle="1" w:styleId="57">
    <w:name w:val="fontstyle11"/>
    <w:basedOn w:val="24"/>
    <w:qFormat/>
    <w:uiPriority w:val="0"/>
    <w:rPr>
      <w:rFonts w:hint="default" w:ascii="TimesNewRoman" w:hAnsi="TimesNewRoman"/>
      <w:color w:val="000000"/>
      <w:sz w:val="24"/>
      <w:szCs w:val="24"/>
    </w:rPr>
  </w:style>
  <w:style w:type="character" w:customStyle="1" w:styleId="58">
    <w:name w:val="页眉 字符"/>
    <w:link w:val="14"/>
    <w:qFormat/>
    <w:uiPriority w:val="0"/>
    <w:rPr>
      <w:rFonts w:asciiTheme="minorHAnsi" w:hAnsiTheme="minorHAnsi" w:eastAsiaTheme="minorEastAsia" w:cstheme="minorBidi"/>
      <w:kern w:val="2"/>
      <w:sz w:val="18"/>
      <w:szCs w:val="24"/>
    </w:rPr>
  </w:style>
  <w:style w:type="character" w:customStyle="1" w:styleId="59">
    <w:name w:val="正文文本缩进 3 字符"/>
    <w:basedOn w:val="24"/>
    <w:link w:val="18"/>
    <w:qFormat/>
    <w:uiPriority w:val="0"/>
    <w:rPr>
      <w:rFonts w:asciiTheme="minorHAnsi" w:hAnsiTheme="minorHAnsi" w:eastAsiaTheme="minorEastAsia" w:cstheme="minorBidi"/>
      <w:kern w:val="2"/>
      <w:sz w:val="16"/>
      <w:szCs w:val="16"/>
    </w:rPr>
  </w:style>
  <w:style w:type="paragraph" w:styleId="60">
    <w:name w:val="List Paragraph"/>
    <w:basedOn w:val="1"/>
    <w:qFormat/>
    <w:uiPriority w:val="99"/>
    <w:pPr>
      <w:ind w:firstLine="420"/>
    </w:pPr>
  </w:style>
  <w:style w:type="paragraph" w:customStyle="1" w:styleId="61">
    <w:name w:val="表格属性"/>
    <w:basedOn w:val="34"/>
    <w:qFormat/>
    <w:uiPriority w:val="0"/>
    <w:pPr>
      <w:spacing w:line="240" w:lineRule="auto"/>
      <w:ind w:firstLine="0" w:firstLineChars="0"/>
    </w:pPr>
    <w:rPr>
      <w:rFonts w:cs="Arial"/>
    </w:rPr>
  </w:style>
  <w:style w:type="paragraph" w:customStyle="1" w:styleId="62">
    <w:name w:val="无段落前置"/>
    <w:basedOn w:val="1"/>
    <w:qFormat/>
    <w:uiPriority w:val="0"/>
    <w:pPr>
      <w:ind w:firstLine="0" w:firstLineChars="0"/>
      <w:jc w:val="center"/>
    </w:pPr>
    <w:rPr>
      <w:rFonts w:cs="Times New Roman"/>
    </w:rPr>
  </w:style>
  <w:style w:type="paragraph" w:customStyle="1" w:styleId="63">
    <w:name w:val="Normal+2"/>
    <w:basedOn w:val="32"/>
    <w:next w:val="32"/>
    <w:unhideWhenUsed/>
    <w:qFormat/>
    <w:uiPriority w:val="99"/>
    <w:rPr>
      <w:rFonts w:hint="default"/>
      <w:szCs w:val="24"/>
    </w:rPr>
  </w:style>
  <w:style w:type="paragraph" w:customStyle="1" w:styleId="64">
    <w:name w:val="表格001"/>
    <w:basedOn w:val="1"/>
    <w:qFormat/>
    <w:uiPriority w:val="0"/>
    <w:pPr>
      <w:numPr>
        <w:ilvl w:val="0"/>
        <w:numId w:val="4"/>
      </w:numPr>
      <w:autoSpaceDE w:val="0"/>
      <w:autoSpaceDN w:val="0"/>
      <w:adjustRightInd w:val="0"/>
      <w:snapToGrid w:val="0"/>
      <w:spacing w:before="50" w:beforeLines="50"/>
      <w:jc w:val="center"/>
    </w:pPr>
    <w:rPr>
      <w:b/>
      <w:kern w:val="0"/>
      <w:szCs w:val="21"/>
    </w:rPr>
  </w:style>
  <w:style w:type="character" w:styleId="65">
    <w:name w:val="Placeholder Text"/>
    <w:basedOn w:val="24"/>
    <w:semiHidden/>
    <w:qFormat/>
    <w:uiPriority w:val="99"/>
    <w:rPr>
      <w:color w:val="808080"/>
    </w:rPr>
  </w:style>
  <w:style w:type="character" w:customStyle="1" w:styleId="66">
    <w:name w:val="页脚 字符"/>
    <w:basedOn w:val="24"/>
    <w:link w:val="13"/>
    <w:qFormat/>
    <w:uiPriority w:val="99"/>
    <w:rPr>
      <w:rFonts w:eastAsiaTheme="minorEastAsia" w:cstheme="minorBidi"/>
      <w:kern w:val="2"/>
      <w:sz w:val="18"/>
      <w:szCs w:val="24"/>
    </w:rPr>
  </w:style>
  <w:style w:type="paragraph" w:customStyle="1" w:styleId="67">
    <w:name w:val="书正文"/>
    <w:basedOn w:val="1"/>
    <w:qFormat/>
    <w:uiPriority w:val="0"/>
    <w:pPr>
      <w:spacing w:line="520" w:lineRule="exact"/>
      <w:ind w:firstLine="560" w:firstLineChars="200"/>
    </w:pPr>
    <w:rPr>
      <w:rFonts w:hAnsi="宋体"/>
      <w:kern w:val="0"/>
      <w:sz w:val="28"/>
      <w:szCs w:val="28"/>
    </w:rPr>
  </w:style>
  <w:style w:type="paragraph" w:customStyle="1" w:styleId="68">
    <w:name w:val="表题"/>
    <w:basedOn w:val="1"/>
    <w:qFormat/>
    <w:uiPriority w:val="0"/>
    <w:pPr>
      <w:snapToGrid w:val="0"/>
      <w:spacing w:line="520" w:lineRule="exact"/>
      <w:jc w:val="center"/>
    </w:pPr>
    <w:rPr>
      <w:rFonts w:eastAsia="黑体"/>
      <w:sz w:val="24"/>
      <w:szCs w:val="20"/>
    </w:rPr>
  </w:style>
  <w:style w:type="paragraph" w:customStyle="1" w:styleId="69">
    <w:name w:val="第三章表名"/>
    <w:basedOn w:val="1"/>
    <w:qFormat/>
    <w:uiPriority w:val="0"/>
    <w:pPr>
      <w:numPr>
        <w:ilvl w:val="0"/>
        <w:numId w:val="5"/>
      </w:numPr>
      <w:adjustRightInd w:val="0"/>
      <w:snapToGrid w:val="0"/>
      <w:spacing w:line="520" w:lineRule="exact"/>
      <w:ind w:left="0" w:firstLine="0" w:firstLineChars="0"/>
      <w:jc w:val="center"/>
    </w:pPr>
    <w:rPr>
      <w:rFonts w:ascii="Times New Roman" w:hAnsi="Times New Roman" w:eastAsia="宋体"/>
      <w:b/>
    </w:rPr>
  </w:style>
  <w:style w:type="paragraph" w:customStyle="1" w:styleId="70">
    <w:name w:val="第四章表名"/>
    <w:basedOn w:val="1"/>
    <w:qFormat/>
    <w:uiPriority w:val="0"/>
    <w:pPr>
      <w:numPr>
        <w:ilvl w:val="0"/>
        <w:numId w:val="6"/>
      </w:numPr>
      <w:adjustRightInd w:val="0"/>
      <w:snapToGrid w:val="0"/>
      <w:spacing w:line="520" w:lineRule="exact"/>
      <w:ind w:firstLine="0"/>
      <w:jc w:val="center"/>
    </w:pPr>
    <w:rPr>
      <w:rFonts w:hint="eastAsia" w:ascii="Times New Roman" w:hAnsi="Times New Roman" w:eastAsia="宋体" w:cs="Times New Roman"/>
      <w:b/>
      <w:color w:val="auto"/>
      <w:spacing w:val="-2"/>
      <w:sz w:val="24"/>
    </w:rPr>
  </w:style>
  <w:style w:type="paragraph" w:customStyle="1" w:styleId="71">
    <w:name w:val="报告表正文"/>
    <w:basedOn w:val="1"/>
    <w:qFormat/>
    <w:uiPriority w:val="0"/>
    <w:pPr>
      <w:widowControl/>
      <w:spacing w:line="420" w:lineRule="auto"/>
      <w:ind w:firstLine="200" w:firstLineChars="200"/>
      <w:jc w:val="left"/>
    </w:pPr>
    <w:rPr>
      <w:rFonts w:ascii="Times New Roman" w:hAnsi="Times New Roman" w:eastAsia="宋体"/>
      <w:sz w:val="24"/>
      <w:szCs w:val="21"/>
    </w:rPr>
  </w:style>
  <w:style w:type="paragraph" w:customStyle="1" w:styleId="72">
    <w:name w:val="第五章表名"/>
    <w:basedOn w:val="1"/>
    <w:qFormat/>
    <w:uiPriority w:val="0"/>
    <w:pPr>
      <w:numPr>
        <w:ilvl w:val="0"/>
        <w:numId w:val="7"/>
      </w:numPr>
      <w:adjustRightInd w:val="0"/>
      <w:snapToGrid w:val="0"/>
      <w:spacing w:before="50" w:beforeLines="50" w:line="288" w:lineRule="auto"/>
      <w:ind w:left="0" w:firstLine="425"/>
      <w:jc w:val="center"/>
    </w:pPr>
    <w:rPr>
      <w:rFonts w:hint="eastAsia" w:cs="Times New Roman"/>
      <w:b/>
      <w:spacing w:val="-2"/>
    </w:rPr>
  </w:style>
  <w:style w:type="paragraph" w:customStyle="1" w:styleId="73">
    <w:name w:val="表格内容"/>
    <w:basedOn w:val="74"/>
    <w:qFormat/>
    <w:uiPriority w:val="0"/>
    <w:pPr>
      <w:jc w:val="center"/>
    </w:pPr>
    <w:rPr>
      <w:rFonts w:cs="宋体"/>
      <w:szCs w:val="21"/>
    </w:rPr>
  </w:style>
  <w:style w:type="paragraph" w:styleId="74">
    <w:name w:val="No Spacing"/>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75">
    <w:name w:val="3正文"/>
    <w:qFormat/>
    <w:uiPriority w:val="0"/>
    <w:pPr>
      <w:widowControl w:val="0"/>
      <w:spacing w:line="520" w:lineRule="exact"/>
      <w:ind w:firstLine="200" w:firstLineChars="200"/>
      <w:jc w:val="both"/>
    </w:pPr>
    <w:rPr>
      <w:rFonts w:ascii="Times New Roman" w:hAnsi="Times New Roman" w:eastAsia="宋体" w:cs="Times New Roman"/>
      <w:kern w:val="2"/>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3" Type="http://schemas.openxmlformats.org/officeDocument/2006/relationships/fontTable" Target="fontTable.xml"/><Relationship Id="rId32" Type="http://schemas.openxmlformats.org/officeDocument/2006/relationships/customXml" Target="../customXml/item2.xml"/><Relationship Id="rId31" Type="http://schemas.openxmlformats.org/officeDocument/2006/relationships/numbering" Target="numbering.xml"/><Relationship Id="rId30" Type="http://schemas.openxmlformats.org/officeDocument/2006/relationships/customXml" Target="../customXml/item1.xml"/><Relationship Id="rId3" Type="http://schemas.openxmlformats.org/officeDocument/2006/relationships/footnotes" Target="footnotes.xml"/><Relationship Id="rId29" Type="http://schemas.openxmlformats.org/officeDocument/2006/relationships/image" Target="media/image12.png"/><Relationship Id="rId28" Type="http://schemas.openxmlformats.org/officeDocument/2006/relationships/image" Target="media/image11.png"/><Relationship Id="rId27" Type="http://schemas.openxmlformats.org/officeDocument/2006/relationships/image" Target="media/image10.wmf"/><Relationship Id="rId26" Type="http://schemas.openxmlformats.org/officeDocument/2006/relationships/oleObject" Target="embeddings/oleObject8.bin"/><Relationship Id="rId25" Type="http://schemas.openxmlformats.org/officeDocument/2006/relationships/image" Target="media/image9.wmf"/><Relationship Id="rId24" Type="http://schemas.openxmlformats.org/officeDocument/2006/relationships/oleObject" Target="embeddings/oleObject7.bin"/><Relationship Id="rId23" Type="http://schemas.openxmlformats.org/officeDocument/2006/relationships/image" Target="media/image8.wmf"/><Relationship Id="rId22" Type="http://schemas.openxmlformats.org/officeDocument/2006/relationships/oleObject" Target="embeddings/oleObject6.bin"/><Relationship Id="rId21" Type="http://schemas.openxmlformats.org/officeDocument/2006/relationships/image" Target="media/image7.wmf"/><Relationship Id="rId20" Type="http://schemas.openxmlformats.org/officeDocument/2006/relationships/oleObject" Target="embeddings/oleObject5.bin"/><Relationship Id="rId2" Type="http://schemas.openxmlformats.org/officeDocument/2006/relationships/settings" Target="settings.xml"/><Relationship Id="rId19" Type="http://schemas.openxmlformats.org/officeDocument/2006/relationships/image" Target="media/image6.wmf"/><Relationship Id="rId18" Type="http://schemas.openxmlformats.org/officeDocument/2006/relationships/oleObject" Target="embeddings/oleObject4.bin"/><Relationship Id="rId17" Type="http://schemas.openxmlformats.org/officeDocument/2006/relationships/image" Target="media/image5.wmf"/><Relationship Id="rId16" Type="http://schemas.openxmlformats.org/officeDocument/2006/relationships/oleObject" Target="embeddings/oleObject3.bin"/><Relationship Id="rId15" Type="http://schemas.openxmlformats.org/officeDocument/2006/relationships/image" Target="media/image4.wmf"/><Relationship Id="rId14" Type="http://schemas.openxmlformats.org/officeDocument/2006/relationships/oleObject" Target="embeddings/oleObject2.bin"/><Relationship Id="rId13" Type="http://schemas.openxmlformats.org/officeDocument/2006/relationships/image" Target="media/image3.wmf"/><Relationship Id="rId12" Type="http://schemas.openxmlformats.org/officeDocument/2006/relationships/oleObject" Target="embeddings/oleObject1.bin"/><Relationship Id="rId11" Type="http://schemas.openxmlformats.org/officeDocument/2006/relationships/image" Target="media/image2.png"/><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bodyPr rtlCol="0" anchor="ctr"/>
      <a:lstStyle/>
      <a:style>
        <a:lnRef idx="2">
          <a:schemeClr val="accent1">
            <a:shade val="50000"/>
          </a:schemeClr>
        </a:lnRef>
        <a:fillRef idx="1">
          <a:schemeClr val="accent1"/>
        </a:fillRef>
        <a:effectRef idx="0">
          <a:schemeClr val="accent1"/>
        </a:effectRef>
        <a:fontRef idx="minor">
          <a:schemeClr val="lt1"/>
        </a:fontRef>
      </a:style>
    </a:spDef>
    <a:txDef>
      <a:spPr>
        <a:solidFill>
          <a:schemeClr val="lt1"/>
        </a:solidFill>
        <a:ln w="6350">
          <a:solidFill>
            <a:prstClr val="black"/>
          </a:solidFill>
        </a:ln>
      </a:spPr>
      <a:bodyPr wrap="square" rtlCol="0"/>
      <a:lstStyle/>
    </a:txDef>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B6C956E-A2C4-44C2-AEC2-291423DB5741}">
  <ds:schemaRefs/>
</ds:datastoreItem>
</file>

<file path=docProps/app.xml><?xml version="1.0" encoding="utf-8"?>
<Properties xmlns="http://schemas.openxmlformats.org/officeDocument/2006/extended-properties" xmlns:vt="http://schemas.openxmlformats.org/officeDocument/2006/docPropsVTypes">
  <Template>Normal</Template>
  <Company>HP</Company>
  <Pages>47</Pages>
  <Words>26330</Words>
  <Characters>29787</Characters>
  <Lines>315</Lines>
  <Paragraphs>858</Paragraphs>
  <TotalTime>0</TotalTime>
  <ScaleCrop>false</ScaleCrop>
  <LinksUpToDate>false</LinksUpToDate>
  <CharactersWithSpaces>30160</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2021-01-21T08:52:00Z</dcterms:created>
  <dc:creator>admin</dc:creator>
  <cp:lastModifiedBy>y</cp:lastModifiedBy>
  <cp:lastPrinted>2023-02-07T07:15:00Z</cp:lastPrinted>
  <dcterms:modified xsi:type="dcterms:W3CDTF">2023-02-15T07:46:10Z</dcterms:modified>
  <cp:revision>151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C31D7EB51FB9423FA615ABB68D767FB6</vt:lpwstr>
  </property>
</Properties>
</file>