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before="469" w:beforeLines="150" w:line="760" w:lineRule="exact"/>
        <w:ind w:firstLine="640" w:firstLineChars="200"/>
        <w:jc w:val="right"/>
        <w:textAlignment w:val="auto"/>
        <w:outlineLvl w:val="9"/>
        <w:rPr>
          <w:rFonts w:hint="default" w:ascii="Times New Roman" w:hAnsi="Times New Roman" w:eastAsia="仿宋" w:cs="Times New Roman"/>
          <w:color w:val="262626"/>
          <w:kern w:val="0"/>
          <w:szCs w:val="32"/>
        </w:rPr>
      </w:pPr>
    </w:p>
    <w:p>
      <w:pPr>
        <w:widowControl/>
        <w:spacing w:line="760" w:lineRule="exact"/>
        <w:ind w:firstLine="640" w:firstLineChars="200"/>
        <w:jc w:val="right"/>
        <w:rPr>
          <w:rFonts w:hint="default" w:ascii="Times New Roman" w:hAnsi="Times New Roman" w:eastAsia="仿宋" w:cs="Times New Roman"/>
          <w:color w:val="262626"/>
          <w:kern w:val="0"/>
          <w:sz w:val="32"/>
          <w:szCs w:val="32"/>
        </w:rPr>
      </w:pPr>
    </w:p>
    <w:p>
      <w:pPr>
        <w:widowControl/>
        <w:spacing w:line="760" w:lineRule="exact"/>
        <w:ind w:firstLine="640" w:firstLineChars="200"/>
        <w:jc w:val="right"/>
        <w:rPr>
          <w:rFonts w:hint="default" w:ascii="Times New Roman" w:hAnsi="Times New Roman" w:eastAsia="仿宋" w:cs="Times New Roman"/>
          <w:color w:val="262626"/>
          <w:kern w:val="0"/>
          <w:szCs w:val="32"/>
        </w:rPr>
      </w:pPr>
    </w:p>
    <w:p>
      <w:pPr>
        <w:keepNext w:val="0"/>
        <w:keepLines w:val="0"/>
        <w:pageBreakBefore w:val="0"/>
        <w:widowControl/>
        <w:kinsoku/>
        <w:wordWrap/>
        <w:overflowPunct/>
        <w:topLinePunct w:val="0"/>
        <w:autoSpaceDE/>
        <w:autoSpaceDN/>
        <w:bidi w:val="0"/>
        <w:adjustRightInd/>
        <w:snapToGrid/>
        <w:spacing w:before="157" w:beforeLines="50" w:line="700" w:lineRule="exact"/>
        <w:ind w:firstLine="640" w:firstLineChars="200"/>
        <w:jc w:val="right"/>
        <w:textAlignment w:val="auto"/>
        <w:rPr>
          <w:rFonts w:hint="default" w:ascii="Times New Roman" w:hAnsi="Times New Roman" w:cs="Times New Roman"/>
          <w:color w:val="auto"/>
          <w:kern w:val="0"/>
          <w:szCs w:val="32"/>
        </w:rPr>
      </w:pPr>
      <w:r>
        <w:rPr>
          <w:rFonts w:hint="default" w:ascii="Times New Roman" w:hAnsi="Times New Roman" w:cs="Times New Roman"/>
          <w:color w:val="auto"/>
          <w:kern w:val="0"/>
          <w:szCs w:val="32"/>
        </w:rPr>
        <w:t>济环审〔202</w:t>
      </w:r>
      <w:r>
        <w:rPr>
          <w:rFonts w:hint="default" w:ascii="Times New Roman" w:hAnsi="Times New Roman" w:cs="Times New Roman"/>
          <w:color w:val="auto"/>
          <w:kern w:val="0"/>
          <w:szCs w:val="32"/>
          <w:lang w:val="en-US" w:eastAsia="zh-CN"/>
        </w:rPr>
        <w:t>3</w:t>
      </w:r>
      <w:r>
        <w:rPr>
          <w:rFonts w:hint="default" w:ascii="Times New Roman" w:hAnsi="Times New Roman" w:cs="Times New Roman"/>
          <w:color w:val="auto"/>
          <w:kern w:val="0"/>
          <w:szCs w:val="32"/>
        </w:rPr>
        <w:t>〕</w:t>
      </w:r>
      <w:r>
        <w:rPr>
          <w:rFonts w:hint="eastAsia" w:ascii="Times New Roman" w:hAnsi="Times New Roman" w:cs="Times New Roman"/>
          <w:color w:val="auto"/>
          <w:kern w:val="0"/>
          <w:szCs w:val="32"/>
          <w:lang w:val="en-US" w:eastAsia="zh-CN"/>
        </w:rPr>
        <w:t>16</w:t>
      </w:r>
      <w:r>
        <w:rPr>
          <w:rFonts w:hint="default" w:ascii="Times New Roman" w:hAnsi="Times New Roman" w:cs="Times New Roman"/>
          <w:color w:val="auto"/>
          <w:kern w:val="0"/>
          <w:szCs w:val="32"/>
        </w:rPr>
        <w:t>号</w:t>
      </w:r>
    </w:p>
    <w:p>
      <w:pPr>
        <w:widowControl/>
        <w:spacing w:line="460" w:lineRule="exact"/>
        <w:ind w:firstLine="640" w:firstLineChars="200"/>
        <w:jc w:val="right"/>
        <w:rPr>
          <w:rFonts w:hint="default" w:ascii="Times New Roman" w:hAnsi="Times New Roman" w:cs="Times New Roman"/>
          <w:color w:val="262626"/>
          <w:kern w:val="0"/>
          <w:szCs w:val="32"/>
        </w:rPr>
      </w:pPr>
    </w:p>
    <w:p>
      <w:pPr>
        <w:widowControl/>
        <w:spacing w:line="660" w:lineRule="exact"/>
        <w:jc w:val="center"/>
        <w:rPr>
          <w:rFonts w:hint="eastAsia" w:ascii="方正小标宋_GBK" w:hAnsi="方正小标宋_GBK" w:eastAsia="方正小标宋_GBK" w:cs="方正小标宋_GBK"/>
          <w:b w:val="0"/>
          <w:bCs w:val="0"/>
          <w:color w:val="262626"/>
          <w:kern w:val="0"/>
          <w:sz w:val="44"/>
          <w:szCs w:val="44"/>
          <w:lang w:val="en" w:eastAsia="zh-CN" w:bidi="ar-SA"/>
        </w:rPr>
      </w:pPr>
      <w:r>
        <w:rPr>
          <w:rFonts w:hint="eastAsia" w:ascii="方正小标宋_GBK" w:hAnsi="方正小标宋_GBK" w:eastAsia="方正小标宋_GBK" w:cs="方正小标宋_GBK"/>
          <w:b w:val="0"/>
          <w:bCs w:val="0"/>
          <w:color w:val="262626"/>
          <w:kern w:val="0"/>
          <w:sz w:val="44"/>
          <w:szCs w:val="44"/>
          <w:lang w:val="en" w:eastAsia="zh-CN" w:bidi="ar-SA"/>
        </w:rPr>
        <w:t>济源市生态环境局</w:t>
      </w:r>
    </w:p>
    <w:p>
      <w:pPr>
        <w:widowControl/>
        <w:spacing w:line="660" w:lineRule="exact"/>
        <w:jc w:val="center"/>
        <w:rPr>
          <w:rFonts w:hint="eastAsia" w:ascii="方正小标宋_GBK" w:hAnsi="方正小标宋_GBK" w:eastAsia="方正小标宋_GBK" w:cs="方正小标宋_GBK"/>
          <w:b w:val="0"/>
          <w:bCs w:val="0"/>
          <w:color w:val="262626"/>
          <w:kern w:val="0"/>
          <w:sz w:val="44"/>
          <w:szCs w:val="44"/>
          <w:lang w:val="en" w:eastAsia="zh-CN" w:bidi="ar-SA"/>
        </w:rPr>
      </w:pPr>
      <w:r>
        <w:rPr>
          <w:rFonts w:hint="eastAsia" w:ascii="方正小标宋_GBK" w:hAnsi="方正小标宋_GBK" w:eastAsia="方正小标宋_GBK" w:cs="方正小标宋_GBK"/>
          <w:b w:val="0"/>
          <w:bCs w:val="0"/>
          <w:color w:val="262626"/>
          <w:kern w:val="0"/>
          <w:sz w:val="44"/>
          <w:szCs w:val="44"/>
          <w:lang w:val="en" w:eastAsia="zh-CN" w:bidi="ar-SA"/>
        </w:rPr>
        <w:t>关于河南河大纳米材料工程研究中心</w:t>
      </w:r>
    </w:p>
    <w:p>
      <w:pPr>
        <w:widowControl/>
        <w:spacing w:line="660" w:lineRule="exact"/>
        <w:jc w:val="center"/>
        <w:rPr>
          <w:rFonts w:hint="eastAsia" w:ascii="方正小标宋_GBK" w:hAnsi="方正小标宋_GBK" w:eastAsia="方正小标宋_GBK" w:cs="方正小标宋_GBK"/>
          <w:b w:val="0"/>
          <w:bCs w:val="0"/>
          <w:color w:val="262626"/>
          <w:kern w:val="0"/>
          <w:sz w:val="44"/>
          <w:szCs w:val="44"/>
          <w:lang w:val="en" w:eastAsia="zh-CN" w:bidi="ar-SA"/>
        </w:rPr>
      </w:pPr>
      <w:r>
        <w:rPr>
          <w:rFonts w:hint="eastAsia" w:ascii="方正小标宋_GBK" w:hAnsi="方正小标宋_GBK" w:eastAsia="方正小标宋_GBK" w:cs="方正小标宋_GBK"/>
          <w:b w:val="0"/>
          <w:bCs w:val="0"/>
          <w:color w:val="262626"/>
          <w:kern w:val="0"/>
          <w:sz w:val="44"/>
          <w:szCs w:val="44"/>
          <w:lang w:val="en" w:eastAsia="zh-CN" w:bidi="ar-SA"/>
        </w:rPr>
        <w:t>有限公司年产500吨钛基功能材料项目</w:t>
      </w:r>
    </w:p>
    <w:p>
      <w:pPr>
        <w:widowControl/>
        <w:spacing w:line="660" w:lineRule="exact"/>
        <w:jc w:val="center"/>
        <w:rPr>
          <w:rFonts w:hint="eastAsia" w:ascii="方正小标宋_GBK" w:hAnsi="方正小标宋_GBK" w:eastAsia="方正小标宋_GBK" w:cs="方正小标宋_GBK"/>
          <w:color w:val="262626"/>
          <w:kern w:val="0"/>
          <w:sz w:val="44"/>
          <w:szCs w:val="44"/>
        </w:rPr>
      </w:pPr>
      <w:r>
        <w:rPr>
          <w:rFonts w:hint="eastAsia" w:ascii="方正小标宋_GBK" w:hAnsi="方正小标宋_GBK" w:eastAsia="方正小标宋_GBK" w:cs="方正小标宋_GBK"/>
          <w:b w:val="0"/>
          <w:bCs w:val="0"/>
          <w:color w:val="262626"/>
          <w:kern w:val="0"/>
          <w:sz w:val="44"/>
          <w:szCs w:val="44"/>
          <w:lang w:val="en-US" w:eastAsia="zh-CN" w:bidi="ar-SA"/>
        </w:rPr>
        <w:t>环境影响报告书</w:t>
      </w:r>
      <w:r>
        <w:rPr>
          <w:rFonts w:hint="eastAsia" w:ascii="方正小标宋_GBK" w:hAnsi="方正小标宋_GBK" w:eastAsia="方正小标宋_GBK" w:cs="方正小标宋_GBK"/>
          <w:b w:val="0"/>
          <w:bCs w:val="0"/>
          <w:color w:val="262626"/>
          <w:kern w:val="0"/>
          <w:sz w:val="44"/>
          <w:szCs w:val="44"/>
          <w:lang w:val="en" w:eastAsia="zh-CN" w:bidi="ar-SA"/>
        </w:rPr>
        <w:t>的批复</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cs="Times New Roman"/>
          <w:szCs w:val="32"/>
          <w:lang w:val="en" w:eastAsia="zh-CN"/>
        </w:rPr>
      </w:pPr>
    </w:p>
    <w:p>
      <w:pPr>
        <w:keepNext w:val="0"/>
        <w:keepLines w:val="0"/>
        <w:pageBreakBefore w:val="0"/>
        <w:widowControl w:val="0"/>
        <w:kinsoku/>
        <w:wordWrap/>
        <w:overflowPunct/>
        <w:topLinePunct w:val="0"/>
        <w:autoSpaceDE/>
        <w:autoSpaceDN/>
        <w:bidi w:val="0"/>
        <w:adjustRightInd/>
        <w:snapToGrid/>
        <w:spacing w:line="550" w:lineRule="exact"/>
        <w:textAlignment w:val="auto"/>
        <w:rPr>
          <w:rFonts w:hint="default" w:ascii="Times New Roman" w:hAnsi="Times New Roman" w:cs="Times New Roman"/>
          <w:szCs w:val="32"/>
        </w:rPr>
      </w:pPr>
      <w:r>
        <w:rPr>
          <w:rFonts w:hint="default" w:ascii="Times New Roman" w:hAnsi="Times New Roman" w:cs="Times New Roman"/>
          <w:szCs w:val="32"/>
          <w:lang w:val="en" w:eastAsia="zh-CN"/>
        </w:rPr>
        <w:t>河南河大纳米材料工程研究中心有限公司</w:t>
      </w:r>
      <w:r>
        <w:rPr>
          <w:rFonts w:hint="default" w:ascii="Times New Roman" w:hAnsi="Times New Roman" w:cs="Times New Roman"/>
          <w:szCs w:val="32"/>
        </w:rPr>
        <w:t>：</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rPr>
        <w:t>你单位（统一社会信用代码：9141900179571046X2</w:t>
      </w:r>
      <w:r>
        <w:rPr>
          <w:rFonts w:hint="default" w:ascii="Times New Roman" w:hAnsi="Times New Roman" w:cs="Times New Roman"/>
          <w:szCs w:val="32"/>
          <w:lang w:val="en-US" w:eastAsia="zh-CN"/>
        </w:rPr>
        <w:t>）</w:t>
      </w:r>
      <w:r>
        <w:rPr>
          <w:rFonts w:hint="default" w:ascii="Times New Roman" w:hAnsi="Times New Roman" w:cs="Times New Roman"/>
          <w:szCs w:val="32"/>
        </w:rPr>
        <w:t>报送的由</w:t>
      </w:r>
      <w:r>
        <w:rPr>
          <w:rFonts w:hint="default" w:ascii="Times New Roman" w:hAnsi="Times New Roman" w:cs="Times New Roman"/>
          <w:szCs w:val="32"/>
          <w:lang w:eastAsia="zh-CN"/>
        </w:rPr>
        <w:t>河南济环环保科技有限公司</w:t>
      </w:r>
      <w:r>
        <w:rPr>
          <w:rFonts w:hint="eastAsia" w:ascii="Times New Roman" w:hAnsi="Times New Roman" w:cs="Times New Roman"/>
          <w:szCs w:val="32"/>
          <w:lang w:eastAsia="zh-CN"/>
        </w:rPr>
        <w:t>孔静</w:t>
      </w:r>
      <w:r>
        <w:rPr>
          <w:rFonts w:hint="default" w:ascii="Times New Roman" w:hAnsi="Times New Roman" w:cs="Times New Roman"/>
          <w:szCs w:val="32"/>
        </w:rPr>
        <w:t>主持编制的《河南河大纳米材料工程研究中心有限公司年产500吨钛基功能材料项目</w:t>
      </w:r>
      <w:r>
        <w:rPr>
          <w:rFonts w:hint="default" w:ascii="Times New Roman" w:hAnsi="Times New Roman" w:cs="Times New Roman"/>
          <w:szCs w:val="32"/>
          <w:lang w:val="en-US" w:eastAsia="zh-CN"/>
        </w:rPr>
        <w:t>环境影响报告书》</w:t>
      </w:r>
      <w:r>
        <w:rPr>
          <w:rFonts w:hint="default" w:ascii="Times New Roman" w:hAnsi="Times New Roman" w:cs="Times New Roman"/>
          <w:szCs w:val="32"/>
        </w:rPr>
        <w:t>（以下简称《报告</w:t>
      </w:r>
      <w:r>
        <w:rPr>
          <w:rFonts w:hint="default" w:ascii="Times New Roman" w:hAnsi="Times New Roman" w:cs="Times New Roman"/>
          <w:szCs w:val="32"/>
          <w:lang w:eastAsia="zh-CN"/>
        </w:rPr>
        <w:t>书</w:t>
      </w:r>
      <w:r>
        <w:rPr>
          <w:rFonts w:hint="default" w:ascii="Times New Roman" w:hAnsi="Times New Roman" w:cs="Times New Roman"/>
          <w:szCs w:val="32"/>
        </w:rPr>
        <w:t>》）及行政审批申请等资料收悉，项目环评审批事项已在我局网站公示期满。根据《中华人民共和国环境保护法》《中华人民共和国行政许可法》《中华人民共和国环境影响评价法》《建设项目环境保护管理条例》等法律法规规定，经研究，批复如下：</w:t>
      </w:r>
    </w:p>
    <w:p>
      <w:pPr>
        <w:keepNext w:val="0"/>
        <w:keepLines w:val="0"/>
        <w:pageBreakBefore w:val="0"/>
        <w:widowControl w:val="0"/>
        <w:numPr>
          <w:ilvl w:val="0"/>
          <w:numId w:val="1"/>
        </w:numPr>
        <w:kinsoku/>
        <w:wordWrap/>
        <w:overflowPunct/>
        <w:topLinePunct w:val="0"/>
        <w:autoSpaceDE/>
        <w:autoSpaceDN/>
        <w:bidi w:val="0"/>
        <w:adjustRightInd/>
        <w:snapToGrid/>
        <w:spacing w:line="550" w:lineRule="exact"/>
        <w:ind w:left="0" w:leftChars="0" w:firstLine="640" w:firstLineChars="200"/>
        <w:textAlignment w:val="auto"/>
        <w:rPr>
          <w:rFonts w:hint="default" w:ascii="Times New Roman" w:hAnsi="Times New Roman" w:cs="Times New Roman"/>
          <w:szCs w:val="32"/>
        </w:rPr>
      </w:pPr>
      <w:r>
        <w:rPr>
          <w:rFonts w:hint="eastAsia" w:ascii="Times New Roman" w:hAnsi="Times New Roman" w:cs="Times New Roman"/>
          <w:szCs w:val="32"/>
          <w:lang w:eastAsia="zh-CN"/>
        </w:rPr>
        <w:t>项目</w:t>
      </w:r>
      <w:r>
        <w:rPr>
          <w:rFonts w:hint="eastAsia" w:ascii="Times New Roman" w:hAnsi="Times New Roman" w:cs="Times New Roman"/>
          <w:szCs w:val="32"/>
        </w:rPr>
        <w:t>位于济源市五龙口镇广惠街6号纳米新材料产业园A区，租用园区现有</w:t>
      </w:r>
      <w:r>
        <w:rPr>
          <w:rFonts w:hint="eastAsia" w:ascii="Times New Roman" w:hAnsi="Times New Roman" w:cs="Times New Roman"/>
          <w:szCs w:val="32"/>
          <w:lang w:eastAsia="zh-CN"/>
        </w:rPr>
        <w:t>厂房</w:t>
      </w:r>
      <w:r>
        <w:rPr>
          <w:rFonts w:hint="eastAsia" w:ascii="Times New Roman" w:hAnsi="Times New Roman" w:cs="Times New Roman"/>
          <w:szCs w:val="32"/>
          <w:lang w:val="en-US" w:eastAsia="zh-CN"/>
        </w:rPr>
        <w:t>建设</w:t>
      </w:r>
      <w:r>
        <w:rPr>
          <w:rFonts w:hint="eastAsia" w:ascii="Times New Roman" w:hAnsi="Times New Roman" w:cs="Times New Roman"/>
          <w:szCs w:val="32"/>
        </w:rPr>
        <w:t>年产5</w:t>
      </w:r>
      <w:bookmarkStart w:id="0" w:name="_GoBack"/>
      <w:bookmarkEnd w:id="0"/>
      <w:r>
        <w:rPr>
          <w:rFonts w:hint="eastAsia" w:ascii="Times New Roman" w:hAnsi="Times New Roman" w:cs="Times New Roman"/>
          <w:szCs w:val="32"/>
        </w:rPr>
        <w:t>00吨钛基功能材料项目</w:t>
      </w:r>
      <w:r>
        <w:rPr>
          <w:rFonts w:hint="eastAsia" w:ascii="Times New Roman" w:hAnsi="Times New Roman" w:cs="Times New Roman"/>
          <w:szCs w:val="32"/>
          <w:lang w:eastAsia="zh-CN"/>
        </w:rPr>
        <w:t>。</w:t>
      </w:r>
      <w:r>
        <w:rPr>
          <w:rFonts w:hint="eastAsia" w:ascii="Times New Roman" w:hAnsi="Times New Roman" w:cs="Times New Roman"/>
          <w:szCs w:val="32"/>
        </w:rPr>
        <w:t>项目分为两期建设，一期为中试平台建设，二期建设500吨钛基功能材料生产线，利用自产的钛活性体制备纳米级钛酸锂和钛酸钡（包括200t/a钛酸锂和300t/a钛酸钡）</w:t>
      </w:r>
      <w:r>
        <w:rPr>
          <w:rFonts w:hint="eastAsia" w:ascii="Times New Roman" w:hAnsi="Times New Roman" w:cs="Times New Roman"/>
          <w:szCs w:val="32"/>
          <w:lang w:eastAsia="zh-CN"/>
        </w:rPr>
        <w:t>。</w:t>
      </w:r>
      <w:r>
        <w:rPr>
          <w:rFonts w:hint="eastAsia" w:ascii="Times New Roman" w:hAnsi="Times New Roman" w:cs="Times New Roman"/>
          <w:szCs w:val="32"/>
        </w:rPr>
        <w:t>项目原材料主要为二氧化钛、氢氧化锂、八水合氢氧化钡，主要生产工艺为浆料制备-水洗-干燥-粉碎-煅烧。</w:t>
      </w:r>
    </w:p>
    <w:p>
      <w:pPr>
        <w:keepNext w:val="0"/>
        <w:keepLines w:val="0"/>
        <w:pageBreakBefore w:val="0"/>
        <w:widowControl w:val="0"/>
        <w:numPr>
          <w:ilvl w:val="0"/>
          <w:numId w:val="1"/>
        </w:numPr>
        <w:kinsoku/>
        <w:wordWrap/>
        <w:overflowPunct/>
        <w:topLinePunct w:val="0"/>
        <w:autoSpaceDE/>
        <w:autoSpaceDN/>
        <w:bidi w:val="0"/>
        <w:adjustRightInd/>
        <w:snapToGrid/>
        <w:spacing w:line="550" w:lineRule="exact"/>
        <w:ind w:left="0" w:leftChars="0" w:firstLine="640" w:firstLineChars="200"/>
        <w:textAlignment w:val="auto"/>
        <w:rPr>
          <w:rFonts w:hint="default" w:ascii="Times New Roman" w:hAnsi="Times New Roman" w:cs="Times New Roman"/>
          <w:szCs w:val="32"/>
        </w:rPr>
      </w:pPr>
      <w:r>
        <w:rPr>
          <w:rFonts w:hint="default" w:ascii="Times New Roman" w:hAnsi="Times New Roman" w:cs="Times New Roman"/>
          <w:szCs w:val="32"/>
        </w:rPr>
        <w:t>该《报告书》内容符合国家有关法律法规要求和建设项目环境管理规定，评价结论可信。我局批准该《报告书》，原则同意你公司按照《报告书》所列项目的性质、规模、地点及环境保护对策措施等内容进行建设。</w:t>
      </w:r>
    </w:p>
    <w:p>
      <w:pPr>
        <w:keepNext w:val="0"/>
        <w:keepLines w:val="0"/>
        <w:pageBreakBefore w:val="0"/>
        <w:widowControl w:val="0"/>
        <w:numPr>
          <w:ilvl w:val="0"/>
          <w:numId w:val="1"/>
        </w:numPr>
        <w:kinsoku/>
        <w:wordWrap/>
        <w:overflowPunct/>
        <w:topLinePunct w:val="0"/>
        <w:autoSpaceDE/>
        <w:autoSpaceDN/>
        <w:bidi w:val="0"/>
        <w:adjustRightInd/>
        <w:snapToGrid/>
        <w:spacing w:line="550" w:lineRule="exact"/>
        <w:ind w:left="0" w:leftChars="0" w:firstLine="640" w:firstLineChars="200"/>
        <w:textAlignment w:val="auto"/>
        <w:rPr>
          <w:rFonts w:hint="default" w:ascii="Times New Roman" w:hAnsi="Times New Roman" w:cs="Times New Roman"/>
          <w:szCs w:val="32"/>
        </w:rPr>
      </w:pPr>
      <w:r>
        <w:rPr>
          <w:rFonts w:hint="default" w:ascii="Times New Roman" w:hAnsi="Times New Roman" w:cs="Times New Roman"/>
          <w:szCs w:val="32"/>
          <w:lang w:val="en-US" w:eastAsia="zh-CN"/>
        </w:rPr>
        <w:t>你单位应向社会公众主动公开已经批准的《报告书》，接受相关方的垂询。</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lang w:val="en-US" w:eastAsia="zh-CN"/>
        </w:rPr>
        <w:t>四</w:t>
      </w:r>
      <w:r>
        <w:rPr>
          <w:rFonts w:hint="default" w:ascii="Times New Roman" w:hAnsi="Times New Roman" w:cs="Times New Roman"/>
          <w:szCs w:val="32"/>
        </w:rPr>
        <w:t>、你单位应全面落实《报告</w:t>
      </w:r>
      <w:r>
        <w:rPr>
          <w:rFonts w:hint="default" w:ascii="Times New Roman" w:hAnsi="Times New Roman" w:cs="Times New Roman"/>
          <w:szCs w:val="32"/>
          <w:lang w:eastAsia="zh-CN"/>
        </w:rPr>
        <w:t>书</w:t>
      </w:r>
      <w:r>
        <w:rPr>
          <w:rFonts w:hint="default" w:ascii="Times New Roman" w:hAnsi="Times New Roman" w:cs="Times New Roman"/>
          <w:szCs w:val="32"/>
        </w:rPr>
        <w:t>》提出的各项环境保护措施，各项环境保护设施与主体工程同时设计、同时施工、同时投入使用，确保各项污染物达标排放。</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cs="Times New Roman"/>
          <w:szCs w:val="32"/>
        </w:rPr>
      </w:pPr>
      <w:r>
        <w:rPr>
          <w:rFonts w:hint="default" w:ascii="Times New Roman" w:hAnsi="Times New Roman" w:eastAsia="仿宋_GB2312" w:cs="Times New Roman"/>
          <w:sz w:val="32"/>
          <w:szCs w:val="32"/>
        </w:rPr>
        <w:t>（一）向设计单位提供《报告</w:t>
      </w:r>
      <w:r>
        <w:rPr>
          <w:rFonts w:hint="default" w:ascii="Times New Roman" w:hAnsi="Times New Roman" w:cs="Times New Roman"/>
          <w:sz w:val="32"/>
          <w:szCs w:val="32"/>
          <w:lang w:eastAsia="zh-CN"/>
        </w:rPr>
        <w:t>书</w:t>
      </w:r>
      <w:r>
        <w:rPr>
          <w:rFonts w:hint="default" w:ascii="Times New Roman" w:hAnsi="Times New Roman" w:eastAsia="仿宋_GB2312" w:cs="Times New Roman"/>
          <w:sz w:val="32"/>
          <w:szCs w:val="32"/>
        </w:rPr>
        <w:t>》和本批复文件，确保项目</w:t>
      </w:r>
      <w:r>
        <w:rPr>
          <w:rFonts w:hint="default" w:ascii="Times New Roman" w:hAnsi="Times New Roman" w:cs="Times New Roman"/>
          <w:szCs w:val="32"/>
        </w:rPr>
        <w:t>设计按照环境保护设计规范要求，落实防治环境污染和生态破坏的措施。</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lang w:eastAsia="zh-CN"/>
        </w:rPr>
        <w:t>（</w:t>
      </w:r>
      <w:r>
        <w:rPr>
          <w:rFonts w:hint="default" w:ascii="Times New Roman" w:hAnsi="Times New Roman" w:cs="Times New Roman"/>
          <w:szCs w:val="32"/>
        </w:rPr>
        <w:t>二</w:t>
      </w:r>
      <w:r>
        <w:rPr>
          <w:rFonts w:hint="default" w:ascii="Times New Roman" w:hAnsi="Times New Roman" w:cs="Times New Roman"/>
          <w:szCs w:val="32"/>
          <w:lang w:eastAsia="zh-CN"/>
        </w:rPr>
        <w:t>）</w:t>
      </w:r>
      <w:r>
        <w:rPr>
          <w:rFonts w:hint="default" w:ascii="Times New Roman" w:hAnsi="Times New Roman" w:cs="Times New Roman"/>
          <w:szCs w:val="32"/>
        </w:rPr>
        <w:t>依据《报告书》和本批复文件，对项目建设过程中产生的废水、废气、固体废物、噪声等污染，采取相应的措施，做好扬尘防治工作。</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lang w:eastAsia="zh-CN"/>
        </w:rPr>
        <w:t>（三）</w:t>
      </w:r>
      <w:r>
        <w:rPr>
          <w:rFonts w:hint="default" w:ascii="Times New Roman" w:hAnsi="Times New Roman" w:cs="Times New Roman"/>
          <w:szCs w:val="32"/>
        </w:rPr>
        <w:t>项目运行时，外排污染物应满足如下要求：</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eastAsia" w:ascii="Times New Roman" w:hAnsi="Times New Roman" w:cs="Times New Roman"/>
          <w:color w:val="auto"/>
          <w:szCs w:val="32"/>
          <w:lang w:val="en-US" w:eastAsia="zh-CN"/>
        </w:rPr>
      </w:pPr>
      <w:r>
        <w:rPr>
          <w:rFonts w:hint="default" w:ascii="Times New Roman" w:hAnsi="Times New Roman" w:cs="Times New Roman"/>
          <w:szCs w:val="32"/>
          <w:lang w:val="en-US" w:eastAsia="zh-CN"/>
        </w:rPr>
        <w:t>1</w:t>
      </w:r>
      <w:r>
        <w:rPr>
          <w:rFonts w:hint="default" w:ascii="Times New Roman" w:hAnsi="Times New Roman" w:cs="Times New Roman"/>
          <w:szCs w:val="32"/>
        </w:rPr>
        <w:t>.废气：</w:t>
      </w:r>
      <w:r>
        <w:rPr>
          <w:rFonts w:hint="eastAsia" w:ascii="仿宋_GB2312" w:hAnsi="仿宋_GB2312" w:eastAsia="仿宋_GB2312" w:cs="仿宋_GB2312"/>
          <w:szCs w:val="32"/>
        </w:rPr>
        <w:t>项目应采取合理措施，加强废气的收集和处理，减少生产过程中的无组织废气排放。</w:t>
      </w:r>
      <w:r>
        <w:rPr>
          <w:rFonts w:hint="eastAsia" w:ascii="Times New Roman" w:hAnsi="Times New Roman" w:cs="Times New Roman"/>
          <w:sz w:val="32"/>
          <w:szCs w:val="32"/>
          <w:highlight w:val="none"/>
          <w:lang w:val="en-US" w:eastAsia="zh-CN"/>
        </w:rPr>
        <w:t>各类废气经处理后</w:t>
      </w:r>
      <w:r>
        <w:rPr>
          <w:rFonts w:hint="eastAsia" w:ascii="仿宋_GB2312" w:hAnsi="仿宋_GB2312" w:cs="仿宋_GB2312"/>
          <w:sz w:val="32"/>
          <w:szCs w:val="32"/>
          <w:lang w:val="en-US" w:eastAsia="zh-CN"/>
        </w:rPr>
        <w:t>须满足</w:t>
      </w:r>
      <w:r>
        <w:rPr>
          <w:rFonts w:hint="eastAsia" w:ascii="Times New Roman" w:hAnsi="Times New Roman" w:eastAsia="仿宋_GB2312" w:cs="Times New Roman"/>
          <w:sz w:val="32"/>
          <w:szCs w:val="32"/>
          <w:highlight w:val="none"/>
          <w:lang w:val="en-US" w:eastAsia="zh-CN"/>
        </w:rPr>
        <w:t>《无机化学工业污染</w:t>
      </w:r>
      <w:r>
        <w:rPr>
          <w:rFonts w:hint="eastAsia" w:ascii="Times New Roman" w:hAnsi="Times New Roman" w:eastAsia="仿宋_GB2312" w:cs="Times New Roman"/>
          <w:color w:val="auto"/>
          <w:sz w:val="32"/>
          <w:szCs w:val="32"/>
          <w:highlight w:val="none"/>
          <w:lang w:val="en-US" w:eastAsia="zh-CN"/>
        </w:rPr>
        <w:t>物排放</w:t>
      </w:r>
      <w:r>
        <w:rPr>
          <w:rFonts w:hint="eastAsia" w:ascii="仿宋_GB2312" w:hAnsi="仿宋_GB2312" w:eastAsia="仿宋_GB2312" w:cs="仿宋_GB2312"/>
          <w:color w:val="auto"/>
          <w:szCs w:val="32"/>
          <w:lang w:val="en-US" w:eastAsia="zh-CN"/>
        </w:rPr>
        <w:t>标准》（GB 31573-2015），同时满足《济源示范区涉颗粒物锅炉窑炉和涉VOCs通用行业绩效分级指标体系的通知》（济管环〔2023〕33号）中A级企业指标要求。</w:t>
      </w:r>
      <w:r>
        <w:rPr>
          <w:rFonts w:hint="eastAsia" w:ascii="Times New Roman" w:hAnsi="Times New Roman" w:cs="Times New Roman"/>
          <w:color w:val="auto"/>
          <w:szCs w:val="32"/>
          <w:lang w:val="en-US" w:eastAsia="zh-CN"/>
        </w:rPr>
        <w:t>厂界无组织颗粒物参照执行《大气污染物综合排放标准》（GB16297-1996）标准限值要求。</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cs="Times New Roman"/>
          <w:szCs w:val="32"/>
          <w:lang w:val="en-US" w:eastAsia="zh-CN"/>
        </w:rPr>
      </w:pPr>
      <w:r>
        <w:rPr>
          <w:rFonts w:hint="default" w:ascii="Times New Roman" w:hAnsi="Times New Roman" w:cs="Times New Roman"/>
          <w:color w:val="auto"/>
          <w:szCs w:val="32"/>
          <w:lang w:val="en-US" w:eastAsia="zh-CN"/>
        </w:rPr>
        <w:t>2.废水。</w:t>
      </w:r>
      <w:r>
        <w:rPr>
          <w:rFonts w:hint="eastAsia" w:ascii="Times New Roman" w:hAnsi="Times New Roman" w:cs="Times New Roman"/>
          <w:szCs w:val="32"/>
          <w:lang w:val="en-US" w:eastAsia="zh-CN"/>
        </w:rPr>
        <w:t>生活污水、生产过程洗涤废水、设备及车间清洗废水经处理后进入济源市第二污水处理厂进一步处理。车间废水排放口总钡及厂区废水总排口各项污染物排放浓度满足《无机化学工业污染物排放标准》（GB31573-2015）限值要求，同时满足济源市第二污水处理厂进水水质要求。</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lang w:val="en-US" w:eastAsia="zh-CN"/>
        </w:rPr>
        <w:t>3.噪声。厂界噪声满足《工业企业厂界环境噪声排放标准》（GB12348-2008）</w:t>
      </w:r>
      <w:r>
        <w:rPr>
          <w:rFonts w:hint="default" w:ascii="Times New Roman" w:hAnsi="Times New Roman" w:cs="Times New Roman"/>
          <w:szCs w:val="32"/>
        </w:rPr>
        <w:t>3类要求。</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lang w:val="en-US" w:eastAsia="zh-CN"/>
        </w:rPr>
        <w:t>4</w:t>
      </w:r>
      <w:r>
        <w:rPr>
          <w:rFonts w:hint="default" w:ascii="Times New Roman" w:hAnsi="Times New Roman" w:cs="Times New Roman"/>
          <w:szCs w:val="32"/>
        </w:rPr>
        <w:t>.固废。</w:t>
      </w:r>
      <w:r>
        <w:rPr>
          <w:rFonts w:hint="default" w:ascii="Times New Roman" w:hAnsi="Times New Roman" w:cs="Times New Roman"/>
          <w:szCs w:val="32"/>
          <w:lang w:val="en-US" w:eastAsia="zh-CN"/>
        </w:rPr>
        <w:t>严格落实《报告书》要求，加强一般固体废物和危险废物的管理工作</w:t>
      </w:r>
      <w:r>
        <w:rPr>
          <w:rFonts w:hint="eastAsia" w:ascii="Times New Roman" w:hAnsi="Times New Roman" w:cs="Times New Roman"/>
          <w:szCs w:val="32"/>
          <w:lang w:val="en-US" w:eastAsia="zh-CN"/>
        </w:rPr>
        <w:t>，</w:t>
      </w:r>
      <w:r>
        <w:rPr>
          <w:rFonts w:hint="default" w:ascii="Times New Roman" w:hAnsi="Times New Roman" w:cs="Times New Roman"/>
          <w:szCs w:val="32"/>
          <w:lang w:val="en-US" w:eastAsia="zh-CN"/>
        </w:rPr>
        <w:t>一般固废厂区贮存应满足防渗漏、防雨淋、防扬尘等环境保护要求。危险废物临时贮存按《危险废物贮存污染控制标准》（GB18597-2023）建设符合要求的危险废物仓库，并按技术规范规定做好危险废物的储存、转移、处置，如实记录管理台账，避免对环境造成二次污染。</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eastAsia="仿宋_GB2312" w:cs="Times New Roman"/>
          <w:szCs w:val="32"/>
          <w:lang w:eastAsia="zh-CN"/>
        </w:rPr>
      </w:pPr>
      <w:r>
        <w:rPr>
          <w:rFonts w:hint="default" w:ascii="Times New Roman" w:hAnsi="Times New Roman" w:cs="Times New Roman"/>
          <w:szCs w:val="32"/>
          <w:lang w:eastAsia="zh-CN"/>
        </w:rPr>
        <w:t>（四）按照相关技术规范，切实做好厂区防渗，严格落实《报告书》中的地下水、土壤污染防治措施及环境风险防范措施。制定环境风险应急预案，定期演练，备足环境风险应急物资，切实防范环境风险。</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cs="Times New Roman"/>
          <w:szCs w:val="32"/>
          <w:lang w:eastAsia="zh-CN"/>
        </w:rPr>
      </w:pPr>
      <w:r>
        <w:rPr>
          <w:rFonts w:hint="default" w:ascii="Times New Roman" w:hAnsi="Times New Roman" w:cs="Times New Roman"/>
          <w:szCs w:val="32"/>
          <w:lang w:eastAsia="zh-CN"/>
        </w:rPr>
        <w:t>五、严格落实《报告书》</w:t>
      </w:r>
      <w:r>
        <w:rPr>
          <w:rFonts w:hint="eastAsia" w:ascii="Times New Roman" w:hAnsi="Times New Roman" w:cs="Times New Roman"/>
          <w:szCs w:val="32"/>
          <w:lang w:eastAsia="zh-CN"/>
        </w:rPr>
        <w:t>中的各项</w:t>
      </w:r>
      <w:r>
        <w:rPr>
          <w:rFonts w:hint="eastAsia" w:ascii="Times New Roman" w:hAnsi="Times New Roman" w:cs="Times New Roman"/>
          <w:szCs w:val="32"/>
          <w:lang w:val="en-US" w:eastAsia="zh-CN"/>
        </w:rPr>
        <w:t>要求</w:t>
      </w:r>
      <w:r>
        <w:rPr>
          <w:rFonts w:hint="eastAsia" w:ascii="Times New Roman" w:hAnsi="Times New Roman" w:cs="Times New Roman"/>
          <w:szCs w:val="32"/>
          <w:lang w:eastAsia="zh-CN"/>
        </w:rPr>
        <w:t>，</w:t>
      </w:r>
      <w:r>
        <w:rPr>
          <w:rFonts w:hint="eastAsia" w:ascii="Times New Roman" w:hAnsi="Times New Roman" w:cs="Times New Roman"/>
          <w:color w:val="auto"/>
          <w:szCs w:val="32"/>
          <w:lang w:eastAsia="zh-CN"/>
        </w:rPr>
        <w:t>保证项目清洁生产水平，</w:t>
      </w:r>
      <w:r>
        <w:rPr>
          <w:rFonts w:hint="eastAsia" w:ascii="Times New Roman" w:hAnsi="Times New Roman" w:cs="Times New Roman"/>
          <w:szCs w:val="32"/>
          <w:lang w:eastAsia="zh-CN"/>
        </w:rPr>
        <w:t>全面满足《济源示范区涉颗粒物、锅炉/炉窑和涉VOCs通用行业绩效分级指标体系（试行）》</w:t>
      </w:r>
      <w:r>
        <w:rPr>
          <w:rFonts w:hint="eastAsia" w:ascii="仿宋_GB2312" w:hAnsi="仿宋_GB2312" w:eastAsia="仿宋_GB2312" w:cs="仿宋_GB2312"/>
          <w:color w:val="auto"/>
          <w:szCs w:val="32"/>
          <w:lang w:val="en-US" w:eastAsia="zh-CN"/>
        </w:rPr>
        <w:t>（济管环〔2023〕33号）</w:t>
      </w:r>
      <w:r>
        <w:rPr>
          <w:rFonts w:hint="eastAsia" w:ascii="Times New Roman" w:hAnsi="Times New Roman" w:cs="Times New Roman"/>
          <w:szCs w:val="32"/>
          <w:lang w:val="en-US" w:eastAsia="zh-CN"/>
        </w:rPr>
        <w:t>中A</w:t>
      </w:r>
      <w:r>
        <w:rPr>
          <w:rFonts w:hint="default" w:ascii="Times New Roman" w:hAnsi="Times New Roman" w:cs="Times New Roman"/>
          <w:szCs w:val="32"/>
          <w:lang w:eastAsia="zh-CN"/>
        </w:rPr>
        <w:t>级企业绩效指标</w:t>
      </w:r>
      <w:r>
        <w:rPr>
          <w:rFonts w:hint="eastAsia" w:ascii="Times New Roman" w:hAnsi="Times New Roman" w:cs="Times New Roman"/>
          <w:szCs w:val="32"/>
          <w:lang w:eastAsia="zh-CN"/>
        </w:rPr>
        <w:t>各项</w:t>
      </w:r>
      <w:r>
        <w:rPr>
          <w:rFonts w:hint="default" w:ascii="Times New Roman" w:hAnsi="Times New Roman" w:cs="Times New Roman"/>
          <w:szCs w:val="32"/>
          <w:lang w:eastAsia="zh-CN"/>
        </w:rPr>
        <w:t>要求。</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cs="Times New Roman"/>
          <w:szCs w:val="32"/>
          <w:lang w:eastAsia="zh-CN"/>
        </w:rPr>
      </w:pPr>
      <w:r>
        <w:rPr>
          <w:rFonts w:hint="default" w:ascii="Times New Roman" w:hAnsi="Times New Roman" w:cs="Times New Roman"/>
          <w:szCs w:val="32"/>
          <w:lang w:eastAsia="zh-CN"/>
        </w:rPr>
        <w:t>六、</w:t>
      </w:r>
      <w:r>
        <w:rPr>
          <w:rFonts w:hint="eastAsia" w:ascii="仿宋_GB2312" w:hAnsi="仿宋_GB2312" w:eastAsia="仿宋_GB2312" w:cs="仿宋_GB2312"/>
          <w:szCs w:val="32"/>
          <w:lang w:val="en-US" w:eastAsia="zh-CN"/>
        </w:rPr>
        <w:t>按国家有关规定设置规范的污染物排放口，并设立明显标志</w:t>
      </w:r>
      <w:r>
        <w:rPr>
          <w:rFonts w:hint="eastAsia" w:ascii="仿宋_GB2312" w:hAnsi="仿宋_GB2312" w:eastAsia="仿宋_GB2312" w:cs="仿宋_GB2312"/>
          <w:szCs w:val="32"/>
          <w:lang w:eastAsia="zh-CN"/>
        </w:rPr>
        <w:t>。按要求安装</w:t>
      </w:r>
      <w:r>
        <w:rPr>
          <w:rFonts w:hint="eastAsia" w:ascii="仿宋_GB2312" w:hAnsi="仿宋_GB2312" w:cs="仿宋_GB2312"/>
          <w:szCs w:val="32"/>
          <w:lang w:eastAsia="zh-CN"/>
        </w:rPr>
        <w:t>用电监管设备、污染源自动监控设施等</w:t>
      </w:r>
      <w:r>
        <w:rPr>
          <w:rFonts w:hint="eastAsia" w:ascii="仿宋_GB2312" w:hAnsi="仿宋_GB2312" w:eastAsia="仿宋_GB2312" w:cs="仿宋_GB2312"/>
          <w:szCs w:val="32"/>
          <w:lang w:eastAsia="zh-CN"/>
        </w:rPr>
        <w:t>并与生态环境主管部门的监控设备联网。严格落实《报告书》相关环境监测计划，定期对各类污染物进行监测，发布相关信息，发现问题及时采取整改措施。</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cs="Times New Roman"/>
          <w:szCs w:val="32"/>
          <w:lang w:eastAsia="zh-CN"/>
        </w:rPr>
      </w:pPr>
      <w:r>
        <w:rPr>
          <w:rFonts w:hint="eastAsia" w:ascii="Times New Roman" w:hAnsi="Times New Roman" w:cs="Times New Roman"/>
          <w:szCs w:val="32"/>
          <w:lang w:eastAsia="zh-CN"/>
        </w:rPr>
        <w:t>七</w:t>
      </w:r>
      <w:r>
        <w:rPr>
          <w:rFonts w:hint="default" w:ascii="Times New Roman" w:hAnsi="Times New Roman" w:cs="Times New Roman"/>
          <w:szCs w:val="32"/>
          <w:lang w:eastAsia="zh-CN"/>
        </w:rPr>
        <w:t>、按要求</w:t>
      </w:r>
      <w:r>
        <w:rPr>
          <w:rFonts w:hint="eastAsia" w:ascii="Times New Roman" w:hAnsi="Times New Roman" w:cs="Times New Roman"/>
          <w:szCs w:val="32"/>
          <w:lang w:val="en-US" w:eastAsia="zh-CN"/>
        </w:rPr>
        <w:t>申领</w:t>
      </w:r>
      <w:r>
        <w:rPr>
          <w:rFonts w:hint="default" w:ascii="Times New Roman" w:hAnsi="Times New Roman" w:cs="Times New Roman"/>
          <w:szCs w:val="32"/>
          <w:lang w:eastAsia="zh-CN"/>
        </w:rPr>
        <w:t>污染物排放许可证，</w:t>
      </w:r>
      <w:r>
        <w:rPr>
          <w:rFonts w:hint="default" w:ascii="Times New Roman" w:hAnsi="Times New Roman" w:cs="Times New Roman"/>
          <w:szCs w:val="32"/>
          <w:lang w:val="en-US" w:eastAsia="zh-CN"/>
        </w:rPr>
        <w:t>严格</w:t>
      </w:r>
      <w:r>
        <w:rPr>
          <w:rFonts w:hint="default" w:ascii="Times New Roman" w:hAnsi="Times New Roman" w:cs="Times New Roman"/>
          <w:szCs w:val="32"/>
          <w:lang w:eastAsia="zh-CN"/>
        </w:rPr>
        <w:t>执行环保“三同时”制度，</w:t>
      </w:r>
      <w:r>
        <w:rPr>
          <w:rFonts w:hint="eastAsia" w:ascii="Times New Roman" w:hAnsi="Times New Roman" w:cs="Times New Roman"/>
          <w:szCs w:val="32"/>
          <w:lang w:eastAsia="zh-CN"/>
        </w:rPr>
        <w:t>按规定程序实施竣工环境保护验收，经验收合格后方可正式投产。</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default" w:ascii="宋体" w:hAnsi="宋体" w:cs="仿宋_GB2312"/>
          <w:kern w:val="2"/>
          <w:sz w:val="32"/>
          <w:szCs w:val="32"/>
          <w:highlight w:val="none"/>
          <w:lang w:val="en-US" w:eastAsia="zh-CN" w:bidi="ar-SA"/>
        </w:rPr>
      </w:pPr>
      <w:r>
        <w:rPr>
          <w:rFonts w:hint="eastAsia" w:ascii="Times New Roman" w:hAnsi="Times New Roman" w:cs="Times New Roman"/>
          <w:szCs w:val="32"/>
          <w:lang w:eastAsia="zh-CN"/>
        </w:rPr>
        <w:t>八、</w:t>
      </w:r>
      <w:r>
        <w:rPr>
          <w:rFonts w:hint="default" w:ascii="Times New Roman" w:hAnsi="Times New Roman" w:cs="Times New Roman"/>
          <w:szCs w:val="32"/>
          <w:lang w:eastAsia="zh-CN"/>
        </w:rPr>
        <w:t>严格</w:t>
      </w:r>
      <w:r>
        <w:rPr>
          <w:rFonts w:hint="default" w:ascii="Times New Roman" w:hAnsi="Times New Roman" w:cs="Times New Roman"/>
          <w:szCs w:val="32"/>
          <w:lang w:val="en-US" w:eastAsia="zh-CN"/>
        </w:rPr>
        <w:t>落实</w:t>
      </w:r>
      <w:r>
        <w:rPr>
          <w:rFonts w:hint="default" w:ascii="Times New Roman" w:hAnsi="Times New Roman" w:cs="Times New Roman"/>
          <w:szCs w:val="32"/>
          <w:lang w:eastAsia="zh-CN"/>
        </w:rPr>
        <w:t>总量控制要求</w:t>
      </w:r>
      <w:r>
        <w:rPr>
          <w:rFonts w:hint="eastAsia" w:ascii="Times New Roman" w:hAnsi="Times New Roman" w:cs="Times New Roman"/>
          <w:szCs w:val="32"/>
          <w:lang w:eastAsia="zh-CN"/>
        </w:rPr>
        <w:t>。</w:t>
      </w:r>
      <w:r>
        <w:rPr>
          <w:rFonts w:hint="eastAsia" w:ascii="Times New Roman" w:hAnsi="Times New Roman" w:cs="Times New Roman"/>
          <w:szCs w:val="32"/>
          <w:lang w:val="en-US" w:eastAsia="zh-CN"/>
        </w:rPr>
        <w:t>该项目建成后新增总量指标：颗粒物 0.4227吨/年、SO</w:t>
      </w:r>
      <w:r>
        <w:rPr>
          <w:rFonts w:hint="eastAsia" w:ascii="Times New Roman" w:hAnsi="Times New Roman" w:cs="Times New Roman"/>
          <w:szCs w:val="32"/>
          <w:vertAlign w:val="subscript"/>
          <w:lang w:val="en-US" w:eastAsia="zh-CN"/>
        </w:rPr>
        <w:t>2</w:t>
      </w:r>
      <w:r>
        <w:rPr>
          <w:rFonts w:hint="eastAsia" w:ascii="Times New Roman" w:hAnsi="Times New Roman" w:cs="Times New Roman"/>
          <w:szCs w:val="32"/>
          <w:lang w:val="en-US" w:eastAsia="zh-CN"/>
        </w:rPr>
        <w:t xml:space="preserve"> 0.0105吨/年、NO</w:t>
      </w:r>
      <w:r>
        <w:rPr>
          <w:rFonts w:hint="eastAsia" w:ascii="Times New Roman" w:hAnsi="Times New Roman" w:cs="Times New Roman"/>
          <w:szCs w:val="32"/>
          <w:vertAlign w:val="subscript"/>
          <w:lang w:val="en-US" w:eastAsia="zh-CN"/>
        </w:rPr>
        <w:t>X</w:t>
      </w:r>
      <w:r>
        <w:rPr>
          <w:rFonts w:hint="eastAsia" w:ascii="Times New Roman" w:hAnsi="Times New Roman" w:cs="Times New Roman"/>
          <w:szCs w:val="32"/>
          <w:lang w:val="en-US" w:eastAsia="zh-CN"/>
        </w:rPr>
        <w:t xml:space="preserve"> 0.183吨/年，COD 0.1514吨/年、氨氮 0.0076吨/年。大气污染物总量指标从</w:t>
      </w:r>
      <w:r>
        <w:rPr>
          <w:rFonts w:hint="eastAsia" w:ascii="宋体" w:hAnsi="宋体" w:eastAsia="仿宋_GB2312" w:cs="仿宋_GB2312"/>
          <w:kern w:val="2"/>
          <w:sz w:val="32"/>
          <w:szCs w:val="32"/>
          <w:highlight w:val="none"/>
          <w:lang w:val="en-US" w:eastAsia="zh-CN" w:bidi="ar-SA"/>
        </w:rPr>
        <w:t>济源市恒辉新型建材有限公司</w:t>
      </w:r>
      <w:r>
        <w:rPr>
          <w:rFonts w:hint="eastAsia" w:ascii="宋体" w:hAnsi="宋体" w:cs="仿宋_GB2312"/>
          <w:kern w:val="2"/>
          <w:sz w:val="32"/>
          <w:szCs w:val="32"/>
          <w:highlight w:val="none"/>
          <w:lang w:val="en-US" w:eastAsia="zh-CN" w:bidi="ar-SA"/>
        </w:rPr>
        <w:t>、济源市思礼安特建材厂、济源市赵氏富强新型建材厂</w:t>
      </w:r>
      <w:r>
        <w:rPr>
          <w:rFonts w:hint="eastAsia" w:ascii="Times New Roman" w:hAnsi="Times New Roman" w:cs="Times New Roman"/>
          <w:szCs w:val="32"/>
          <w:lang w:val="en-US" w:eastAsia="zh-CN"/>
        </w:rPr>
        <w:t>2022年减排量剩余量中进行双倍替代；</w:t>
      </w:r>
      <w:r>
        <w:rPr>
          <w:rFonts w:hint="eastAsia" w:ascii="宋体" w:hAnsi="宋体" w:cs="仿宋_GB2312"/>
          <w:kern w:val="2"/>
          <w:sz w:val="32"/>
          <w:szCs w:val="32"/>
          <w:highlight w:val="none"/>
          <w:lang w:val="en-US" w:eastAsia="zh-CN" w:bidi="ar-SA"/>
        </w:rPr>
        <w:t>水污染物总量指标从</w:t>
      </w:r>
      <w:r>
        <w:rPr>
          <w:rFonts w:hint="default" w:ascii="宋体" w:hAnsi="宋体" w:cs="仿宋_GB2312"/>
          <w:kern w:val="2"/>
          <w:sz w:val="32"/>
          <w:szCs w:val="32"/>
          <w:highlight w:val="none"/>
          <w:lang w:val="en-US" w:eastAsia="zh-CN" w:bidi="ar-SA"/>
        </w:rPr>
        <w:t>2021年济源第二污水厂提标改造减排</w:t>
      </w:r>
      <w:r>
        <w:rPr>
          <w:rFonts w:hint="eastAsia" w:ascii="宋体" w:hAnsi="宋体" w:cs="仿宋_GB2312"/>
          <w:kern w:val="2"/>
          <w:sz w:val="32"/>
          <w:szCs w:val="32"/>
          <w:highlight w:val="none"/>
          <w:lang w:val="en-US" w:eastAsia="zh-CN" w:bidi="ar-SA"/>
        </w:rPr>
        <w:t>量剩余量中进行等量替代。</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cs="Times New Roman"/>
          <w:szCs w:val="32"/>
          <w:lang w:eastAsia="zh-CN"/>
        </w:rPr>
      </w:pPr>
      <w:r>
        <w:rPr>
          <w:rFonts w:hint="eastAsia" w:ascii="Times New Roman" w:hAnsi="Times New Roman" w:cs="Times New Roman"/>
          <w:szCs w:val="32"/>
          <w:lang w:eastAsia="zh-CN"/>
        </w:rPr>
        <w:t>九</w:t>
      </w:r>
      <w:r>
        <w:rPr>
          <w:rFonts w:hint="default" w:ascii="Times New Roman" w:hAnsi="Times New Roman" w:cs="Times New Roman"/>
          <w:szCs w:val="32"/>
          <w:lang w:eastAsia="zh-CN"/>
        </w:rPr>
        <w:t>、本批复有效期为5年，如该项目逾期方开工建设，其环境影响报告书应报我局重新审核。项目的性质、规模、地点、采用的生产工艺或者防治污染、防止生态破坏的措施发生重大变动的，应当重新报批建设项目环境影响评价文件。</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cs="Times New Roman"/>
          <w:szCs w:val="32"/>
          <w:lang w:eastAsia="zh-CN"/>
        </w:rPr>
      </w:pPr>
      <w:r>
        <w:rPr>
          <w:rFonts w:hint="eastAsia" w:ascii="Times New Roman" w:hAnsi="Times New Roman" w:cs="Times New Roman"/>
          <w:szCs w:val="32"/>
          <w:lang w:eastAsia="zh-CN"/>
        </w:rPr>
        <w:t>十</w:t>
      </w:r>
      <w:r>
        <w:rPr>
          <w:rFonts w:hint="default" w:ascii="Times New Roman" w:hAnsi="Times New Roman" w:cs="Times New Roman"/>
          <w:szCs w:val="32"/>
          <w:lang w:eastAsia="zh-CN"/>
        </w:rPr>
        <w:t>、如果今后国家或我省颁布严于本批复污染物排放限值的新标准，届时你公司应按新的排放标准执行。</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cs="Times New Roman"/>
          <w:szCs w:val="32"/>
          <w:lang w:eastAsia="zh-CN"/>
        </w:rPr>
      </w:pP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cs="Times New Roman"/>
          <w:szCs w:val="32"/>
          <w:lang w:eastAsia="zh-CN"/>
        </w:rPr>
      </w:pP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default" w:ascii="Times New Roman" w:hAnsi="Times New Roman" w:cs="Times New Roman"/>
          <w:szCs w:val="32"/>
          <w:lang w:eastAsia="zh-CN"/>
        </w:rPr>
      </w:pPr>
    </w:p>
    <w:p>
      <w:pPr>
        <w:keepNext w:val="0"/>
        <w:keepLines w:val="0"/>
        <w:pageBreakBefore w:val="0"/>
        <w:widowControl w:val="0"/>
        <w:kinsoku/>
        <w:wordWrap w:val="0"/>
        <w:overflowPunct/>
        <w:topLinePunct w:val="0"/>
        <w:autoSpaceDE/>
        <w:autoSpaceDN/>
        <w:bidi w:val="0"/>
        <w:adjustRightInd/>
        <w:snapToGrid/>
        <w:spacing w:line="540" w:lineRule="exact"/>
        <w:jc w:val="right"/>
        <w:textAlignment w:val="auto"/>
        <w:rPr>
          <w:rFonts w:hint="default" w:ascii="Times New Roman" w:hAnsi="Times New Roman" w:eastAsia="仿宋_GB2312" w:cs="Times New Roman"/>
          <w:color w:val="auto"/>
          <w:szCs w:val="32"/>
          <w:lang w:val="en-US" w:eastAsia="zh-CN"/>
        </w:rPr>
      </w:pPr>
      <w:r>
        <w:rPr>
          <w:rFonts w:hint="eastAsia" w:ascii="Times New Roman" w:hAnsi="Times New Roman" w:cs="Times New Roman"/>
          <w:color w:val="auto"/>
          <w:szCs w:val="32"/>
          <w:lang w:val="en-US" w:eastAsia="zh-CN"/>
        </w:rPr>
        <w:t xml:space="preserve">   </w:t>
      </w:r>
      <w:r>
        <w:rPr>
          <w:rFonts w:hint="default" w:ascii="Times New Roman" w:hAnsi="Times New Roman" w:cs="Times New Roman"/>
          <w:color w:val="auto"/>
          <w:szCs w:val="32"/>
        </w:rPr>
        <w:t>202</w:t>
      </w:r>
      <w:r>
        <w:rPr>
          <w:rFonts w:hint="eastAsia" w:ascii="Times New Roman" w:hAnsi="Times New Roman" w:cs="Times New Roman"/>
          <w:color w:val="auto"/>
          <w:szCs w:val="32"/>
          <w:lang w:val="en-US" w:eastAsia="zh-CN"/>
        </w:rPr>
        <w:t>3</w:t>
      </w:r>
      <w:r>
        <w:rPr>
          <w:rFonts w:hint="default" w:ascii="Times New Roman" w:hAnsi="Times New Roman" w:cs="Times New Roman"/>
          <w:color w:val="auto"/>
          <w:szCs w:val="32"/>
        </w:rPr>
        <w:t>年</w:t>
      </w:r>
      <w:r>
        <w:rPr>
          <w:rFonts w:hint="eastAsia" w:ascii="Times New Roman" w:hAnsi="Times New Roman" w:cs="Times New Roman"/>
          <w:color w:val="auto"/>
          <w:szCs w:val="32"/>
          <w:lang w:val="en-US" w:eastAsia="zh-CN"/>
        </w:rPr>
        <w:t>8</w:t>
      </w:r>
      <w:r>
        <w:rPr>
          <w:rFonts w:hint="default" w:ascii="Times New Roman" w:hAnsi="Times New Roman" w:cs="Times New Roman"/>
          <w:color w:val="auto"/>
          <w:szCs w:val="32"/>
        </w:rPr>
        <w:t>月</w:t>
      </w:r>
      <w:r>
        <w:rPr>
          <w:rFonts w:hint="eastAsia" w:ascii="Times New Roman" w:hAnsi="Times New Roman" w:cs="Times New Roman"/>
          <w:color w:val="auto"/>
          <w:szCs w:val="32"/>
          <w:lang w:val="en-US" w:eastAsia="zh-CN"/>
        </w:rPr>
        <w:t>24</w:t>
      </w:r>
      <w:r>
        <w:rPr>
          <w:rFonts w:hint="default" w:ascii="Times New Roman" w:hAnsi="Times New Roman" w:cs="Times New Roman"/>
          <w:color w:val="auto"/>
          <w:szCs w:val="32"/>
        </w:rPr>
        <w:t>日</w:t>
      </w:r>
      <w:r>
        <w:rPr>
          <w:rFonts w:hint="default" w:ascii="Times New Roman" w:hAnsi="Times New Roman" w:cs="Times New Roman"/>
          <w:color w:val="auto"/>
          <w:szCs w:val="32"/>
          <w:lang w:val="en-US" w:eastAsia="zh-CN"/>
        </w:rPr>
        <w:t xml:space="preserve">        </w:t>
      </w:r>
    </w:p>
    <w:p/>
    <w:sectPr>
      <w:pgSz w:w="11906" w:h="16838"/>
      <w:pgMar w:top="1440" w:right="1800" w:bottom="1440" w:left="1800" w:header="851" w:footer="992" w:gutter="0"/>
      <w:pgNumType w:fmt="decimal"/>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6"/>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Calibri Light">
    <w:altName w:val="DejaVu Sans"/>
    <w:panose1 w:val="020F0302020204030204"/>
    <w:charset w:val="00"/>
    <w:family w:val="swiss"/>
    <w:pitch w:val="default"/>
    <w:sig w:usb0="00000000" w:usb1="00000000" w:usb2="00000009" w:usb3="00000000" w:csb0="200001FF" w:csb1="00000000"/>
  </w:font>
  <w:font w:name="仿宋">
    <w:panose1 w:val="02010609060101010101"/>
    <w:charset w:val="86"/>
    <w:family w:val="auto"/>
    <w:pitch w:val="default"/>
    <w:sig w:usb0="800002BF" w:usb1="38CF7CFA" w:usb2="00000016" w:usb3="00000000" w:csb0="00040001" w:csb1="00000000"/>
  </w:font>
  <w:font w:name="华文中宋">
    <w:altName w:val="汉仪中宋简"/>
    <w:panose1 w:val="02010600040101010101"/>
    <w:charset w:val="86"/>
    <w:family w:val="auto"/>
    <w:pitch w:val="default"/>
    <w:sig w:usb0="00000000" w:usb1="00000000" w:usb2="00000000" w:usb3="00000000" w:csb0="0004009F" w:csb1="DFD70000"/>
  </w:font>
  <w:font w:name="汉仪中宋简">
    <w:panose1 w:val="02010600000101010101"/>
    <w:charset w:val="86"/>
    <w:family w:val="auto"/>
    <w:pitch w:val="default"/>
    <w:sig w:usb0="00000001" w:usb1="080E0800" w:usb2="00000002" w:usb3="00000000" w:csb0="00040000" w:csb1="00000000"/>
  </w:font>
  <w:font w:name="方正小标宋_GBK">
    <w:panose1 w:val="02000000000000000000"/>
    <w:charset w:val="86"/>
    <w:family w:val="auto"/>
    <w:pitch w:val="default"/>
    <w:sig w:usb0="00000001" w:usb1="08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EFD9D8E"/>
    <w:multiLevelType w:val="singleLevel"/>
    <w:tmpl w:val="6EFD9D8E"/>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I2ZjIwOWU0OWY2MmM5NjZmMjQ5YzgzY2Y2NjIyNGEifQ=="/>
  </w:docVars>
  <w:rsids>
    <w:rsidRoot w:val="5A4E3EC3"/>
    <w:rsid w:val="10C83B7F"/>
    <w:rsid w:val="5A4E3EC3"/>
    <w:rsid w:val="6BB7CB3A"/>
    <w:rsid w:val="79F85A62"/>
    <w:rsid w:val="7FFF73F9"/>
    <w:rsid w:val="DF77EAE3"/>
    <w:rsid w:val="FEFF6E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仿宋_GB2312" w:cs="Times New Roman"/>
      <w:kern w:val="2"/>
      <w:sz w:val="32"/>
      <w:szCs w:val="24"/>
      <w:lang w:val="en-US" w:eastAsia="zh-CN" w:bidi="ar-SA"/>
    </w:rPr>
  </w:style>
  <w:style w:type="paragraph" w:styleId="2">
    <w:name w:val="heading 2"/>
    <w:basedOn w:val="1"/>
    <w:next w:val="1"/>
    <w:unhideWhenUsed/>
    <w:qFormat/>
    <w:uiPriority w:val="0"/>
    <w:pPr>
      <w:keepNext/>
      <w:keepLines/>
      <w:widowControl/>
      <w:spacing w:before="260" w:after="260" w:line="416" w:lineRule="auto"/>
      <w:jc w:val="left"/>
      <w:outlineLvl w:val="1"/>
    </w:pPr>
    <w:rPr>
      <w:rFonts w:asciiTheme="majorHAnsi" w:hAnsiTheme="majorHAnsi" w:eastAsiaTheme="majorEastAsia" w:cstheme="majorBidi"/>
      <w:b/>
      <w:bCs/>
      <w:kern w:val="0"/>
      <w:sz w:val="32"/>
      <w:szCs w:val="32"/>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Body Text"/>
    <w:basedOn w:val="1"/>
    <w:next w:val="1"/>
    <w:qFormat/>
    <w:uiPriority w:val="99"/>
    <w:pPr>
      <w:adjustRightInd w:val="0"/>
      <w:snapToGrid w:val="0"/>
      <w:spacing w:before="50" w:beforeLines="50" w:after="50" w:afterLines="50"/>
      <w:jc w:val="center"/>
    </w:pPr>
    <w:rPr>
      <w:rFonts w:ascii="仿宋_GB2312" w:eastAsia="仿宋_GB2312"/>
      <w:b/>
      <w:sz w:val="28"/>
    </w:rPr>
  </w:style>
  <w:style w:type="paragraph" w:styleId="4">
    <w:name w:val="Body Text First Indent 2"/>
    <w:basedOn w:val="1"/>
    <w:next w:val="1"/>
    <w:qFormat/>
    <w:uiPriority w:val="0"/>
    <w:pPr>
      <w:adjustRightInd w:val="0"/>
      <w:snapToGrid w:val="0"/>
      <w:spacing w:before="10" w:beforeLines="10" w:after="120" w:line="460" w:lineRule="exact"/>
      <w:ind w:left="420" w:leftChars="200" w:firstLine="420" w:firstLineChars="200"/>
    </w:pPr>
    <w:rPr>
      <w:spacing w:val="0"/>
      <w:kern w:val="0"/>
    </w:rPr>
  </w:style>
  <w:style w:type="paragraph" w:customStyle="1" w:styleId="7">
    <w:name w:val="表内文字"/>
    <w:basedOn w:val="1"/>
    <w:qFormat/>
    <w:uiPriority w:val="0"/>
    <w:pPr>
      <w:spacing w:line="280" w:lineRule="exact"/>
    </w:pPr>
    <w:rPr>
      <w:rFonts w:ascii="Times New Roman" w:hAnsi="Times New Roma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1769</Words>
  <Characters>1889</Characters>
  <Lines>0</Lines>
  <Paragraphs>0</Paragraphs>
  <TotalTime>1</TotalTime>
  <ScaleCrop>false</ScaleCrop>
  <LinksUpToDate>false</LinksUpToDate>
  <CharactersWithSpaces>1902</CharactersWithSpaces>
  <Application>WPS Office_11.8.2.11625_F1E327BC-269C-435d-A152-05C5408002CA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2023-07-21T07:27:00Z</dcterms:created>
  <dc:creator>流光</dc:creator>
  <cp:lastModifiedBy>greatwall</cp:lastModifiedBy>
  <dcterms:modified xsi:type="dcterms:W3CDTF">2023-08-25T13:41:12Z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2052-11.8.2.11625</vt:lpwstr>
  </property>
  <property fmtid="{D5CDD505-2E9C-101B-9397-08002B2CF9AE}" pid="3" name="ICV">
    <vt:lpwstr>C42486B8426F46A0B421346E4D31B0B1_11</vt:lpwstr>
  </property>
</Properties>
</file>