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469" w:beforeLines="150" w:line="760" w:lineRule="exact"/>
        <w:ind w:firstLine="640" w:firstLineChars="200"/>
        <w:jc w:val="right"/>
        <w:textAlignment w:val="auto"/>
        <w:outlineLvl w:val="9"/>
        <w:rPr>
          <w:rFonts w:hint="default" w:ascii="Times New Roman" w:hAnsi="Times New Roman" w:eastAsia="仿宋" w:cs="Times New Roman"/>
          <w:color w:val="262626"/>
          <w:kern w:val="0"/>
          <w:szCs w:val="32"/>
        </w:rPr>
      </w:pPr>
    </w:p>
    <w:p>
      <w:pPr>
        <w:widowControl/>
        <w:spacing w:line="760" w:lineRule="exact"/>
        <w:ind w:firstLine="640" w:firstLineChars="200"/>
        <w:jc w:val="right"/>
        <w:rPr>
          <w:rFonts w:hint="default" w:ascii="Times New Roman" w:hAnsi="Times New Roman" w:eastAsia="仿宋" w:cs="Times New Roman"/>
          <w:color w:val="262626"/>
          <w:kern w:val="0"/>
          <w:szCs w:val="32"/>
        </w:rPr>
      </w:pPr>
    </w:p>
    <w:p>
      <w:pPr>
        <w:widowControl/>
        <w:spacing w:line="760" w:lineRule="exact"/>
        <w:ind w:firstLine="640" w:firstLineChars="200"/>
        <w:jc w:val="right"/>
        <w:rPr>
          <w:rFonts w:hint="default" w:ascii="Times New Roman" w:hAnsi="Times New Roman" w:eastAsia="仿宋" w:cs="Times New Roman"/>
          <w:color w:val="262626"/>
          <w:kern w:val="0"/>
          <w:szCs w:val="32"/>
        </w:rPr>
      </w:pPr>
    </w:p>
    <w:p>
      <w:pPr>
        <w:keepNext w:val="0"/>
        <w:keepLines w:val="0"/>
        <w:pageBreakBefore w:val="0"/>
        <w:widowControl/>
        <w:kinsoku/>
        <w:wordWrap/>
        <w:overflowPunct/>
        <w:topLinePunct w:val="0"/>
        <w:autoSpaceDE/>
        <w:autoSpaceDN/>
        <w:bidi w:val="0"/>
        <w:adjustRightInd/>
        <w:snapToGrid/>
        <w:spacing w:before="157" w:beforeLines="50" w:line="700" w:lineRule="exact"/>
        <w:ind w:firstLine="640" w:firstLineChars="200"/>
        <w:jc w:val="right"/>
        <w:textAlignment w:val="auto"/>
        <w:rPr>
          <w:rFonts w:hint="default" w:ascii="Times New Roman" w:hAnsi="Times New Roman" w:cs="Times New Roman"/>
          <w:color w:val="auto"/>
          <w:kern w:val="0"/>
          <w:szCs w:val="32"/>
        </w:rPr>
      </w:pPr>
      <w:r>
        <w:rPr>
          <w:rFonts w:hint="default" w:ascii="Times New Roman" w:hAnsi="Times New Roman" w:cs="Times New Roman"/>
          <w:color w:val="auto"/>
          <w:kern w:val="0"/>
          <w:szCs w:val="32"/>
        </w:rPr>
        <w:t>济环审〔202</w:t>
      </w:r>
      <w:r>
        <w:rPr>
          <w:rFonts w:hint="default" w:ascii="Times New Roman" w:hAnsi="Times New Roman" w:cs="Times New Roman"/>
          <w:color w:val="auto"/>
          <w:kern w:val="0"/>
          <w:szCs w:val="32"/>
          <w:lang w:val="en-US" w:eastAsia="zh-CN"/>
        </w:rPr>
        <w:t>3</w:t>
      </w:r>
      <w:r>
        <w:rPr>
          <w:rFonts w:hint="default" w:ascii="Times New Roman" w:hAnsi="Times New Roman" w:cs="Times New Roman"/>
          <w:color w:val="auto"/>
          <w:kern w:val="0"/>
          <w:szCs w:val="32"/>
        </w:rPr>
        <w:t>〕</w:t>
      </w:r>
      <w:r>
        <w:rPr>
          <w:rFonts w:hint="eastAsia" w:ascii="Times New Roman" w:hAnsi="Times New Roman" w:cs="Times New Roman"/>
          <w:color w:val="auto"/>
          <w:kern w:val="0"/>
          <w:szCs w:val="32"/>
          <w:lang w:val="en-US" w:eastAsia="zh-CN"/>
        </w:rPr>
        <w:t>17</w:t>
      </w:r>
      <w:r>
        <w:rPr>
          <w:rFonts w:hint="default" w:ascii="Times New Roman" w:hAnsi="Times New Roman" w:cs="Times New Roman"/>
          <w:color w:val="auto"/>
          <w:kern w:val="0"/>
          <w:szCs w:val="32"/>
        </w:rPr>
        <w:t>号</w:t>
      </w:r>
    </w:p>
    <w:p>
      <w:pPr>
        <w:widowControl/>
        <w:spacing w:line="460" w:lineRule="exact"/>
        <w:ind w:firstLine="640" w:firstLineChars="200"/>
        <w:jc w:val="right"/>
        <w:rPr>
          <w:rFonts w:hint="default" w:ascii="Times New Roman" w:hAnsi="Times New Roman" w:cs="Times New Roman"/>
          <w:color w:val="262626"/>
          <w:kern w:val="0"/>
          <w:szCs w:val="32"/>
        </w:rPr>
      </w:pPr>
    </w:p>
    <w:p>
      <w:pPr>
        <w:widowControl/>
        <w:spacing w:line="660" w:lineRule="exact"/>
        <w:jc w:val="center"/>
        <w:rPr>
          <w:rFonts w:hint="default" w:ascii="Times New Roman" w:hAnsi="Times New Roman" w:eastAsia="华文中宋" w:cs="Times New Roman"/>
          <w:b w:val="0"/>
          <w:bCs w:val="0"/>
          <w:color w:val="262626"/>
          <w:kern w:val="0"/>
          <w:sz w:val="44"/>
          <w:szCs w:val="44"/>
          <w:lang w:val="en" w:eastAsia="zh-CN" w:bidi="ar-SA"/>
        </w:rPr>
      </w:pPr>
      <w:r>
        <w:rPr>
          <w:rFonts w:hint="default" w:ascii="Times New Roman" w:hAnsi="Times New Roman" w:eastAsia="华文中宋" w:cs="Times New Roman"/>
          <w:b w:val="0"/>
          <w:bCs w:val="0"/>
          <w:color w:val="262626"/>
          <w:kern w:val="0"/>
          <w:sz w:val="44"/>
          <w:szCs w:val="44"/>
          <w:lang w:val="en" w:eastAsia="zh-CN" w:bidi="ar-SA"/>
        </w:rPr>
        <w:t>济源市生态环境局</w:t>
      </w:r>
    </w:p>
    <w:p>
      <w:pPr>
        <w:widowControl/>
        <w:spacing w:line="660" w:lineRule="exact"/>
        <w:jc w:val="center"/>
        <w:rPr>
          <w:rFonts w:hint="eastAsia" w:ascii="Times New Roman" w:hAnsi="Times New Roman" w:eastAsia="华文中宋" w:cs="Times New Roman"/>
          <w:b w:val="0"/>
          <w:bCs w:val="0"/>
          <w:color w:val="262626"/>
          <w:kern w:val="0"/>
          <w:sz w:val="44"/>
          <w:szCs w:val="44"/>
          <w:lang w:val="en-US" w:eastAsia="zh-CN" w:bidi="ar-SA"/>
        </w:rPr>
      </w:pPr>
      <w:r>
        <w:rPr>
          <w:rFonts w:hint="default" w:ascii="Times New Roman" w:hAnsi="Times New Roman" w:eastAsia="华文中宋" w:cs="Times New Roman"/>
          <w:b w:val="0"/>
          <w:bCs w:val="0"/>
          <w:color w:val="262626"/>
          <w:kern w:val="0"/>
          <w:sz w:val="44"/>
          <w:szCs w:val="44"/>
          <w:lang w:val="en" w:eastAsia="zh-CN" w:bidi="ar-SA"/>
        </w:rPr>
        <w:t>关于</w:t>
      </w:r>
      <w:r>
        <w:rPr>
          <w:rFonts w:hint="eastAsia" w:ascii="Times New Roman" w:hAnsi="Times New Roman" w:eastAsia="华文中宋" w:cs="Times New Roman"/>
          <w:b w:val="0"/>
          <w:bCs w:val="0"/>
          <w:color w:val="262626"/>
          <w:kern w:val="0"/>
          <w:sz w:val="44"/>
          <w:szCs w:val="44"/>
          <w:lang w:val="en-US" w:eastAsia="zh-CN" w:bidi="ar-SA"/>
        </w:rPr>
        <w:t>济源市迈捷环保科技有限公司</w:t>
      </w:r>
    </w:p>
    <w:p>
      <w:pPr>
        <w:widowControl/>
        <w:spacing w:line="660" w:lineRule="exact"/>
        <w:jc w:val="center"/>
        <w:rPr>
          <w:rFonts w:hint="default" w:ascii="Times New Roman" w:hAnsi="Times New Roman" w:eastAsia="华文中宋" w:cs="Times New Roman"/>
          <w:b w:val="0"/>
          <w:bCs w:val="0"/>
          <w:color w:val="262626"/>
          <w:kern w:val="0"/>
          <w:sz w:val="44"/>
          <w:szCs w:val="44"/>
          <w:lang w:val="en-US" w:eastAsia="zh-CN" w:bidi="ar-SA"/>
        </w:rPr>
      </w:pPr>
      <w:r>
        <w:rPr>
          <w:rFonts w:hint="eastAsia" w:ascii="Times New Roman" w:hAnsi="Times New Roman" w:eastAsia="华文中宋" w:cs="Times New Roman"/>
          <w:b w:val="0"/>
          <w:bCs w:val="0"/>
          <w:color w:val="262626"/>
          <w:kern w:val="0"/>
          <w:sz w:val="44"/>
          <w:szCs w:val="44"/>
          <w:lang w:val="en-US" w:eastAsia="zh-CN" w:bidi="ar-SA"/>
        </w:rPr>
        <w:t>10万吨/年钠基废盐资源化循环利用项目</w:t>
      </w:r>
    </w:p>
    <w:p>
      <w:pPr>
        <w:widowControl/>
        <w:spacing w:line="660" w:lineRule="exact"/>
        <w:jc w:val="center"/>
        <w:rPr>
          <w:rFonts w:hint="default" w:ascii="Times New Roman" w:hAnsi="Times New Roman" w:eastAsia="华文中宋" w:cs="Times New Roman"/>
          <w:color w:val="262626"/>
          <w:kern w:val="0"/>
          <w:sz w:val="44"/>
          <w:szCs w:val="44"/>
        </w:rPr>
      </w:pPr>
      <w:r>
        <w:rPr>
          <w:rFonts w:hint="default" w:ascii="Times New Roman" w:hAnsi="Times New Roman" w:eastAsia="华文中宋" w:cs="Times New Roman"/>
          <w:b w:val="0"/>
          <w:bCs w:val="0"/>
          <w:color w:val="262626"/>
          <w:kern w:val="0"/>
          <w:sz w:val="44"/>
          <w:szCs w:val="44"/>
          <w:lang w:val="en-US" w:eastAsia="zh-CN" w:bidi="ar-SA"/>
        </w:rPr>
        <w:t>环境影响报告书</w:t>
      </w:r>
      <w:r>
        <w:rPr>
          <w:rFonts w:hint="default" w:ascii="Times New Roman" w:hAnsi="Times New Roman" w:eastAsia="华文中宋" w:cs="Times New Roman"/>
          <w:b w:val="0"/>
          <w:bCs w:val="0"/>
          <w:color w:val="262626"/>
          <w:kern w:val="0"/>
          <w:sz w:val="44"/>
          <w:szCs w:val="44"/>
          <w:lang w:val="en" w:eastAsia="zh-CN" w:bidi="ar-SA"/>
        </w:rPr>
        <w:t>的批复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 w:eastAsia="zh-CN"/>
        </w:rPr>
        <w:t>济源市迈捷环保科技有限公司</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你单位（统一社会信用代码：91419001MA9LBR639R</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报送的由</w:t>
      </w:r>
      <w:r>
        <w:rPr>
          <w:rFonts w:hint="eastAsia" w:ascii="仿宋_GB2312" w:hAnsi="仿宋_GB2312" w:eastAsia="仿宋_GB2312" w:cs="仿宋_GB2312"/>
          <w:sz w:val="32"/>
          <w:szCs w:val="32"/>
          <w:lang w:val="en-US" w:eastAsia="zh-CN"/>
        </w:rPr>
        <w:t>河南济环环保科技有限公司范志功</w:t>
      </w:r>
      <w:r>
        <w:rPr>
          <w:rFonts w:hint="eastAsia" w:ascii="仿宋_GB2312" w:hAnsi="仿宋_GB2312" w:eastAsia="仿宋_GB2312" w:cs="仿宋_GB2312"/>
          <w:sz w:val="32"/>
          <w:szCs w:val="32"/>
        </w:rPr>
        <w:t>主持编制的《</w:t>
      </w:r>
      <w:r>
        <w:rPr>
          <w:rFonts w:hint="eastAsia" w:ascii="仿宋_GB2312" w:hAnsi="仿宋_GB2312" w:eastAsia="仿宋_GB2312" w:cs="仿宋_GB2312"/>
          <w:sz w:val="32"/>
          <w:szCs w:val="32"/>
          <w:lang w:eastAsia="zh-CN"/>
        </w:rPr>
        <w:t>济源市迈捷环保科技有限公司</w:t>
      </w:r>
      <w:r>
        <w:rPr>
          <w:rFonts w:hint="eastAsia" w:ascii="仿宋_GB2312" w:hAnsi="仿宋_GB2312" w:eastAsia="仿宋_GB2312" w:cs="仿宋_GB2312"/>
          <w:sz w:val="32"/>
          <w:szCs w:val="32"/>
        </w:rPr>
        <w:t>10万吨/年钠基废盐资源化循环利用项目</w:t>
      </w:r>
      <w:r>
        <w:rPr>
          <w:rFonts w:hint="eastAsia" w:ascii="仿宋_GB2312" w:hAnsi="仿宋_GB2312" w:eastAsia="仿宋_GB2312" w:cs="仿宋_GB2312"/>
          <w:sz w:val="32"/>
          <w:szCs w:val="32"/>
          <w:lang w:val="en-US" w:eastAsia="zh-CN"/>
        </w:rPr>
        <w:t>环境影响报告书》</w:t>
      </w:r>
      <w:r>
        <w:rPr>
          <w:rFonts w:hint="eastAsia" w:ascii="仿宋_GB2312" w:hAnsi="仿宋_GB2312" w:eastAsia="仿宋_GB2312" w:cs="仿宋_GB2312"/>
          <w:sz w:val="32"/>
          <w:szCs w:val="32"/>
        </w:rPr>
        <w:t>（以下简称《报告</w:t>
      </w:r>
      <w:r>
        <w:rPr>
          <w:rFonts w:hint="eastAsia" w:ascii="仿宋_GB2312" w:hAnsi="仿宋_GB2312" w:eastAsia="仿宋_GB2312" w:cs="仿宋_GB2312"/>
          <w:sz w:val="32"/>
          <w:szCs w:val="32"/>
          <w:lang w:eastAsia="zh-CN"/>
        </w:rPr>
        <w:t>书</w:t>
      </w:r>
      <w:r>
        <w:rPr>
          <w:rFonts w:hint="eastAsia" w:ascii="仿宋_GB2312" w:hAnsi="仿宋_GB2312" w:eastAsia="仿宋_GB2312" w:cs="仿宋_GB2312"/>
          <w:sz w:val="32"/>
          <w:szCs w:val="32"/>
        </w:rPr>
        <w:t>》）及行政审批申请等资料收悉，项目环评审批事项已在我局网站公示期满。根据《中华人民共和国环境保护法》《中华人民共和国行政许可法》《中华人民共和国环境影响评价法》《建设项目环境保护管理条例》等法律法规规定，经研究，批复如下：</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项目</w:t>
      </w:r>
      <w:r>
        <w:rPr>
          <w:rFonts w:hint="eastAsia" w:ascii="仿宋_GB2312" w:hAnsi="仿宋_GB2312" w:eastAsia="仿宋_GB2312" w:cs="仿宋_GB2312"/>
          <w:sz w:val="32"/>
          <w:szCs w:val="32"/>
        </w:rPr>
        <w:t>位于济源市清水精细化工产业园区内，</w:t>
      </w:r>
      <w:r>
        <w:rPr>
          <w:rFonts w:hint="eastAsia" w:ascii="仿宋_GB2312" w:hAnsi="仿宋_GB2312" w:eastAsia="仿宋_GB2312" w:cs="仿宋_GB2312"/>
          <w:sz w:val="32"/>
          <w:szCs w:val="32"/>
          <w:lang w:val="en-US" w:eastAsia="zh-CN"/>
        </w:rPr>
        <w:t>租用园区内闲置场地建设10万吨/年钠基废盐资源化循环利用项目</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项目分为两期建设，一期建设3万吨/年，二期</w:t>
      </w:r>
      <w:r>
        <w:rPr>
          <w:rFonts w:hint="eastAsia" w:ascii="仿宋_GB2312" w:hAnsi="仿宋_GB2312" w:eastAsia="仿宋_GB2312" w:cs="仿宋_GB2312"/>
          <w:sz w:val="32"/>
          <w:szCs w:val="32"/>
          <w:lang w:val="en-US" w:eastAsia="zh-CN"/>
        </w:rPr>
        <w:t>建设7万吨/年</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主要利用</w:t>
      </w:r>
      <w:r>
        <w:rPr>
          <w:rFonts w:hint="eastAsia" w:ascii="仿宋_GB2312" w:hAnsi="仿宋_GB2312" w:cs="仿宋_GB2312"/>
          <w:sz w:val="32"/>
          <w:szCs w:val="32"/>
          <w:lang w:val="en-US" w:eastAsia="zh-CN"/>
        </w:rPr>
        <w:t>小苏打干法脱硫</w:t>
      </w:r>
      <w:r>
        <w:rPr>
          <w:rFonts w:hint="eastAsia" w:ascii="仿宋_GB2312" w:hAnsi="仿宋_GB2312" w:eastAsia="仿宋_GB2312" w:cs="仿宋_GB2312"/>
          <w:sz w:val="32"/>
          <w:szCs w:val="32"/>
          <w:lang w:val="en-US" w:eastAsia="zh-CN"/>
        </w:rPr>
        <w:t>工艺产生的脱硫灰、废水处理产生的硫酸钠和氯化钠、氯碱行业废芒硝等为原料，生产</w:t>
      </w:r>
      <w:r>
        <w:rPr>
          <w:rFonts w:hint="eastAsia" w:ascii="仿宋_GB2312" w:hAnsi="仿宋_GB2312" w:eastAsia="仿宋_GB2312" w:cs="仿宋_GB2312"/>
          <w:sz w:val="32"/>
          <w:szCs w:val="32"/>
          <w:lang w:eastAsia="zh-CN"/>
        </w:rPr>
        <w:t>碳酸钠、</w:t>
      </w:r>
      <w:r>
        <w:rPr>
          <w:rFonts w:hint="eastAsia" w:ascii="仿宋_GB2312" w:hAnsi="仿宋_GB2312" w:eastAsia="仿宋_GB2312" w:cs="仿宋_GB2312"/>
          <w:sz w:val="32"/>
          <w:szCs w:val="32"/>
        </w:rPr>
        <w:t>碳酸氢钠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并联产硫酸铵</w:t>
      </w:r>
      <w:r>
        <w:rPr>
          <w:rFonts w:hint="eastAsia" w:ascii="仿宋_GB2312" w:hAnsi="仿宋_GB2312" w:eastAsia="仿宋_GB2312" w:cs="仿宋_GB2312"/>
          <w:sz w:val="32"/>
          <w:szCs w:val="32"/>
          <w:lang w:eastAsia="zh-CN"/>
        </w:rPr>
        <w:t>和氯化铵。</w:t>
      </w:r>
      <w:r>
        <w:rPr>
          <w:rFonts w:hint="eastAsia" w:ascii="仿宋_GB2312" w:hAnsi="仿宋_GB2312" w:eastAsia="仿宋_GB2312" w:cs="仿宋_GB2312"/>
          <w:sz w:val="32"/>
          <w:szCs w:val="32"/>
        </w:rPr>
        <w:t>主要工艺流程为：</w:t>
      </w:r>
      <w:r>
        <w:rPr>
          <w:rFonts w:hint="eastAsia" w:ascii="仿宋_GB2312" w:hAnsi="仿宋_GB2312" w:eastAsia="仿宋_GB2312" w:cs="仿宋_GB2312"/>
          <w:color w:val="000000"/>
          <w:sz w:val="32"/>
          <w:szCs w:val="32"/>
          <w:lang w:val="en-US" w:eastAsia="zh-CN"/>
        </w:rPr>
        <w:t>脱硫灰预处理→钠基废盐、碳酸氢铵混合→复分解反应→小苏打干燥（或小苏打煅烧）→碳铵循环→铵盐分离</w:t>
      </w:r>
      <w:r>
        <w:rPr>
          <w:rFonts w:hint="eastAsia" w:ascii="仿宋_GB2312" w:hAnsi="仿宋_GB2312" w:eastAsia="仿宋_GB2312" w:cs="仿宋_GB2312"/>
          <w:sz w:val="32"/>
          <w:szCs w:val="32"/>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该《报告书》内容符合国家有关法律法规要求和建设项目环境管理规定，评价结论可信。我局批准该《报告书》，原则同意你公司按照《报告书》所列项目的性质、规模、地点及环境保护对策措施等内容进行建设。</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你单位应向社会公众主动公开已经批准的《报告书》，接受相关方的垂询。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四</w:t>
      </w:r>
      <w:r>
        <w:rPr>
          <w:rFonts w:hint="eastAsia" w:ascii="仿宋_GB2312" w:hAnsi="仿宋_GB2312" w:eastAsia="仿宋_GB2312" w:cs="仿宋_GB2312"/>
          <w:sz w:val="32"/>
          <w:szCs w:val="32"/>
        </w:rPr>
        <w:t>、你单位应全面落实《报告</w:t>
      </w:r>
      <w:r>
        <w:rPr>
          <w:rFonts w:hint="eastAsia" w:ascii="仿宋_GB2312" w:hAnsi="仿宋_GB2312" w:eastAsia="仿宋_GB2312" w:cs="仿宋_GB2312"/>
          <w:sz w:val="32"/>
          <w:szCs w:val="32"/>
          <w:lang w:eastAsia="zh-CN"/>
        </w:rPr>
        <w:t>书</w:t>
      </w:r>
      <w:r>
        <w:rPr>
          <w:rFonts w:hint="eastAsia" w:ascii="仿宋_GB2312" w:hAnsi="仿宋_GB2312" w:eastAsia="仿宋_GB2312" w:cs="仿宋_GB2312"/>
          <w:sz w:val="32"/>
          <w:szCs w:val="32"/>
        </w:rPr>
        <w:t>》提出的各项环境保护措施，各项环境保护设施与主体工程同时设计、同时施工、同时投入使用，确保各项污染物达标排放。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（一）向设计单位提供《报告</w:t>
      </w:r>
      <w:r>
        <w:rPr>
          <w:rFonts w:hint="eastAsia" w:ascii="仿宋_GB2312" w:hAnsi="仿宋_GB2312" w:eastAsia="仿宋_GB2312" w:cs="仿宋_GB2312"/>
          <w:sz w:val="32"/>
          <w:szCs w:val="32"/>
          <w:lang w:eastAsia="zh-CN"/>
        </w:rPr>
        <w:t>书</w:t>
      </w:r>
      <w:r>
        <w:rPr>
          <w:rFonts w:hint="eastAsia" w:ascii="仿宋_GB2312" w:hAnsi="仿宋_GB2312" w:eastAsia="仿宋_GB2312" w:cs="仿宋_GB2312"/>
          <w:sz w:val="32"/>
          <w:szCs w:val="32"/>
        </w:rPr>
        <w:t>》和本批复文件，确保项目设计按照环境保护设计规范要求，落实防治环境污染和生态破坏的措施。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依据《报告书》和本批复文件，对项目建设过程中产生的废水、废气、固体废物、噪声等污染，采取相应的措施，做好扬尘防治工作。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项目运行时，外排污染物应满足如下要求：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.废气：项目应采取合理措施，加强废气的收集和处理，减少生产过程中的无组织废气排放。</w:t>
      </w:r>
      <w:r>
        <w:rPr>
          <w:rFonts w:hint="eastAsia" w:ascii="仿宋_GB2312" w:hAnsi="仿宋_GB2312" w:eastAsia="仿宋_GB2312" w:cs="仿宋_GB2312"/>
          <w:sz w:val="32"/>
          <w:szCs w:val="32"/>
          <w:lang w:val="en-US" w:eastAsia="zh-CN"/>
        </w:rPr>
        <w:t>各类废气经处理后须满足《无机化学工业污染物排放标准》（GB 31573-2015）、《大气污染物综合排放标准》（GB16297-1996）及《恶臭污染物排放标准》（GB14554-93）；满足</w:t>
      </w:r>
      <w:r>
        <w:rPr>
          <w:rFonts w:hint="eastAsia" w:ascii="仿宋_GB2312" w:hAnsi="仿宋_GB2312" w:eastAsia="仿宋_GB2312" w:cs="仿宋_GB2312"/>
          <w:sz w:val="32"/>
          <w:szCs w:val="32"/>
        </w:rPr>
        <w:t>《锅炉大气污染物排放标准》（DB/2089-2021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排放限值要求</w:t>
      </w:r>
      <w:r>
        <w:rPr>
          <w:rFonts w:hint="eastAsia" w:ascii="仿宋_GB2312" w:hAnsi="仿宋_GB2312" w:eastAsia="仿宋_GB2312" w:cs="仿宋_GB2312"/>
          <w:color w:val="auto"/>
          <w:sz w:val="32"/>
          <w:szCs w:val="32"/>
          <w:lang w:val="en-US" w:eastAsia="zh-CN"/>
        </w:rPr>
        <w:t>及《济源示范区涉颗粒物锅炉窑炉和涉VOCs通用行业绩效分级指标体系的通知》（济管环〔2023〕33号）中A级企业指标要求。厂界无组织氨及硫酸执行《无机化学工业污染物排放标准》（GB 31573-2015）要求，厂界无组织颗粒物参照执行《大气污染物综合排放标准》（GB16297-1996）标准限值要求。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sz w:val="32"/>
          <w:szCs w:val="32"/>
          <w:lang w:val="en-US" w:eastAsia="zh-CN"/>
        </w:rPr>
        <w:t>2.废水。本项目废水主</w:t>
      </w:r>
      <w:r>
        <w:rPr>
          <w:rFonts w:hint="eastAsia" w:ascii="仿宋_GB2312" w:hAnsi="仿宋_GB2312" w:eastAsia="仿宋_GB2312" w:cs="仿宋_GB2312"/>
          <w:sz w:val="32"/>
          <w:szCs w:val="32"/>
          <w:lang w:val="en-US" w:eastAsia="zh-CN"/>
        </w:rPr>
        <w:t>要为锅炉及循环水站排污水、脱盐水站废水、设备及地面冲洗废水、生活污水等。废水经厂区内污水处理站处理后清水回用；近期浓水排放至济源市清源水处理公司污水处理设施，处理后由济源市清源水处理公司全部回用；远期</w:t>
      </w:r>
      <w:r>
        <w:rPr>
          <w:rFonts w:hint="eastAsia" w:ascii="仿宋_GB2312" w:hAnsi="仿宋_GB2312" w:eastAsia="仿宋_GB2312" w:cs="仿宋_GB2312"/>
          <w:sz w:val="32"/>
          <w:szCs w:val="32"/>
        </w:rPr>
        <w:t>园区</w:t>
      </w:r>
      <w:r>
        <w:rPr>
          <w:rFonts w:hint="eastAsia" w:ascii="仿宋_GB2312" w:hAnsi="仿宋_GB2312" w:eastAsia="仿宋_GB2312" w:cs="仿宋_GB2312"/>
          <w:sz w:val="32"/>
          <w:szCs w:val="32"/>
          <w:lang w:val="en-US" w:eastAsia="zh-CN"/>
        </w:rPr>
        <w:t>内污水处理厂建成后，浓水排放至园区污水处理厂进一步处理。厂区废水总排口各项污染物排放浓度满足《无机化学工业污染物排放标准》（GB31573-2015）标准限值要求。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3.噪声。东厂界、西厂界、北厂界噪声满足《工业企业厂界环境噪声排放标准》（GB12348-2008）</w:t>
      </w:r>
      <w:r>
        <w:rPr>
          <w:rFonts w:hint="eastAsia" w:ascii="仿宋_GB2312" w:hAnsi="仿宋_GB2312" w:eastAsia="仿宋_GB2312" w:cs="仿宋_GB2312"/>
          <w:sz w:val="32"/>
          <w:szCs w:val="32"/>
        </w:rPr>
        <w:t>3类要求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南厂界噪声满足《工业企业厂界环境噪声排放标准》（GB12348-2008）4</w:t>
      </w:r>
      <w:r>
        <w:rPr>
          <w:rFonts w:hint="eastAsia" w:ascii="仿宋_GB2312" w:hAnsi="仿宋_GB2312" w:eastAsia="仿宋_GB2312" w:cs="仿宋_GB2312"/>
          <w:sz w:val="32"/>
          <w:szCs w:val="32"/>
        </w:rPr>
        <w:t>类要求</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.固废。</w:t>
      </w:r>
      <w:r>
        <w:rPr>
          <w:rFonts w:hint="eastAsia" w:ascii="仿宋_GB2312" w:hAnsi="仿宋_GB2312" w:eastAsia="仿宋_GB2312" w:cs="仿宋_GB2312"/>
          <w:sz w:val="32"/>
          <w:szCs w:val="32"/>
          <w:lang w:val="en-US" w:eastAsia="zh-CN"/>
        </w:rPr>
        <w:t>严格落实《报告书》要求，加强一般固体废物和危险废物的管理工作，一般固废厂区贮存应满足防渗漏、防雨淋、防扬尘等环境保护要求。危险废物临时贮存按《危险废物贮存污染控制标准》（GB18597-2023）建设符合要求的危险废物仓库，并按技术规范规定做好危险废物的储存、转移、处置，如实记录管理台账，避免对环境造成二次污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（四）严格落实《报告书》中的地下水、土壤污染防治措施及环境风险防范措施，按照相关技术规范，切实做好厂区防渗。制定环境风险应急预案，定期演练，备足环境风险应急物资，切实防范环境风险。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五、严格落实《报告书》中的各项</w:t>
      </w:r>
      <w:r>
        <w:rPr>
          <w:rFonts w:hint="eastAsia" w:ascii="仿宋_GB2312" w:hAnsi="仿宋_GB2312" w:eastAsia="仿宋_GB2312" w:cs="仿宋_GB2312"/>
          <w:sz w:val="32"/>
          <w:szCs w:val="32"/>
          <w:lang w:val="en-US" w:eastAsia="zh-CN"/>
        </w:rPr>
        <w:t>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color w:val="auto"/>
          <w:sz w:val="32"/>
          <w:szCs w:val="32"/>
          <w:lang w:eastAsia="zh-CN"/>
        </w:rPr>
        <w:t>保证项目清洁生产水平，</w:t>
      </w:r>
      <w:r>
        <w:rPr>
          <w:rFonts w:hint="eastAsia" w:ascii="仿宋_GB2312" w:hAnsi="仿宋_GB2312" w:eastAsia="仿宋_GB2312" w:cs="仿宋_GB2312"/>
          <w:sz w:val="32"/>
          <w:szCs w:val="32"/>
          <w:lang w:eastAsia="zh-CN"/>
        </w:rPr>
        <w:t>全面满足《济源示范区涉颗粒物、锅炉/炉窑和涉VOCs通用行业绩效分级指标体系（试行）》济管环</w:t>
      </w:r>
      <w:r>
        <w:rPr>
          <w:rFonts w:hint="eastAsia" w:ascii="仿宋_GB2312" w:hAnsi="仿宋_GB2312" w:eastAsia="仿宋_GB2312" w:cs="仿宋_GB2312"/>
          <w:color w:val="auto"/>
          <w:sz w:val="32"/>
          <w:szCs w:val="32"/>
          <w:lang w:val="en-US" w:eastAsia="zh-CN"/>
        </w:rPr>
        <w:t>〔2023〕</w:t>
      </w:r>
      <w:r>
        <w:rPr>
          <w:rFonts w:hint="eastAsia" w:ascii="仿宋_GB2312" w:hAnsi="仿宋_GB2312" w:eastAsia="仿宋_GB2312" w:cs="仿宋_GB2312"/>
          <w:sz w:val="32"/>
          <w:szCs w:val="32"/>
          <w:lang w:eastAsia="zh-CN"/>
        </w:rPr>
        <w:t>33号</w:t>
      </w:r>
      <w:r>
        <w:rPr>
          <w:rFonts w:hint="eastAsia" w:ascii="仿宋_GB2312" w:hAnsi="仿宋_GB2312" w:eastAsia="仿宋_GB2312" w:cs="仿宋_GB2312"/>
          <w:sz w:val="32"/>
          <w:szCs w:val="32"/>
          <w:lang w:val="en-US" w:eastAsia="zh-CN"/>
        </w:rPr>
        <w:t>文件中A</w:t>
      </w:r>
      <w:r>
        <w:rPr>
          <w:rFonts w:hint="eastAsia" w:ascii="仿宋_GB2312" w:hAnsi="仿宋_GB2312" w:eastAsia="仿宋_GB2312" w:cs="仿宋_GB2312"/>
          <w:sz w:val="32"/>
          <w:szCs w:val="32"/>
          <w:lang w:eastAsia="zh-CN"/>
        </w:rPr>
        <w:t>级企业绩效指标各项要求。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六、</w:t>
      </w:r>
      <w:r>
        <w:rPr>
          <w:rFonts w:hint="eastAsia" w:ascii="仿宋_GB2312" w:hAnsi="仿宋_GB2312" w:eastAsia="仿宋_GB2312" w:cs="仿宋_GB2312"/>
          <w:sz w:val="32"/>
          <w:szCs w:val="32"/>
          <w:lang w:val="en-US" w:eastAsia="zh-CN"/>
        </w:rPr>
        <w:t>按国家有关规定设置规范的污染物排放口，并设立明显标志</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按要求安装用电监管设备、污染源自动监控设施等并与生态环境主管部门的监控设备联网。</w:t>
      </w:r>
      <w:r>
        <w:rPr>
          <w:rFonts w:hint="eastAsia" w:ascii="仿宋_GB2312" w:hAnsi="仿宋_GB2312" w:eastAsia="仿宋_GB2312" w:cs="仿宋_GB2312"/>
          <w:sz w:val="32"/>
          <w:szCs w:val="32"/>
          <w:lang w:eastAsia="zh-CN"/>
        </w:rPr>
        <w:t>严格落实《报告书》相关环境监测计划，定期对各类污染物进行监测，发布相关信息，发现问题及时采取整改措施。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七、</w:t>
      </w:r>
      <w:r>
        <w:rPr>
          <w:rFonts w:hint="eastAsia" w:ascii="仿宋_GB2312" w:hAnsi="仿宋_GB2312" w:eastAsia="仿宋_GB2312" w:cs="仿宋_GB2312"/>
          <w:sz w:val="32"/>
          <w:szCs w:val="32"/>
          <w:lang w:val="en-US" w:eastAsia="zh-CN"/>
        </w:rPr>
        <w:t>严格</w:t>
      </w:r>
      <w:r>
        <w:rPr>
          <w:rFonts w:hint="eastAsia" w:ascii="仿宋_GB2312" w:hAnsi="仿宋_GB2312" w:eastAsia="仿宋_GB2312" w:cs="仿宋_GB2312"/>
          <w:sz w:val="32"/>
          <w:szCs w:val="32"/>
          <w:lang w:eastAsia="zh-CN"/>
        </w:rPr>
        <w:t>执行环保“三同时”制度，按要求</w:t>
      </w:r>
      <w:r>
        <w:rPr>
          <w:rFonts w:hint="eastAsia" w:ascii="仿宋_GB2312" w:hAnsi="仿宋_GB2312" w:eastAsia="仿宋_GB2312" w:cs="仿宋_GB2312"/>
          <w:sz w:val="32"/>
          <w:szCs w:val="32"/>
          <w:lang w:val="en-US" w:eastAsia="zh-CN"/>
        </w:rPr>
        <w:t>申领</w:t>
      </w:r>
      <w:r>
        <w:rPr>
          <w:rFonts w:hint="eastAsia" w:ascii="仿宋_GB2312" w:hAnsi="仿宋_GB2312" w:eastAsia="仿宋_GB2312" w:cs="仿宋_GB2312"/>
          <w:sz w:val="32"/>
          <w:szCs w:val="32"/>
          <w:lang w:eastAsia="zh-CN"/>
        </w:rPr>
        <w:t>污染物排放许可证，按规定程序实施竣工环境保护验收，</w:t>
      </w:r>
      <w:r>
        <w:rPr>
          <w:rFonts w:hint="eastAsia" w:ascii="仿宋_GB2312" w:hAnsi="仿宋_GB2312" w:eastAsia="仿宋_GB2312" w:cs="仿宋_GB2312"/>
          <w:sz w:val="32"/>
          <w:szCs w:val="32"/>
          <w:lang w:val="en-US" w:eastAsia="zh-CN"/>
        </w:rPr>
        <w:t>经验收合格后方可正式投产。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八、</w:t>
      </w:r>
      <w:r>
        <w:rPr>
          <w:rFonts w:hint="eastAsia" w:ascii="仿宋_GB2312" w:hAnsi="仿宋_GB2312" w:eastAsia="仿宋_GB2312" w:cs="仿宋_GB2312"/>
          <w:sz w:val="32"/>
          <w:szCs w:val="32"/>
          <w:lang w:val="en-US" w:eastAsia="zh-CN"/>
        </w:rPr>
        <w:t>严格落实总量控制要求。该项目建成实施后新增颗粒物2.6737吨/年、SO</w:t>
      </w:r>
      <w:r>
        <w:rPr>
          <w:rFonts w:hint="eastAsia" w:ascii="仿宋_GB2312" w:hAnsi="仿宋_GB2312" w:eastAsia="仿宋_GB2312" w:cs="仿宋_GB2312"/>
          <w:sz w:val="32"/>
          <w:szCs w:val="32"/>
          <w:vertAlign w:val="subscript"/>
          <w:lang w:val="en-US" w:eastAsia="zh-CN"/>
        </w:rPr>
        <w:t>2</w:t>
      </w:r>
      <w:r>
        <w:rPr>
          <w:rFonts w:hint="eastAsia" w:ascii="仿宋_GB2312" w:hAnsi="仿宋_GB2312" w:eastAsia="仿宋_GB2312" w:cs="仿宋_GB2312"/>
          <w:sz w:val="32"/>
          <w:szCs w:val="32"/>
          <w:lang w:val="en-US" w:eastAsia="zh-CN"/>
        </w:rPr>
        <w:t>0.3吨/年、NO</w:t>
      </w:r>
      <w:r>
        <w:rPr>
          <w:rFonts w:hint="eastAsia" w:ascii="仿宋_GB2312" w:hAnsi="仿宋_GB2312" w:eastAsia="仿宋_GB2312" w:cs="仿宋_GB2312"/>
          <w:sz w:val="32"/>
          <w:szCs w:val="32"/>
          <w:vertAlign w:val="subscript"/>
          <w:lang w:val="en-US" w:eastAsia="zh-CN"/>
        </w:rPr>
        <w:t>X</w:t>
      </w:r>
      <w:r>
        <w:rPr>
          <w:rFonts w:hint="eastAsia" w:ascii="仿宋_GB2312" w:hAnsi="仿宋_GB2312" w:eastAsia="仿宋_GB2312" w:cs="仿宋_GB2312"/>
          <w:sz w:val="32"/>
          <w:szCs w:val="32"/>
          <w:lang w:val="en-US" w:eastAsia="zh-CN"/>
        </w:rPr>
        <w:t>2.2725吨/年。大气污染物总量指标从济源示范区“十四五”期间减排工程大气污染物削减量结余量中按双倍替代量调剂给本项目使用。待废水排放去向发生变更时，再许可水污染控制总量。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九、</w:t>
      </w:r>
      <w:r>
        <w:rPr>
          <w:rFonts w:hint="eastAsia" w:ascii="仿宋_GB2312" w:hAnsi="仿宋_GB2312" w:eastAsia="仿宋_GB2312" w:cs="仿宋_GB2312"/>
          <w:sz w:val="32"/>
          <w:szCs w:val="32"/>
          <w:lang w:eastAsia="zh-CN"/>
        </w:rPr>
        <w:t>本批复有效期为5年，如该项目逾期方开工建设，其环境影响报告书应报我局重新审核。项目的性质、规模、地点、采用的生产工艺或者防治污染、防止生态破坏的措施发生重大变动的，应当重新报批建设项目环境影响评价文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十</w:t>
      </w:r>
      <w:r>
        <w:rPr>
          <w:rFonts w:hint="eastAsia" w:ascii="仿宋_GB2312" w:hAnsi="仿宋_GB2312" w:eastAsia="仿宋_GB2312" w:cs="仿宋_GB2312"/>
          <w:sz w:val="32"/>
          <w:szCs w:val="32"/>
          <w:lang w:eastAsia="zh-CN"/>
        </w:rPr>
        <w:t>、如果今后国家或我省颁布严于本批复污染物排放限值的新标准，届时你公司应按新的排放标准执行。</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cs="Times New Roman"/>
          <w:szCs w:val="32"/>
          <w:lang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cs="Times New Roman"/>
          <w:szCs w:val="32"/>
          <w:lang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cs="Times New Roman"/>
          <w:szCs w:val="32"/>
          <w:lang w:eastAsia="zh-CN"/>
        </w:rPr>
      </w:pPr>
    </w:p>
    <w:p>
      <w:pPr>
        <w:keepNext w:val="0"/>
        <w:keepLines w:val="0"/>
        <w:pageBreakBefore w:val="0"/>
        <w:widowControl w:val="0"/>
        <w:kinsoku/>
        <w:wordWrap w:val="0"/>
        <w:overflowPunct/>
        <w:topLinePunct w:val="0"/>
        <w:autoSpaceDE/>
        <w:autoSpaceDN/>
        <w:bidi w:val="0"/>
        <w:adjustRightInd/>
        <w:snapToGrid/>
        <w:spacing w:line="540" w:lineRule="exact"/>
        <w:jc w:val="right"/>
        <w:textAlignment w:val="auto"/>
        <w:rPr>
          <w:rFonts w:hint="default" w:ascii="Times New Roman" w:hAnsi="Times New Roman" w:eastAsia="仿宋_GB2312" w:cs="Times New Roman"/>
          <w:color w:val="auto"/>
          <w:szCs w:val="32"/>
          <w:lang w:val="en-US" w:eastAsia="zh-CN"/>
        </w:rPr>
      </w:pPr>
      <w:r>
        <w:rPr>
          <w:rFonts w:hint="eastAsia" w:ascii="Times New Roman" w:hAnsi="Times New Roman" w:cs="Times New Roman"/>
          <w:color w:val="auto"/>
          <w:szCs w:val="32"/>
          <w:lang w:val="en-US" w:eastAsia="zh-CN"/>
        </w:rPr>
        <w:t xml:space="preserve">  </w:t>
      </w:r>
      <w:r>
        <w:rPr>
          <w:rFonts w:hint="eastAsia" w:ascii="Times New Roman" w:hAnsi="Times New Roman" w:cs="Times New Roman"/>
          <w:color w:val="FF0000"/>
          <w:szCs w:val="32"/>
          <w:lang w:val="en-US" w:eastAsia="zh-CN"/>
        </w:rPr>
        <w:t xml:space="preserve"> </w:t>
      </w:r>
      <w:r>
        <w:rPr>
          <w:rFonts w:hint="default" w:ascii="仿宋_GB2312" w:hAnsi="仿宋_GB2312" w:eastAsia="仿宋_GB2312" w:cs="仿宋_GB2312"/>
          <w:sz w:val="32"/>
          <w:szCs w:val="32"/>
          <w:lang w:eastAsia="zh-CN"/>
        </w:rPr>
        <w:t>202</w:t>
      </w:r>
      <w:r>
        <w:rPr>
          <w:rFonts w:hint="eastAsia" w:ascii="仿宋_GB2312" w:hAnsi="仿宋_GB2312" w:eastAsia="仿宋_GB2312" w:cs="仿宋_GB2312"/>
          <w:sz w:val="32"/>
          <w:szCs w:val="32"/>
          <w:lang w:val="en-US" w:eastAsia="zh-CN"/>
        </w:rPr>
        <w:t>3</w:t>
      </w:r>
      <w:r>
        <w:rPr>
          <w:rFonts w:hint="default" w:ascii="仿宋_GB2312" w:hAnsi="仿宋_GB2312" w:eastAsia="仿宋_GB2312" w:cs="仿宋_GB2312"/>
          <w:sz w:val="32"/>
          <w:szCs w:val="32"/>
          <w:lang w:eastAsia="zh-CN"/>
        </w:rPr>
        <w:t>年</w:t>
      </w:r>
      <w:r>
        <w:rPr>
          <w:rFonts w:hint="eastAsia" w:ascii="仿宋_GB2312" w:hAnsi="仿宋_GB2312" w:eastAsia="仿宋_GB2312" w:cs="仿宋_GB2312"/>
          <w:sz w:val="32"/>
          <w:szCs w:val="32"/>
          <w:lang w:val="en-US" w:eastAsia="zh-CN"/>
        </w:rPr>
        <w:t>9</w:t>
      </w:r>
      <w:r>
        <w:rPr>
          <w:rFonts w:hint="default" w:ascii="仿宋_GB2312" w:hAnsi="仿宋_GB2312" w:eastAsia="仿宋_GB2312" w:cs="仿宋_GB2312"/>
          <w:sz w:val="32"/>
          <w:szCs w:val="32"/>
          <w:lang w:eastAsia="zh-CN"/>
        </w:rPr>
        <w:t>月</w:t>
      </w:r>
      <w:r>
        <w:rPr>
          <w:rFonts w:hint="eastAsia" w:ascii="仿宋_GB2312" w:hAnsi="仿宋_GB2312" w:cs="仿宋_GB2312"/>
          <w:sz w:val="32"/>
          <w:szCs w:val="32"/>
          <w:lang w:val="en-US" w:eastAsia="zh-CN"/>
        </w:rPr>
        <w:t>12</w:t>
      </w:r>
      <w:r>
        <w:rPr>
          <w:rFonts w:hint="default" w:ascii="仿宋_GB2312" w:hAnsi="仿宋_GB2312" w:eastAsia="仿宋_GB2312" w:cs="仿宋_GB2312"/>
          <w:sz w:val="32"/>
          <w:szCs w:val="32"/>
          <w:lang w:eastAsia="zh-CN"/>
        </w:rPr>
        <w:t>日</w:t>
      </w:r>
      <w:r>
        <w:rPr>
          <w:rFonts w:hint="default" w:ascii="Times New Roman" w:hAnsi="Times New Roman" w:cs="Times New Roman"/>
          <w:color w:val="FF0000"/>
          <w:szCs w:val="32"/>
          <w:lang w:val="en-US" w:eastAsia="zh-CN"/>
        </w:rPr>
        <w:t xml:space="preserve">    </w:t>
      </w:r>
      <w:r>
        <w:rPr>
          <w:rFonts w:hint="default" w:ascii="Times New Roman" w:hAnsi="Times New Roman" w:cs="Times New Roman"/>
          <w:color w:val="auto"/>
          <w:szCs w:val="32"/>
          <w:lang w:val="en-US" w:eastAsia="zh-CN"/>
        </w:rPr>
        <w:t xml:space="preserve">    </w:t>
      </w:r>
    </w:p>
    <w:p>
      <w:bookmarkStart w:id="0" w:name="_GoBack"/>
      <w:bookmarkEnd w:id="0"/>
    </w:p>
    <w:sectPr>
      <w:pgSz w:w="11906" w:h="16838"/>
      <w:pgMar w:top="1440" w:right="1800" w:bottom="1440" w:left="1800" w:header="851" w:footer="992" w:gutter="0"/>
      <w:pgNumType w:fmt="decimal"/>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A1"/>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Calibri Light">
    <w:altName w:val="DejaVu Sans"/>
    <w:panose1 w:val="020F0302020204030204"/>
    <w:charset w:val="00"/>
    <w:family w:val="swiss"/>
    <w:pitch w:val="default"/>
    <w:sig w:usb0="00000000" w:usb1="00000000"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中宋">
    <w:altName w:val="汉仪中宋简"/>
    <w:panose1 w:val="02010600040101010101"/>
    <w:charset w:val="86"/>
    <w:family w:val="auto"/>
    <w:pitch w:val="default"/>
    <w:sig w:usb0="00000000" w:usb1="00000000" w:usb2="00000000" w:usb3="00000000" w:csb0="0004009F" w:csb1="DFD70000"/>
  </w:font>
  <w:font w:name="汉仪中宋简">
    <w:panose1 w:val="02010600000101010101"/>
    <w:charset w:val="86"/>
    <w:family w:val="auto"/>
    <w:pitch w:val="default"/>
    <w:sig w:usb0="00000001" w:usb1="080E0800" w:usb2="00000002"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EFD9D8E"/>
    <w:multiLevelType w:val="singleLevel"/>
    <w:tmpl w:val="6EFD9D8E"/>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I2ZjIwOWU0OWY2MmM5NjZmMjQ5YzgzY2Y2NjIyNGEifQ=="/>
  </w:docVars>
  <w:rsids>
    <w:rsidRoot w:val="5A4E3EC3"/>
    <w:rsid w:val="012A5979"/>
    <w:rsid w:val="06896151"/>
    <w:rsid w:val="0FFF524B"/>
    <w:rsid w:val="10C83B7F"/>
    <w:rsid w:val="26CF2112"/>
    <w:rsid w:val="3A5C70FE"/>
    <w:rsid w:val="3F0D3665"/>
    <w:rsid w:val="3FA532F5"/>
    <w:rsid w:val="421E1317"/>
    <w:rsid w:val="46C85F3F"/>
    <w:rsid w:val="533607AE"/>
    <w:rsid w:val="5A4E3EC3"/>
    <w:rsid w:val="5E594A79"/>
    <w:rsid w:val="6CAE0162"/>
    <w:rsid w:val="79F85A62"/>
    <w:rsid w:val="7F343772"/>
    <w:rsid w:val="7FBFC90E"/>
    <w:rsid w:val="FFF462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paragraph" w:styleId="2">
    <w:name w:val="heading 2"/>
    <w:basedOn w:val="1"/>
    <w:next w:val="1"/>
    <w:unhideWhenUsed/>
    <w:qFormat/>
    <w:uiPriority w:val="0"/>
    <w:pPr>
      <w:keepNext/>
      <w:keepLines/>
      <w:widowControl/>
      <w:spacing w:before="260" w:after="260" w:line="416" w:lineRule="auto"/>
      <w:jc w:val="left"/>
      <w:outlineLvl w:val="1"/>
    </w:pPr>
    <w:rPr>
      <w:rFonts w:asciiTheme="majorHAnsi" w:hAnsiTheme="majorHAnsi" w:eastAsiaTheme="majorEastAsia" w:cstheme="majorBidi"/>
      <w:b/>
      <w:bCs/>
      <w:kern w:val="0"/>
      <w:sz w:val="32"/>
      <w:szCs w:val="3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next w:val="1"/>
    <w:qFormat/>
    <w:uiPriority w:val="99"/>
    <w:pPr>
      <w:adjustRightInd w:val="0"/>
      <w:snapToGrid w:val="0"/>
      <w:spacing w:before="50" w:beforeLines="50" w:after="50" w:afterLines="50"/>
      <w:jc w:val="center"/>
    </w:pPr>
    <w:rPr>
      <w:rFonts w:ascii="仿宋_GB2312" w:eastAsia="仿宋_GB2312"/>
      <w:b/>
      <w:sz w:val="28"/>
    </w:rPr>
  </w:style>
  <w:style w:type="paragraph" w:styleId="4">
    <w:name w:val="Body Text First Indent 2"/>
    <w:basedOn w:val="1"/>
    <w:next w:val="1"/>
    <w:qFormat/>
    <w:uiPriority w:val="0"/>
    <w:pPr>
      <w:adjustRightInd w:val="0"/>
      <w:snapToGrid w:val="0"/>
      <w:spacing w:before="10" w:beforeLines="10" w:after="120" w:line="460" w:lineRule="exact"/>
      <w:ind w:left="420" w:leftChars="200" w:firstLine="420" w:firstLineChars="200"/>
    </w:pPr>
    <w:rPr>
      <w:spacing w:val="0"/>
      <w:kern w:val="0"/>
    </w:rPr>
  </w:style>
  <w:style w:type="character" w:styleId="7">
    <w:name w:val="Emphasis"/>
    <w:basedOn w:val="6"/>
    <w:qFormat/>
    <w:uiPriority w:val="0"/>
    <w:rPr>
      <w:i/>
    </w:rPr>
  </w:style>
  <w:style w:type="paragraph" w:customStyle="1" w:styleId="8">
    <w:name w:val="表内文字"/>
    <w:basedOn w:val="1"/>
    <w:qFormat/>
    <w:uiPriority w:val="0"/>
    <w:pPr>
      <w:spacing w:line="280" w:lineRule="exact"/>
    </w:pPr>
    <w:rPr>
      <w:rFonts w:ascii="Times New Roman" w:hAnsi="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1769</Words>
  <Characters>1889</Characters>
  <Lines>0</Lines>
  <Paragraphs>0</Paragraphs>
  <TotalTime>67</TotalTime>
  <ScaleCrop>false</ScaleCrop>
  <LinksUpToDate>false</LinksUpToDate>
  <CharactersWithSpaces>1902</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2023-07-21T07:27:00Z</dcterms:created>
  <dc:creator>流光</dc:creator>
  <cp:lastModifiedBy>greatwall</cp:lastModifiedBy>
  <cp:lastPrinted>2023-09-12T01:50:00Z</cp:lastPrinted>
  <dcterms:modified xsi:type="dcterms:W3CDTF">2023-09-12T15:07:21Z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B6681DDC6AC242C38C99DD9AA9E4BC20</vt:lpwstr>
  </property>
</Properties>
</file>