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640" w:firstLineChars="200"/>
        <w:rPr>
          <w:rFonts w:hint="eastAsia" w:ascii="仿宋_GB2312" w:hAnsi="仿宋_GB2312" w:eastAsia="仿宋_GB2312" w:cs="仿宋_GB2312"/>
          <w:sz w:val="32"/>
          <w:szCs w:val="32"/>
          <w14:ligatures w14:val="none"/>
        </w:rPr>
      </w:pPr>
    </w:p>
    <w:p>
      <w:pPr>
        <w:spacing w:line="560" w:lineRule="exact"/>
        <w:ind w:firstLine="640" w:firstLineChars="200"/>
        <w:rPr>
          <w:rFonts w:hint="eastAsia" w:ascii="仿宋_GB2312" w:hAnsi="仿宋_GB2312" w:eastAsia="仿宋_GB2312" w:cs="仿宋_GB2312"/>
          <w:sz w:val="32"/>
          <w:szCs w:val="32"/>
          <w14:ligatures w14:val="none"/>
        </w:rPr>
      </w:pPr>
    </w:p>
    <w:p>
      <w:pPr>
        <w:spacing w:line="560" w:lineRule="exact"/>
        <w:ind w:firstLine="640" w:firstLineChars="200"/>
        <w:rPr>
          <w:rFonts w:hint="eastAsia" w:ascii="仿宋_GB2312" w:hAnsi="仿宋_GB2312" w:eastAsia="仿宋_GB2312" w:cs="仿宋_GB2312"/>
          <w:sz w:val="32"/>
          <w:szCs w:val="32"/>
          <w14:ligatures w14:val="none"/>
        </w:rPr>
      </w:pPr>
    </w:p>
    <w:p>
      <w:pPr>
        <w:spacing w:line="560" w:lineRule="exact"/>
        <w:ind w:firstLine="640" w:firstLineChars="200"/>
        <w:rPr>
          <w:rFonts w:hint="eastAsia" w:ascii="仿宋_GB2312" w:hAnsi="仿宋_GB2312" w:eastAsia="仿宋_GB2312" w:cs="仿宋_GB2312"/>
          <w:sz w:val="32"/>
          <w:szCs w:val="32"/>
          <w14:ligatures w14:val="none"/>
        </w:rPr>
      </w:pPr>
    </w:p>
    <w:p>
      <w:pPr>
        <w:spacing w:line="560" w:lineRule="exact"/>
        <w:rPr>
          <w:rFonts w:hint="eastAsia" w:ascii="仿宋_GB2312" w:hAnsi="仿宋_GB2312" w:eastAsia="仿宋_GB2312" w:cs="仿宋_GB2312"/>
          <w:sz w:val="32"/>
          <w:szCs w:val="32"/>
          <w14:ligatures w14:val="none"/>
        </w:rPr>
      </w:pPr>
    </w:p>
    <w:p>
      <w:pPr>
        <w:keepNext w:val="0"/>
        <w:keepLines w:val="0"/>
        <w:pageBreakBefore w:val="0"/>
        <w:widowControl w:val="0"/>
        <w:kinsoku/>
        <w:wordWrap/>
        <w:overflowPunct/>
        <w:topLinePunct w:val="0"/>
        <w:autoSpaceDE/>
        <w:autoSpaceDN/>
        <w:bidi w:val="0"/>
        <w:adjustRightInd/>
        <w:snapToGrid/>
        <w:spacing w:before="313" w:beforeLines="100" w:line="560" w:lineRule="exact"/>
        <w:ind w:firstLine="5440" w:firstLineChars="1700"/>
        <w:jc w:val="right"/>
        <w:textAlignment w:val="auto"/>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济环审[2023]</w:t>
      </w:r>
      <w:r>
        <w:rPr>
          <w:rFonts w:hint="eastAsia" w:ascii="仿宋_GB2312" w:hAnsi="仿宋_GB2312" w:eastAsia="仿宋_GB2312" w:cs="仿宋_GB2312"/>
          <w:sz w:val="32"/>
          <w:szCs w:val="32"/>
          <w:lang w:val="en-US" w:eastAsia="zh-CN"/>
          <w14:ligatures w14:val="none"/>
        </w:rPr>
        <w:t>19</w:t>
      </w:r>
      <w:r>
        <w:rPr>
          <w:rFonts w:hint="eastAsia" w:ascii="仿宋_GB2312" w:hAnsi="仿宋_GB2312" w:eastAsia="仿宋_GB2312" w:cs="仿宋_GB2312"/>
          <w:sz w:val="32"/>
          <w:szCs w:val="32"/>
          <w14:ligatures w14:val="none"/>
        </w:rPr>
        <w:t>号</w:t>
      </w:r>
    </w:p>
    <w:p>
      <w:pPr>
        <w:widowControl/>
        <w:spacing w:line="460" w:lineRule="exact"/>
        <w:ind w:firstLine="640" w:firstLineChars="200"/>
        <w:jc w:val="right"/>
        <w:rPr>
          <w:rFonts w:ascii="Times New Roman" w:hAnsi="Times New Roman" w:eastAsia="仿宋_GB2312" w:cs="Times New Roman"/>
          <w:color w:val="262626"/>
          <w:kern w:val="0"/>
          <w:sz w:val="32"/>
          <w:szCs w:val="32"/>
          <w14:ligatures w14:val="none"/>
        </w:rPr>
      </w:pPr>
    </w:p>
    <w:p>
      <w:pPr>
        <w:widowControl/>
        <w:spacing w:line="660" w:lineRule="exact"/>
        <w:jc w:val="center"/>
        <w:rPr>
          <w:rFonts w:ascii="Times New Roman" w:hAnsi="Times New Roman" w:eastAsia="华文中宋" w:cs="Times New Roman"/>
          <w:color w:val="262626"/>
          <w:kern w:val="0"/>
          <w:sz w:val="44"/>
          <w:szCs w:val="44"/>
          <w:lang w:val="en"/>
          <w14:ligatures w14:val="none"/>
        </w:rPr>
      </w:pPr>
      <w:r>
        <w:rPr>
          <w:rFonts w:hint="eastAsia" w:ascii="Times New Roman" w:hAnsi="Times New Roman" w:eastAsia="华文中宋" w:cs="Times New Roman"/>
          <w:color w:val="262626"/>
          <w:kern w:val="0"/>
          <w:sz w:val="44"/>
          <w:szCs w:val="44"/>
          <w:lang w:val="en"/>
          <w14:ligatures w14:val="none"/>
        </w:rPr>
        <w:t>济源市生态环境局</w:t>
      </w:r>
    </w:p>
    <w:p>
      <w:pPr>
        <w:widowControl/>
        <w:spacing w:line="660" w:lineRule="exact"/>
        <w:jc w:val="center"/>
        <w:rPr>
          <w:rFonts w:ascii="Times New Roman" w:hAnsi="Times New Roman" w:eastAsia="华文中宋" w:cs="Times New Roman"/>
          <w:color w:val="262626"/>
          <w:kern w:val="0"/>
          <w:sz w:val="44"/>
          <w:szCs w:val="44"/>
          <w:lang w:val="en"/>
          <w14:ligatures w14:val="none"/>
        </w:rPr>
      </w:pPr>
      <w:r>
        <w:rPr>
          <w:rFonts w:hint="eastAsia" w:ascii="Times New Roman" w:hAnsi="Times New Roman" w:eastAsia="华文中宋" w:cs="Times New Roman"/>
          <w:color w:val="262626"/>
          <w:kern w:val="0"/>
          <w:sz w:val="44"/>
          <w:szCs w:val="44"/>
          <w:lang w:val="en"/>
          <w14:ligatures w14:val="none"/>
        </w:rPr>
        <w:t>关于</w:t>
      </w:r>
      <w:bookmarkStart w:id="0" w:name="_Hlk151479793"/>
      <w:bookmarkStart w:id="1" w:name="_Hlk151479908"/>
      <w:r>
        <w:rPr>
          <w:rFonts w:hint="eastAsia" w:ascii="Times New Roman" w:hAnsi="Times New Roman" w:eastAsia="华文中宋" w:cs="Times New Roman"/>
          <w:color w:val="262626"/>
          <w:kern w:val="0"/>
          <w:sz w:val="44"/>
          <w:szCs w:val="44"/>
          <w:lang w:val="en"/>
          <w14:ligatures w14:val="none"/>
        </w:rPr>
        <w:t>济源市聚鑫资源综合利用有限公司</w:t>
      </w:r>
      <w:bookmarkEnd w:id="0"/>
    </w:p>
    <w:p>
      <w:pPr>
        <w:widowControl/>
        <w:spacing w:line="660" w:lineRule="exact"/>
        <w:jc w:val="center"/>
        <w:rPr>
          <w:rFonts w:ascii="Times New Roman" w:hAnsi="Times New Roman" w:eastAsia="华文中宋" w:cs="Times New Roman"/>
          <w:color w:val="262626"/>
          <w:kern w:val="0"/>
          <w:sz w:val="44"/>
          <w:szCs w:val="44"/>
          <w:lang w:val="en"/>
          <w14:ligatures w14:val="none"/>
        </w:rPr>
      </w:pPr>
      <w:r>
        <w:rPr>
          <w:rFonts w:hint="eastAsia" w:ascii="Times New Roman" w:hAnsi="Times New Roman" w:eastAsia="华文中宋" w:cs="Times New Roman"/>
          <w:color w:val="262626"/>
          <w:kern w:val="0"/>
          <w:sz w:val="44"/>
          <w:szCs w:val="44"/>
          <w:lang w:val="en"/>
          <w14:ligatures w14:val="none"/>
        </w:rPr>
        <w:t>年拆解</w:t>
      </w:r>
      <w:r>
        <w:rPr>
          <w:rFonts w:ascii="Times New Roman" w:hAnsi="Times New Roman" w:eastAsia="华文中宋" w:cs="Times New Roman"/>
          <w:color w:val="262626"/>
          <w:kern w:val="0"/>
          <w:sz w:val="44"/>
          <w:szCs w:val="44"/>
          <w:lang w:val="en"/>
          <w14:ligatures w14:val="none"/>
        </w:rPr>
        <w:t>15万吨废旧铅酸蓄电池项目</w:t>
      </w:r>
    </w:p>
    <w:bookmarkEnd w:id="1"/>
    <w:p>
      <w:pPr>
        <w:widowControl/>
        <w:spacing w:line="660" w:lineRule="exact"/>
        <w:jc w:val="center"/>
        <w:rPr>
          <w:rFonts w:ascii="Times New Roman" w:hAnsi="Times New Roman" w:eastAsia="华文中宋" w:cs="Times New Roman"/>
          <w:color w:val="262626"/>
          <w:kern w:val="0"/>
          <w:sz w:val="44"/>
          <w:szCs w:val="44"/>
          <w:lang w:val="en"/>
          <w14:ligatures w14:val="none"/>
        </w:rPr>
      </w:pPr>
      <w:r>
        <w:rPr>
          <w:rFonts w:ascii="Times New Roman" w:hAnsi="Times New Roman" w:eastAsia="华文中宋" w:cs="Times New Roman"/>
          <w:color w:val="262626"/>
          <w:kern w:val="0"/>
          <w:sz w:val="44"/>
          <w:szCs w:val="44"/>
          <w:lang w:val="en"/>
          <w14:ligatures w14:val="none"/>
        </w:rPr>
        <w:t>环境影响报告书的批复</w:t>
      </w:r>
    </w:p>
    <w:p>
      <w:pPr>
        <w:spacing w:line="560" w:lineRule="exact"/>
        <w:ind w:firstLine="640" w:firstLineChars="200"/>
        <w:rPr>
          <w:rFonts w:ascii="仿宋_GB2312" w:hAnsi="仿宋_GB2312" w:eastAsia="仿宋_GB2312" w:cs="仿宋_GB2312"/>
          <w:sz w:val="32"/>
          <w:szCs w:val="32"/>
          <w:lang w:val="en"/>
          <w14:ligatures w14:val="none"/>
        </w:rPr>
      </w:pPr>
    </w:p>
    <w:p>
      <w:pPr>
        <w:spacing w:line="560" w:lineRule="exact"/>
        <w:rPr>
          <w:rFonts w:hint="eastAsia" w:ascii="仿宋_GB2312" w:hAnsi="仿宋_GB2312" w:eastAsia="仿宋_GB2312" w:cs="仿宋_GB2312"/>
          <w:sz w:val="32"/>
          <w:szCs w:val="32"/>
          <w:lang w:val="en"/>
          <w14:ligatures w14:val="none"/>
        </w:rPr>
      </w:pPr>
      <w:r>
        <w:rPr>
          <w:rFonts w:hint="eastAsia" w:ascii="仿宋_GB2312" w:hAnsi="仿宋_GB2312" w:eastAsia="仿宋_GB2312" w:cs="仿宋_GB2312"/>
          <w:sz w:val="32"/>
          <w:szCs w:val="32"/>
          <w:lang w:val="en"/>
          <w14:ligatures w14:val="none"/>
        </w:rPr>
        <w:t>济源市聚鑫资源综合利用有限公司：</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你单位（统一社会信用代码：91419001MA3XFLW13Y</w:t>
      </w:r>
      <w:r>
        <w:rPr>
          <w:rFonts w:hint="eastAsia" w:ascii="仿宋_GB2312" w:hAnsi="仿宋_GB2312" w:eastAsia="仿宋_GB2312" w:cs="仿宋_GB2312"/>
          <w:sz w:val="32"/>
          <w:szCs w:val="32"/>
          <w14:ligatures w14:val="none"/>
        </w:rPr>
        <w:t>）报送的由河南省冶金研究所有限责任公司鲁然英主持编制的《济源市聚鑫资源综合利用有限公司年拆解15万吨废旧铅酸蓄电池项目</w:t>
      </w:r>
      <w:r>
        <w:rPr>
          <w:rFonts w:hint="eastAsia" w:ascii="仿宋_GB2312" w:hAnsi="仿宋_GB2312" w:eastAsia="仿宋_GB2312" w:cs="仿宋_GB2312"/>
          <w:sz w:val="32"/>
          <w:szCs w:val="32"/>
          <w14:ligatures w14:val="none"/>
        </w:rPr>
        <w:t>环境影响报告书》（以下简称《报告书》）及行政审批申请等资料收悉，项目环评审批事项已在我局网站公示期满。根据《中华人民共和国环境保护法》《中华人民共和国行政许可法》《中华人民共和国环境影响评价法》《建设项目环境保护管理条例》等法律法规规定，经研究，批复如下：</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一、项目位于济源市示范区承留镇南勋村金利循环经济产业园现有厂区内。建设1条15万吨废旧铅蓄电池拆解生产线，包含废电池贮存仓库、破碎分选工段、塑料分离分色工段、产品贮存区等</w:t>
      </w:r>
      <w:r>
        <w:rPr>
          <w:rFonts w:hint="eastAsia" w:ascii="仿宋_GB2312" w:hAnsi="仿宋_GB2312" w:eastAsia="仿宋_GB2312" w:cs="仿宋_GB2312"/>
          <w:sz w:val="32"/>
          <w:szCs w:val="32"/>
          <w:lang w:eastAsia="zh-CN"/>
          <w14:ligatures w14:val="none"/>
        </w:rPr>
        <w:t>。主要</w:t>
      </w:r>
      <w:r>
        <w:rPr>
          <w:rFonts w:hint="eastAsia" w:ascii="仿宋_GB2312" w:hAnsi="仿宋_GB2312" w:eastAsia="仿宋_GB2312" w:cs="仿宋_GB2312"/>
          <w:sz w:val="32"/>
          <w:szCs w:val="32"/>
          <w14:ligatures w14:val="none"/>
        </w:rPr>
        <w:t>生产工艺为</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废旧蓄电池贮存</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破碎</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湿法振动筛分离铅膏</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水力分级箱分离板栅和废塑料</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废塑料清洗分离隔板和塑壳</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塑料分离分色。</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二、该《报告书》内容符合国家有关法律法规要求和建设项目环境管理规定，评价结论可信。我局批准该《报告书》，原则同意你公司按照《报告书》所列项目的性质、规模、地点及环境保护对策措施等内容进行建设。</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三、你单位应向社会公众主动公开已经批准的《报告书》，接受相关方的垂询。</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四、你单位应全面落实《报告书》提出的各项环境保护措施，各项环境保护设施与主体工程同时设计、同时施工、同时投入使用，确保各项污染物达标排放。</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（一）向设计单位提供《报告书》和本批复文件，确保项目设计按照环境保护设计规范要求，落实防治环境污染和生态破坏的措施。</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（二）依据《报告书》和本批复文件，对项目建设过程中产生的废水、废气、固体废物、噪声等污染，采取相应的措施，做好扬尘防治工作。</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（三）项目运行时，外排污染物应满足如下要求：</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1.废气：项目应采取合理措施，加强废气的收集和处理，减少生产过程中的无组织废气排放。各类废气经处理后须满足《再生铜、铝、铅、锌工业污染物排放标准》（GB31574-2015）</w:t>
      </w:r>
      <w:r>
        <w:rPr>
          <w:rFonts w:hint="eastAsia" w:ascii="仿宋_GB2312" w:hAnsi="仿宋_GB2312" w:eastAsia="仿宋_GB2312" w:cs="仿宋_GB2312"/>
          <w:sz w:val="32"/>
          <w:szCs w:val="32"/>
          <w14:ligatures w14:val="none"/>
        </w:rPr>
        <w:t>。</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2.废水。项目产生电池坑废酸、水力分选水排水、酸雾淋洗塔废水等</w:t>
      </w:r>
      <w:r>
        <w:rPr>
          <w:rFonts w:hint="eastAsia" w:ascii="仿宋_GB2312" w:hAnsi="仿宋_GB2312" w:eastAsia="仿宋_GB2312" w:cs="仿宋_GB2312"/>
          <w:sz w:val="32"/>
          <w:szCs w:val="32"/>
          <w:lang w:eastAsia="zh-CN"/>
          <w14:ligatures w14:val="none"/>
        </w:rPr>
        <w:t>依托</w:t>
      </w:r>
      <w:r>
        <w:rPr>
          <w:rFonts w:hint="eastAsia" w:ascii="仿宋_GB2312" w:hAnsi="仿宋_GB2312" w:eastAsia="仿宋_GB2312" w:cs="仿宋_GB2312"/>
          <w:sz w:val="32"/>
          <w:szCs w:val="32"/>
          <w14:ligatures w14:val="none"/>
        </w:rPr>
        <w:t>金利公司污酸处理站</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废水处理站处理</w:t>
      </w:r>
      <w:r>
        <w:rPr>
          <w:rFonts w:hint="eastAsia" w:ascii="仿宋_GB2312" w:hAnsi="仿宋_GB2312" w:eastAsia="仿宋_GB2312" w:cs="仿宋_GB2312"/>
          <w:sz w:val="32"/>
          <w:szCs w:val="32"/>
          <w:lang w:eastAsia="zh-CN"/>
          <w14:ligatures w14:val="none"/>
        </w:rPr>
        <w:t>后</w:t>
      </w:r>
      <w:r>
        <w:rPr>
          <w:rFonts w:hint="eastAsia" w:ascii="仿宋_GB2312" w:hAnsi="仿宋_GB2312" w:eastAsia="仿宋_GB2312" w:cs="仿宋_GB2312"/>
          <w:sz w:val="32"/>
          <w:szCs w:val="32"/>
          <w14:ligatures w14:val="none"/>
        </w:rPr>
        <w:t>，回用于冲渣，不外排；生活污水依托金利公司生活污水处理系统处理后排入城镇污水管网最终进入北控（济源）污水净化有限公司第二污水处理厂进一步处理。</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3.噪声。厂界噪声满足《工业企业厂界环境噪声排放标准》（GB12348-2008）3类要求。</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4.固废。严格落实《报告书》要求，加强固体废物的管理，危险废物贮存应按照《危险废物贮存污染控制标准》（GB18597-2023）</w:t>
      </w:r>
      <w:r>
        <w:rPr>
          <w:rFonts w:hint="eastAsia" w:ascii="仿宋_GB2312" w:hAnsi="仿宋_GB2312" w:eastAsia="仿宋_GB2312" w:cs="仿宋_GB2312"/>
          <w:sz w:val="32"/>
          <w:szCs w:val="32"/>
          <w14:ligatures w14:val="none"/>
        </w:rPr>
        <w:t>要求采取防渗漏、防雨淋、防扬尘等环境保护措施，如实记录管理台账，避免对环境造成二次污染。</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（四）严格落实《报告书》中的地下水、土壤污染防治措施及环境风险防范措施，制定环境风险应急预案，严防环境污染事故发生。</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五、按国家有关规定设置规范的污染物排放口，并设立明显标志。按要求安装用电监管设备并与生态环境主管部门的监控设备联网。严格落实《报告书》相关环境监测计划，定期对各类污染物进行监测，发布相关信息，发现问题及时采取整改措施。</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六、严格执行环保“三同时”制度，按要求</w:t>
      </w:r>
      <w:r>
        <w:rPr>
          <w:rFonts w:hint="eastAsia" w:ascii="仿宋_GB2312" w:hAnsi="仿宋_GB2312" w:eastAsia="仿宋_GB2312" w:cs="仿宋_GB2312"/>
          <w:sz w:val="32"/>
          <w:szCs w:val="32"/>
          <w:lang w:eastAsia="zh-CN"/>
          <w14:ligatures w14:val="none"/>
        </w:rPr>
        <w:t>变更</w:t>
      </w:r>
      <w:r>
        <w:rPr>
          <w:rFonts w:hint="eastAsia" w:ascii="仿宋_GB2312" w:hAnsi="仿宋_GB2312" w:eastAsia="仿宋_GB2312" w:cs="仿宋_GB2312"/>
          <w:sz w:val="32"/>
          <w:szCs w:val="32"/>
          <w14:ligatures w14:val="none"/>
        </w:rPr>
        <w:t>排污许可证，按规定程序实施竣工环境保护验收，经验收合格后方可正式投产。</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七、严格落实总量控制要求，按照《关于济源市聚鑫资源综合利用有限公司年拆解15万吨废旧铅酸蓄电池项目污染物总量控制指标意见的函》（济环总量函〔2023〕</w:t>
      </w:r>
      <w:r>
        <w:rPr>
          <w:rFonts w:hint="eastAsia" w:ascii="仿宋_GB2312" w:hAnsi="仿宋_GB2312" w:eastAsia="仿宋_GB2312" w:cs="仿宋_GB2312"/>
          <w:sz w:val="32"/>
          <w:szCs w:val="32"/>
          <w:lang w:val="en-US" w:eastAsia="zh-CN"/>
          <w14:ligatures w14:val="none"/>
        </w:rPr>
        <w:t>16</w:t>
      </w:r>
      <w:r>
        <w:rPr>
          <w:rFonts w:hint="eastAsia" w:ascii="仿宋_GB2312" w:hAnsi="仿宋_GB2312" w:eastAsia="仿宋_GB2312" w:cs="仿宋_GB2312"/>
          <w:sz w:val="32"/>
          <w:szCs w:val="32"/>
          <w14:ligatures w14:val="none"/>
        </w:rPr>
        <w:t>号）进行替代。</w:t>
      </w:r>
      <w:bookmarkStart w:id="2" w:name="_GoBack"/>
      <w:bookmarkEnd w:id="2"/>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八、本批复有效期为5年，如该项目逾期方开工建设，其环境影响报告书应报我局重新审核。项目的性质、规模、地点、采用的生产工艺或者防治污染、防止生态破坏的措施发生重大变动的，应当重新报批建设项目环境影响评价文件。</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九、如果今后国家或我省颁布严于本批复污染物排放限值的新标准，届时你公司应按新的排放标准执行。</w:t>
      </w:r>
    </w:p>
    <w:p>
      <w:pPr>
        <w:spacing w:line="560" w:lineRule="exact"/>
        <w:ind w:firstLine="640" w:firstLineChars="200"/>
        <w:rPr>
          <w:rFonts w:hint="eastAsia" w:ascii="仿宋_GB2312" w:hAnsi="仿宋_GB2312" w:eastAsia="仿宋_GB2312" w:cs="仿宋_GB2312"/>
          <w:sz w:val="32"/>
          <w:szCs w:val="32"/>
          <w14:ligatures w14:val="none"/>
        </w:rPr>
      </w:pPr>
    </w:p>
    <w:p>
      <w:pPr>
        <w:spacing w:line="560" w:lineRule="exact"/>
        <w:ind w:firstLine="640" w:firstLineChars="200"/>
        <w:rPr>
          <w:rFonts w:hint="eastAsia" w:ascii="仿宋_GB2312" w:hAnsi="仿宋_GB2312" w:eastAsia="仿宋_GB2312" w:cs="仿宋_GB2312"/>
          <w:sz w:val="32"/>
          <w:szCs w:val="32"/>
          <w14:ligatures w14:val="none"/>
        </w:rPr>
      </w:pPr>
    </w:p>
    <w:p>
      <w:pPr>
        <w:spacing w:line="560" w:lineRule="exact"/>
        <w:ind w:firstLine="640" w:firstLineChars="200"/>
        <w:rPr>
          <w:rFonts w:hint="eastAsia" w:ascii="仿宋_GB2312" w:hAnsi="仿宋_GB2312" w:eastAsia="仿宋_GB2312" w:cs="仿宋_GB2312"/>
          <w:sz w:val="32"/>
          <w:szCs w:val="32"/>
          <w14:ligatures w14:val="none"/>
        </w:rPr>
      </w:pPr>
    </w:p>
    <w:p>
      <w:pPr>
        <w:spacing w:line="560" w:lineRule="exact"/>
        <w:ind w:firstLine="2880" w:firstLineChars="900"/>
        <w:jc w:val="center"/>
        <w:rPr>
          <w:rFonts w:hint="eastAsia" w:ascii="仿宋_GB2312" w:hAnsi="仿宋_GB2312" w:eastAsia="仿宋_GB2312" w:cs="仿宋_GB2312"/>
        </w:rPr>
      </w:pPr>
      <w:r>
        <w:rPr>
          <w:rFonts w:hint="eastAsia" w:ascii="仿宋_GB2312" w:hAnsi="仿宋_GB2312" w:eastAsia="仿宋_GB2312" w:cs="仿宋_GB2312"/>
          <w:sz w:val="32"/>
          <w:szCs w:val="32"/>
          <w14:ligatures w14:val="none"/>
        </w:rPr>
        <w:t>2023年11月</w:t>
      </w:r>
      <w:r>
        <w:rPr>
          <w:rFonts w:hint="eastAsia" w:ascii="仿宋_GB2312" w:hAnsi="仿宋_GB2312" w:eastAsia="仿宋_GB2312" w:cs="仿宋_GB2312"/>
          <w:sz w:val="32"/>
          <w:szCs w:val="32"/>
          <w:lang w:val="en-US" w:eastAsia="zh-CN"/>
          <w14:ligatures w14:val="none"/>
        </w:rPr>
        <w:t>27</w:t>
      </w:r>
      <w:r>
        <w:rPr>
          <w:rFonts w:hint="eastAsia" w:ascii="仿宋_GB2312" w:hAnsi="仿宋_GB2312" w:eastAsia="仿宋_GB2312" w:cs="仿宋_GB2312"/>
          <w:sz w:val="32"/>
          <w:szCs w:val="32"/>
          <w14:ligatures w14:val="none"/>
        </w:rPr>
        <w:t>日</w:t>
      </w:r>
      <w:r>
        <w:rPr>
          <w:rFonts w:hint="eastAsia" w:ascii="仿宋_GB2312" w:hAnsi="仿宋_GB2312" w:eastAsia="仿宋_GB2312" w:cs="仿宋_GB2312"/>
          <w:sz w:val="32"/>
          <w:szCs w:val="32"/>
          <w:lang w:val="en-US" w:eastAsia="zh-CN"/>
          <w14:ligatures w14:val="none"/>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等线">
    <w:altName w:val="华文仿宋"/>
    <w:panose1 w:val="02010600030101010101"/>
    <w:charset w:val="86"/>
    <w:family w:val="auto"/>
    <w:pitch w:val="default"/>
    <w:sig w:usb0="00000000" w:usb1="00000000" w:usb2="00000016" w:usb3="00000000" w:csb0="0004000F" w:csb1="00000000"/>
  </w:font>
  <w:font w:name="华文仿宋">
    <w:panose1 w:val="02010600040101010101"/>
    <w:charset w:val="86"/>
    <w:family w:val="auto"/>
    <w:pitch w:val="default"/>
    <w:sig w:usb0="00000287" w:usb1="080F0000" w:usb2="00000000" w:usb3="00000000" w:csb0="0004009F" w:csb1="DFD70000"/>
  </w:font>
  <w:font w:name="等线">
    <w:altName w:val="仿宋"/>
    <w:panose1 w:val="00000000000000000000"/>
    <w:charset w:val="86"/>
    <w:family w:val="auto"/>
    <w:pitch w:val="default"/>
    <w:sig w:usb0="00000000" w:usb1="00000000" w:usb2="00000000" w:usb3="00000000" w:csb0="00000000" w:csb1="00000000"/>
  </w:font>
  <w:font w:name="等线">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华文中宋">
    <w:altName w:val="汉仪中宋简"/>
    <w:panose1 w:val="02010600040101010101"/>
    <w:charset w:val="86"/>
    <w:family w:val="auto"/>
    <w:pitch w:val="default"/>
    <w:sig w:usb0="00000000" w:usb1="00000000" w:usb2="00000010" w:usb3="00000000" w:csb0="0004009F" w:csb1="00000000"/>
  </w:font>
  <w:font w:name="汉仪中宋简">
    <w:panose1 w:val="02010600000101010101"/>
    <w:charset w:val="86"/>
    <w:family w:val="auto"/>
    <w:pitch w:val="default"/>
    <w:sig w:usb0="00000001" w:usb1="080E0800" w:usb2="00000002"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7D3C"/>
    <w:rsid w:val="0012462E"/>
    <w:rsid w:val="002B6F4D"/>
    <w:rsid w:val="00321E1B"/>
    <w:rsid w:val="004275B1"/>
    <w:rsid w:val="004F02C3"/>
    <w:rsid w:val="006A0B66"/>
    <w:rsid w:val="009D185A"/>
    <w:rsid w:val="009E133D"/>
    <w:rsid w:val="00A82A58"/>
    <w:rsid w:val="00AF51D6"/>
    <w:rsid w:val="00CA7B8D"/>
    <w:rsid w:val="00CD37FE"/>
    <w:rsid w:val="00DB7D3C"/>
    <w:rsid w:val="00EE6D27"/>
    <w:rsid w:val="00F30518"/>
    <w:rsid w:val="00FC4494"/>
    <w:rsid w:val="00FC5B15"/>
    <w:rsid w:val="33D6D66D"/>
    <w:rsid w:val="5FD728D2"/>
    <w:rsid w:val="6DFBF1DA"/>
    <w:rsid w:val="76FF8A24"/>
    <w:rsid w:val="774F134E"/>
    <w:rsid w:val="7D8FC7D8"/>
    <w:rsid w:val="7FBEACB9"/>
    <w:rsid w:val="7FFEBEC9"/>
    <w:rsid w:val="BFFBC5F4"/>
    <w:rsid w:val="CEEFE2E0"/>
    <w:rsid w:val="FEFFF4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qFormat/>
    <w:uiPriority w:val="99"/>
    <w:pPr>
      <w:tabs>
        <w:tab w:val="center" w:pos="4153"/>
        <w:tab w:val="right" w:pos="8306"/>
      </w:tabs>
      <w:snapToGrid w:val="0"/>
      <w:jc w:val="center"/>
    </w:pPr>
    <w:rPr>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14:ligatures w14:val="none"/>
    </w:rPr>
  </w:style>
  <w:style w:type="character" w:customStyle="1" w:styleId="7">
    <w:name w:val="页眉 字符"/>
    <w:basedOn w:val="6"/>
    <w:link w:val="3"/>
    <w:qFormat/>
    <w:uiPriority w:val="99"/>
    <w:rPr>
      <w:sz w:val="18"/>
      <w:szCs w:val="18"/>
    </w:rPr>
  </w:style>
  <w:style w:type="character" w:customStyle="1" w:styleId="8">
    <w:name w:val="页脚 字符"/>
    <w:basedOn w:val="6"/>
    <w:link w:val="2"/>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257</Words>
  <Characters>1470</Characters>
  <Lines>12</Lines>
  <Paragraphs>3</Paragraphs>
  <TotalTime>11</TotalTime>
  <ScaleCrop>false</ScaleCrop>
  <LinksUpToDate>false</LinksUpToDate>
  <CharactersWithSpaces>1724</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2023-11-22T01:21:00Z</dcterms:created>
  <dc:creator>yuqiong lu</dc:creator>
  <cp:lastModifiedBy>greatwall</cp:lastModifiedBy>
  <cp:lastPrinted>2023-11-24T15:59:00Z</cp:lastPrinted>
  <dcterms:modified xsi:type="dcterms:W3CDTF">2023-11-27T16:53:25Z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ies>
</file>