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firstLine="640" w:firstLineChars="200"/>
        <w:rPr>
          <w:rFonts w:hint="eastAsia" w:ascii="仿宋_GB2312" w:hAnsi="仿宋_GB2312" w:eastAsia="仿宋_GB2312" w:cs="仿宋_GB2312"/>
          <w:sz w:val="32"/>
          <w:szCs w:val="32"/>
          <w14:ligatures w14:val="none"/>
        </w:rPr>
      </w:pPr>
    </w:p>
    <w:p>
      <w:pPr>
        <w:spacing w:line="560" w:lineRule="exact"/>
        <w:ind w:firstLine="640" w:firstLineChars="200"/>
        <w:rPr>
          <w:rFonts w:hint="eastAsia" w:ascii="仿宋_GB2312" w:hAnsi="仿宋_GB2312" w:eastAsia="仿宋_GB2312" w:cs="仿宋_GB2312"/>
          <w:sz w:val="32"/>
          <w:szCs w:val="32"/>
          <w14:ligatures w14:val="none"/>
        </w:rPr>
      </w:pPr>
    </w:p>
    <w:p>
      <w:pPr>
        <w:spacing w:line="560" w:lineRule="exact"/>
        <w:ind w:firstLine="640" w:firstLineChars="200"/>
        <w:rPr>
          <w:rFonts w:hint="eastAsia" w:ascii="仿宋_GB2312" w:hAnsi="仿宋_GB2312" w:eastAsia="仿宋_GB2312" w:cs="仿宋_GB2312"/>
          <w:sz w:val="32"/>
          <w:szCs w:val="32"/>
          <w14:ligatures w14:val="none"/>
        </w:rPr>
      </w:pPr>
    </w:p>
    <w:p>
      <w:pPr>
        <w:spacing w:line="560" w:lineRule="exact"/>
        <w:ind w:firstLine="640" w:firstLineChars="200"/>
        <w:rPr>
          <w:rFonts w:hint="eastAsia" w:ascii="仿宋_GB2312" w:hAnsi="仿宋_GB2312" w:eastAsia="仿宋_GB2312" w:cs="仿宋_GB2312"/>
          <w:sz w:val="32"/>
          <w:szCs w:val="32"/>
          <w14:ligatures w14:val="none"/>
        </w:rPr>
      </w:pPr>
    </w:p>
    <w:p>
      <w:pPr>
        <w:spacing w:line="560" w:lineRule="exact"/>
        <w:rPr>
          <w:rFonts w:hint="eastAsia" w:ascii="仿宋_GB2312" w:hAnsi="仿宋_GB2312" w:eastAsia="仿宋_GB2312" w:cs="仿宋_GB2312"/>
          <w:sz w:val="32"/>
          <w:szCs w:val="32"/>
          <w14:ligatures w14:val="none"/>
        </w:rPr>
      </w:pPr>
    </w:p>
    <w:p>
      <w:pPr>
        <w:keepNext w:val="0"/>
        <w:keepLines w:val="0"/>
        <w:pageBreakBefore w:val="0"/>
        <w:widowControl w:val="0"/>
        <w:kinsoku/>
        <w:wordWrap/>
        <w:overflowPunct/>
        <w:topLinePunct w:val="0"/>
        <w:autoSpaceDE/>
        <w:autoSpaceDN/>
        <w:bidi w:val="0"/>
        <w:adjustRightInd/>
        <w:snapToGrid/>
        <w:spacing w:before="313" w:beforeLines="100" w:line="560" w:lineRule="exact"/>
        <w:ind w:firstLine="5440" w:firstLineChars="1700"/>
        <w:textAlignment w:val="auto"/>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济环审[2023]</w:t>
      </w:r>
      <w:r>
        <w:rPr>
          <w:rFonts w:hint="eastAsia" w:ascii="仿宋_GB2312" w:hAnsi="仿宋_GB2312" w:eastAsia="仿宋_GB2312" w:cs="仿宋_GB2312"/>
          <w:sz w:val="32"/>
          <w:szCs w:val="32"/>
          <w:lang w:val="en-US" w:eastAsia="zh-CN"/>
          <w14:ligatures w14:val="none"/>
        </w:rPr>
        <w:t>20</w:t>
      </w:r>
      <w:r>
        <w:rPr>
          <w:rFonts w:hint="eastAsia" w:ascii="仿宋_GB2312" w:hAnsi="仿宋_GB2312" w:eastAsia="仿宋_GB2312" w:cs="仿宋_GB2312"/>
          <w:sz w:val="32"/>
          <w:szCs w:val="32"/>
          <w14:ligatures w14:val="none"/>
        </w:rPr>
        <w:t>号</w:t>
      </w:r>
    </w:p>
    <w:p>
      <w:pPr>
        <w:spacing w:line="560" w:lineRule="exact"/>
        <w:ind w:firstLine="560" w:firstLineChars="200"/>
        <w:rPr>
          <w:rFonts w:ascii="宋体" w:hAnsi="宋体" w:eastAsia="宋体"/>
          <w:sz w:val="28"/>
          <w:szCs w:val="28"/>
        </w:rPr>
      </w:pPr>
    </w:p>
    <w:p>
      <w:pPr>
        <w:widowControl/>
        <w:spacing w:line="660" w:lineRule="exact"/>
        <w:jc w:val="center"/>
        <w:rPr>
          <w:rFonts w:hint="eastAsia" w:ascii="Times New Roman" w:hAnsi="Times New Roman" w:eastAsia="华文中宋" w:cs="Times New Roman"/>
          <w:color w:val="262626"/>
          <w:kern w:val="0"/>
          <w:sz w:val="44"/>
          <w:szCs w:val="44"/>
          <w:lang w:val="en"/>
          <w14:ligatures w14:val="none"/>
        </w:rPr>
      </w:pPr>
      <w:r>
        <w:rPr>
          <w:rFonts w:hint="eastAsia" w:ascii="Times New Roman" w:hAnsi="Times New Roman" w:eastAsia="华文中宋" w:cs="Times New Roman"/>
          <w:color w:val="262626"/>
          <w:kern w:val="0"/>
          <w:sz w:val="44"/>
          <w:szCs w:val="44"/>
          <w:lang w:val="en"/>
          <w14:ligatures w14:val="none"/>
        </w:rPr>
        <w:t>济源市生态环境局</w:t>
      </w:r>
    </w:p>
    <w:p>
      <w:pPr>
        <w:widowControl/>
        <w:spacing w:line="660" w:lineRule="exact"/>
        <w:jc w:val="center"/>
        <w:rPr>
          <w:rFonts w:hint="eastAsia" w:ascii="Times New Roman" w:hAnsi="Times New Roman" w:eastAsia="华文中宋" w:cs="Times New Roman"/>
          <w:color w:val="262626"/>
          <w:kern w:val="0"/>
          <w:sz w:val="44"/>
          <w:szCs w:val="44"/>
          <w:lang w:val="en"/>
          <w14:ligatures w14:val="none"/>
        </w:rPr>
      </w:pPr>
      <w:r>
        <w:rPr>
          <w:rFonts w:hint="eastAsia" w:ascii="Times New Roman" w:hAnsi="Times New Roman" w:eastAsia="华文中宋" w:cs="Times New Roman"/>
          <w:color w:val="262626"/>
          <w:kern w:val="0"/>
          <w:sz w:val="44"/>
          <w:szCs w:val="44"/>
          <w:lang w:val="en"/>
          <w14:ligatures w14:val="none"/>
        </w:rPr>
        <w:t>关于济源市金利金鸿实业有限公司</w:t>
      </w:r>
    </w:p>
    <w:p>
      <w:pPr>
        <w:widowControl/>
        <w:spacing w:line="660" w:lineRule="exact"/>
        <w:jc w:val="center"/>
        <w:rPr>
          <w:rFonts w:hint="eastAsia" w:ascii="Times New Roman" w:hAnsi="Times New Roman" w:eastAsia="华文中宋" w:cs="Times New Roman"/>
          <w:color w:val="262626"/>
          <w:kern w:val="0"/>
          <w:sz w:val="44"/>
          <w:szCs w:val="44"/>
          <w:lang w:val="en"/>
          <w14:ligatures w14:val="none"/>
        </w:rPr>
      </w:pPr>
      <w:r>
        <w:rPr>
          <w:rFonts w:hint="eastAsia" w:ascii="Times New Roman" w:hAnsi="Times New Roman" w:eastAsia="华文中宋" w:cs="Times New Roman"/>
          <w:color w:val="262626"/>
          <w:kern w:val="0"/>
          <w:sz w:val="44"/>
          <w:szCs w:val="44"/>
          <w:lang w:val="en"/>
          <w14:ligatures w14:val="none"/>
        </w:rPr>
        <w:t>稀贵半导体材料绿色高效回收项目</w:t>
      </w:r>
    </w:p>
    <w:p>
      <w:pPr>
        <w:widowControl/>
        <w:spacing w:line="660" w:lineRule="exact"/>
        <w:jc w:val="center"/>
        <w:rPr>
          <w:rFonts w:hint="eastAsia" w:ascii="Times New Roman" w:hAnsi="Times New Roman" w:eastAsia="华文中宋" w:cs="Times New Roman"/>
          <w:color w:val="262626"/>
          <w:kern w:val="0"/>
          <w:sz w:val="44"/>
          <w:szCs w:val="44"/>
          <w:lang w:val="en"/>
          <w14:ligatures w14:val="none"/>
        </w:rPr>
      </w:pPr>
      <w:r>
        <w:rPr>
          <w:rFonts w:hint="eastAsia" w:ascii="Times New Roman" w:hAnsi="Times New Roman" w:eastAsia="华文中宋" w:cs="Times New Roman"/>
          <w:color w:val="262626"/>
          <w:kern w:val="0"/>
          <w:sz w:val="44"/>
          <w:szCs w:val="44"/>
          <w:lang w:val="en"/>
          <w14:ligatures w14:val="none"/>
        </w:rPr>
        <w:t>环境影响报告书的批复</w:t>
      </w:r>
    </w:p>
    <w:p>
      <w:pPr>
        <w:widowControl/>
        <w:spacing w:line="660" w:lineRule="exact"/>
        <w:jc w:val="center"/>
        <w:rPr>
          <w:rFonts w:hint="eastAsia" w:ascii="Times New Roman" w:hAnsi="Times New Roman" w:eastAsia="华文中宋" w:cs="Times New Roman"/>
          <w:color w:val="262626"/>
          <w:kern w:val="0"/>
          <w:sz w:val="44"/>
          <w:szCs w:val="44"/>
          <w:lang w:val="en"/>
          <w14:ligatures w14:val="none"/>
        </w:rPr>
      </w:pPr>
    </w:p>
    <w:p>
      <w:pPr>
        <w:spacing w:line="560" w:lineRule="exact"/>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济源市金利金鸿实业有限公司：</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你单位（统一社会信用代码：91419001798241961U）报送的由河南省冶金研究所有限责任公司皇甫尚娟主持编制的《济源市金利金鸿实业有限公司稀贵半导体材料绿色高效回收项目环境影响报告书》（以下简称《报告书》）及行政审批申请等资料收悉，项目环评审批事项已在我局网站公示期满。根据《中华人民共和国环境保护法》《中华人民共和国行政许可法》《中华人民共和国环境影响评价法》《建设项目环境保护管理条例》等法律法规规定，经研究，批复如下：</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一、项目位于济源市示范区承留镇南勋村金利循环经济产业园现有厂区内。本项目</w:t>
      </w:r>
      <w:r>
        <w:rPr>
          <w:rFonts w:hint="eastAsia" w:ascii="仿宋_GB2312" w:hAnsi="仿宋_GB2312" w:eastAsia="仿宋_GB2312" w:cs="仿宋_GB2312"/>
          <w:sz w:val="32"/>
          <w:szCs w:val="32"/>
          <w:lang w:eastAsia="zh-CN"/>
          <w14:ligatures w14:val="none"/>
        </w:rPr>
        <w:t>拟</w:t>
      </w:r>
      <w:r>
        <w:rPr>
          <w:rFonts w:hint="eastAsia" w:ascii="仿宋_GB2312" w:hAnsi="仿宋_GB2312" w:eastAsia="仿宋_GB2312" w:cs="仿宋_GB2312"/>
          <w:sz w:val="32"/>
          <w:szCs w:val="32"/>
          <w14:ligatures w14:val="none"/>
        </w:rPr>
        <w:t>新建锡</w:t>
      </w:r>
      <w:r>
        <w:rPr>
          <w:rFonts w:hint="eastAsia" w:ascii="仿宋_GB2312" w:hAnsi="仿宋_GB2312" w:eastAsia="仿宋_GB2312" w:cs="仿宋_GB2312"/>
          <w:sz w:val="32"/>
          <w:szCs w:val="32"/>
          <w:lang w:eastAsia="zh-CN"/>
          <w14:ligatures w14:val="none"/>
        </w:rPr>
        <w:t>回收</w:t>
      </w:r>
      <w:r>
        <w:rPr>
          <w:rFonts w:hint="eastAsia" w:ascii="仿宋_GB2312" w:hAnsi="仿宋_GB2312" w:eastAsia="仿宋_GB2312" w:cs="仿宋_GB2312"/>
          <w:sz w:val="32"/>
          <w:szCs w:val="32"/>
          <w14:ligatures w14:val="none"/>
        </w:rPr>
        <w:t>生产线</w:t>
      </w:r>
      <w:r>
        <w:rPr>
          <w:rFonts w:hint="eastAsia" w:ascii="仿宋_GB2312" w:hAnsi="仿宋_GB2312" w:eastAsia="仿宋_GB2312" w:cs="仿宋_GB2312"/>
          <w:sz w:val="32"/>
          <w:szCs w:val="32"/>
          <w:lang w:eastAsia="zh-CN"/>
          <w14:ligatures w14:val="none"/>
        </w:rPr>
        <w:t>，</w:t>
      </w:r>
      <w:r>
        <w:rPr>
          <w:rFonts w:hint="eastAsia" w:ascii="仿宋_GB2312" w:hAnsi="仿宋_GB2312" w:eastAsia="仿宋_GB2312" w:cs="仿宋_GB2312"/>
          <w:sz w:val="32"/>
          <w:szCs w:val="32"/>
          <w14:ligatures w14:val="none"/>
        </w:rPr>
        <w:t>扩建铋</w:t>
      </w:r>
      <w:r>
        <w:rPr>
          <w:rFonts w:hint="eastAsia" w:ascii="仿宋_GB2312" w:hAnsi="仿宋_GB2312" w:eastAsia="仿宋_GB2312" w:cs="仿宋_GB2312"/>
          <w:sz w:val="32"/>
          <w:szCs w:val="32"/>
          <w:lang w:eastAsia="zh-CN"/>
          <w14:ligatures w14:val="none"/>
        </w:rPr>
        <w:t>回收</w:t>
      </w:r>
      <w:r>
        <w:rPr>
          <w:rFonts w:hint="eastAsia" w:ascii="仿宋_GB2312" w:hAnsi="仿宋_GB2312" w:eastAsia="仿宋_GB2312" w:cs="仿宋_GB2312"/>
          <w:sz w:val="32"/>
          <w:szCs w:val="32"/>
          <w14:ligatures w14:val="none"/>
        </w:rPr>
        <w:t>生产线、碲</w:t>
      </w:r>
      <w:r>
        <w:rPr>
          <w:rFonts w:hint="eastAsia" w:ascii="仿宋_GB2312" w:hAnsi="仿宋_GB2312" w:eastAsia="仿宋_GB2312" w:cs="仿宋_GB2312"/>
          <w:sz w:val="32"/>
          <w:szCs w:val="32"/>
          <w:lang w:eastAsia="zh-CN"/>
          <w14:ligatures w14:val="none"/>
        </w:rPr>
        <w:t>回收</w:t>
      </w:r>
      <w:r>
        <w:rPr>
          <w:rFonts w:hint="eastAsia" w:ascii="仿宋_GB2312" w:hAnsi="仿宋_GB2312" w:eastAsia="仿宋_GB2312" w:cs="仿宋_GB2312"/>
          <w:sz w:val="32"/>
          <w:szCs w:val="32"/>
          <w14:ligatures w14:val="none"/>
        </w:rPr>
        <w:t>生产线，改建锑白</w:t>
      </w:r>
      <w:r>
        <w:rPr>
          <w:rFonts w:hint="eastAsia" w:ascii="仿宋_GB2312" w:hAnsi="仿宋_GB2312" w:eastAsia="仿宋_GB2312" w:cs="仿宋_GB2312"/>
          <w:sz w:val="32"/>
          <w:szCs w:val="32"/>
          <w:lang w:eastAsia="zh-CN"/>
          <w14:ligatures w14:val="none"/>
        </w:rPr>
        <w:t>回收</w:t>
      </w:r>
      <w:r>
        <w:rPr>
          <w:rFonts w:hint="eastAsia" w:ascii="仿宋_GB2312" w:hAnsi="仿宋_GB2312" w:eastAsia="仿宋_GB2312" w:cs="仿宋_GB2312"/>
          <w:sz w:val="32"/>
          <w:szCs w:val="32"/>
          <w14:ligatures w14:val="none"/>
        </w:rPr>
        <w:t>生产线。</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二、该《报告书》内容符合国家有关法律法规要求和建设项目环境管理规定，评价结论可信。我局批准该《报告书》</w:t>
      </w:r>
      <w:r>
        <w:rPr>
          <w:rFonts w:hint="eastAsia" w:ascii="仿宋_GB2312" w:hAnsi="仿宋_GB2312" w:eastAsia="仿宋_GB2312" w:cs="仿宋_GB2312"/>
          <w:sz w:val="32"/>
          <w:szCs w:val="32"/>
          <w:lang w:eastAsia="zh-CN"/>
          <w14:ligatures w14:val="none"/>
        </w:rPr>
        <w:t>，</w:t>
      </w:r>
      <w:r>
        <w:rPr>
          <w:rFonts w:hint="eastAsia" w:ascii="仿宋_GB2312" w:hAnsi="仿宋_GB2312" w:eastAsia="仿宋_GB2312" w:cs="仿宋_GB2312"/>
          <w:sz w:val="32"/>
          <w:szCs w:val="32"/>
          <w14:ligatures w14:val="none"/>
        </w:rPr>
        <w:t>原则同意你公司按照《报告书》所列项目的性质、规模、地点及环境保护对策措施等内容进行建设。</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三、你单位应向社会公众主动公开已经批准的《报告书》，接受相关方的垂询。</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四、你单位应全面落实《报告书》提出的各项环境保护措施，各项环境保护设施与主体工程同时设计、同时施工、同时投入使用，确保各项污染物达标排放。</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（一）向设计单位提供《报告书》和本批复文件，确保项目设计按照环境保护设计规范要求，落实防治环境污染和生态破坏的措施。</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（二）依据《报告书》和本批复文件，对项目建设过程中产生的废水、废气、固体废物、噪声等污染，采取相应的措施，做好扬尘防治工作。</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（三）项目运行时，外排污染物应满足如下要求：</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1.废气：项目应采取合理措施，加强废气的收集和处理，减少生产过程中的无组织废气排放。锡冶炼工段、锑冶炼工段废气排放浓度满足《锡、锑、汞工业污染物排放标准》（GB30770-2014）排放限值要求，碲工段、铋工段、金银工段废气排放浓度满足《工业炉窑大气污染物排放标准》（DB41/1066-2020）排放限值要求，合并排放取严格标准执行。氯气和硫酸雾排放浓度和排放速率满足《大气污染物综合排放标准》（GB16297-1996）。</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2.废水。项目不新增员工，不新增生活废水排放量。碲工序湿法回收中和废水及清洗废水，碱液淋洗塔定期排水，地面冲洗水，臭氧脱硝废水、脱硫废水，进入金利公司废水处理站（南区）处理后水质满足《锡、锑、汞工业污染物排放标准》（GB30770-2014）及修改单，回用于金利公司冲渣补充水，不外排。新增余热锅炉排污水、循环冷却水排污水、金利公司制软水排水及制纯水排水，回用于金利公司冲渣补充水，不外排。</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3.噪声。厂界噪声满足《工业企业厂界环境噪声排放标准》（GB12348-2008）3类要求。</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4.固废。严格落实《报告书》要求，加强固体废物的管理，危险废物贮存应按照《危险废物贮存污染控制标准》（GB18597-2023）要求采取防渗漏、防雨淋、防扬尘等环境保护措施，如实记录管理台账，避免对环境造成二次污染。</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（四）严格落实《报告书》中的地下水、土壤污染防治措施及环境风险防范措施，制定环境风险应急预案，严防环境污染事故发生。</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五、按国家有关规定设置规范的污染物排放口，并设立明显标志。按要求安装用电监管设备并与生态环境主管部门的监控设备联网。严格落实《报告书》相关环境监测计划，定期对各类污染物进行监测，发布相关信息，发现问题及时采取整改措施。</w:t>
      </w:r>
    </w:p>
    <w:p>
      <w:pPr>
        <w:spacing w:line="560" w:lineRule="exact"/>
        <w:ind w:firstLine="640" w:firstLineChars="200"/>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六、严格执行环保“三同时”制度，按要求</w:t>
      </w:r>
      <w:r>
        <w:rPr>
          <w:rFonts w:hint="eastAsia" w:ascii="仿宋_GB2312" w:hAnsi="仿宋_GB2312" w:eastAsia="仿宋_GB2312" w:cs="仿宋_GB2312"/>
          <w:sz w:val="32"/>
          <w:szCs w:val="32"/>
          <w:lang w:eastAsia="zh-CN"/>
          <w14:ligatures w14:val="none"/>
        </w:rPr>
        <w:t>变更</w:t>
      </w:r>
      <w:r>
        <w:rPr>
          <w:rFonts w:hint="eastAsia" w:ascii="仿宋_GB2312" w:hAnsi="仿宋_GB2312" w:eastAsia="仿宋_GB2312" w:cs="仿宋_GB2312"/>
          <w:sz w:val="32"/>
          <w:szCs w:val="32"/>
          <w14:ligatures w14:val="none"/>
        </w:rPr>
        <w:t>排污许可证，按规定程序实施竣工环境保护验收，经验收合格后方可正式投产。</w:t>
      </w:r>
    </w:p>
    <w:p>
      <w:pPr>
        <w:spacing w:line="560" w:lineRule="exact"/>
        <w:ind w:firstLine="640" w:firstLineChars="200"/>
        <w:jc w:val="both"/>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七、严格落实总量控制要求，按照《关于济源市金利金鸿实业有限公司稀贵半导体材料绿色高效回收项目污染物总量控制指标意见的函》（济环总量函〔2023〕</w:t>
      </w:r>
      <w:r>
        <w:rPr>
          <w:rFonts w:hint="eastAsia" w:ascii="仿宋_GB2312" w:hAnsi="仿宋_GB2312" w:eastAsia="仿宋_GB2312" w:cs="仿宋_GB2312"/>
          <w:sz w:val="32"/>
          <w:szCs w:val="32"/>
          <w:lang w:val="en-US" w:eastAsia="zh-CN"/>
          <w14:ligatures w14:val="none"/>
        </w:rPr>
        <w:t>17</w:t>
      </w:r>
      <w:r>
        <w:rPr>
          <w:rFonts w:hint="eastAsia" w:ascii="仿宋_GB2312" w:hAnsi="仿宋_GB2312" w:eastAsia="仿宋_GB2312" w:cs="仿宋_GB2312"/>
          <w:sz w:val="32"/>
          <w:szCs w:val="32"/>
          <w14:ligatures w14:val="none"/>
        </w:rPr>
        <w:t>号）进行替代。</w:t>
      </w:r>
      <w:bookmarkStart w:id="0" w:name="_GoBack"/>
      <w:bookmarkEnd w:id="0"/>
    </w:p>
    <w:p>
      <w:pPr>
        <w:spacing w:line="560" w:lineRule="exact"/>
        <w:ind w:firstLine="640" w:firstLineChars="200"/>
        <w:jc w:val="both"/>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八、本批复有效期为5年，如该项目逾期方开工建设，其环境影响报告书应报我局重新审核。项目的性质、规模、地点、采用的生产工艺或者防治污染、防止生态破坏的措施发生重大变动的，应当重新报批建设项目环境影响评价文件。</w:t>
      </w:r>
    </w:p>
    <w:p>
      <w:pPr>
        <w:spacing w:line="560" w:lineRule="exact"/>
        <w:ind w:firstLine="640" w:firstLineChars="200"/>
        <w:jc w:val="both"/>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九、如果今后国家或我省颁布严于本批复污染物排放限值的新标准，届时你公司应按新的排放标准执行。</w:t>
      </w:r>
    </w:p>
    <w:p>
      <w:pPr>
        <w:spacing w:line="560" w:lineRule="exact"/>
        <w:ind w:firstLine="640" w:firstLineChars="200"/>
        <w:rPr>
          <w:rFonts w:hint="eastAsia" w:ascii="仿宋_GB2312" w:hAnsi="仿宋_GB2312" w:eastAsia="仿宋_GB2312" w:cs="仿宋_GB2312"/>
          <w:sz w:val="32"/>
          <w:szCs w:val="32"/>
          <w14:ligatures w14:val="none"/>
        </w:rPr>
      </w:pPr>
    </w:p>
    <w:p>
      <w:pPr>
        <w:spacing w:line="560" w:lineRule="exact"/>
        <w:ind w:firstLine="640" w:firstLineChars="200"/>
        <w:rPr>
          <w:rFonts w:hint="eastAsia" w:ascii="仿宋_GB2312" w:hAnsi="仿宋_GB2312" w:eastAsia="仿宋_GB2312" w:cs="仿宋_GB2312"/>
          <w:sz w:val="32"/>
          <w:szCs w:val="32"/>
          <w14:ligatures w14:val="none"/>
        </w:rPr>
      </w:pPr>
    </w:p>
    <w:p>
      <w:pPr>
        <w:spacing w:line="560" w:lineRule="exact"/>
        <w:ind w:firstLine="640" w:firstLineChars="200"/>
        <w:rPr>
          <w:rFonts w:hint="eastAsia" w:ascii="仿宋_GB2312" w:hAnsi="仿宋_GB2312" w:eastAsia="仿宋_GB2312" w:cs="仿宋_GB2312"/>
          <w:sz w:val="32"/>
          <w:szCs w:val="32"/>
          <w14:ligatures w14:val="none"/>
        </w:rPr>
      </w:pPr>
    </w:p>
    <w:p>
      <w:pPr>
        <w:spacing w:line="560" w:lineRule="exact"/>
        <w:ind w:firstLine="2880" w:firstLineChars="900"/>
        <w:jc w:val="center"/>
        <w:rPr>
          <w:rFonts w:hint="eastAsia" w:ascii="仿宋_GB2312" w:hAnsi="仿宋_GB2312" w:eastAsia="仿宋_GB2312" w:cs="仿宋_GB2312"/>
          <w:sz w:val="32"/>
          <w:szCs w:val="32"/>
          <w:lang w:val="en-US" w:eastAsia="zh-CN"/>
          <w14:ligatures w14:val="none"/>
        </w:rPr>
      </w:pPr>
      <w:r>
        <w:rPr>
          <w:rFonts w:hint="eastAsia" w:ascii="仿宋_GB2312" w:hAnsi="仿宋_GB2312" w:eastAsia="仿宋_GB2312" w:cs="仿宋_GB2312"/>
          <w:sz w:val="32"/>
          <w:szCs w:val="32"/>
          <w14:ligatures w14:val="none"/>
        </w:rPr>
        <w:t>2023年11月</w:t>
      </w:r>
      <w:r>
        <w:rPr>
          <w:rFonts w:hint="eastAsia" w:ascii="仿宋_GB2312" w:hAnsi="仿宋_GB2312" w:eastAsia="仿宋_GB2312" w:cs="仿宋_GB2312"/>
          <w:sz w:val="32"/>
          <w:szCs w:val="32"/>
          <w:lang w:val="en-US" w:eastAsia="zh-CN"/>
          <w14:ligatures w14:val="none"/>
        </w:rPr>
        <w:t>27</w:t>
      </w:r>
      <w:r>
        <w:rPr>
          <w:rFonts w:hint="eastAsia" w:ascii="仿宋_GB2312" w:hAnsi="仿宋_GB2312" w:eastAsia="仿宋_GB2312" w:cs="仿宋_GB2312"/>
          <w:sz w:val="32"/>
          <w:szCs w:val="32"/>
          <w14:ligatures w14:val="none"/>
        </w:rPr>
        <w:t>日</w:t>
      </w:r>
      <w:r>
        <w:rPr>
          <w:rFonts w:hint="eastAsia" w:ascii="仿宋_GB2312" w:hAnsi="仿宋_GB2312" w:eastAsia="仿宋_GB2312" w:cs="仿宋_GB2312"/>
          <w:sz w:val="32"/>
          <w:szCs w:val="32"/>
          <w:lang w:val="en-US" w:eastAsia="zh-CN"/>
          <w14:ligatures w14:val="none"/>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等线">
    <w:altName w:val="华文仿宋"/>
    <w:panose1 w:val="02010600030101010101"/>
    <w:charset w:val="86"/>
    <w:family w:val="auto"/>
    <w:pitch w:val="default"/>
    <w:sig w:usb0="00000000" w:usb1="00000000" w:usb2="00000016" w:usb3="00000000" w:csb0="0004000F" w:csb1="00000000"/>
  </w:font>
  <w:font w:name="华文仿宋">
    <w:panose1 w:val="02010600040101010101"/>
    <w:charset w:val="86"/>
    <w:family w:val="auto"/>
    <w:pitch w:val="default"/>
    <w:sig w:usb0="00000287" w:usb1="080F0000" w:usb2="00000000" w:usb3="00000000" w:csb0="0004009F" w:csb1="DFD70000"/>
  </w:font>
  <w:font w:name="等线">
    <w:altName w:val="仿宋"/>
    <w:panose1 w:val="00000000000000000000"/>
    <w:charset w:val="86"/>
    <w:family w:val="auto"/>
    <w:pitch w:val="default"/>
    <w:sig w:usb0="00000000" w:usb1="00000000" w:usb2="00000000" w:usb3="00000000" w:csb0="00000000" w:csb1="00000000"/>
  </w:font>
  <w:font w:name="等线">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华文中宋">
    <w:altName w:val="汉仪中宋简"/>
    <w:panose1 w:val="02010600040101010101"/>
    <w:charset w:val="86"/>
    <w:family w:val="auto"/>
    <w:pitch w:val="default"/>
    <w:sig w:usb0="00000000" w:usb1="00000000" w:usb2="00000010" w:usb3="00000000" w:csb0="0004009F" w:csb1="00000000"/>
  </w:font>
  <w:font w:name="汉仪中宋简">
    <w:panose1 w:val="02010600000101010101"/>
    <w:charset w:val="86"/>
    <w:family w:val="auto"/>
    <w:pitch w:val="default"/>
    <w:sig w:usb0="00000001" w:usb1="080E0800" w:usb2="00000002" w:usb3="00000000" w:csb0="00040000" w:csb1="00000000"/>
  </w:font>
  <w:font w:name="方正小标宋简体">
    <w:panose1 w:val="02000000000000000000"/>
    <w:charset w:val="86"/>
    <w:family w:val="auto"/>
    <w:pitch w:val="default"/>
    <w:sig w:usb0="A00002BF" w:usb1="184F6CFA" w:usb2="00000012" w:usb3="00000000" w:csb0="00040001" w:csb1="00000000"/>
  </w:font>
  <w:font w:name="方正小标宋_GBK">
    <w:panose1 w:val="02000000000000000000"/>
    <w:charset w:val="86"/>
    <w:family w:val="auto"/>
    <w:pitch w:val="default"/>
    <w:sig w:usb0="00000001" w:usb1="0800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华文行楷">
    <w:panose1 w:val="02010800040101010101"/>
    <w:charset w:val="86"/>
    <w:family w:val="auto"/>
    <w:pitch w:val="default"/>
    <w:sig w:usb0="00000001" w:usb1="080F0000" w:usb2="00000000" w:usb3="00000000" w:csb0="00040000" w:csb1="00000000"/>
  </w:font>
  <w:font w:name="幼圆">
    <w:panose1 w:val="02010509060101010101"/>
    <w:charset w:val="86"/>
    <w:family w:val="auto"/>
    <w:pitch w:val="default"/>
    <w:sig w:usb0="00000001" w:usb1="080E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方正魏碑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隶书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华文中宋">
    <w:altName w:val="汉仪中宋简"/>
    <w:panose1 w:val="02010600040101010101"/>
    <w:charset w:val="00"/>
    <w:family w:val="auto"/>
    <w:pitch w:val="default"/>
    <w:sig w:usb0="00000000" w:usb1="0000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131A"/>
    <w:rsid w:val="00040294"/>
    <w:rsid w:val="001B4EC0"/>
    <w:rsid w:val="002E555B"/>
    <w:rsid w:val="00467F9D"/>
    <w:rsid w:val="005206F6"/>
    <w:rsid w:val="0052422E"/>
    <w:rsid w:val="005929EF"/>
    <w:rsid w:val="00683405"/>
    <w:rsid w:val="007A306C"/>
    <w:rsid w:val="007E6186"/>
    <w:rsid w:val="00806758"/>
    <w:rsid w:val="00B3100D"/>
    <w:rsid w:val="00C45A44"/>
    <w:rsid w:val="00C747DC"/>
    <w:rsid w:val="00D76FF4"/>
    <w:rsid w:val="00E72844"/>
    <w:rsid w:val="00EA131A"/>
    <w:rsid w:val="00EC149B"/>
    <w:rsid w:val="00F94040"/>
    <w:rsid w:val="3ECC9562"/>
    <w:rsid w:val="77FD29EE"/>
    <w:rsid w:val="7D980DBB"/>
    <w:rsid w:val="7EEFF4BB"/>
    <w:rsid w:val="EF74B754"/>
    <w:rsid w:val="FF8D57A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14:ligatures w14:val="standardContextual"/>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sz w:val="18"/>
      <w:szCs w:val="18"/>
    </w:rPr>
  </w:style>
  <w:style w:type="paragraph" w:styleId="3">
    <w:name w:val="header"/>
    <w:basedOn w:val="1"/>
    <w:link w:val="7"/>
    <w:unhideWhenUsed/>
    <w:qFormat/>
    <w:uiPriority w:val="99"/>
    <w:pPr>
      <w:tabs>
        <w:tab w:val="center" w:pos="4153"/>
        <w:tab w:val="right" w:pos="8306"/>
      </w:tabs>
      <w:snapToGrid w:val="0"/>
      <w:jc w:val="center"/>
    </w:pPr>
    <w:rPr>
      <w:sz w:val="18"/>
      <w:szCs w:val="18"/>
    </w:rPr>
  </w:style>
  <w:style w:type="paragraph" w:styleId="4">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14:ligatures w14:val="none"/>
    </w:rPr>
  </w:style>
  <w:style w:type="character" w:customStyle="1" w:styleId="7">
    <w:name w:val="页眉 字符"/>
    <w:basedOn w:val="6"/>
    <w:link w:val="3"/>
    <w:qFormat/>
    <w:uiPriority w:val="99"/>
    <w:rPr>
      <w:sz w:val="18"/>
      <w:szCs w:val="18"/>
    </w:rPr>
  </w:style>
  <w:style w:type="character" w:customStyle="1" w:styleId="8">
    <w:name w:val="页脚 字符"/>
    <w:basedOn w:val="6"/>
    <w:link w:val="2"/>
    <w:qFormat/>
    <w:uiPriority w:val="99"/>
    <w:rPr>
      <w:sz w:val="18"/>
      <w:szCs w:val="18"/>
    </w:rPr>
  </w:style>
  <w:style w:type="paragraph" w:customStyle="1" w:styleId="9">
    <w:name w:val="Default"/>
    <w:qFormat/>
    <w:uiPriority w:val="0"/>
    <w:pPr>
      <w:widowControl w:val="0"/>
      <w:autoSpaceDE w:val="0"/>
      <w:autoSpaceDN w:val="0"/>
      <w:adjustRightInd w:val="0"/>
    </w:pPr>
    <w:rPr>
      <w:rFonts w:ascii="仿宋" w:eastAsia="仿宋" w:cs="仿宋" w:hAnsiTheme="minorHAnsi"/>
      <w:color w:val="000000"/>
      <w:kern w:val="0"/>
      <w:sz w:val="24"/>
      <w:szCs w:val="24"/>
      <w:lang w:val="en-US" w:eastAsia="zh-CN" w:bidi="ar-SA"/>
      <w14:ligatures w14:val="standardContextual"/>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294</Words>
  <Characters>1679</Characters>
  <Lines>13</Lines>
  <Paragraphs>3</Paragraphs>
  <TotalTime>444</TotalTime>
  <ScaleCrop>false</ScaleCrop>
  <LinksUpToDate>false</LinksUpToDate>
  <CharactersWithSpaces>1970</CharactersWithSpaces>
  <Application>WPS Office_11.8.2.11625_F1E327BC-269C-435d-A152-05C5408002CA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2023-11-21T00:57:00Z</dcterms:created>
  <dc:creator>尚娟 皇甫</dc:creator>
  <cp:lastModifiedBy>greatwall</cp:lastModifiedBy>
  <cp:lastPrinted>2023-11-24T16:10:00Z</cp:lastPrinted>
  <dcterms:modified xsi:type="dcterms:W3CDTF">2023-11-27T16:54:09Z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2052-11.8.2.11625</vt:lpwstr>
  </property>
</Properties>
</file>