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ind w:firstLine="640" w:firstLineChars="200"/>
        <w:jc w:val="right"/>
        <w:textAlignment w:val="auto"/>
        <w:rPr>
          <w:rFonts w:hint="default" w:ascii="Times New Roman" w:hAnsi="Times New Roman" w:eastAsia="仿宋" w:cs="Times New Roman"/>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ind w:firstLine="640" w:firstLineChars="200"/>
        <w:jc w:val="right"/>
        <w:textAlignment w:val="auto"/>
        <w:rPr>
          <w:rFonts w:hint="default" w:ascii="Times New Roman" w:hAnsi="Times New Roman" w:eastAsia="仿宋" w:cs="Times New Roman"/>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ind w:firstLine="640" w:firstLineChars="200"/>
        <w:jc w:val="right"/>
        <w:textAlignment w:val="auto"/>
        <w:rPr>
          <w:rFonts w:hint="default" w:ascii="Times New Roman" w:hAnsi="Times New Roman" w:eastAsia="仿宋" w:cs="Times New Roman"/>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760" w:lineRule="exact"/>
        <w:ind w:firstLine="640" w:firstLineChars="200"/>
        <w:jc w:val="right"/>
        <w:textAlignment w:val="auto"/>
        <w:rPr>
          <w:rFonts w:hint="default" w:ascii="Times New Roman" w:hAnsi="Times New Roman" w:eastAsia="仿宋" w:cs="Times New Roman"/>
          <w:b w:val="0"/>
          <w:bCs w:val="0"/>
          <w:color w:val="262626"/>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700" w:lineRule="exact"/>
        <w:ind w:firstLine="640" w:firstLineChars="200"/>
        <w:jc w:val="right"/>
        <w:textAlignment w:val="auto"/>
        <w:rPr>
          <w:rFonts w:hint="eastAsia" w:ascii="仿宋_GB2312" w:hAnsi="仿宋_GB2312" w:eastAsia="仿宋_GB2312" w:cs="仿宋_GB2312"/>
          <w:b w:val="0"/>
          <w:bCs w:val="0"/>
          <w:color w:val="auto"/>
          <w:kern w:val="0"/>
          <w:sz w:val="32"/>
          <w:szCs w:val="32"/>
          <w:lang w:val="en-US" w:eastAsia="zh-CN" w:bidi="ar-SA"/>
        </w:rPr>
      </w:pPr>
      <w:r>
        <w:rPr>
          <w:rFonts w:hint="eastAsia" w:ascii="仿宋_GB2312" w:hAnsi="仿宋_GB2312" w:eastAsia="仿宋_GB2312" w:cs="仿宋_GB2312"/>
          <w:b w:val="0"/>
          <w:bCs w:val="0"/>
          <w:color w:val="auto"/>
          <w:kern w:val="0"/>
          <w:sz w:val="32"/>
          <w:szCs w:val="32"/>
          <w:lang w:val="en-US" w:eastAsia="zh-CN" w:bidi="ar-SA"/>
        </w:rPr>
        <w:t>济环评审〔</w:t>
      </w:r>
      <w:r>
        <w:rPr>
          <w:rFonts w:hint="eastAsia" w:ascii="仿宋_GB2312" w:hAnsi="仿宋_GB2312" w:cs="仿宋_GB2312"/>
          <w:b w:val="0"/>
          <w:bCs w:val="0"/>
          <w:color w:val="auto"/>
          <w:kern w:val="0"/>
          <w:sz w:val="32"/>
          <w:szCs w:val="32"/>
          <w:lang w:val="en-US" w:eastAsia="zh-CN" w:bidi="ar-SA"/>
        </w:rPr>
        <w:t>2024</w:t>
      </w:r>
      <w:r>
        <w:rPr>
          <w:rFonts w:hint="eastAsia" w:ascii="仿宋_GB2312" w:hAnsi="仿宋_GB2312" w:eastAsia="仿宋_GB2312" w:cs="仿宋_GB2312"/>
          <w:b w:val="0"/>
          <w:bCs w:val="0"/>
          <w:color w:val="auto"/>
          <w:kern w:val="0"/>
          <w:sz w:val="32"/>
          <w:szCs w:val="32"/>
          <w:lang w:val="en-US" w:eastAsia="zh-CN" w:bidi="ar-SA"/>
        </w:rPr>
        <w:t>〕</w:t>
      </w:r>
      <w:r>
        <w:rPr>
          <w:rFonts w:hint="eastAsia" w:ascii="仿宋_GB2312" w:hAnsi="仿宋_GB2312" w:cs="仿宋_GB2312"/>
          <w:b w:val="0"/>
          <w:bCs w:val="0"/>
          <w:color w:val="auto"/>
          <w:kern w:val="0"/>
          <w:sz w:val="32"/>
          <w:szCs w:val="32"/>
          <w:highlight w:val="none"/>
          <w:lang w:val="en-US" w:eastAsia="zh-CN" w:bidi="ar-SA"/>
        </w:rPr>
        <w:t>7</w:t>
      </w:r>
      <w:r>
        <w:rPr>
          <w:rFonts w:hint="eastAsia" w:ascii="仿宋_GB2312" w:hAnsi="仿宋_GB2312" w:eastAsia="仿宋_GB2312" w:cs="仿宋_GB2312"/>
          <w:b w:val="0"/>
          <w:bCs w:val="0"/>
          <w:color w:val="auto"/>
          <w:kern w:val="0"/>
          <w:sz w:val="32"/>
          <w:szCs w:val="32"/>
          <w:lang w:val="en-US" w:eastAsia="zh-CN" w:bidi="ar-SA"/>
        </w:rPr>
        <w:t>号</w:t>
      </w:r>
    </w:p>
    <w:p>
      <w:pPr>
        <w:keepNext w:val="0"/>
        <w:keepLines w:val="0"/>
        <w:pageBreakBefore w:val="0"/>
        <w:widowControl/>
        <w:kinsoku/>
        <w:wordWrap/>
        <w:overflowPunct/>
        <w:topLinePunct w:val="0"/>
        <w:autoSpaceDE/>
        <w:autoSpaceDN/>
        <w:bidi w:val="0"/>
        <w:adjustRightInd/>
        <w:snapToGrid/>
        <w:spacing w:before="0" w:beforeAutospacing="0" w:after="0" w:afterAutospacing="0" w:line="460" w:lineRule="exact"/>
        <w:ind w:firstLine="640" w:firstLineChars="200"/>
        <w:jc w:val="right"/>
        <w:textAlignment w:val="auto"/>
        <w:rPr>
          <w:rFonts w:hint="eastAsia" w:ascii="仿宋_GB2312" w:hAnsi="仿宋_GB2312" w:eastAsia="仿宋_GB2312" w:cs="仿宋_GB2312"/>
          <w:b w:val="0"/>
          <w:bCs w:val="0"/>
          <w:color w:val="auto"/>
          <w:kern w:val="0"/>
          <w:sz w:val="32"/>
          <w:szCs w:val="32"/>
          <w:lang w:val="en-US" w:eastAsia="zh-CN" w:bidi="ar-SA"/>
        </w:rPr>
      </w:pPr>
    </w:p>
    <w:p>
      <w:pPr>
        <w:keepNext w:val="0"/>
        <w:keepLines w:val="0"/>
        <w:pageBreakBefore w:val="0"/>
        <w:widowControl/>
        <w:kinsoku/>
        <w:wordWrap/>
        <w:overflowPunct/>
        <w:topLinePunct w:val="0"/>
        <w:autoSpaceDE/>
        <w:autoSpaceDN/>
        <w:bidi w:val="0"/>
        <w:adjustRightInd/>
        <w:snapToGrid/>
        <w:spacing w:before="0" w:beforeAutospacing="0" w:after="0" w:afterAutospacing="0" w:line="660" w:lineRule="exact"/>
        <w:jc w:val="center"/>
        <w:textAlignment w:val="auto"/>
        <w:rPr>
          <w:rFonts w:hint="eastAsia" w:ascii="华文中宋" w:hAnsi="华文中宋" w:eastAsia="华文中宋" w:cs="华文中宋"/>
          <w:b w:val="0"/>
          <w:bCs w:val="0"/>
          <w:color w:val="auto"/>
          <w:kern w:val="0"/>
          <w:sz w:val="44"/>
          <w:szCs w:val="44"/>
          <w:lang w:val="en-US" w:eastAsia="zh-CN" w:bidi="ar-SA"/>
        </w:rPr>
      </w:pPr>
      <w:r>
        <w:rPr>
          <w:rFonts w:hint="eastAsia" w:ascii="华文中宋" w:hAnsi="华文中宋" w:eastAsia="华文中宋" w:cs="华文中宋"/>
          <w:b w:val="0"/>
          <w:bCs w:val="0"/>
          <w:color w:val="auto"/>
          <w:kern w:val="0"/>
          <w:sz w:val="44"/>
          <w:szCs w:val="44"/>
          <w:lang w:val="en-US" w:eastAsia="zh-CN" w:bidi="ar-SA"/>
        </w:rPr>
        <w:t>济源市生态环境局</w:t>
      </w:r>
    </w:p>
    <w:p>
      <w:pPr>
        <w:keepNext w:val="0"/>
        <w:keepLines w:val="0"/>
        <w:pageBreakBefore w:val="0"/>
        <w:widowControl/>
        <w:kinsoku/>
        <w:wordWrap/>
        <w:overflowPunct/>
        <w:topLinePunct w:val="0"/>
        <w:autoSpaceDE/>
        <w:autoSpaceDN/>
        <w:bidi w:val="0"/>
        <w:adjustRightInd/>
        <w:snapToGrid/>
        <w:spacing w:before="0" w:beforeAutospacing="0" w:after="0" w:afterAutospacing="0" w:line="660" w:lineRule="exact"/>
        <w:ind w:left="0" w:leftChars="0" w:firstLine="0" w:firstLineChars="0"/>
        <w:jc w:val="center"/>
        <w:textAlignment w:val="auto"/>
        <w:rPr>
          <w:rFonts w:hint="eastAsia" w:ascii="华文中宋" w:hAnsi="华文中宋" w:eastAsia="华文中宋" w:cs="华文中宋"/>
          <w:b w:val="0"/>
          <w:bCs w:val="0"/>
          <w:color w:val="auto"/>
          <w:kern w:val="0"/>
          <w:sz w:val="44"/>
          <w:szCs w:val="44"/>
          <w:lang w:val="en-US" w:eastAsia="zh-CN" w:bidi="ar-SA"/>
        </w:rPr>
      </w:pPr>
      <w:r>
        <w:rPr>
          <w:rFonts w:hint="eastAsia" w:ascii="华文中宋" w:hAnsi="华文中宋" w:eastAsia="华文中宋" w:cs="华文中宋"/>
          <w:b w:val="0"/>
          <w:bCs w:val="0"/>
          <w:color w:val="auto"/>
          <w:kern w:val="0"/>
          <w:sz w:val="44"/>
          <w:szCs w:val="44"/>
          <w:lang w:val="en-US" w:eastAsia="zh-CN" w:bidi="ar-SA"/>
        </w:rPr>
        <w:t>关于济源市河清生态开发有限公司济源市</w:t>
      </w:r>
    </w:p>
    <w:p>
      <w:pPr>
        <w:keepNext w:val="0"/>
        <w:keepLines w:val="0"/>
        <w:pageBreakBefore w:val="0"/>
        <w:widowControl/>
        <w:kinsoku/>
        <w:wordWrap/>
        <w:overflowPunct/>
        <w:topLinePunct w:val="0"/>
        <w:autoSpaceDE/>
        <w:autoSpaceDN/>
        <w:bidi w:val="0"/>
        <w:adjustRightInd/>
        <w:snapToGrid/>
        <w:spacing w:before="0" w:beforeAutospacing="0" w:after="0" w:afterAutospacing="0" w:line="660" w:lineRule="exact"/>
        <w:ind w:left="0" w:leftChars="0" w:firstLine="0" w:firstLineChars="0"/>
        <w:jc w:val="center"/>
        <w:textAlignment w:val="auto"/>
        <w:rPr>
          <w:rFonts w:hint="eastAsia" w:ascii="华文中宋" w:hAnsi="华文中宋" w:eastAsia="华文中宋" w:cs="华文中宋"/>
          <w:b w:val="0"/>
          <w:bCs w:val="0"/>
          <w:color w:val="auto"/>
          <w:kern w:val="0"/>
          <w:sz w:val="44"/>
          <w:szCs w:val="44"/>
          <w:lang w:val="en-US" w:eastAsia="zh-CN" w:bidi="ar-SA"/>
        </w:rPr>
      </w:pPr>
      <w:r>
        <w:rPr>
          <w:rFonts w:hint="eastAsia" w:ascii="华文中宋" w:hAnsi="华文中宋" w:eastAsia="华文中宋" w:cs="华文中宋"/>
          <w:b w:val="0"/>
          <w:bCs w:val="0"/>
          <w:color w:val="auto"/>
          <w:kern w:val="0"/>
          <w:sz w:val="44"/>
          <w:szCs w:val="44"/>
          <w:lang w:val="en-US" w:eastAsia="zh-CN" w:bidi="ar-SA"/>
        </w:rPr>
        <w:t>水生态环境综合提质项目（河道疏浚与防护）</w:t>
      </w:r>
    </w:p>
    <w:p>
      <w:pPr>
        <w:keepNext w:val="0"/>
        <w:keepLines w:val="0"/>
        <w:pageBreakBefore w:val="0"/>
        <w:widowControl/>
        <w:kinsoku/>
        <w:wordWrap/>
        <w:overflowPunct/>
        <w:topLinePunct w:val="0"/>
        <w:autoSpaceDE/>
        <w:autoSpaceDN/>
        <w:bidi w:val="0"/>
        <w:adjustRightInd/>
        <w:snapToGrid/>
        <w:spacing w:before="0" w:beforeAutospacing="0" w:after="0" w:afterAutospacing="0" w:line="660" w:lineRule="exact"/>
        <w:ind w:left="0" w:leftChars="0" w:firstLine="0" w:firstLineChars="0"/>
        <w:jc w:val="center"/>
        <w:textAlignment w:val="auto"/>
        <w:rPr>
          <w:rFonts w:hint="eastAsia" w:ascii="华文中宋" w:hAnsi="华文中宋" w:eastAsia="华文中宋" w:cs="华文中宋"/>
          <w:b w:val="0"/>
          <w:bCs w:val="0"/>
          <w:color w:val="auto"/>
          <w:kern w:val="0"/>
          <w:sz w:val="44"/>
          <w:szCs w:val="44"/>
          <w:lang w:val="en-US" w:eastAsia="zh-CN" w:bidi="ar-SA"/>
        </w:rPr>
      </w:pPr>
      <w:r>
        <w:rPr>
          <w:rFonts w:hint="eastAsia" w:ascii="华文中宋" w:hAnsi="华文中宋" w:eastAsia="华文中宋" w:cs="华文中宋"/>
          <w:b w:val="0"/>
          <w:bCs w:val="0"/>
          <w:color w:val="auto"/>
          <w:kern w:val="0"/>
          <w:sz w:val="44"/>
          <w:szCs w:val="44"/>
          <w:lang w:val="en-US" w:eastAsia="zh-CN" w:bidi="ar-SA"/>
        </w:rPr>
        <w:t>环境影响报告表的批复</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color w:val="FF0000"/>
          <w:szCs w:val="32"/>
        </w:rPr>
      </w:pPr>
    </w:p>
    <w:p>
      <w:pPr>
        <w:keepNext w:val="0"/>
        <w:keepLines w:val="0"/>
        <w:pageBreakBefore w:val="0"/>
        <w:widowControl w:val="0"/>
        <w:kinsoku/>
        <w:wordWrap/>
        <w:overflowPunct/>
        <w:topLinePunct w:val="0"/>
        <w:autoSpaceDE/>
        <w:autoSpaceDN/>
        <w:bidi w:val="0"/>
        <w:adjustRightInd/>
        <w:snapToGrid w:val="0"/>
        <w:spacing w:before="0" w:after="0" w:line="540" w:lineRule="exact"/>
        <w:ind w:left="0" w:leftChars="0" w:right="0" w:rightChars="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济源市河清生态开发有限公司</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val="0"/>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你单位（统一社会信用代码：91419001MAD6GA609M）报送的由济源市烨林安全环保技术服务有限公司</w:t>
      </w:r>
      <w:r>
        <w:rPr>
          <w:rFonts w:hint="eastAsia" w:ascii="仿宋_GB2312" w:hAnsi="仿宋_GB2312" w:cs="仿宋_GB2312"/>
          <w:color w:val="auto"/>
          <w:sz w:val="32"/>
          <w:szCs w:val="32"/>
          <w:lang w:val="en-US" w:eastAsia="zh-CN"/>
        </w:rPr>
        <w:t>赵磊</w:t>
      </w:r>
      <w:r>
        <w:rPr>
          <w:rFonts w:hint="eastAsia" w:ascii="仿宋_GB2312" w:hAnsi="仿宋_GB2312" w:eastAsia="仿宋_GB2312" w:cs="仿宋_GB2312"/>
          <w:color w:val="auto"/>
          <w:sz w:val="32"/>
          <w:szCs w:val="32"/>
          <w:lang w:val="en-US" w:eastAsia="zh-CN"/>
        </w:rPr>
        <w:t>主持编制的《济源市河清生态开发有限公司济源市水生态环境综合提质项目（河道疏浚与防护）环境影响报告表》（以下简称《报告表》）及行政审批申请等资料收悉，项目环评审批事项已在我局网站公示期满。根据《中华人民共和国环境保护法》《中华人民共和国行政许可法》《中华人民共和国环境影响评价法》《建设项目环境保护管理条例》等法律法规规定，经研究，批复如下：</w:t>
      </w:r>
    </w:p>
    <w:p>
      <w:pPr>
        <w:keepNext w:val="0"/>
        <w:keepLines w:val="0"/>
        <w:pageBreakBefore w:val="0"/>
        <w:widowControl w:val="0"/>
        <w:numPr>
          <w:ilvl w:val="0"/>
          <w:numId w:val="1"/>
        </w:numPr>
        <w:kinsoku/>
        <w:wordWrap/>
        <w:overflowPunct/>
        <w:topLinePunct w:val="0"/>
        <w:autoSpaceDE/>
        <w:autoSpaceDN/>
        <w:bidi w:val="0"/>
        <w:adjustRightInd/>
        <w:snapToGrid w:val="0"/>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该项目对逢石河（邵原镇黄楝树村至王屋镇竹泉村段）、铁山河（王屋镇麻院村至大路村段）、塌七河（思礼镇郑坪村至涧南庄段）、五指河（承留镇山坪村至张河村段）、大沟河（承留镇孤树村至坡头镇连地村段）等5条河流的部分河段进行河道疏浚与堤岸防护，河道疏浚总长58.18km，含堤岸防护总长26.59km，共设置6处施工营地和仓库。</w:t>
      </w:r>
    </w:p>
    <w:p>
      <w:pPr>
        <w:keepNext w:val="0"/>
        <w:keepLines w:val="0"/>
        <w:pageBreakBefore w:val="0"/>
        <w:widowControl w:val="0"/>
        <w:kinsoku/>
        <w:wordWrap/>
        <w:overflowPunct/>
        <w:topLinePunct w:val="0"/>
        <w:autoSpaceDE/>
        <w:autoSpaceDN/>
        <w:bidi w:val="0"/>
        <w:adjustRightInd/>
        <w:snapToGrid w:val="0"/>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二、该《报告表》内容符合国家生态环境保护相关法律法规及生态环境保护有关规划要求，评价结论可信。我局批准该《报告表》，原则同意你单位按照《报告表》所列项目的性质、规模、地点及生态环境保护对策措施等内容进行建设。</w:t>
      </w:r>
    </w:p>
    <w:p>
      <w:pPr>
        <w:keepNext w:val="0"/>
        <w:keepLines w:val="0"/>
        <w:pageBreakBefore w:val="0"/>
        <w:widowControl w:val="0"/>
        <w:kinsoku/>
        <w:wordWrap/>
        <w:overflowPunct/>
        <w:topLinePunct w:val="0"/>
        <w:autoSpaceDE/>
        <w:autoSpaceDN/>
        <w:bidi w:val="0"/>
        <w:adjustRightInd/>
        <w:snapToGrid w:val="0"/>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三、你单位应向社会公众主动公开已经批准的《报告表》，接受相关方的垂询，并根据有关要求，进行环境信息公开。</w:t>
      </w:r>
    </w:p>
    <w:p>
      <w:pPr>
        <w:keepNext w:val="0"/>
        <w:keepLines w:val="0"/>
        <w:pageBreakBefore w:val="0"/>
        <w:widowControl w:val="0"/>
        <w:kinsoku/>
        <w:wordWrap/>
        <w:overflowPunct/>
        <w:topLinePunct w:val="0"/>
        <w:autoSpaceDE/>
        <w:autoSpaceDN/>
        <w:bidi w:val="0"/>
        <w:adjustRightInd/>
        <w:snapToGrid w:val="0"/>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四、你单位应全面落实《报告表》提出的各项环境保护措施，确保各项环境保护设施与主体工程同时设计、同时施工、同时投入使用，确保各项污染物达标排放。项目建成后，应按规定程序实施竣工环境保护验收。</w:t>
      </w:r>
    </w:p>
    <w:p>
      <w:pPr>
        <w:keepNext w:val="0"/>
        <w:keepLines w:val="0"/>
        <w:pageBreakBefore w:val="0"/>
        <w:widowControl w:val="0"/>
        <w:kinsoku/>
        <w:wordWrap/>
        <w:overflowPunct/>
        <w:topLinePunct w:val="0"/>
        <w:autoSpaceDE/>
        <w:autoSpaceDN/>
        <w:bidi w:val="0"/>
        <w:adjustRightInd/>
        <w:snapToGrid w:val="0"/>
        <w:spacing w:before="0" w:after="0"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w:t>
      </w:r>
      <w:r>
        <w:rPr>
          <w:rFonts w:hint="eastAsia" w:ascii="仿宋_GB2312" w:hAnsi="仿宋_GB2312" w:eastAsia="仿宋_GB2312" w:cs="仿宋_GB2312"/>
          <w:color w:val="auto"/>
          <w:sz w:val="32"/>
          <w:szCs w:val="32"/>
          <w:lang w:val="en-US" w:eastAsia="zh-CN"/>
        </w:rPr>
        <w:t>向设计单位提供《报告表》和本批复文件，确保项目设计按照环境保护设计规范要求，落实防治环境污染和生态破坏的措施。</w:t>
      </w:r>
    </w:p>
    <w:p>
      <w:pPr>
        <w:keepNext w:val="0"/>
        <w:keepLines w:val="0"/>
        <w:pageBreakBefore w:val="0"/>
        <w:widowControl w:val="0"/>
        <w:kinsoku/>
        <w:wordWrap/>
        <w:overflowPunct/>
        <w:topLinePunct w:val="0"/>
        <w:autoSpaceDE/>
        <w:autoSpaceDN/>
        <w:bidi w:val="0"/>
        <w:adjustRightInd/>
        <w:snapToGrid w:val="0"/>
        <w:spacing w:before="0" w:after="0" w:line="54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w:t>
      </w:r>
      <w:r>
        <w:rPr>
          <w:rFonts w:hint="eastAsia" w:ascii="仿宋_GB2312" w:hAnsi="仿宋_GB2312" w:eastAsia="仿宋_GB2312" w:cs="仿宋_GB2312"/>
          <w:color w:val="auto"/>
          <w:sz w:val="32"/>
          <w:szCs w:val="32"/>
          <w:lang w:val="en-US" w:eastAsia="zh-CN"/>
        </w:rPr>
        <w:t>依据《报告表》和本批复文件，对项目建设过程中产生的废水、废气、固体废物、噪声等污染，以及因施工对自然、生态环境及周边交通环境造成的影响，采取相应的防治措施。</w:t>
      </w:r>
    </w:p>
    <w:p>
      <w:pPr>
        <w:keepNext w:val="0"/>
        <w:keepLines w:val="0"/>
        <w:pageBreakBefore w:val="0"/>
        <w:widowControl w:val="0"/>
        <w:kinsoku/>
        <w:wordWrap/>
        <w:overflowPunct/>
        <w:topLinePunct w:val="0"/>
        <w:autoSpaceDE/>
        <w:autoSpaceDN/>
        <w:bidi w:val="0"/>
        <w:adjustRightInd/>
        <w:snapToGrid w:val="0"/>
        <w:spacing w:before="0" w:after="0" w:line="540" w:lineRule="exact"/>
        <w:ind w:left="0" w:leftChars="0" w:right="0" w:rightChars="0" w:firstLine="640" w:firstLineChars="200"/>
        <w:jc w:val="both"/>
        <w:textAlignment w:val="auto"/>
        <w:outlineLvl w:val="9"/>
        <w:rPr>
          <w:rFonts w:hint="eastAsia" w:ascii="仿宋_GB2312" w:hAnsi="仿宋_GB2312" w:eastAsia="仿宋_GB2312" w:cs="仿宋_GB2312"/>
          <w:snapToGrid w:val="0"/>
          <w:color w:val="auto"/>
          <w:sz w:val="32"/>
          <w:szCs w:val="32"/>
          <w:lang w:val="en-US" w:eastAsia="zh-CN"/>
        </w:rPr>
      </w:pPr>
      <w:r>
        <w:rPr>
          <w:rFonts w:hint="eastAsia" w:ascii="仿宋_GB2312" w:hAnsi="仿宋_GB2312" w:cs="仿宋_GB2312"/>
          <w:color w:val="auto"/>
          <w:sz w:val="32"/>
          <w:szCs w:val="32"/>
          <w:lang w:eastAsia="zh-CN"/>
        </w:rPr>
        <w:t>（三）</w:t>
      </w:r>
      <w:r>
        <w:rPr>
          <w:rFonts w:hint="eastAsia" w:ascii="仿宋_GB2312" w:hAnsi="仿宋_GB2312" w:eastAsia="仿宋_GB2312" w:cs="仿宋_GB2312"/>
          <w:color w:val="auto"/>
          <w:sz w:val="32"/>
          <w:szCs w:val="32"/>
          <w:lang w:val="en-US" w:eastAsia="zh-CN"/>
        </w:rPr>
        <w:t>项目建设过程中重点做好以下工作：</w:t>
      </w:r>
    </w:p>
    <w:p>
      <w:pPr>
        <w:keepNext w:val="0"/>
        <w:keepLines w:val="0"/>
        <w:pageBreakBefore w:val="0"/>
        <w:widowControl w:val="0"/>
        <w:kinsoku/>
        <w:wordWrap/>
        <w:overflowPunct/>
        <w:topLinePunct w:val="0"/>
        <w:autoSpaceDE/>
        <w:autoSpaceDN/>
        <w:bidi w:val="0"/>
        <w:adjustRightInd/>
        <w:snapToGrid w:val="0"/>
        <w:spacing w:line="540" w:lineRule="exact"/>
        <w:ind w:firstLine="640" w:firstLineChars="200"/>
        <w:textAlignment w:val="auto"/>
        <w:rPr>
          <w:rFonts w:hint="eastAsia" w:ascii="仿宋_GB2312" w:hAnsi="仿宋_GB2312" w:eastAsia="仿宋_GB2312" w:cs="仿宋_GB2312"/>
          <w:snapToGrid w:val="0"/>
          <w:color w:val="auto"/>
          <w:sz w:val="32"/>
          <w:szCs w:val="32"/>
          <w:lang w:val="en-US" w:eastAsia="zh-CN"/>
        </w:rPr>
      </w:pPr>
      <w:r>
        <w:rPr>
          <w:rFonts w:hint="eastAsia" w:ascii="仿宋_GB2312" w:hAnsi="仿宋_GB2312" w:cs="仿宋_GB2312"/>
          <w:color w:val="auto"/>
          <w:sz w:val="32"/>
          <w:szCs w:val="32"/>
          <w:lang w:val="en-US" w:eastAsia="zh-CN"/>
        </w:rPr>
        <w:t>1</w:t>
      </w:r>
      <w:r>
        <w:rPr>
          <w:rFonts w:hint="eastAsia" w:ascii="仿宋_GB2312" w:hAnsi="仿宋_GB2312" w:eastAsia="仿宋_GB2312" w:cs="仿宋_GB2312"/>
          <w:color w:val="auto"/>
          <w:sz w:val="32"/>
          <w:szCs w:val="32"/>
          <w:lang w:val="en-US" w:eastAsia="zh-CN"/>
        </w:rPr>
        <w:t>.强化大气污染防控。全面落实环评要求的各项大气污染防治措施，做好临时道路路面碎石铺设，做好淤积物堆存、运输等环节污染防治。淤积物临时堆存点物料堆存采取洒水、覆盖、围挡等有效临时防护措施，运输车辆、运输道路落实洒水抑尘、蓬布覆盖、密闭运输等措施，有效防控项目施工作业环节粉尘、颗粒物等无组织排放，防止对周边环境产生不利影响。施工期废气排放应满足《大气污染物综合排放标准》（GB16297-1996）和相关机械污染物排放限值要求。</w:t>
      </w:r>
    </w:p>
    <w:p>
      <w:pPr>
        <w:keepNext w:val="0"/>
        <w:keepLines w:val="0"/>
        <w:pageBreakBefore w:val="0"/>
        <w:widowControl w:val="0"/>
        <w:kinsoku/>
        <w:wordWrap/>
        <w:overflowPunct/>
        <w:topLinePunct w:val="0"/>
        <w:autoSpaceDE/>
        <w:autoSpaceDN/>
        <w:bidi w:val="0"/>
        <w:adjustRightInd/>
        <w:snapToGrid w:val="0"/>
        <w:spacing w:before="0" w:beforeLines="0" w:after="0" w:afterLines="0" w:line="57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cs="仿宋_GB2312"/>
          <w:color w:val="auto"/>
          <w:sz w:val="32"/>
          <w:szCs w:val="32"/>
          <w:lang w:val="en-US" w:eastAsia="zh-CN"/>
        </w:rPr>
        <w:t>2</w:t>
      </w:r>
      <w:r>
        <w:rPr>
          <w:rFonts w:hint="eastAsia" w:ascii="仿宋_GB2312" w:hAnsi="仿宋_GB2312" w:eastAsia="仿宋_GB2312" w:cs="仿宋_GB2312"/>
          <w:color w:val="auto"/>
          <w:sz w:val="32"/>
          <w:szCs w:val="32"/>
          <w:lang w:val="en-US" w:eastAsia="zh-CN"/>
        </w:rPr>
        <w:t>.严格落实项目水环境污染防治措施。项目建设过程中的车辆冲洗废水等生产废水集中收集，经沉淀处理后全部回用，严禁随意外排；优化项目涉水施工作业，强化清淤作业过程环境管理，采取构筑围堰、设置导流沟等临时性防护措施，最大限度避免和减缓清淤疏浚施工作业对水体的不利影响；生活污水依托移动式化粪池进行收集处理，禁止外排。禁止将项目废水和生活污水排入施工段水体，确保项目实施对地表水体无明显不利影响。</w:t>
      </w:r>
    </w:p>
    <w:p>
      <w:pPr>
        <w:keepNext w:val="0"/>
        <w:keepLines w:val="0"/>
        <w:pageBreakBefore w:val="0"/>
        <w:widowControl w:val="0"/>
        <w:kinsoku/>
        <w:wordWrap/>
        <w:overflowPunct/>
        <w:topLinePunct w:val="0"/>
        <w:autoSpaceDE/>
        <w:autoSpaceDN/>
        <w:bidi w:val="0"/>
        <w:adjustRightInd/>
        <w:snapToGrid w:val="0"/>
        <w:spacing w:before="0" w:beforeLines="0" w:after="0" w:afterLines="0" w:line="57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rPr>
      </w:pPr>
      <w:r>
        <w:rPr>
          <w:rFonts w:hint="eastAsia" w:ascii="仿宋_GB2312" w:hAnsi="仿宋_GB2312" w:cs="仿宋_GB2312"/>
          <w:color w:val="auto"/>
          <w:sz w:val="32"/>
          <w:szCs w:val="32"/>
          <w:lang w:val="en-US" w:eastAsia="zh-CN"/>
        </w:rPr>
        <w:t>3</w:t>
      </w:r>
      <w:r>
        <w:rPr>
          <w:rFonts w:hint="eastAsia" w:ascii="仿宋_GB2312" w:hAnsi="仿宋_GB2312" w:eastAsia="仿宋_GB2312" w:cs="仿宋_GB2312"/>
          <w:color w:val="auto"/>
          <w:sz w:val="32"/>
          <w:szCs w:val="32"/>
          <w:lang w:val="en-US" w:eastAsia="zh-CN"/>
        </w:rPr>
        <w:t>.落实噪声污染防治措施。加强施工噪声监管，选用低噪声设备、对高噪声源采取隔声减振等降噪措施、合理安排作业时间、近距离敏感点周边设临时隔声屏障等措施，减轻施工噪声对周围居民的不利影响；施工噪声排放应满足《建筑施工场界环境噪声排放标准》（GB12523-2011）要求。</w:t>
      </w:r>
    </w:p>
    <w:p>
      <w:pPr>
        <w:keepNext w:val="0"/>
        <w:keepLines w:val="0"/>
        <w:pageBreakBefore w:val="0"/>
        <w:widowControl w:val="0"/>
        <w:kinsoku/>
        <w:wordWrap/>
        <w:overflowPunct/>
        <w:topLinePunct w:val="0"/>
        <w:autoSpaceDE/>
        <w:autoSpaceDN/>
        <w:bidi w:val="0"/>
        <w:adjustRightInd/>
        <w:snapToGrid w:val="0"/>
        <w:spacing w:before="0" w:beforeLines="0" w:after="0" w:afterLines="0" w:line="57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cs="仿宋_GB2312"/>
          <w:color w:val="auto"/>
          <w:sz w:val="32"/>
          <w:szCs w:val="32"/>
          <w:lang w:val="en-US" w:eastAsia="zh-CN"/>
        </w:rPr>
        <w:t>4</w:t>
      </w:r>
      <w:r>
        <w:rPr>
          <w:rFonts w:hint="eastAsia" w:ascii="仿宋_GB2312" w:hAnsi="仿宋_GB2312" w:eastAsia="仿宋_GB2312" w:cs="仿宋_GB2312"/>
          <w:color w:val="auto"/>
          <w:sz w:val="32"/>
          <w:szCs w:val="32"/>
          <w:lang w:val="en-US" w:eastAsia="zh-CN"/>
        </w:rPr>
        <w:t>.落实并优化固体废物综合利用和处置措施。必须按照法律法规和相关政策要求，对建设过程中产生的固体废物进行管理和规范处置。项目清淤作业产生的淤积物经临时晾晒暂存后，及时外运至济源市聚源新型建材有限公司进行处置，暂存期间不得随意倾倒或无序堆存。项目不设弃土场，工程弃土用于济源市政交通建设和就近用于生态林种苗示范基地土地平整。一般固体废物临时贮存按《一般工业固体废物贮存和填埋污染控制标准》（GB18599-2020）及其修改单进行控制。</w:t>
      </w:r>
    </w:p>
    <w:p>
      <w:pPr>
        <w:keepNext w:val="0"/>
        <w:keepLines w:val="0"/>
        <w:pageBreakBefore w:val="0"/>
        <w:widowControl w:val="0"/>
        <w:kinsoku/>
        <w:wordWrap/>
        <w:overflowPunct/>
        <w:topLinePunct w:val="0"/>
        <w:autoSpaceDE/>
        <w:autoSpaceDN/>
        <w:bidi w:val="0"/>
        <w:adjustRightInd/>
        <w:snapToGrid w:val="0"/>
        <w:spacing w:before="0" w:beforeLines="0" w:after="0" w:afterLines="0" w:line="570" w:lineRule="exact"/>
        <w:ind w:left="0" w:leftChars="0" w:right="0" w:rightChars="0"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四）落实各项生态恢复措施。施工期应严格按照本项目清淤疏浚方案批复要求的时间、地点、范围进行施工作业，优化工程布置、规范施工行为，认真落实各项生态保护措施。合理安排施工进度，控制施工范围，减少扰动面积；对表土堆存区、料场转存区采取覆盖、拦挡、防渗沟等措施防止水土流失，施工结束后及时进行生态恢复。</w:t>
      </w:r>
    </w:p>
    <w:p>
      <w:pPr>
        <w:keepNext w:val="0"/>
        <w:keepLines w:val="0"/>
        <w:pageBreakBefore w:val="0"/>
        <w:widowControl w:val="0"/>
        <w:kinsoku/>
        <w:wordWrap/>
        <w:overflowPunct/>
        <w:topLinePunct w:val="0"/>
        <w:autoSpaceDE/>
        <w:autoSpaceDN/>
        <w:bidi w:val="0"/>
        <w:adjustRightInd/>
        <w:snapToGrid w:val="0"/>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cs="仿宋_GB2312"/>
          <w:color w:val="auto"/>
          <w:sz w:val="32"/>
          <w:szCs w:val="32"/>
          <w:lang w:val="en-US" w:eastAsia="zh-CN"/>
        </w:rPr>
        <w:t>五</w:t>
      </w:r>
      <w:r>
        <w:rPr>
          <w:rFonts w:hint="eastAsia" w:ascii="仿宋_GB2312" w:hAnsi="仿宋_GB2312" w:eastAsia="仿宋_GB2312" w:cs="仿宋_GB2312"/>
          <w:color w:val="auto"/>
          <w:sz w:val="32"/>
          <w:szCs w:val="32"/>
          <w:lang w:val="en-US" w:eastAsia="zh-CN"/>
        </w:rPr>
        <w:t>、落实生态环境监测要求。严格按照报告表中的监测计划，定期对排放的各类污染物进行监测，发布相关信息。</w:t>
      </w:r>
    </w:p>
    <w:p>
      <w:pPr>
        <w:keepNext w:val="0"/>
        <w:keepLines w:val="0"/>
        <w:pageBreakBefore w:val="0"/>
        <w:widowControl w:val="0"/>
        <w:kinsoku/>
        <w:wordWrap/>
        <w:overflowPunct/>
        <w:topLinePunct w:val="0"/>
        <w:autoSpaceDE/>
        <w:autoSpaceDN/>
        <w:bidi w:val="0"/>
        <w:adjustRightInd/>
        <w:snapToGrid w:val="0"/>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cs="仿宋_GB2312"/>
          <w:color w:val="auto"/>
          <w:sz w:val="32"/>
          <w:szCs w:val="32"/>
          <w:lang w:val="en-US" w:eastAsia="zh-CN"/>
        </w:rPr>
        <w:t>六</w:t>
      </w:r>
      <w:r>
        <w:rPr>
          <w:rFonts w:hint="eastAsia" w:ascii="仿宋_GB2312" w:hAnsi="仿宋_GB2312" w:eastAsia="仿宋_GB2312" w:cs="仿宋_GB2312"/>
          <w:color w:val="auto"/>
          <w:sz w:val="32"/>
          <w:szCs w:val="32"/>
          <w:lang w:val="en-US" w:eastAsia="zh-CN"/>
        </w:rPr>
        <w:t>、本批复有效期为5年，如该项目逾期开工建设，其环境影响报告表应报我局重新审核。项目建设如发生重大变动，应当重新报批建设项目环境影响评价文件。</w:t>
      </w:r>
    </w:p>
    <w:p>
      <w:pPr>
        <w:keepNext w:val="0"/>
        <w:keepLines w:val="0"/>
        <w:pageBreakBefore w:val="0"/>
        <w:widowControl w:val="0"/>
        <w:kinsoku/>
        <w:wordWrap/>
        <w:overflowPunct/>
        <w:topLinePunct w:val="0"/>
        <w:autoSpaceDE/>
        <w:autoSpaceDN/>
        <w:bidi w:val="0"/>
        <w:adjustRightInd/>
        <w:snapToGrid w:val="0"/>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cs="仿宋_GB2312"/>
          <w:color w:val="auto"/>
          <w:sz w:val="32"/>
          <w:szCs w:val="32"/>
          <w:lang w:val="en-US" w:eastAsia="zh-CN"/>
        </w:rPr>
        <w:t>七</w:t>
      </w:r>
      <w:r>
        <w:rPr>
          <w:rFonts w:hint="eastAsia" w:ascii="仿宋_GB2312" w:hAnsi="仿宋_GB2312" w:eastAsia="仿宋_GB2312" w:cs="仿宋_GB2312"/>
          <w:color w:val="auto"/>
          <w:sz w:val="32"/>
          <w:szCs w:val="32"/>
          <w:lang w:val="en-US" w:eastAsia="zh-CN"/>
        </w:rPr>
        <w:t>、今后国家或我省颁布严于本批复污染物排放限值的新标准，届时你公司应按新的排放标准执行。</w:t>
      </w:r>
    </w:p>
    <w:p>
      <w:pPr>
        <w:keepNext w:val="0"/>
        <w:keepLines w:val="0"/>
        <w:pageBreakBefore w:val="0"/>
        <w:widowControl w:val="0"/>
        <w:kinsoku/>
        <w:wordWrap/>
        <w:overflowPunct/>
        <w:topLinePunct w:val="0"/>
        <w:autoSpaceDE/>
        <w:autoSpaceDN/>
        <w:bidi w:val="0"/>
        <w:adjustRightInd/>
        <w:snapToGrid w:val="0"/>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val="0"/>
        <w:spacing w:line="540" w:lineRule="exact"/>
        <w:ind w:firstLine="640" w:firstLineChars="200"/>
        <w:textAlignment w:val="auto"/>
        <w:rPr>
          <w:rFonts w:hint="eastAsia" w:ascii="仿宋_GB2312" w:hAnsi="仿宋_GB2312" w:eastAsia="仿宋_GB2312" w:cs="仿宋_GB2312"/>
          <w:color w:val="auto"/>
          <w:sz w:val="32"/>
          <w:szCs w:val="32"/>
          <w:lang w:val="en-US" w:eastAsia="zh-CN"/>
        </w:rPr>
      </w:pPr>
    </w:p>
    <w:p>
      <w:pPr>
        <w:pStyle w:val="2"/>
        <w:keepNext w:val="0"/>
        <w:keepLines w:val="0"/>
        <w:pageBreakBefore w:val="0"/>
        <w:widowControl w:val="0"/>
        <w:kinsoku/>
        <w:wordWrap/>
        <w:overflowPunct/>
        <w:topLinePunct w:val="0"/>
        <w:autoSpaceDE/>
        <w:autoSpaceDN/>
        <w:bidi w:val="0"/>
        <w:snapToGrid w:val="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val="0"/>
        <w:ind w:firstLine="4800" w:firstLineChars="1500"/>
        <w:jc w:val="both"/>
        <w:textAlignment w:val="auto"/>
      </w:pPr>
      <w:r>
        <w:rPr>
          <w:rFonts w:hint="eastAsia" w:ascii="仿宋_GB2312" w:hAnsi="仿宋_GB2312" w:eastAsia="仿宋_GB2312" w:cs="仿宋_GB2312"/>
          <w:color w:val="auto"/>
          <w:sz w:val="32"/>
          <w:szCs w:val="32"/>
          <w:lang w:val="en-US" w:eastAsia="zh-CN"/>
        </w:rPr>
        <w:t>202</w:t>
      </w:r>
      <w:r>
        <w:rPr>
          <w:rFonts w:hint="eastAsia" w:ascii="仿宋_GB2312" w:hAnsi="仿宋_GB2312" w:cs="仿宋_GB2312"/>
          <w:color w:val="auto"/>
          <w:sz w:val="32"/>
          <w:szCs w:val="32"/>
          <w:lang w:val="en-US" w:eastAsia="zh-CN"/>
        </w:rPr>
        <w:t>4</w:t>
      </w:r>
      <w:r>
        <w:rPr>
          <w:rFonts w:hint="eastAsia" w:ascii="仿宋_GB2312" w:hAnsi="仿宋_GB2312" w:eastAsia="仿宋_GB2312" w:cs="仿宋_GB2312"/>
          <w:color w:val="auto"/>
          <w:sz w:val="32"/>
          <w:szCs w:val="32"/>
          <w:lang w:val="en-US" w:eastAsia="zh-CN"/>
        </w:rPr>
        <w:t>年</w:t>
      </w:r>
      <w:r>
        <w:rPr>
          <w:rFonts w:hint="eastAsia" w:ascii="仿宋_GB2312" w:hAnsi="仿宋_GB2312" w:cs="仿宋_GB2312"/>
          <w:color w:val="auto"/>
          <w:sz w:val="32"/>
          <w:szCs w:val="32"/>
          <w:lang w:val="en-US" w:eastAsia="zh-CN"/>
        </w:rPr>
        <w:t>1</w:t>
      </w:r>
      <w:r>
        <w:rPr>
          <w:rFonts w:hint="eastAsia" w:ascii="仿宋_GB2312" w:hAnsi="仿宋_GB2312" w:eastAsia="仿宋_GB2312" w:cs="仿宋_GB2312"/>
          <w:color w:val="auto"/>
          <w:sz w:val="32"/>
          <w:szCs w:val="32"/>
          <w:lang w:val="en-US" w:eastAsia="zh-CN"/>
        </w:rPr>
        <w:t>月</w:t>
      </w:r>
      <w:r>
        <w:rPr>
          <w:rFonts w:hint="eastAsia" w:ascii="仿宋_GB2312" w:hAnsi="仿宋_GB2312" w:cs="仿宋_GB2312"/>
          <w:color w:val="auto"/>
          <w:sz w:val="32"/>
          <w:szCs w:val="32"/>
          <w:lang w:val="en-US" w:eastAsia="zh-CN"/>
        </w:rPr>
        <w:t>17</w:t>
      </w:r>
      <w:bookmarkStart w:id="0" w:name="_GoBack"/>
      <w:bookmarkEnd w:id="0"/>
      <w:r>
        <w:rPr>
          <w:rFonts w:hint="eastAsia" w:ascii="仿宋_GB2312" w:hAnsi="仿宋_GB2312" w:eastAsia="仿宋_GB2312" w:cs="仿宋_GB2312"/>
          <w:color w:val="auto"/>
          <w:sz w:val="32"/>
          <w:szCs w:val="32"/>
          <w:lang w:val="en-US" w:eastAsia="zh-CN"/>
        </w:rPr>
        <w:t xml:space="preserve">日    </w:t>
      </w:r>
      <w:r>
        <w:rPr>
          <w:rFonts w:hint="eastAsia" w:ascii="仿宋_GB2312" w:hAnsi="仿宋_GB2312" w:cs="仿宋_GB2312"/>
          <w:color w:val="auto"/>
          <w:sz w:val="32"/>
          <w:szCs w:val="32"/>
          <w:lang w:val="en-US" w:eastAsia="zh-CN"/>
        </w:rPr>
        <w:t xml:space="preserve">    </w:t>
      </w:r>
    </w:p>
    <w:sectPr>
      <w:pgSz w:w="11906" w:h="16838"/>
      <w:pgMar w:top="1440" w:right="1746" w:bottom="1440" w:left="1746"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altName w:val="汉仪中宋简"/>
    <w:panose1 w:val="02010600040101010101"/>
    <w:charset w:val="00"/>
    <w:family w:val="auto"/>
    <w:pitch w:val="default"/>
    <w:sig w:usb0="00000000" w:usb1="00000000" w:usb2="00000000" w:usb3="00000000" w:csb0="0004009F" w:csb1="DFD70000"/>
  </w:font>
  <w:font w:name="汉仪中宋简">
    <w:panose1 w:val="02010600000101010101"/>
    <w:charset w:val="86"/>
    <w:family w:val="auto"/>
    <w:pitch w:val="default"/>
    <w:sig w:usb0="00000001" w:usb1="080E0800" w:usb2="00000002"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B7F91CD"/>
    <w:multiLevelType w:val="singleLevel"/>
    <w:tmpl w:val="7B7F91CD"/>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EFC6C92"/>
    <w:rsid w:val="26BDFB08"/>
    <w:rsid w:val="31776EBE"/>
    <w:rsid w:val="6BF44CEE"/>
    <w:rsid w:val="7D1DF988"/>
    <w:rsid w:val="7EFC6C92"/>
    <w:rsid w:val="7EFD2B7E"/>
    <w:rsid w:val="7F7EB9EC"/>
    <w:rsid w:val="ECFB737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仿宋_GB2312" w:cs="Times New Roman"/>
      <w:kern w:val="2"/>
      <w:sz w:val="32"/>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First Indent 2"/>
    <w:basedOn w:val="1"/>
    <w:next w:val="1"/>
    <w:qFormat/>
    <w:uiPriority w:val="0"/>
    <w:pPr>
      <w:adjustRightInd w:val="0"/>
      <w:snapToGrid w:val="0"/>
      <w:spacing w:before="10" w:beforeLines="10" w:after="120" w:line="460" w:lineRule="exact"/>
      <w:ind w:left="420" w:leftChars="200" w:firstLine="420" w:firstLineChars="200"/>
    </w:pPr>
    <w:rPr>
      <w:spacing w:val="0"/>
      <w:kern w:val="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2024-01-16T07:50:00Z</dcterms:created>
  <dc:creator>greatwall</dc:creator>
  <cp:lastModifiedBy>greatwall</cp:lastModifiedBy>
  <dcterms:modified xsi:type="dcterms:W3CDTF">2024-01-17T14:51:30Z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ies>
</file>