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before="0" w:beforeAutospacing="0" w:after="0" w:afterAutospacing="0" w:line="760" w:lineRule="exact"/>
        <w:ind w:firstLine="640" w:firstLineChars="200"/>
        <w:jc w:val="right"/>
        <w:textAlignment w:val="auto"/>
        <w:rPr>
          <w:rFonts w:hint="default" w:ascii="Times New Roman" w:hAnsi="Times New Roman" w:eastAsia="仿宋" w:cs="Times New Roman"/>
          <w:b w:val="0"/>
          <w:bCs w:val="0"/>
          <w:color w:val="262626"/>
          <w:kern w:val="0"/>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0" w:afterAutospacing="0" w:line="760" w:lineRule="exact"/>
        <w:ind w:firstLine="640" w:firstLineChars="200"/>
        <w:jc w:val="right"/>
        <w:textAlignment w:val="auto"/>
        <w:rPr>
          <w:rFonts w:hint="default" w:ascii="Times New Roman" w:hAnsi="Times New Roman" w:eastAsia="仿宋" w:cs="Times New Roman"/>
          <w:b w:val="0"/>
          <w:bCs w:val="0"/>
          <w:color w:val="262626"/>
          <w:kern w:val="0"/>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0" w:afterAutospacing="0" w:line="760" w:lineRule="exact"/>
        <w:ind w:firstLine="640" w:firstLineChars="200"/>
        <w:jc w:val="right"/>
        <w:textAlignment w:val="auto"/>
        <w:rPr>
          <w:rFonts w:hint="default" w:ascii="Times New Roman" w:hAnsi="Times New Roman" w:eastAsia="仿宋" w:cs="Times New Roman"/>
          <w:b w:val="0"/>
          <w:bCs w:val="0"/>
          <w:color w:val="262626"/>
          <w:kern w:val="0"/>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before="469" w:beforeLines="150" w:beforeAutospacing="0" w:after="0" w:afterAutospacing="0" w:line="700" w:lineRule="exact"/>
        <w:ind w:firstLine="640" w:firstLineChars="200"/>
        <w:jc w:val="right"/>
        <w:textAlignment w:val="auto"/>
        <w:rPr>
          <w:rFonts w:hint="eastAsia" w:ascii="仿宋_GB2312" w:hAnsi="仿宋_GB2312" w:eastAsia="仿宋_GB2312" w:cs="仿宋_GB2312"/>
          <w:b w:val="0"/>
          <w:bCs w:val="0"/>
          <w:color w:val="262626"/>
          <w:kern w:val="0"/>
          <w:sz w:val="32"/>
          <w:szCs w:val="32"/>
          <w:lang w:val="en-US" w:eastAsia="zh-CN" w:bidi="ar-SA"/>
        </w:rPr>
      </w:pPr>
      <w:r>
        <w:rPr>
          <w:rFonts w:hint="eastAsia" w:ascii="仿宋_GB2312" w:hAnsi="仿宋_GB2312" w:eastAsia="仿宋_GB2312" w:cs="仿宋_GB2312"/>
          <w:b w:val="0"/>
          <w:bCs w:val="0"/>
          <w:color w:val="262626"/>
          <w:kern w:val="0"/>
          <w:sz w:val="32"/>
          <w:szCs w:val="32"/>
          <w:lang w:val="en-US" w:eastAsia="zh-CN" w:bidi="ar-SA"/>
        </w:rPr>
        <w:t>济环评审〔202</w:t>
      </w:r>
      <w:r>
        <w:rPr>
          <w:rFonts w:hint="eastAsia" w:ascii="仿宋_GB2312" w:hAnsi="仿宋_GB2312" w:cs="仿宋_GB2312"/>
          <w:b w:val="0"/>
          <w:bCs w:val="0"/>
          <w:color w:val="262626"/>
          <w:kern w:val="0"/>
          <w:sz w:val="32"/>
          <w:szCs w:val="32"/>
          <w:lang w:val="en-US" w:eastAsia="zh-CN" w:bidi="ar-SA"/>
        </w:rPr>
        <w:t>4</w:t>
      </w:r>
      <w:r>
        <w:rPr>
          <w:rFonts w:hint="eastAsia" w:ascii="仿宋_GB2312" w:hAnsi="仿宋_GB2312" w:eastAsia="仿宋_GB2312" w:cs="仿宋_GB2312"/>
          <w:b w:val="0"/>
          <w:bCs w:val="0"/>
          <w:color w:val="262626"/>
          <w:kern w:val="0"/>
          <w:sz w:val="32"/>
          <w:szCs w:val="32"/>
          <w:lang w:val="en-US" w:eastAsia="zh-CN" w:bidi="ar-SA"/>
        </w:rPr>
        <w:t>〕</w:t>
      </w:r>
      <w:r>
        <w:rPr>
          <w:rFonts w:hint="eastAsia" w:ascii="仿宋_GB2312" w:hAnsi="仿宋_GB2312" w:cs="仿宋_GB2312"/>
          <w:b w:val="0"/>
          <w:bCs w:val="0"/>
          <w:color w:val="auto"/>
          <w:kern w:val="0"/>
          <w:sz w:val="32"/>
          <w:szCs w:val="32"/>
          <w:highlight w:val="none"/>
          <w:lang w:val="en-US" w:eastAsia="zh-CN" w:bidi="ar-SA"/>
        </w:rPr>
        <w:t>62</w:t>
      </w:r>
      <w:r>
        <w:rPr>
          <w:rFonts w:hint="eastAsia" w:ascii="仿宋_GB2312" w:hAnsi="仿宋_GB2312" w:eastAsia="仿宋_GB2312" w:cs="仿宋_GB2312"/>
          <w:b w:val="0"/>
          <w:bCs w:val="0"/>
          <w:color w:val="262626"/>
          <w:kern w:val="0"/>
          <w:sz w:val="32"/>
          <w:szCs w:val="32"/>
          <w:highlight w:val="none"/>
          <w:lang w:val="en-US" w:eastAsia="zh-CN" w:bidi="ar-SA"/>
        </w:rPr>
        <w:t>号</w:t>
      </w:r>
    </w:p>
    <w:p>
      <w:pPr>
        <w:keepNext w:val="0"/>
        <w:keepLines w:val="0"/>
        <w:pageBreakBefore w:val="0"/>
        <w:widowControl/>
        <w:kinsoku/>
        <w:wordWrap/>
        <w:overflowPunct/>
        <w:topLinePunct w:val="0"/>
        <w:autoSpaceDE/>
        <w:autoSpaceDN/>
        <w:bidi w:val="0"/>
        <w:adjustRightInd/>
        <w:snapToGrid/>
        <w:spacing w:before="0" w:beforeAutospacing="0" w:after="0" w:afterAutospacing="0" w:line="460" w:lineRule="exact"/>
        <w:ind w:firstLine="640" w:firstLineChars="200"/>
        <w:jc w:val="right"/>
        <w:textAlignment w:val="auto"/>
        <w:rPr>
          <w:rFonts w:hint="eastAsia" w:ascii="仿宋_GB2312" w:hAnsi="仿宋_GB2312" w:eastAsia="仿宋_GB2312" w:cs="仿宋_GB2312"/>
          <w:b w:val="0"/>
          <w:bCs w:val="0"/>
          <w:color w:val="262626"/>
          <w:kern w:val="0"/>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0" w:afterAutospacing="0" w:line="600" w:lineRule="exact"/>
        <w:jc w:val="center"/>
        <w:textAlignment w:val="auto"/>
        <w:rPr>
          <w:rFonts w:hint="eastAsia" w:ascii="方正小标宋_GBK" w:hAnsi="方正小标宋_GBK" w:eastAsia="方正小标宋_GBK" w:cs="方正小标宋_GBK"/>
          <w:b w:val="0"/>
          <w:bCs w:val="0"/>
          <w:color w:val="262626"/>
          <w:kern w:val="0"/>
          <w:sz w:val="44"/>
          <w:szCs w:val="44"/>
          <w:lang w:val="en-US" w:eastAsia="zh-CN" w:bidi="ar-SA"/>
        </w:rPr>
      </w:pPr>
      <w:r>
        <w:rPr>
          <w:rFonts w:hint="eastAsia" w:ascii="方正小标宋_GBK" w:hAnsi="方正小标宋_GBK" w:eastAsia="方正小标宋_GBK" w:cs="方正小标宋_GBK"/>
          <w:b w:val="0"/>
          <w:bCs w:val="0"/>
          <w:color w:val="262626"/>
          <w:kern w:val="0"/>
          <w:sz w:val="44"/>
          <w:szCs w:val="44"/>
          <w:lang w:val="en-US" w:eastAsia="zh-CN" w:bidi="ar-SA"/>
        </w:rPr>
        <w:t>济源市生态环境局</w:t>
      </w:r>
    </w:p>
    <w:p>
      <w:pPr>
        <w:keepNext w:val="0"/>
        <w:keepLines w:val="0"/>
        <w:pageBreakBefore w:val="0"/>
        <w:widowControl/>
        <w:kinsoku/>
        <w:wordWrap/>
        <w:overflowPunct/>
        <w:topLinePunct w:val="0"/>
        <w:autoSpaceDE/>
        <w:autoSpaceDN/>
        <w:bidi w:val="0"/>
        <w:adjustRightInd/>
        <w:snapToGrid/>
        <w:spacing w:before="0" w:beforeAutospacing="0" w:after="0" w:afterAutospacing="0" w:line="600" w:lineRule="exact"/>
        <w:ind w:left="0" w:leftChars="0" w:firstLine="0" w:firstLineChars="0"/>
        <w:jc w:val="center"/>
        <w:textAlignment w:val="auto"/>
        <w:rPr>
          <w:rFonts w:hint="eastAsia" w:ascii="方正小标宋_GBK" w:hAnsi="方正小标宋_GBK" w:eastAsia="方正小标宋_GBK" w:cs="方正小标宋_GBK"/>
          <w:b w:val="0"/>
          <w:bCs w:val="0"/>
          <w:color w:val="262626"/>
          <w:kern w:val="0"/>
          <w:sz w:val="44"/>
          <w:szCs w:val="44"/>
          <w:lang w:val="en-US" w:eastAsia="zh-CN" w:bidi="ar-SA"/>
        </w:rPr>
      </w:pPr>
      <w:r>
        <w:rPr>
          <w:rFonts w:hint="eastAsia" w:ascii="方正小标宋_GBK" w:hAnsi="方正小标宋_GBK" w:eastAsia="方正小标宋_GBK" w:cs="方正小标宋_GBK"/>
          <w:b w:val="0"/>
          <w:bCs w:val="0"/>
          <w:color w:val="262626"/>
          <w:kern w:val="0"/>
          <w:sz w:val="44"/>
          <w:szCs w:val="44"/>
          <w:lang w:val="en-US" w:eastAsia="zh-CN" w:bidi="ar-SA"/>
        </w:rPr>
        <w:t>关于河南中原辊轴有限公司轧辊热处理</w:t>
      </w:r>
    </w:p>
    <w:p>
      <w:pPr>
        <w:keepNext w:val="0"/>
        <w:keepLines w:val="0"/>
        <w:pageBreakBefore w:val="0"/>
        <w:widowControl/>
        <w:kinsoku/>
        <w:wordWrap/>
        <w:overflowPunct/>
        <w:topLinePunct w:val="0"/>
        <w:autoSpaceDE/>
        <w:autoSpaceDN/>
        <w:bidi w:val="0"/>
        <w:adjustRightInd/>
        <w:snapToGrid/>
        <w:spacing w:before="0" w:beforeAutospacing="0" w:after="0" w:afterAutospacing="0" w:line="600" w:lineRule="exact"/>
        <w:ind w:left="0" w:leftChars="0" w:firstLine="0" w:firstLineChars="0"/>
        <w:jc w:val="center"/>
        <w:textAlignment w:val="auto"/>
        <w:rPr>
          <w:rFonts w:hint="eastAsia" w:ascii="方正小标宋_GBK" w:hAnsi="方正小标宋_GBK" w:eastAsia="方正小标宋_GBK" w:cs="方正小标宋_GBK"/>
          <w:b w:val="0"/>
          <w:bCs w:val="0"/>
          <w:color w:val="262626"/>
          <w:kern w:val="0"/>
          <w:sz w:val="44"/>
          <w:szCs w:val="44"/>
          <w:lang w:val="en-US" w:eastAsia="zh-CN" w:bidi="ar-SA"/>
        </w:rPr>
      </w:pPr>
      <w:r>
        <w:rPr>
          <w:rFonts w:hint="eastAsia" w:ascii="方正小标宋_GBK" w:hAnsi="方正小标宋_GBK" w:eastAsia="方正小标宋_GBK" w:cs="方正小标宋_GBK"/>
          <w:b w:val="0"/>
          <w:bCs w:val="0"/>
          <w:color w:val="262626"/>
          <w:kern w:val="0"/>
          <w:sz w:val="44"/>
          <w:szCs w:val="44"/>
          <w:lang w:val="en-US" w:eastAsia="zh-CN" w:bidi="ar-SA"/>
        </w:rPr>
        <w:t>工艺提升改造项目环境影响报告表的批复</w:t>
      </w:r>
    </w:p>
    <w:p>
      <w:pPr>
        <w:keepNext w:val="0"/>
        <w:keepLines w:val="0"/>
        <w:pageBreakBefore w:val="0"/>
        <w:widowControl w:val="0"/>
        <w:kinsoku/>
        <w:wordWrap/>
        <w:overflowPunct/>
        <w:topLinePunct w:val="0"/>
        <w:autoSpaceDE/>
        <w:autoSpaceDN/>
        <w:bidi w:val="0"/>
        <w:adjustRightInd/>
        <w:snapToGrid w:val="0"/>
        <w:spacing w:before="0" w:after="0" w:line="560" w:lineRule="exact"/>
        <w:ind w:left="0" w:leftChars="0" w:right="0" w:rightChars="0"/>
        <w:jc w:val="both"/>
        <w:textAlignment w:val="auto"/>
        <w:outlineLvl w:val="9"/>
        <w:rPr>
          <w:rFonts w:hint="eastAsia" w:ascii="仿宋_GB2312" w:hAnsi="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val="0"/>
        <w:spacing w:before="0" w:after="0" w:line="560" w:lineRule="exact"/>
        <w:ind w:left="0" w:leftChars="0" w:right="0" w:rightChars="0"/>
        <w:jc w:val="both"/>
        <w:textAlignment w:val="auto"/>
        <w:outlineLvl w:val="9"/>
        <w:rPr>
          <w:rFonts w:hint="eastAsia" w:ascii="仿宋_GB2312" w:hAnsi="仿宋_GB2312" w:eastAsia="仿宋_GB2312" w:cs="仿宋_GB2312"/>
          <w:sz w:val="32"/>
          <w:szCs w:val="32"/>
        </w:rPr>
      </w:pPr>
      <w:r>
        <w:rPr>
          <w:rFonts w:hint="eastAsia" w:ascii="仿宋_GB2312" w:hAnsi="仿宋_GB2312" w:cs="仿宋_GB2312"/>
          <w:sz w:val="32"/>
          <w:szCs w:val="32"/>
          <w:lang w:val="en-US" w:eastAsia="zh-CN"/>
        </w:rPr>
        <w:t>河南中原辊轴有限公司</w:t>
      </w:r>
      <w:r>
        <w:rPr>
          <w:rFonts w:hint="eastAsia" w:ascii="仿宋_GB2312" w:hAnsi="仿宋_GB2312" w:eastAsia="仿宋_GB2312" w:cs="仿宋_GB2312"/>
          <w:sz w:val="32"/>
          <w:szCs w:val="32"/>
        </w:rPr>
        <w:t>：</w:t>
      </w:r>
    </w:p>
    <w:p>
      <w:pPr>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left="0" w:leftChars="0"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eastAsia="仿宋_GB2312" w:cs="仿宋_GB2312"/>
          <w:sz w:val="32"/>
          <w:szCs w:val="32"/>
          <w:lang w:val="en-US" w:eastAsia="zh-CN"/>
        </w:rPr>
        <w:t>你单位（统一社会信用代码：9141900117747990X4）报送的由</w:t>
      </w:r>
      <w:r>
        <w:rPr>
          <w:rFonts w:hint="eastAsia" w:ascii="仿宋_GB2312" w:hAnsi="仿宋_GB2312" w:cs="仿宋_GB2312"/>
          <w:sz w:val="32"/>
          <w:szCs w:val="32"/>
          <w:lang w:val="en-US" w:eastAsia="zh-CN"/>
        </w:rPr>
        <w:t>河南博兰森环保科技有限公司李欣</w:t>
      </w:r>
      <w:r>
        <w:rPr>
          <w:rFonts w:hint="eastAsia" w:ascii="仿宋_GB2312" w:hAnsi="仿宋_GB2312" w:eastAsia="仿宋_GB2312" w:cs="仿宋_GB2312"/>
          <w:sz w:val="32"/>
          <w:szCs w:val="32"/>
          <w:lang w:val="en-US" w:eastAsia="zh-CN"/>
        </w:rPr>
        <w:t>主持编制的《河南中原辊轴有限公司轧辊热处理工艺提升改造项目环境影响报告表》（以下简称《报告表》）及行政审批申请等资料收悉，项目环评审批事项已在我局网站公示期满。根据《中华人民共和国环境保护法》《中华人民共和国行政许可法》《中华人民共和国环境影响评价法》《建设项目环境保护管理条例》等法律法规，经研究，批复如下</w:t>
      </w:r>
      <w:r>
        <w:rPr>
          <w:rFonts w:hint="eastAsia" w:ascii="仿宋_GB2312" w:hAnsi="仿宋_GB2312" w:cs="仿宋_GB2312"/>
          <w:sz w:val="32"/>
          <w:szCs w:val="32"/>
          <w:lang w:val="en-US" w:eastAsia="zh-CN"/>
        </w:rPr>
        <w:t>：</w:t>
      </w:r>
    </w:p>
    <w:p>
      <w:pPr>
        <w:keepNext w:val="0"/>
        <w:keepLines w:val="0"/>
        <w:pageBreakBefore w:val="0"/>
        <w:widowControl w:val="0"/>
        <w:numPr>
          <w:ilvl w:val="0"/>
          <w:numId w:val="1"/>
        </w:numPr>
        <w:kinsoku/>
        <w:wordWrap/>
        <w:overflowPunct/>
        <w:topLinePunct w:val="0"/>
        <w:autoSpaceDE/>
        <w:autoSpaceDN/>
        <w:bidi w:val="0"/>
        <w:adjustRightInd/>
        <w:snapToGrid w:val="0"/>
        <w:spacing w:line="560" w:lineRule="exact"/>
        <w:ind w:firstLine="640" w:firstLineChars="200"/>
        <w:textAlignment w:val="auto"/>
        <w:rPr>
          <w:rFonts w:hint="eastAsia" w:ascii="Times New Roman" w:hAnsi="Times New Roman" w:cs="Times New Roman"/>
          <w:sz w:val="32"/>
          <w:szCs w:val="32"/>
          <w:lang w:val="en-US" w:eastAsia="zh-CN"/>
        </w:rPr>
      </w:pPr>
      <w:r>
        <w:rPr>
          <w:rFonts w:hint="eastAsia" w:ascii="仿宋_GB2312" w:hAnsi="仿宋_GB2312" w:eastAsia="仿宋_GB2312" w:cs="仿宋_GB2312"/>
          <w:sz w:val="32"/>
          <w:szCs w:val="32"/>
          <w:lang w:val="en-US" w:eastAsia="zh-CN"/>
        </w:rPr>
        <w:t>该</w:t>
      </w:r>
      <w:r>
        <w:rPr>
          <w:rFonts w:hint="default" w:ascii="Times New Roman" w:hAnsi="Times New Roman" w:eastAsia="仿宋_GB2312" w:cs="Times New Roman"/>
          <w:sz w:val="32"/>
          <w:szCs w:val="32"/>
          <w:lang w:val="en-US" w:eastAsia="zh-CN"/>
        </w:rPr>
        <w:t>项目</w:t>
      </w:r>
      <w:r>
        <w:rPr>
          <w:rFonts w:hint="default" w:ascii="Times New Roman" w:hAnsi="Times New Roman" w:cs="Times New Roman"/>
          <w:sz w:val="32"/>
          <w:szCs w:val="32"/>
          <w:lang w:val="en-US" w:eastAsia="zh-CN"/>
        </w:rPr>
        <w:t>位于济水大街东段河南中原辊轴有限公司南厂区</w:t>
      </w:r>
      <w:r>
        <w:rPr>
          <w:rFonts w:hint="eastAsia" w:ascii="Times New Roman" w:hAnsi="Times New Roman" w:cs="Times New Roman"/>
          <w:sz w:val="32"/>
          <w:szCs w:val="32"/>
          <w:lang w:val="en-US" w:eastAsia="zh-CN"/>
        </w:rPr>
        <w:t>，主要</w:t>
      </w:r>
      <w:r>
        <w:rPr>
          <w:rFonts w:hint="default" w:ascii="Times New Roman" w:hAnsi="Times New Roman" w:cs="Times New Roman"/>
          <w:sz w:val="32"/>
          <w:szCs w:val="32"/>
          <w:lang w:val="en-US" w:eastAsia="zh-CN"/>
        </w:rPr>
        <w:t>对现有1000吨轧辊产品进行热处理技改，新增淬火机床、焊机、校直机等</w:t>
      </w:r>
      <w:r>
        <w:rPr>
          <w:rFonts w:hint="eastAsia" w:ascii="Times New Roman" w:hAnsi="Times New Roman" w:cs="Times New Roman"/>
          <w:sz w:val="32"/>
          <w:szCs w:val="32"/>
          <w:lang w:val="en-US" w:eastAsia="zh-CN"/>
        </w:rPr>
        <w:t>设备</w:t>
      </w:r>
      <w:r>
        <w:rPr>
          <w:rFonts w:hint="default" w:ascii="Times New Roman" w:hAnsi="Times New Roman" w:cs="Times New Roman"/>
          <w:sz w:val="32"/>
          <w:szCs w:val="32"/>
          <w:lang w:val="en-US" w:eastAsia="zh-CN"/>
        </w:rPr>
        <w:t>，工艺流程为轧辊→车床粗加工→淬火→精加工→质检→入库</w:t>
      </w:r>
      <w:r>
        <w:rPr>
          <w:rFonts w:hint="eastAsia" w:ascii="Times New Roman" w:hAnsi="Times New Roman" w:cs="Times New Roman"/>
          <w:sz w:val="32"/>
          <w:szCs w:val="32"/>
          <w:lang w:val="en-US" w:eastAsia="zh-CN"/>
        </w:rPr>
        <w:t>，</w:t>
      </w:r>
      <w:r>
        <w:rPr>
          <w:rFonts w:hint="default" w:ascii="Times New Roman" w:hAnsi="Times New Roman" w:cs="Times New Roman"/>
          <w:sz w:val="32"/>
          <w:szCs w:val="32"/>
          <w:lang w:val="en-US" w:eastAsia="zh-CN"/>
        </w:rPr>
        <w:t>技改后可提高轧辊产品的硬度，原有产能不变。</w:t>
      </w:r>
    </w:p>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60" w:lineRule="exact"/>
        <w:ind w:left="0" w:leftChars="0"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cs="仿宋_GB2312"/>
          <w:sz w:val="32"/>
          <w:szCs w:val="32"/>
          <w:lang w:val="en-US" w:eastAsia="zh-CN"/>
        </w:rPr>
        <w:t>二、</w:t>
      </w:r>
      <w:r>
        <w:rPr>
          <w:rFonts w:hint="eastAsia" w:ascii="仿宋_GB2312" w:hAnsi="仿宋_GB2312" w:eastAsia="仿宋_GB2312" w:cs="仿宋_GB2312"/>
          <w:sz w:val="32"/>
          <w:szCs w:val="32"/>
          <w:lang w:val="en-US" w:eastAsia="zh-CN"/>
        </w:rPr>
        <w:t>该《报告表》内容符合国家生态环境保护相关法律法规及生态环境保护有关规划要求，评价结论可信。我局批准该《报告表》，</w:t>
      </w:r>
      <w:r>
        <w:rPr>
          <w:rFonts w:hint="eastAsia" w:ascii="仿宋_GB2312" w:hAnsi="仿宋_GB2312" w:eastAsia="仿宋_GB2312" w:cs="仿宋_GB2312"/>
          <w:color w:val="auto"/>
          <w:sz w:val="32"/>
          <w:szCs w:val="32"/>
          <w:highlight w:val="none"/>
          <w:lang w:val="en-US" w:eastAsia="zh-CN"/>
        </w:rPr>
        <w:t>原则同意你公司按照《报告表》所列项目的建设内容和生态环境保护措施进行项目建设。</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三、你单位应向社会公众主动公开</w:t>
      </w:r>
      <w:r>
        <w:rPr>
          <w:rFonts w:hint="eastAsia" w:ascii="仿宋_GB2312" w:hAnsi="仿宋_GB2312" w:cs="仿宋_GB2312"/>
          <w:sz w:val="32"/>
          <w:szCs w:val="32"/>
          <w:lang w:val="en-US" w:eastAsia="zh-CN"/>
        </w:rPr>
        <w:t>已</w:t>
      </w:r>
      <w:r>
        <w:rPr>
          <w:rFonts w:hint="eastAsia" w:ascii="仿宋_GB2312" w:hAnsi="仿宋_GB2312" w:eastAsia="仿宋_GB2312" w:cs="仿宋_GB2312"/>
          <w:sz w:val="32"/>
          <w:szCs w:val="32"/>
          <w:lang w:val="en-US" w:eastAsia="zh-CN"/>
        </w:rPr>
        <w:t>经批准的《报告表》，接受相关方的垂询。</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四、你单位应全面落实《报告表》提出的各项环境保护措施，各项环境保护设施与主体工程同时设计、同时施工、同时投入使用，确保各项污染物达标排放。</w:t>
      </w:r>
    </w:p>
    <w:p>
      <w:pPr>
        <w:keepNext w:val="0"/>
        <w:keepLines w:val="0"/>
        <w:pageBreakBefore w:val="0"/>
        <w:widowControl w:val="0"/>
        <w:kinsoku/>
        <w:wordWrap/>
        <w:overflowPunct/>
        <w:topLinePunct w:val="0"/>
        <w:autoSpaceDE/>
        <w:autoSpaceDN/>
        <w:bidi w:val="0"/>
        <w:adjustRightInd/>
        <w:snapToGrid w:val="0"/>
        <w:spacing w:before="0" w:after="0"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（一）向设计单位提供《报告表》和本批复文件，确保项目设计按照环境保护设计规范要求，落实防治环境污染和生态破坏的措施。</w:t>
      </w:r>
    </w:p>
    <w:p>
      <w:pPr>
        <w:keepNext w:val="0"/>
        <w:keepLines w:val="0"/>
        <w:pageBreakBefore w:val="0"/>
        <w:widowControl w:val="0"/>
        <w:kinsoku/>
        <w:wordWrap/>
        <w:overflowPunct/>
        <w:topLinePunct w:val="0"/>
        <w:autoSpaceDE/>
        <w:autoSpaceDN/>
        <w:bidi w:val="0"/>
        <w:adjustRightInd/>
        <w:snapToGrid w:val="0"/>
        <w:spacing w:before="0" w:after="0"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（二）项目运行时，外排污染物应满足如下要求：</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仿宋_GB2312" w:hAnsi="仿宋_GB2312" w:cs="仿宋_GB2312"/>
          <w:snapToGrid w:val="0"/>
          <w:sz w:val="32"/>
          <w:szCs w:val="32"/>
          <w:lang w:val="en-US" w:eastAsia="zh-CN"/>
        </w:rPr>
      </w:pPr>
      <w:r>
        <w:rPr>
          <w:rFonts w:hint="eastAsia" w:ascii="仿宋_GB2312" w:hAnsi="仿宋_GB2312" w:cs="仿宋_GB2312"/>
          <w:sz w:val="32"/>
          <w:szCs w:val="32"/>
          <w:lang w:val="en-US" w:eastAsia="zh-CN"/>
        </w:rPr>
        <w:t>1.废气。落实《报告表》提出的各项大气污染防治措施,确保工艺废气稳定达标排放，</w:t>
      </w:r>
      <w:r>
        <w:rPr>
          <w:rFonts w:hint="eastAsia" w:ascii="仿宋_GB2312" w:hAnsi="仿宋_GB2312" w:cs="仿宋_GB2312"/>
          <w:sz w:val="32"/>
          <w:szCs w:val="32"/>
          <w:lang w:eastAsia="zh-CN"/>
        </w:rPr>
        <w:t>外排污染物须满足《大气污染物综合排放标准》（GB16297-1996）</w:t>
      </w:r>
      <w:r>
        <w:rPr>
          <w:rFonts w:hint="eastAsia" w:ascii="Times New Roman" w:hAnsi="Times New Roman" w:cs="Times New Roman"/>
          <w:sz w:val="32"/>
          <w:szCs w:val="32"/>
          <w:lang w:val="en-US" w:eastAsia="zh-CN"/>
        </w:rPr>
        <w:t>限值要求</w:t>
      </w:r>
      <w:r>
        <w:rPr>
          <w:rFonts w:hint="eastAsia" w:ascii="仿宋_GB2312" w:hAnsi="仿宋_GB2312" w:cs="仿宋_GB2312"/>
          <w:snapToGrid w:val="0"/>
          <w:sz w:val="32"/>
          <w:szCs w:val="32"/>
          <w:lang w:val="en-US" w:eastAsia="zh-CN"/>
        </w:rPr>
        <w:t>。</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highlight w:val="none"/>
          <w:lang w:val="en-US" w:eastAsia="zh-CN"/>
        </w:rPr>
        <w:t>2.</w:t>
      </w:r>
      <w:r>
        <w:rPr>
          <w:rFonts w:hint="eastAsia" w:ascii="仿宋_GB2312" w:hAnsi="仿宋_GB2312" w:cs="仿宋_GB2312"/>
          <w:sz w:val="32"/>
          <w:szCs w:val="32"/>
          <w:highlight w:val="none"/>
          <w:lang w:val="en-US" w:eastAsia="zh-CN"/>
        </w:rPr>
        <w:t>废水。技改</w:t>
      </w:r>
      <w:r>
        <w:rPr>
          <w:rFonts w:hint="eastAsia" w:ascii="仿宋_GB2312" w:hAnsi="仿宋_GB2312" w:cs="仿宋_GB2312"/>
          <w:sz w:val="32"/>
          <w:szCs w:val="32"/>
          <w:lang w:val="en-US" w:eastAsia="zh-CN"/>
        </w:rPr>
        <w:t>项目淬火废水经冷却循环池循环使用，不外排；员工均为厂区调剂，不新增生活污水。</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cs="仿宋_GB2312"/>
          <w:sz w:val="32"/>
          <w:szCs w:val="32"/>
          <w:lang w:val="en-US" w:eastAsia="zh-CN"/>
        </w:rPr>
        <w:t>3.</w:t>
      </w:r>
      <w:r>
        <w:rPr>
          <w:rFonts w:hint="eastAsia" w:ascii="仿宋_GB2312" w:hAnsi="仿宋_GB2312" w:eastAsia="仿宋_GB2312" w:cs="仿宋_GB2312"/>
          <w:sz w:val="32"/>
          <w:szCs w:val="32"/>
          <w:lang w:val="en-US" w:eastAsia="zh-CN"/>
        </w:rPr>
        <w:t>噪声。</w:t>
      </w:r>
      <w:r>
        <w:rPr>
          <w:rFonts w:hint="eastAsia" w:ascii="仿宋_GB2312" w:hAnsi="仿宋_GB2312" w:eastAsia="仿宋_GB2312" w:cs="仿宋_GB2312"/>
          <w:snapToGrid w:val="0"/>
          <w:sz w:val="32"/>
          <w:szCs w:val="32"/>
        </w:rPr>
        <w:t>厂界噪声须满足《工业企业厂界环境噪声排放标准》（GB12348-2008）2类、4类标准限值</w:t>
      </w:r>
      <w:r>
        <w:rPr>
          <w:rFonts w:hint="eastAsia" w:ascii="仿宋_GB2312" w:hAnsi="仿宋_GB2312" w:cs="仿宋_GB2312"/>
          <w:sz w:val="32"/>
          <w:szCs w:val="32"/>
          <w:lang w:val="en-US" w:eastAsia="zh-CN"/>
        </w:rPr>
        <w:t>。</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lang w:val="en-US" w:eastAsia="zh-CN"/>
        </w:rPr>
      </w:pPr>
      <w:r>
        <w:rPr>
          <w:rFonts w:hint="eastAsia" w:ascii="仿宋_GB2312" w:hAnsi="仿宋_GB2312" w:cs="仿宋_GB2312"/>
          <w:sz w:val="32"/>
          <w:szCs w:val="32"/>
          <w:lang w:val="en-US" w:eastAsia="zh-CN"/>
        </w:rPr>
        <w:t>4</w:t>
      </w:r>
      <w:r>
        <w:rPr>
          <w:rFonts w:hint="eastAsia" w:ascii="仿宋_GB2312" w:hAnsi="仿宋_GB2312" w:eastAsia="仿宋_GB2312" w:cs="仿宋_GB2312"/>
          <w:sz w:val="32"/>
          <w:szCs w:val="32"/>
          <w:lang w:val="en-US" w:eastAsia="zh-CN"/>
        </w:rPr>
        <w:t>.固废。</w:t>
      </w:r>
      <w:r>
        <w:rPr>
          <w:rFonts w:hint="eastAsia" w:ascii="仿宋_GB2312" w:hAnsi="仿宋_GB2312" w:cs="仿宋_GB2312"/>
          <w:color w:val="auto"/>
          <w:sz w:val="32"/>
          <w:szCs w:val="32"/>
          <w:lang w:val="en-US" w:eastAsia="zh-CN"/>
        </w:rPr>
        <w:t>按照《报告表》中要求加强固体废物管理工作，建立固体废物产生、储存、处置管理台账。应满足《固体废物污染环境防治法》《危险废物贮存污染控制标准》（GB18597-2023）等要求，落实相关环境保护措施。固体废物须做到合理处置或综合利用，不得随意堆放、弃置，避免对环境造成二次污染。</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五、项目须按要求落实各类环保设施，按有关标准要求设置排污口，积极完成现有工程存在问题的整改。落实排污许可制度，按要求</w:t>
      </w:r>
      <w:r>
        <w:rPr>
          <w:rFonts w:hint="eastAsia" w:ascii="仿宋_GB2312" w:hAnsi="仿宋_GB2312" w:cs="仿宋_GB2312"/>
          <w:sz w:val="32"/>
          <w:szCs w:val="32"/>
          <w:lang w:val="en-US" w:eastAsia="zh-CN"/>
        </w:rPr>
        <w:t>变更</w:t>
      </w:r>
      <w:r>
        <w:rPr>
          <w:rFonts w:hint="eastAsia" w:ascii="仿宋_GB2312" w:hAnsi="仿宋_GB2312" w:eastAsia="仿宋_GB2312" w:cs="仿宋_GB2312"/>
          <w:sz w:val="32"/>
          <w:szCs w:val="32"/>
          <w:lang w:val="en-US" w:eastAsia="zh-CN"/>
        </w:rPr>
        <w:t>排污许可证。按规定程序实施竣工环境保护验收，经验收合格后方可正式投产。</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cs="仿宋_GB2312"/>
          <w:sz w:val="32"/>
          <w:szCs w:val="32"/>
          <w:lang w:val="en-US" w:eastAsia="zh-CN"/>
        </w:rPr>
        <w:t>六</w:t>
      </w:r>
      <w:r>
        <w:rPr>
          <w:rFonts w:hint="eastAsia" w:ascii="仿宋_GB2312" w:hAnsi="仿宋_GB2312" w:eastAsia="仿宋_GB2312" w:cs="仿宋_GB2312"/>
          <w:sz w:val="32"/>
          <w:szCs w:val="32"/>
          <w:lang w:val="en-US" w:eastAsia="zh-CN"/>
        </w:rPr>
        <w:t>、按照报告制定的监测计划，定期对排放的各类污染物进行监测，发布相关信息。</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Times New Roman" w:hAnsi="Times New Roman" w:cs="Times New Roman"/>
          <w:sz w:val="32"/>
          <w:szCs w:val="32"/>
          <w:lang w:val="en-US" w:eastAsia="zh-CN"/>
        </w:rPr>
        <w:t>七</w:t>
      </w:r>
      <w:r>
        <w:rPr>
          <w:rFonts w:hint="default" w:ascii="Times New Roman" w:hAnsi="Times New Roman" w:cs="Times New Roman"/>
          <w:sz w:val="32"/>
          <w:szCs w:val="32"/>
          <w:lang w:val="en-US" w:eastAsia="zh-CN"/>
        </w:rPr>
        <w:t>、本批复有</w:t>
      </w:r>
      <w:bookmarkStart w:id="0" w:name="_GoBack"/>
      <w:r>
        <w:rPr>
          <w:rFonts w:hint="default" w:ascii="Times New Roman" w:hAnsi="Times New Roman" w:cs="Times New Roman"/>
          <w:sz w:val="32"/>
          <w:szCs w:val="32"/>
          <w:lang w:val="en-US" w:eastAsia="zh-CN"/>
        </w:rPr>
        <w:t>效期为5年，如该项目逾期开工建设，其环境影响报告表应报我局重新审核。项目建设如发生重大变动，应当重新报批建设项目环境影响评价文件。</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Times New Roman" w:hAnsi="Times New Roman" w:cs="Times New Roman"/>
          <w:sz w:val="32"/>
          <w:szCs w:val="32"/>
          <w:lang w:val="en-US" w:eastAsia="zh-CN"/>
        </w:rPr>
      </w:pPr>
      <w:r>
        <w:rPr>
          <w:rFonts w:hint="eastAsia" w:ascii="仿宋_GB2312" w:hAnsi="仿宋_GB2312" w:cs="仿宋_GB2312"/>
          <w:sz w:val="32"/>
          <w:szCs w:val="32"/>
          <w:lang w:val="en-US" w:eastAsia="zh-CN"/>
        </w:rPr>
        <w:t>八</w:t>
      </w:r>
      <w:r>
        <w:rPr>
          <w:rFonts w:hint="eastAsia" w:ascii="仿宋_GB2312" w:hAnsi="仿宋_GB2312" w:eastAsia="仿宋_GB2312" w:cs="仿宋_GB2312"/>
          <w:sz w:val="32"/>
          <w:szCs w:val="32"/>
          <w:lang w:val="en-US" w:eastAsia="zh-CN"/>
        </w:rPr>
        <w:t>、今后国家或</w:t>
      </w:r>
      <w:bookmarkEnd w:id="0"/>
      <w:r>
        <w:rPr>
          <w:rFonts w:hint="eastAsia" w:ascii="仿宋_GB2312" w:hAnsi="仿宋_GB2312" w:eastAsia="仿宋_GB2312" w:cs="仿宋_GB2312"/>
          <w:sz w:val="32"/>
          <w:szCs w:val="32"/>
          <w:lang w:val="en-US" w:eastAsia="zh-CN"/>
        </w:rPr>
        <w:t>我省颁布严于本批复污染物排放限值的新标准，届时你</w:t>
      </w:r>
      <w:r>
        <w:rPr>
          <w:rFonts w:hint="eastAsia" w:ascii="仿宋_GB2312" w:hAnsi="仿宋_GB2312" w:cs="仿宋_GB2312"/>
          <w:sz w:val="32"/>
          <w:szCs w:val="32"/>
          <w:lang w:val="en-US" w:eastAsia="zh-CN"/>
        </w:rPr>
        <w:t>单位</w:t>
      </w:r>
      <w:r>
        <w:rPr>
          <w:rFonts w:hint="eastAsia" w:ascii="仿宋_GB2312" w:hAnsi="仿宋_GB2312" w:eastAsia="仿宋_GB2312" w:cs="仿宋_GB2312"/>
          <w:sz w:val="32"/>
          <w:szCs w:val="32"/>
          <w:lang w:val="en-US" w:eastAsia="zh-CN"/>
        </w:rPr>
        <w:t>应按新的排放标准执行</w:t>
      </w:r>
      <w:r>
        <w:rPr>
          <w:rFonts w:hint="eastAsia" w:ascii="仿宋_GB2312" w:hAnsi="仿宋_GB2312" w:cs="仿宋_GB2312"/>
          <w:sz w:val="32"/>
          <w:szCs w:val="32"/>
          <w:lang w:val="en-US" w:eastAsia="zh-CN"/>
        </w:rPr>
        <w:t>。</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Times New Roman" w:hAnsi="Times New Roman"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Times New Roman" w:hAnsi="Times New Roman"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Times New Roman" w:hAnsi="Times New Roman" w:cs="Times New Roman"/>
          <w:sz w:val="32"/>
          <w:szCs w:val="32"/>
          <w:lang w:val="en-US" w:eastAsia="zh-CN"/>
        </w:rPr>
      </w:pPr>
    </w:p>
    <w:p>
      <w:pPr>
        <w:keepNext w:val="0"/>
        <w:keepLines w:val="0"/>
        <w:pageBreakBefore w:val="0"/>
        <w:kinsoku/>
        <w:wordWrap/>
        <w:overflowPunct/>
        <w:topLinePunct w:val="0"/>
        <w:autoSpaceDE/>
        <w:autoSpaceDN/>
        <w:bidi w:val="0"/>
        <w:adjustRightInd/>
        <w:snapToGrid w:val="0"/>
        <w:spacing w:line="560" w:lineRule="exact"/>
        <w:jc w:val="center"/>
        <w:textAlignment w:val="auto"/>
      </w:pPr>
      <w:r>
        <w:rPr>
          <w:rFonts w:hint="eastAsia" w:ascii="仿宋_GB2312" w:hAnsi="仿宋_GB2312" w:cs="仿宋_GB2312"/>
          <w:sz w:val="32"/>
          <w:szCs w:val="32"/>
          <w:lang w:val="en-US" w:eastAsia="zh-CN"/>
        </w:rPr>
        <w:t xml:space="preserve">                     </w:t>
      </w:r>
      <w:r>
        <w:rPr>
          <w:rFonts w:hint="eastAsia" w:ascii="仿宋_GB2312" w:hAnsi="仿宋_GB2312" w:eastAsia="仿宋_GB2312" w:cs="仿宋_GB2312"/>
          <w:sz w:val="32"/>
          <w:szCs w:val="32"/>
          <w:lang w:val="en-US" w:eastAsia="zh-CN"/>
        </w:rPr>
        <w:t>202</w:t>
      </w:r>
      <w:r>
        <w:rPr>
          <w:rFonts w:hint="eastAsia" w:ascii="仿宋_GB2312" w:hAnsi="仿宋_GB2312" w:cs="仿宋_GB2312"/>
          <w:sz w:val="32"/>
          <w:szCs w:val="32"/>
          <w:lang w:val="en-US" w:eastAsia="zh-CN"/>
        </w:rPr>
        <w:t>4</w:t>
      </w:r>
      <w:r>
        <w:rPr>
          <w:rFonts w:hint="eastAsia" w:ascii="仿宋_GB2312" w:hAnsi="仿宋_GB2312" w:eastAsia="仿宋_GB2312" w:cs="仿宋_GB2312"/>
          <w:sz w:val="32"/>
          <w:szCs w:val="32"/>
          <w:lang w:val="en-US" w:eastAsia="zh-CN"/>
        </w:rPr>
        <w:t>年</w:t>
      </w:r>
      <w:r>
        <w:rPr>
          <w:rFonts w:hint="eastAsia" w:ascii="仿宋_GB2312" w:hAnsi="仿宋_GB2312" w:cs="仿宋_GB2312"/>
          <w:sz w:val="32"/>
          <w:szCs w:val="32"/>
          <w:lang w:val="en-US" w:eastAsia="zh-CN"/>
        </w:rPr>
        <w:t>11</w:t>
      </w:r>
      <w:r>
        <w:rPr>
          <w:rFonts w:hint="eastAsia" w:ascii="仿宋_GB2312" w:hAnsi="仿宋_GB2312" w:eastAsia="仿宋_GB2312" w:cs="仿宋_GB2312"/>
          <w:sz w:val="32"/>
          <w:szCs w:val="32"/>
          <w:lang w:val="en-US" w:eastAsia="zh-CN"/>
        </w:rPr>
        <w:t>月</w:t>
      </w:r>
      <w:r>
        <w:rPr>
          <w:rFonts w:hint="eastAsia" w:ascii="仿宋_GB2312" w:hAnsi="仿宋_GB2312" w:cs="仿宋_GB2312"/>
          <w:color w:val="auto"/>
          <w:sz w:val="32"/>
          <w:szCs w:val="32"/>
          <w:lang w:val="en-US" w:eastAsia="zh-CN"/>
        </w:rPr>
        <w:t>15</w:t>
      </w:r>
      <w:r>
        <w:rPr>
          <w:rFonts w:hint="eastAsia" w:ascii="仿宋_GB2312" w:hAnsi="仿宋_GB2312" w:eastAsia="仿宋_GB2312" w:cs="仿宋_GB2312"/>
          <w:sz w:val="32"/>
          <w:szCs w:val="32"/>
          <w:lang w:val="en-US" w:eastAsia="zh-CN"/>
        </w:rPr>
        <w:t xml:space="preserve">日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0"/>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A32E093"/>
    <w:multiLevelType w:val="singleLevel"/>
    <w:tmpl w:val="EA32E093"/>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g1ZmQ0YTYxNzkwODE4M2IyZjRmYzdlNzg0OGRlYWUifQ=="/>
  </w:docVars>
  <w:rsids>
    <w:rsidRoot w:val="00000000"/>
    <w:rsid w:val="135733F0"/>
    <w:rsid w:val="1F204D95"/>
    <w:rsid w:val="1FC702E1"/>
    <w:rsid w:val="22072167"/>
    <w:rsid w:val="24B7634F"/>
    <w:rsid w:val="2B827534"/>
    <w:rsid w:val="31FC1870"/>
    <w:rsid w:val="3F6B5EA2"/>
    <w:rsid w:val="3FF62D6F"/>
    <w:rsid w:val="4C3E1A99"/>
    <w:rsid w:val="4DC424F6"/>
    <w:rsid w:val="5F9000D9"/>
    <w:rsid w:val="5FDB1EAC"/>
    <w:rsid w:val="692D6F40"/>
    <w:rsid w:val="6AA84D37"/>
    <w:rsid w:val="6ADF4CC2"/>
    <w:rsid w:val="6BB460C7"/>
    <w:rsid w:val="6F7D0A4A"/>
    <w:rsid w:val="73FD73F7"/>
    <w:rsid w:val="7567B594"/>
    <w:rsid w:val="7AEFD4AD"/>
    <w:rsid w:val="7CE96C49"/>
    <w:rsid w:val="7DDF15A3"/>
    <w:rsid w:val="7DFAAB0E"/>
    <w:rsid w:val="7EBFF1B3"/>
    <w:rsid w:val="BB5B3CB5"/>
    <w:rsid w:val="BFFB2E37"/>
    <w:rsid w:val="C99DD134"/>
    <w:rsid w:val="CCEE13CF"/>
    <w:rsid w:val="CD7ACCB8"/>
    <w:rsid w:val="CFB173BE"/>
    <w:rsid w:val="DB562278"/>
    <w:rsid w:val="E565C9C9"/>
    <w:rsid w:val="F2BF3813"/>
    <w:rsid w:val="F7EB273E"/>
    <w:rsid w:val="F7FE3D7B"/>
    <w:rsid w:val="FF7F3507"/>
    <w:rsid w:val="FFAF8744"/>
    <w:rsid w:val="FFFD14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仿宋_GB2312" w:cs="Times New Roman"/>
      <w:kern w:val="2"/>
      <w:sz w:val="32"/>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Indent 2"/>
    <w:basedOn w:val="1"/>
    <w:next w:val="1"/>
    <w:unhideWhenUsed/>
    <w:qFormat/>
    <w:uiPriority w:val="99"/>
    <w:pPr>
      <w:spacing w:after="120" w:line="480" w:lineRule="auto"/>
      <w:ind w:left="420" w:leftChars="200"/>
    </w:p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1189</Words>
  <Characters>1255</Characters>
  <Lines>0</Lines>
  <Paragraphs>0</Paragraphs>
  <TotalTime>17</TotalTime>
  <ScaleCrop>false</ScaleCrop>
  <LinksUpToDate>false</LinksUpToDate>
  <CharactersWithSpaces>1284</CharactersWithSpaces>
  <Application>WPS Office_11.8.2.11625_F1E327BC-269C-435d-A152-05C5408002CA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2023-12-09T09:26:00Z</dcterms:created>
  <dc:creator>jia</dc:creator>
  <cp:lastModifiedBy>greatwall</cp:lastModifiedBy>
  <cp:lastPrinted>2024-06-14T08:31:00Z</cp:lastPrinted>
  <dcterms:modified xsi:type="dcterms:W3CDTF">2024-11-15T11:58:20Z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2052-11.8.2.11625</vt:lpwstr>
  </property>
  <property fmtid="{D5CDD505-2E9C-101B-9397-08002B2CF9AE}" pid="3" name="ICV">
    <vt:lpwstr>3876AA86262C4D629A6B5BAB9EFCE561</vt:lpwstr>
  </property>
</Properties>
</file>