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AE3338">
      <w:pPr>
        <w:spacing w:line="560" w:lineRule="exact"/>
        <w:ind w:firstLine="640" w:firstLineChars="200"/>
        <w:rPr>
          <w:rFonts w:ascii="仿宋_GB2312" w:hAnsi="仿宋_GB2312" w:cs="仿宋_GB2312"/>
          <w:szCs w:val="32"/>
        </w:rPr>
      </w:pPr>
    </w:p>
    <w:p w14:paraId="05D3B841">
      <w:pPr>
        <w:spacing w:line="560" w:lineRule="exact"/>
        <w:ind w:firstLine="640" w:firstLineChars="200"/>
        <w:rPr>
          <w:rFonts w:ascii="仿宋_GB2312" w:hAnsi="仿宋_GB2312" w:cs="仿宋_GB2312"/>
          <w:szCs w:val="32"/>
        </w:rPr>
      </w:pPr>
    </w:p>
    <w:p w14:paraId="0A47876D">
      <w:pPr>
        <w:spacing w:line="560" w:lineRule="exact"/>
        <w:ind w:firstLine="640" w:firstLineChars="200"/>
        <w:rPr>
          <w:rFonts w:ascii="仿宋_GB2312" w:hAnsi="仿宋_GB2312" w:cs="仿宋_GB2312"/>
          <w:szCs w:val="32"/>
        </w:rPr>
      </w:pPr>
    </w:p>
    <w:p w14:paraId="45C71C59">
      <w:pPr>
        <w:spacing w:line="560" w:lineRule="exact"/>
        <w:ind w:firstLine="640" w:firstLineChars="200"/>
        <w:rPr>
          <w:rFonts w:ascii="仿宋_GB2312" w:hAnsi="仿宋_GB2312" w:cs="仿宋_GB2312"/>
          <w:szCs w:val="32"/>
        </w:rPr>
      </w:pPr>
    </w:p>
    <w:p w14:paraId="4DF00D67">
      <w:pPr>
        <w:spacing w:line="560" w:lineRule="exact"/>
        <w:ind w:firstLine="640" w:firstLineChars="200"/>
        <w:rPr>
          <w:rFonts w:ascii="仿宋_GB2312" w:hAnsi="仿宋_GB2312" w:cs="仿宋_GB2312"/>
          <w:szCs w:val="32"/>
        </w:rPr>
      </w:pPr>
    </w:p>
    <w:p w14:paraId="33991D6B">
      <w:pPr>
        <w:spacing w:before="156" w:beforeLines="50" w:line="560" w:lineRule="exact"/>
        <w:jc w:val="right"/>
        <w:rPr>
          <w:rFonts w:ascii="仿宋_GB2312" w:hAnsi="仿宋_GB2312" w:cs="仿宋_GB2312"/>
          <w:szCs w:val="32"/>
        </w:rPr>
      </w:pPr>
      <w:r>
        <w:rPr>
          <w:rFonts w:ascii="仿宋_GB2312" w:hAnsi="仿宋_GB2312" w:cs="仿宋_GB2312"/>
          <w:szCs w:val="32"/>
        </w:rPr>
        <w:t>济环审〔</w:t>
      </w:r>
      <w:r>
        <w:rPr>
          <w:rFonts w:hint="eastAsia" w:ascii="仿宋_GB2312" w:hAnsi="仿宋_GB2312" w:cs="仿宋_GB2312"/>
          <w:szCs w:val="32"/>
          <w:lang w:val="en-US" w:eastAsia="zh-CN"/>
        </w:rPr>
        <w:t>2025</w:t>
      </w:r>
      <w:r>
        <w:rPr>
          <w:rFonts w:ascii="仿宋_GB2312" w:hAnsi="仿宋_GB2312" w:cs="仿宋_GB2312"/>
          <w:szCs w:val="32"/>
          <w:highlight w:val="none"/>
        </w:rPr>
        <w:t>〕</w:t>
      </w:r>
      <w:r>
        <w:rPr>
          <w:rFonts w:hint="eastAsia" w:ascii="仿宋_GB2312" w:hAnsi="仿宋_GB2312" w:cs="仿宋_GB2312"/>
          <w:szCs w:val="32"/>
          <w:highlight w:val="none"/>
          <w:lang w:val="en-US" w:eastAsia="zh-CN"/>
        </w:rPr>
        <w:t>3</w:t>
      </w:r>
      <w:r>
        <w:rPr>
          <w:rFonts w:ascii="仿宋_GB2312" w:hAnsi="仿宋_GB2312" w:cs="仿宋_GB2312"/>
          <w:szCs w:val="32"/>
          <w:highlight w:val="none"/>
        </w:rPr>
        <w:t>号</w:t>
      </w:r>
    </w:p>
    <w:p w14:paraId="7C326CD0">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14:paraId="42E3688E">
      <w:pPr>
        <w:widowControl/>
        <w:spacing w:line="660" w:lineRule="exact"/>
        <w:jc w:val="center"/>
        <w:rPr>
          <w:rFonts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济源市生态环境局</w:t>
      </w:r>
    </w:p>
    <w:p w14:paraId="0E90DA62">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关于</w:t>
      </w:r>
      <w:bookmarkStart w:id="0" w:name="OLE_LINK2"/>
      <w:r>
        <w:rPr>
          <w:rFonts w:hint="eastAsia" w:ascii="方正小标宋简体" w:hAnsi="方正小标宋简体" w:eastAsia="方正小标宋简体" w:cs="方正小标宋简体"/>
          <w:color w:val="262626"/>
          <w:kern w:val="0"/>
          <w:sz w:val="44"/>
          <w:szCs w:val="44"/>
        </w:rPr>
        <w:t>河南万洋锌业有限公司</w:t>
      </w:r>
    </w:p>
    <w:p w14:paraId="1FA9D799">
      <w:pPr>
        <w:widowControl/>
        <w:spacing w:line="660" w:lineRule="exact"/>
        <w:jc w:val="center"/>
        <w:rPr>
          <w:rFonts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多金属回收及资源综合利用项目</w:t>
      </w:r>
    </w:p>
    <w:bookmarkEnd w:id="0"/>
    <w:p w14:paraId="5DC51A52">
      <w:pPr>
        <w:widowControl/>
        <w:spacing w:line="660" w:lineRule="exact"/>
        <w:jc w:val="center"/>
        <w:rPr>
          <w:rFonts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环境影响报告书的批复</w:t>
      </w:r>
    </w:p>
    <w:p w14:paraId="54E64F42">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14:paraId="0F8CD066">
      <w:pPr>
        <w:keepNext w:val="0"/>
        <w:keepLines w:val="0"/>
        <w:pageBreakBefore w:val="0"/>
        <w:kinsoku/>
        <w:wordWrap/>
        <w:overflowPunct/>
        <w:topLinePunct w:val="0"/>
        <w:autoSpaceDE/>
        <w:autoSpaceDN/>
        <w:bidi w:val="0"/>
        <w:adjustRightInd w:val="0"/>
        <w:snapToGrid w:val="0"/>
        <w:spacing w:line="560" w:lineRule="exact"/>
        <w:textAlignment w:val="auto"/>
        <w:rPr>
          <w:rFonts w:ascii="仿宋_GB2312" w:hAnsi="仿宋_GB2312" w:cs="仿宋_GB2312"/>
          <w:szCs w:val="32"/>
        </w:rPr>
      </w:pPr>
      <w:r>
        <w:rPr>
          <w:rFonts w:hint="eastAsia" w:ascii="仿宋_GB2312" w:hAnsi="仿宋_GB2312" w:cs="仿宋_GB2312"/>
          <w:szCs w:val="32"/>
        </w:rPr>
        <w:t>河南万洋锌业有限公司：</w:t>
      </w:r>
    </w:p>
    <w:p w14:paraId="7A2F0D06">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你单位（统一社会信用代码：91419001MA9LDK294X）报送的由河南省冶金研究所有限责任公司薛迎迎主持编制的《河南万洋锌业有限公司多金属回收及资源综合利用项目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经研究，批复如下：</w:t>
      </w:r>
    </w:p>
    <w:p w14:paraId="4CABFD04">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szCs w:val="32"/>
        </w:rPr>
      </w:pPr>
      <w:r>
        <w:rPr>
          <w:rFonts w:hint="eastAsia" w:ascii="仿宋_GB2312" w:hAnsi="仿宋_GB2312" w:cs="仿宋_GB2312"/>
          <w:szCs w:val="32"/>
        </w:rPr>
        <w:t>一、项目位于</w:t>
      </w:r>
      <w:r>
        <w:rPr>
          <w:rFonts w:hint="eastAsia" w:ascii="仿宋_GB2312" w:hAnsi="仿宋_GB2312" w:cs="仿宋_GB2312"/>
          <w:szCs w:val="32"/>
          <w:highlight w:val="none"/>
        </w:rPr>
        <w:t>济源经济技术开发区</w:t>
      </w:r>
      <w:r>
        <w:rPr>
          <w:rFonts w:hint="eastAsia" w:ascii="仿宋_GB2312" w:hAnsi="仿宋_GB2312" w:cs="仿宋_GB2312"/>
          <w:szCs w:val="32"/>
        </w:rPr>
        <w:t>玉川大道北玉川三号线，为完善“15万吨锌基材料项目”</w:t>
      </w:r>
      <w:r>
        <w:rPr>
          <w:rFonts w:hint="eastAsia" w:ascii="仿宋_GB2312" w:hAnsi="仿宋_GB2312" w:cs="仿宋_GB2312"/>
          <w:szCs w:val="32"/>
          <w:lang w:eastAsia="zh-CN"/>
        </w:rPr>
        <w:t>（以下简称“</w:t>
      </w:r>
      <w:r>
        <w:rPr>
          <w:rFonts w:hint="eastAsia" w:ascii="仿宋_GB2312" w:hAnsi="仿宋_GB2312" w:cs="仿宋_GB2312"/>
          <w:szCs w:val="32"/>
        </w:rPr>
        <w:t>在建工程</w:t>
      </w:r>
      <w:r>
        <w:rPr>
          <w:rFonts w:hint="eastAsia" w:ascii="仿宋_GB2312" w:hAnsi="仿宋_GB2312" w:cs="仿宋_GB2312"/>
          <w:szCs w:val="32"/>
          <w:lang w:eastAsia="zh-CN"/>
        </w:rPr>
        <w:t>”）</w:t>
      </w:r>
      <w:r>
        <w:rPr>
          <w:rFonts w:hint="eastAsia" w:ascii="仿宋_GB2312" w:hAnsi="仿宋_GB2312" w:cs="仿宋_GB2312"/>
          <w:szCs w:val="32"/>
        </w:rPr>
        <w:t>生产链条，实现公司关键原辅料内部循环，提高资源综合利用价值等，拟建设多金属回收及资源综合利用项目，以</w:t>
      </w:r>
      <w:r>
        <w:rPr>
          <w:rFonts w:hint="eastAsia" w:ascii="仿宋_GB2312" w:hAnsi="仿宋_GB2312" w:cs="仿宋_GB2312"/>
          <w:szCs w:val="32"/>
          <w:lang w:eastAsia="zh-CN"/>
        </w:rPr>
        <w:t>在建项目</w:t>
      </w:r>
      <w:r>
        <w:rPr>
          <w:rFonts w:hint="eastAsia" w:ascii="仿宋_GB2312" w:hAnsi="仿宋_GB2312" w:cs="仿宋_GB2312"/>
          <w:szCs w:val="32"/>
        </w:rPr>
        <w:t>为基础，建设精镉生产线、回转窑脱氟氯系统、铟回收系统、极板车间及水雾化锌设施。项目投产后，可实现年产精镉807.03吨，铟锭28.89吨。</w:t>
      </w:r>
    </w:p>
    <w:p w14:paraId="62CDD8D8">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该《报告书》内容符合国家有关法律法规要求和建设项目环境管理规定，符合“三线一单”生态环境分区管控要求，评价结论可信。我局批准该《报告</w:t>
      </w:r>
      <w:r>
        <w:rPr>
          <w:rFonts w:hint="eastAsia" w:ascii="仿宋_GB2312" w:hAnsi="仿宋_GB2312" w:cs="仿宋_GB2312"/>
          <w:szCs w:val="32"/>
          <w:lang w:eastAsia="zh-CN"/>
        </w:rPr>
        <w:t>书</w:t>
      </w:r>
      <w:r>
        <w:rPr>
          <w:rFonts w:hint="eastAsia" w:ascii="仿宋_GB2312" w:hAnsi="仿宋_GB2312" w:eastAsia="仿宋_GB2312" w:cs="仿宋_GB2312"/>
          <w:szCs w:val="32"/>
        </w:rPr>
        <w:t>》，原则同意你单位按照《报告</w:t>
      </w:r>
      <w:r>
        <w:rPr>
          <w:rFonts w:hint="eastAsia" w:ascii="仿宋_GB2312" w:hAnsi="仿宋_GB2312" w:cs="仿宋_GB2312"/>
          <w:szCs w:val="32"/>
          <w:lang w:eastAsia="zh-CN"/>
        </w:rPr>
        <w:t>书</w:t>
      </w:r>
      <w:r>
        <w:rPr>
          <w:rFonts w:hint="eastAsia" w:ascii="仿宋_GB2312" w:hAnsi="仿宋_GB2312" w:eastAsia="仿宋_GB2312" w:cs="仿宋_GB2312"/>
          <w:szCs w:val="32"/>
        </w:rPr>
        <w:t>》所列项目的建设内容和环境保护对策措施进行项目建设。</w:t>
      </w:r>
    </w:p>
    <w:p w14:paraId="14DCC0BC">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14:paraId="56604914">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14:paraId="107618AE">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14:paraId="68C4E1E0">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依据《报告</w:t>
      </w:r>
      <w:r>
        <w:rPr>
          <w:rFonts w:hint="eastAsia" w:ascii="仿宋_GB2312" w:hAnsi="仿宋_GB2312" w:cs="仿宋_GB2312"/>
          <w:szCs w:val="32"/>
          <w:lang w:eastAsia="zh-CN"/>
        </w:rPr>
        <w:t>书</w:t>
      </w:r>
      <w:r>
        <w:rPr>
          <w:rFonts w:hint="eastAsia" w:ascii="仿宋_GB2312" w:hAnsi="仿宋_GB2312" w:eastAsia="仿宋_GB2312" w:cs="仿宋_GB2312"/>
          <w:szCs w:val="32"/>
        </w:rPr>
        <w:t>》和本批复文件，对项目建设过程中产生的废水、废气、固体废物、噪声等污染，采取相应的防治措施。</w:t>
      </w:r>
    </w:p>
    <w:p w14:paraId="015C8E02">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（三）项目运行时，外排污染物应满足如下要求：</w:t>
      </w:r>
    </w:p>
    <w:p w14:paraId="66766DF8">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highlight w:val="none"/>
        </w:rPr>
      </w:pPr>
      <w:r>
        <w:rPr>
          <w:rFonts w:hint="eastAsia" w:ascii="仿宋_GB2312" w:hAnsi="仿宋_GB2312" w:cs="仿宋_GB2312"/>
          <w:szCs w:val="32"/>
        </w:rPr>
        <w:t>1.废气：项目应采取合理措施，加强废气的收集和处理，减少生产过程中的无组织废气排放。各类污染物排放</w:t>
      </w:r>
      <w:r>
        <w:rPr>
          <w:rFonts w:hint="eastAsia" w:ascii="仿宋_GB2312" w:hAnsi="仿宋_GB2312" w:cs="仿宋_GB2312"/>
          <w:szCs w:val="32"/>
          <w:lang w:eastAsia="zh-CN"/>
        </w:rPr>
        <w:t>须</w:t>
      </w:r>
      <w:r>
        <w:rPr>
          <w:rFonts w:hint="eastAsia" w:ascii="仿宋_GB2312" w:hAnsi="仿宋_GB2312" w:cs="仿宋_GB2312"/>
          <w:szCs w:val="32"/>
        </w:rPr>
        <w:t>满足《铅、锌工业污染物排放标准》（GB25466-2010）及其修改单、《工业炉窑大气污染物排放标准》（DB41/1066-2020）相关标准限值、《大气污染物综合排放标准》（GB16297-1996）限值要求、《恶臭污染物排放标准》（GB 14554-93）。</w:t>
      </w:r>
    </w:p>
    <w:p w14:paraId="39E5041D">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szCs w:val="32"/>
        </w:rPr>
      </w:pPr>
      <w:r>
        <w:rPr>
          <w:rFonts w:hint="eastAsia" w:ascii="仿宋_GB2312" w:hAnsi="仿宋_GB2312" w:cs="仿宋_GB2312"/>
          <w:szCs w:val="32"/>
        </w:rPr>
        <w:t>2.废水：按照“雨污分流、清污分流、污污分治、深度处理、分质回用”的原则将各类废水收集处理，分质回用。项目沉锌废水、精镉废气喷淋废水、酸雾净化塔废水、员工洗衣废水、地面清洗废水排入厂区在建工程酸性废水处理站，处理后可满足《铅、锌工业污染物排放标准》（GB 25466 -2010）车间或车间处理设施排放口标准</w:t>
      </w:r>
      <w:r>
        <w:rPr>
          <w:rFonts w:hint="eastAsia" w:ascii="仿宋_GB2312" w:hAnsi="仿宋_GB2312" w:cs="仿宋_GB2312"/>
          <w:szCs w:val="32"/>
          <w:lang w:eastAsia="zh-CN"/>
        </w:rPr>
        <w:t>，</w:t>
      </w:r>
      <w:r>
        <w:rPr>
          <w:rFonts w:hint="eastAsia" w:ascii="仿宋_GB2312" w:hAnsi="仿宋_GB2312" w:cs="仿宋_GB2312"/>
          <w:szCs w:val="32"/>
        </w:rPr>
        <w:t>回用于厂区地面清洗，不外排；员工新增生活污水、淋浴废水依托在建工程生活污水处理站，处理后与项目循环冷却系统清净下水一起经厂区总排口排入玉川产业集聚区市政管网，总排口满足《铅、锌工业污染物排放标准》（GB 25466-2010）间接排放标准限值要求，同时满足济源市玉川城建污水处理厂收水</w:t>
      </w:r>
      <w:r>
        <w:rPr>
          <w:rFonts w:hint="eastAsia" w:ascii="仿宋_GB2312" w:hAnsi="仿宋_GB2312" w:cs="仿宋_GB2312"/>
          <w:szCs w:val="32"/>
          <w:lang w:eastAsia="zh-CN"/>
        </w:rPr>
        <w:t>水质</w:t>
      </w:r>
      <w:r>
        <w:rPr>
          <w:rFonts w:hint="eastAsia" w:ascii="仿宋_GB2312" w:hAnsi="仿宋_GB2312" w:cs="仿宋_GB2312"/>
          <w:szCs w:val="32"/>
        </w:rPr>
        <w:t>标准。</w:t>
      </w:r>
    </w:p>
    <w:p w14:paraId="1C32F370">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噪声应满足《工业企业厂界环境噪声排放标准》（GB12348-2008）3类要求。</w:t>
      </w:r>
    </w:p>
    <w:p w14:paraId="35A053A2">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4.固废：严格落实《报告书》要求，按“</w:t>
      </w:r>
      <w:r>
        <w:rPr>
          <w:rFonts w:hint="eastAsia" w:ascii="仿宋_GB2312" w:hAnsi="仿宋_GB2312" w:cs="仿宋_GB2312"/>
          <w:szCs w:val="32"/>
          <w:highlight w:val="none"/>
        </w:rPr>
        <w:t>减量化、资源化、无害化</w:t>
      </w:r>
      <w:r>
        <w:rPr>
          <w:rFonts w:hint="eastAsia" w:ascii="仿宋_GB2312" w:hAnsi="仿宋_GB2312" w:cs="仿宋_GB2312"/>
          <w:szCs w:val="32"/>
        </w:rPr>
        <w:t>”原则，做好固废分类收集和综合利用，</w:t>
      </w:r>
      <w:r>
        <w:rPr>
          <w:rFonts w:hint="eastAsia" w:ascii="仿宋_GB2312" w:hAnsi="仿宋_GB2312" w:cs="仿宋_GB2312"/>
          <w:szCs w:val="32"/>
          <w:lang w:eastAsia="zh-CN"/>
        </w:rPr>
        <w:t>落实</w:t>
      </w:r>
      <w:r>
        <w:rPr>
          <w:rFonts w:hint="eastAsia" w:ascii="仿宋_GB2312" w:hAnsi="仿宋_GB2312" w:cs="仿宋_GB2312"/>
          <w:szCs w:val="32"/>
        </w:rPr>
        <w:t>《固体废物污染环境防治法》</w:t>
      </w:r>
      <w:r>
        <w:rPr>
          <w:rFonts w:hint="eastAsia" w:ascii="仿宋_GB2312" w:hAnsi="仿宋_GB2312" w:cs="仿宋_GB2312"/>
          <w:szCs w:val="32"/>
          <w:lang w:eastAsia="zh-CN"/>
        </w:rPr>
        <w:t>，</w:t>
      </w:r>
      <w:r>
        <w:rPr>
          <w:rFonts w:hint="eastAsia" w:ascii="仿宋_GB2312" w:hAnsi="仿宋_GB2312" w:cs="仿宋_GB2312"/>
          <w:szCs w:val="32"/>
        </w:rPr>
        <w:t>加强固体废物的管理工作。危险废物临时贮存按照《危险废物贮存污染控制标准》（GB18597-2023）建设符合要求的危险废物贮存设施，并按技术规范规定做好危险废物的储存、转移、处置，如实记录管理台账，避免对环境造成二次污染。</w:t>
      </w:r>
    </w:p>
    <w:p w14:paraId="07CAEF8B">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（四）加强环境风险管理，落实《报告书》提出的环境风险防范措施，制定环境风险及事故应急预案，加强日常管理，定期开展应急演练，严防环境污染事故发生。</w:t>
      </w:r>
    </w:p>
    <w:p w14:paraId="07975F10">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五、按国家有关规定设置规范的污染物排放口，并设立明显标志，按要求安装污染物排放自动监测设备并与生态环境主管部门的监控设备联网。严格落实《报告书》相关环境监测计划，定期对各类污染物进行监测，发布相关信息，发现问题及时采取整改措施。</w:t>
      </w:r>
    </w:p>
    <w:p w14:paraId="0A4116FE">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六、严格执行环保“三同时”制度，按要求申领排污许可证，按规定程序实施竣工环境保护验收，经验收合格后方可正式投产。</w:t>
      </w:r>
    </w:p>
    <w:p w14:paraId="1357D57B">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七、严格按照《关于河南万洋锌业有限公司多金属回收及资源综合利用项目污染物总量控制指标的函》（济环总量函〔2024〕54号）及《关于河南万洋锌业有限公司多金属回收及资源综合利用项目重金属污染物总量审批的函》，落实总量控制要求。</w:t>
      </w:r>
    </w:p>
    <w:p w14:paraId="41900A0E">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八、本批复有效期为5年，如该项目逾期方开工建设，其环境影响报告书应报我局重新审核。如项目建设发生重大变动，应重新进行环境影响评价。</w:t>
      </w:r>
    </w:p>
    <w:p w14:paraId="2390A2D1">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九、今后国家或我省颁布严于本批复污染物排放限值的新标准，届时你公司应按新的排放标准执行。</w:t>
      </w:r>
    </w:p>
    <w:p w14:paraId="0B7F4EAD">
      <w:pPr>
        <w:pStyle w:val="6"/>
        <w:keepNext w:val="0"/>
        <w:keepLines w:val="0"/>
        <w:pageBreakBefore w:val="0"/>
        <w:kinsoku/>
        <w:wordWrap/>
        <w:overflowPunct/>
        <w:topLinePunct w:val="0"/>
        <w:autoSpaceDE/>
        <w:autoSpaceDN/>
        <w:bidi w:val="0"/>
        <w:adjustRightInd w:val="0"/>
        <w:snapToGrid w:val="0"/>
        <w:spacing w:before="0" w:beforeAutospacing="0" w:after="0" w:afterAutospacing="0" w:line="560" w:lineRule="exact"/>
        <w:ind w:firstLine="5600" w:firstLineChars="2000"/>
        <w:jc w:val="both"/>
        <w:textAlignment w:val="auto"/>
        <w:rPr>
          <w:rFonts w:ascii="Times New Roman" w:hAnsi="Times New Roman" w:cs="Times New Roman"/>
          <w:color w:val="FF0000"/>
          <w:sz w:val="28"/>
          <w:szCs w:val="28"/>
          <w:highlight w:val="yellow"/>
        </w:rPr>
      </w:pPr>
    </w:p>
    <w:p w14:paraId="4099BE3C">
      <w:pPr>
        <w:keepNext w:val="0"/>
        <w:keepLines w:val="0"/>
        <w:pageBreakBefore w:val="0"/>
        <w:widowControl w:val="0"/>
        <w:kinsoku/>
        <w:wordWrap/>
        <w:overflowPunct/>
        <w:topLinePunct w:val="0"/>
        <w:autoSpaceDE/>
        <w:autoSpaceDN/>
        <w:bidi w:val="0"/>
        <w:adjustRightInd w:val="0"/>
        <w:snapToGrid w:val="0"/>
        <w:spacing w:before="469" w:beforeLines="150" w:line="560" w:lineRule="exact"/>
        <w:jc w:val="center"/>
        <w:textAlignment w:val="auto"/>
        <w:rPr>
          <w:rFonts w:hint="default" w:ascii="仿宋_GB2312" w:hAnsi="仿宋_GB2312" w:eastAsia="仿宋_GB2312" w:cs="仿宋_GB2312"/>
          <w:szCs w:val="32"/>
          <w:lang w:val="en-US" w:eastAsia="zh-CN"/>
        </w:rPr>
      </w:pPr>
      <w:r>
        <w:rPr>
          <w:rFonts w:hint="eastAsia" w:ascii="仿宋_GB2312" w:hAnsi="仿宋_GB2312" w:cs="仿宋_GB2312"/>
          <w:szCs w:val="32"/>
        </w:rPr>
        <w:t xml:space="preserve">                    </w:t>
      </w:r>
      <w:r>
        <w:rPr>
          <w:rFonts w:hint="eastAsia" w:ascii="仿宋_GB2312" w:hAnsi="仿宋_GB2312" w:cs="仿宋_GB2312"/>
          <w:szCs w:val="32"/>
          <w:highlight w:val="none"/>
        </w:rPr>
        <w:t>202</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年1月</w:t>
      </w:r>
      <w:r>
        <w:rPr>
          <w:rFonts w:hint="eastAsia" w:ascii="仿宋_GB2312" w:hAnsi="仿宋_GB2312" w:cs="仿宋_GB2312"/>
          <w:szCs w:val="32"/>
          <w:highlight w:val="none"/>
          <w:lang w:val="en-US" w:eastAsia="zh-CN"/>
        </w:rPr>
        <w:t>17</w:t>
      </w:r>
      <w:bookmarkStart w:id="1" w:name="_GoBack"/>
      <w:bookmarkEnd w:id="1"/>
      <w:r>
        <w:rPr>
          <w:rFonts w:hint="eastAsia" w:ascii="仿宋_GB2312" w:hAnsi="仿宋_GB2312" w:cs="仿宋_GB2312"/>
          <w:szCs w:val="32"/>
          <w:highlight w:val="none"/>
        </w:rPr>
        <w:t>日</w:t>
      </w:r>
      <w:r>
        <w:rPr>
          <w:rFonts w:hint="eastAsia" w:ascii="仿宋_GB2312" w:hAnsi="仿宋_GB2312" w:cs="仿宋_GB2312"/>
          <w:szCs w:val="32"/>
          <w:highlight w:val="none"/>
          <w:lang w:val="en-US" w:eastAsia="zh-CN"/>
        </w:rPr>
        <w:t xml:space="preserve">        </w:t>
      </w:r>
    </w:p>
    <w:sectPr>
      <w:pgSz w:w="11906" w:h="16838"/>
      <w:pgMar w:top="1440" w:right="1800" w:bottom="140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iODk5NzEzNDY0MjliZDA4ZDlhNzg3NTU0YmYzYTgifQ=="/>
  </w:docVars>
  <w:rsids>
    <w:rsidRoot w:val="0069188B"/>
    <w:rsid w:val="0058415F"/>
    <w:rsid w:val="0069188B"/>
    <w:rsid w:val="007D257E"/>
    <w:rsid w:val="00960770"/>
    <w:rsid w:val="00D47549"/>
    <w:rsid w:val="03D71CDD"/>
    <w:rsid w:val="066F782F"/>
    <w:rsid w:val="06A17339"/>
    <w:rsid w:val="06FF3E09"/>
    <w:rsid w:val="094A3D40"/>
    <w:rsid w:val="0BFB0460"/>
    <w:rsid w:val="0F70383F"/>
    <w:rsid w:val="0FB91C64"/>
    <w:rsid w:val="147422CF"/>
    <w:rsid w:val="150F2E19"/>
    <w:rsid w:val="1A085187"/>
    <w:rsid w:val="1AAA57BA"/>
    <w:rsid w:val="1FC702E1"/>
    <w:rsid w:val="22072167"/>
    <w:rsid w:val="24B7634F"/>
    <w:rsid w:val="2579116C"/>
    <w:rsid w:val="257F031C"/>
    <w:rsid w:val="267BA792"/>
    <w:rsid w:val="276930F2"/>
    <w:rsid w:val="27704D7D"/>
    <w:rsid w:val="27AC35F6"/>
    <w:rsid w:val="299A1C85"/>
    <w:rsid w:val="2B827534"/>
    <w:rsid w:val="2D4A15DA"/>
    <w:rsid w:val="326E658A"/>
    <w:rsid w:val="36FE2A64"/>
    <w:rsid w:val="38762BD1"/>
    <w:rsid w:val="3BF10EB2"/>
    <w:rsid w:val="42A66781"/>
    <w:rsid w:val="45693CEF"/>
    <w:rsid w:val="468D619F"/>
    <w:rsid w:val="47C65C99"/>
    <w:rsid w:val="49E06EE9"/>
    <w:rsid w:val="4AC77B89"/>
    <w:rsid w:val="4C3E1A99"/>
    <w:rsid w:val="4DC424F6"/>
    <w:rsid w:val="508C759D"/>
    <w:rsid w:val="5BD4863C"/>
    <w:rsid w:val="5F9000D9"/>
    <w:rsid w:val="60BF5BC6"/>
    <w:rsid w:val="620C23B5"/>
    <w:rsid w:val="66EB2BF0"/>
    <w:rsid w:val="681FB6AB"/>
    <w:rsid w:val="68746DC1"/>
    <w:rsid w:val="68C8732F"/>
    <w:rsid w:val="692D6F40"/>
    <w:rsid w:val="698A44E3"/>
    <w:rsid w:val="69CB13AE"/>
    <w:rsid w:val="69D1357C"/>
    <w:rsid w:val="6A3F0691"/>
    <w:rsid w:val="6BB460C7"/>
    <w:rsid w:val="6CDD8372"/>
    <w:rsid w:val="6FAE71C8"/>
    <w:rsid w:val="6FF39570"/>
    <w:rsid w:val="72E045F8"/>
    <w:rsid w:val="73F71988"/>
    <w:rsid w:val="75D19977"/>
    <w:rsid w:val="765D951E"/>
    <w:rsid w:val="775D48DF"/>
    <w:rsid w:val="78F82FF6"/>
    <w:rsid w:val="7AEC75BE"/>
    <w:rsid w:val="7B696311"/>
    <w:rsid w:val="7D8B6583"/>
    <w:rsid w:val="7EB61382"/>
    <w:rsid w:val="7EC3B19F"/>
    <w:rsid w:val="7EC62889"/>
    <w:rsid w:val="7EFD4D79"/>
    <w:rsid w:val="7F0062EE"/>
    <w:rsid w:val="A7F78CB8"/>
    <w:rsid w:val="B6BF12A8"/>
    <w:rsid w:val="CF77FEC5"/>
    <w:rsid w:val="D7FA0409"/>
    <w:rsid w:val="D87F9C54"/>
    <w:rsid w:val="DD6FBB4B"/>
    <w:rsid w:val="DF5F2A87"/>
    <w:rsid w:val="DF7D9879"/>
    <w:rsid w:val="E6EFCD66"/>
    <w:rsid w:val="EECBC687"/>
    <w:rsid w:val="F3DF6345"/>
    <w:rsid w:val="F8DF557C"/>
    <w:rsid w:val="FF731D70"/>
    <w:rsid w:val="FF78A275"/>
    <w:rsid w:val="FFBF32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semiHidden/>
    <w:qFormat/>
    <w:uiPriority w:val="0"/>
    <w:pPr>
      <w:spacing w:before="120"/>
    </w:pPr>
    <w:rPr>
      <w:rFonts w:ascii="Arial" w:hAnsi="Arial" w:cs="Arial"/>
      <w:sz w:val="24"/>
    </w:rPr>
  </w:style>
  <w:style w:type="paragraph" w:styleId="3">
    <w:name w:val="Body Text Indent 2"/>
    <w:basedOn w:val="1"/>
    <w:next w:val="1"/>
    <w:unhideWhenUsed/>
    <w:qFormat/>
    <w:uiPriority w:val="99"/>
    <w:pPr>
      <w:spacing w:after="120" w:line="480" w:lineRule="auto"/>
      <w:ind w:left="420" w:leftChars="200"/>
    </w:p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eastAsia="宋体" w:cs="宋体"/>
      <w:kern w:val="0"/>
      <w:sz w:val="24"/>
    </w:rPr>
  </w:style>
  <w:style w:type="character" w:customStyle="1" w:styleId="9">
    <w:name w:val="页眉 Char"/>
    <w:basedOn w:val="8"/>
    <w:link w:val="5"/>
    <w:qFormat/>
    <w:uiPriority w:val="0"/>
    <w:rPr>
      <w:rFonts w:ascii="宋体" w:hAnsi="宋体" w:eastAsia="仿宋_GB2312" w:cs="Times New Roman"/>
      <w:kern w:val="2"/>
      <w:sz w:val="18"/>
      <w:szCs w:val="18"/>
    </w:rPr>
  </w:style>
  <w:style w:type="character" w:customStyle="1" w:styleId="10">
    <w:name w:val="页脚 Char"/>
    <w:basedOn w:val="8"/>
    <w:link w:val="4"/>
    <w:qFormat/>
    <w:uiPriority w:val="0"/>
    <w:rPr>
      <w:rFonts w:ascii="宋体" w:hAnsi="宋体" w:eastAsia="仿宋_GB2312" w:cs="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1863</Words>
  <Characters>1989</Characters>
  <Lines>14</Lines>
  <Paragraphs>4</Paragraphs>
  <TotalTime>3</TotalTime>
  <ScaleCrop>false</ScaleCrop>
  <LinksUpToDate>false</LinksUpToDate>
  <CharactersWithSpaces>2021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2023-12-09T01:26:00Z</dcterms:created>
  <dc:creator>jia</dc:creator>
  <cp:lastModifiedBy>Administrator</cp:lastModifiedBy>
  <cp:lastPrinted>2025-01-17T07:35:00Z</cp:lastPrinted>
  <dcterms:modified xsi:type="dcterms:W3CDTF">2025-01-17T07:39:27Z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5C74353C58DA4B739876D2B8D0F6F022</vt:lpwstr>
  </property>
  <property fmtid="{D5CDD505-2E9C-101B-9397-08002B2CF9AE}" pid="4" name="KSOTemplateDocerSaveRecord">
    <vt:lpwstr>eyJoZGlkIjoiMmIyMjQ1MjJlZDQ4MGU1YzQyNGVmODhmNzVkYjRiMDQifQ==</vt:lpwstr>
  </property>
</Properties>
</file>