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56" w:beforeLines="50" w:line="700" w:lineRule="exact"/>
        <w:ind w:firstLine="640" w:firstLineChars="200"/>
        <w:jc w:val="right"/>
        <w:rPr>
          <w:rFonts w:hint="eastAsia" w:ascii="仿宋_GB2312" w:hAnsi="仿宋_GB2312" w:eastAsia="仿宋_GB2312" w:cs="仿宋_GB2312"/>
          <w:kern w:val="0"/>
          <w:sz w:val="32"/>
          <w:szCs w:val="32"/>
        </w:rPr>
      </w:pPr>
    </w:p>
    <w:p>
      <w:pPr>
        <w:widowControl/>
        <w:spacing w:before="156" w:beforeLines="50" w:line="700" w:lineRule="exact"/>
        <w:ind w:firstLine="640" w:firstLineChars="200"/>
        <w:jc w:val="right"/>
        <w:rPr>
          <w:rFonts w:hint="eastAsia" w:ascii="仿宋_GB2312" w:hAnsi="仿宋_GB2312" w:eastAsia="仿宋_GB2312" w:cs="仿宋_GB2312"/>
          <w:kern w:val="0"/>
          <w:sz w:val="32"/>
          <w:szCs w:val="32"/>
        </w:rPr>
      </w:pPr>
    </w:p>
    <w:p>
      <w:pPr>
        <w:keepNext w:val="0"/>
        <w:keepLines w:val="0"/>
        <w:pageBreakBefore w:val="0"/>
        <w:widowControl/>
        <w:kinsoku/>
        <w:wordWrap/>
        <w:overflowPunct/>
        <w:topLinePunct w:val="0"/>
        <w:autoSpaceDE/>
        <w:autoSpaceDN/>
        <w:bidi w:val="0"/>
        <w:adjustRightInd/>
        <w:snapToGrid/>
        <w:spacing w:before="156" w:beforeLines="50" w:line="400" w:lineRule="exact"/>
        <w:jc w:val="both"/>
        <w:textAlignment w:val="auto"/>
        <w:rPr>
          <w:rFonts w:hint="eastAsia" w:ascii="仿宋_GB2312" w:hAnsi="仿宋_GB2312" w:eastAsia="仿宋_GB2312" w:cs="仿宋_GB2312"/>
          <w:kern w:val="0"/>
          <w:sz w:val="32"/>
          <w:szCs w:val="32"/>
        </w:rPr>
      </w:pPr>
    </w:p>
    <w:p>
      <w:pPr>
        <w:widowControl/>
        <w:spacing w:before="156" w:beforeLines="50" w:line="700" w:lineRule="exact"/>
        <w:ind w:firstLine="640" w:firstLineChars="200"/>
        <w:jc w:val="center"/>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济环审〔2025〕</w:t>
      </w:r>
      <w:r>
        <w:rPr>
          <w:rFonts w:hint="eastAsia" w:ascii="仿宋_GB2312" w:hAnsi="仿宋_GB2312" w:eastAsia="仿宋_GB2312" w:cs="仿宋_GB2312"/>
          <w:kern w:val="0"/>
          <w:sz w:val="32"/>
          <w:szCs w:val="32"/>
          <w:highlight w:val="none"/>
          <w:lang w:val="en-US" w:eastAsia="zh-CN"/>
        </w:rPr>
        <w:t>4</w:t>
      </w:r>
      <w:r>
        <w:rPr>
          <w:rFonts w:hint="eastAsia" w:ascii="仿宋_GB2312" w:hAnsi="仿宋_GB2312" w:eastAsia="仿宋_GB2312" w:cs="仿宋_GB2312"/>
          <w:kern w:val="0"/>
          <w:sz w:val="32"/>
          <w:szCs w:val="32"/>
        </w:rPr>
        <w:t>号</w:t>
      </w:r>
    </w:p>
    <w:p>
      <w:pPr>
        <w:keepNext w:val="0"/>
        <w:keepLines w:val="0"/>
        <w:pageBreakBefore w:val="0"/>
        <w:widowControl/>
        <w:kinsoku/>
        <w:wordWrap/>
        <w:overflowPunct/>
        <w:topLinePunct w:val="0"/>
        <w:autoSpaceDE/>
        <w:autoSpaceDN/>
        <w:bidi w:val="0"/>
        <w:adjustRightInd/>
        <w:snapToGrid/>
        <w:spacing w:line="500" w:lineRule="exact"/>
        <w:jc w:val="center"/>
        <w:textAlignment w:val="auto"/>
        <w:rPr>
          <w:rFonts w:ascii="方正小标宋简体" w:hAnsi="方正小标宋简体" w:eastAsia="方正小标宋简体" w:cs="方正小标宋简体"/>
          <w:color w:val="262626"/>
          <w:kern w:val="0"/>
          <w:sz w:val="44"/>
          <w:szCs w:val="44"/>
          <w:lang w:val="en"/>
        </w:rPr>
      </w:pPr>
    </w:p>
    <w:p>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ascii="方正小标宋简体" w:hAnsi="方正小标宋简体" w:eastAsia="方正小标宋简体" w:cs="方正小标宋简体"/>
          <w:color w:val="262626"/>
          <w:kern w:val="0"/>
          <w:sz w:val="44"/>
          <w:szCs w:val="44"/>
          <w:lang w:val="en"/>
        </w:rPr>
      </w:pPr>
      <w:r>
        <w:rPr>
          <w:rFonts w:hint="eastAsia" w:ascii="方正小标宋简体" w:hAnsi="方正小标宋简体" w:eastAsia="方正小标宋简体" w:cs="方正小标宋简体"/>
          <w:color w:val="262626"/>
          <w:kern w:val="0"/>
          <w:sz w:val="44"/>
          <w:szCs w:val="44"/>
          <w:lang w:val="en"/>
        </w:rPr>
        <w:t>济源市生态环境</w:t>
      </w:r>
      <w:r>
        <w:rPr>
          <w:rFonts w:ascii="方正小标宋简体" w:hAnsi="方正小标宋简体" w:eastAsia="方正小标宋简体" w:cs="方正小标宋简体"/>
          <w:color w:val="262626"/>
          <w:kern w:val="0"/>
          <w:sz w:val="44"/>
          <w:szCs w:val="44"/>
          <w:lang w:val="en"/>
        </w:rPr>
        <w:t>局</w:t>
      </w:r>
    </w:p>
    <w:p>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ascii="方正小标宋简体" w:hAnsi="方正小标宋简体" w:eastAsia="方正小标宋简体" w:cs="方正小标宋简体"/>
          <w:color w:val="262626"/>
          <w:kern w:val="0"/>
          <w:sz w:val="44"/>
          <w:szCs w:val="44"/>
          <w:lang w:val="en"/>
        </w:rPr>
      </w:pPr>
      <w:r>
        <w:rPr>
          <w:rFonts w:hint="eastAsia" w:ascii="方正小标宋简体" w:hAnsi="方正小标宋简体" w:eastAsia="方正小标宋简体" w:cs="方正小标宋简体"/>
          <w:color w:val="262626"/>
          <w:kern w:val="0"/>
          <w:sz w:val="44"/>
          <w:szCs w:val="44"/>
          <w:lang w:val="en"/>
        </w:rPr>
        <w:t>关于济源抽水蓄能电站项目环境影响报告书</w:t>
      </w:r>
    </w:p>
    <w:p>
      <w:pPr>
        <w:keepNext w:val="0"/>
        <w:keepLines w:val="0"/>
        <w:pageBreakBefore w:val="0"/>
        <w:widowControl/>
        <w:kinsoku/>
        <w:wordWrap/>
        <w:overflowPunct/>
        <w:topLinePunct w:val="0"/>
        <w:autoSpaceDE/>
        <w:autoSpaceDN/>
        <w:bidi w:val="0"/>
        <w:adjustRightInd/>
        <w:snapToGrid/>
        <w:spacing w:line="640" w:lineRule="exact"/>
        <w:jc w:val="center"/>
        <w:textAlignment w:val="auto"/>
        <w:rPr>
          <w:rFonts w:ascii="方正小标宋简体" w:hAnsi="方正小标宋简体" w:eastAsia="方正小标宋简体" w:cs="方正小标宋简体"/>
          <w:color w:val="262626"/>
          <w:kern w:val="0"/>
          <w:sz w:val="44"/>
          <w:szCs w:val="44"/>
          <w:lang w:val="en"/>
        </w:rPr>
      </w:pPr>
      <w:r>
        <w:rPr>
          <w:rFonts w:hint="eastAsia" w:ascii="方正小标宋简体" w:hAnsi="方正小标宋简体" w:eastAsia="方正小标宋简体" w:cs="方正小标宋简体"/>
          <w:color w:val="262626"/>
          <w:kern w:val="0"/>
          <w:sz w:val="44"/>
          <w:szCs w:val="44"/>
          <w:lang w:val="en"/>
        </w:rPr>
        <w:t>批</w:t>
      </w:r>
      <w:r>
        <w:rPr>
          <w:rFonts w:hint="eastAsia" w:ascii="方正小标宋简体" w:hAnsi="方正小标宋简体" w:eastAsia="方正小标宋简体" w:cs="方正小标宋简体"/>
          <w:color w:val="262626"/>
          <w:kern w:val="0"/>
          <w:sz w:val="44"/>
          <w:szCs w:val="44"/>
          <w:lang w:val="en-US" w:eastAsia="zh-CN"/>
        </w:rPr>
        <w:t xml:space="preserve">  </w:t>
      </w:r>
      <w:r>
        <w:rPr>
          <w:rFonts w:hint="eastAsia" w:ascii="方正小标宋简体" w:hAnsi="方正小标宋简体" w:eastAsia="方正小标宋简体" w:cs="方正小标宋简体"/>
          <w:color w:val="262626"/>
          <w:kern w:val="0"/>
          <w:sz w:val="44"/>
          <w:szCs w:val="44"/>
          <w:lang w:val="en"/>
        </w:rPr>
        <w:t>复</w:t>
      </w:r>
    </w:p>
    <w:p>
      <w:pPr>
        <w:widowControl/>
        <w:adjustRightInd w:val="0"/>
        <w:spacing w:line="360" w:lineRule="auto"/>
        <w:jc w:val="left"/>
        <w:rPr>
          <w:rFonts w:ascii="Times New Roman" w:hAnsi="Times New Roman"/>
          <w:kern w:val="0"/>
          <w:sz w:val="24"/>
        </w:rPr>
      </w:pPr>
    </w:p>
    <w:p>
      <w:pPr>
        <w:keepNext w:val="0"/>
        <w:keepLines w:val="0"/>
        <w:pageBreakBefore w:val="0"/>
        <w:kinsoku/>
        <w:wordWrap/>
        <w:overflowPunct/>
        <w:topLinePunct w:val="0"/>
        <w:autoSpaceDE/>
        <w:autoSpaceDN/>
        <w:bidi w:val="0"/>
        <w:adjustRightInd/>
        <w:snapToGrid w:val="0"/>
        <w:spacing w:line="600"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葛洲坝（济源）抽水蓄能有限公司</w:t>
      </w:r>
      <w:r>
        <w:rPr>
          <w:rFonts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你公司（统一社会信用代码：91419001MAD3NU0B0L）上报的由黄河勘测规划设计研究院有限公司编制完成的《</w:t>
      </w:r>
      <w:r>
        <w:rPr>
          <w:rFonts w:hint="eastAsia" w:ascii="仿宋_GB2312" w:hAnsi="仿宋_GB2312" w:eastAsia="仿宋_GB2312" w:cs="仿宋_GB2312"/>
          <w:sz w:val="32"/>
          <w:szCs w:val="32"/>
        </w:rPr>
        <w:t>济源抽水蓄能电站项目</w:t>
      </w:r>
      <w:r>
        <w:rPr>
          <w:rFonts w:ascii="仿宋_GB2312" w:hAnsi="仿宋_GB2312" w:eastAsia="仿宋_GB2312" w:cs="仿宋_GB2312"/>
          <w:sz w:val="32"/>
          <w:szCs w:val="32"/>
        </w:rPr>
        <w:t>环境影响报告书（报批版）》（以下简称《报告书》）收悉。该项目环评审批事项已在我</w:t>
      </w:r>
      <w:r>
        <w:rPr>
          <w:rFonts w:hint="eastAsia" w:ascii="仿宋_GB2312" w:hAnsi="仿宋_GB2312" w:eastAsia="仿宋_GB2312" w:cs="仿宋_GB2312"/>
          <w:sz w:val="32"/>
          <w:szCs w:val="32"/>
        </w:rPr>
        <w:t>局</w:t>
      </w:r>
      <w:r>
        <w:rPr>
          <w:rFonts w:ascii="仿宋_GB2312" w:hAnsi="仿宋_GB2312" w:eastAsia="仿宋_GB2312" w:cs="仿宋_GB2312"/>
          <w:sz w:val="32"/>
          <w:szCs w:val="32"/>
        </w:rPr>
        <w:t>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一、</w:t>
      </w:r>
      <w:r>
        <w:rPr>
          <w:rFonts w:hint="eastAsia" w:ascii="仿宋_GB2312" w:hAnsi="仿宋_GB2312" w:eastAsia="仿宋_GB2312" w:cs="仿宋_GB2312"/>
          <w:sz w:val="32"/>
          <w:szCs w:val="32"/>
        </w:rPr>
        <w:t>项目位于济源市下冶镇境内，为一等大（1）型工程，总装机容量1500MW，主要由上水库、下水库、输水发电系统及补水系统等组成。项目建成后主要</w:t>
      </w:r>
      <w:r>
        <w:rPr>
          <w:rFonts w:ascii="仿宋_GB2312" w:hAnsi="仿宋_GB2312" w:eastAsia="仿宋_GB2312" w:cs="仿宋_GB2312"/>
          <w:sz w:val="32"/>
          <w:szCs w:val="32"/>
        </w:rPr>
        <w:t>承担河南省电力系统的调峰、填谷、储能、调频、调相、紧急事故备用等任务。</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该项目是国家能源局发布的《抽水蓄能中长期发展规划（2021-2035年）》（国能新能[2021]39号）、《河南省抽水蓄能电站选点规划调整报告》、《河南省“十四五”现代能源体系和碳达峰碳中和规划》中“十四五”重点实施项目。</w:t>
      </w:r>
      <w:r>
        <w:rPr>
          <w:rFonts w:ascii="仿宋_GB2312" w:hAnsi="仿宋_GB2312" w:eastAsia="仿宋_GB2312" w:cs="仿宋_GB2312"/>
          <w:sz w:val="32"/>
          <w:szCs w:val="32"/>
        </w:rPr>
        <w:t>《报告书》内容符合国家有关法律法规要求和建设项目环境管理规定，符合“三线一单”生态环境分区管控要求，评价结论可信。我</w:t>
      </w:r>
      <w:r>
        <w:rPr>
          <w:rFonts w:hint="eastAsia" w:ascii="仿宋_GB2312" w:hAnsi="仿宋_GB2312" w:eastAsia="仿宋_GB2312" w:cs="仿宋_GB2312"/>
          <w:sz w:val="32"/>
          <w:szCs w:val="32"/>
        </w:rPr>
        <w:t>局</w:t>
      </w:r>
      <w:r>
        <w:rPr>
          <w:rFonts w:ascii="仿宋_GB2312" w:hAnsi="仿宋_GB2312" w:eastAsia="仿宋_GB2312" w:cs="仿宋_GB2312"/>
          <w:sz w:val="32"/>
          <w:szCs w:val="32"/>
        </w:rPr>
        <w:t>批准该《报告书》，原则同意你公司按照《报告书》所列项目的建设内容和生态环境保护措施进行项目建设。</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w:t>
      </w:r>
      <w:r>
        <w:rPr>
          <w:rFonts w:ascii="仿宋_GB2312" w:hAnsi="仿宋_GB2312" w:eastAsia="仿宋_GB2312" w:cs="仿宋_GB2312"/>
          <w:sz w:val="32"/>
          <w:szCs w:val="32"/>
        </w:rPr>
        <w:t>、你公司应向社会公众主动公开已经批准的《报告书》，并接受相关方的垂询。</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ascii="仿宋_GB2312" w:hAnsi="仿宋_GB2312" w:eastAsia="仿宋_GB2312" w:cs="仿宋_GB2312"/>
          <w:sz w:val="32"/>
          <w:szCs w:val="32"/>
        </w:rPr>
        <w:t>、你公司应全面落实《报告书》提出的各项环境保护措施，确保各项环境保护设施与主体工程同时设计、同时施工、同时投入使用，确保各项污染物达标排放；项目建成后按规定程序实施竣工环境保护验收。</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（一）向设计单位提供《报告书》和本批复文件，确保项目设计按照环境保护设计规范要求，落实防治环境污染和生态破坏的措施及环保设施投资概算。</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rPr>
        <w:t>二</w:t>
      </w:r>
      <w:r>
        <w:rPr>
          <w:rFonts w:ascii="仿宋_GB2312" w:hAnsi="仿宋_GB2312" w:eastAsia="仿宋_GB2312" w:cs="仿宋_GB2312"/>
          <w:sz w:val="32"/>
          <w:szCs w:val="32"/>
        </w:rPr>
        <w:t>）依据《报告书》和本批复文件，对项目建设及运行过程中产生的废水、废气、固体废物、噪声等污染，以及因施工对生态环境造成的破坏，采取相应的防治措施及生态环境影响减缓措施。</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三</w:t>
      </w:r>
      <w:r>
        <w:rPr>
          <w:rFonts w:ascii="仿宋_GB2312" w:hAnsi="仿宋_GB2312" w:eastAsia="仿宋_GB2312" w:cs="仿宋_GB2312"/>
          <w:sz w:val="32"/>
          <w:szCs w:val="32"/>
        </w:rPr>
        <w:t>）项目污染控制应满足以下要求：</w:t>
      </w:r>
    </w:p>
    <w:p>
      <w:pPr>
        <w:keepNext w:val="0"/>
        <w:keepLines w:val="0"/>
        <w:pageBreakBefore w:val="0"/>
        <w:widowControl/>
        <w:suppressLineNumbers w:val="0"/>
        <w:kinsoku/>
        <w:wordWrap/>
        <w:overflowPunct/>
        <w:topLinePunct w:val="0"/>
        <w:autoSpaceDE/>
        <w:autoSpaceDN/>
        <w:bidi w:val="0"/>
        <w:adjustRightInd/>
        <w:spacing w:line="600" w:lineRule="exact"/>
        <w:ind w:firstLine="640" w:firstLineChars="200"/>
        <w:jc w:val="left"/>
        <w:textAlignment w:val="auto"/>
        <w:rPr>
          <w:rFonts w:ascii="仿宋_GB2312" w:hAnsi="仿宋_GB2312" w:eastAsia="仿宋_GB2312" w:cs="仿宋_GB2312"/>
          <w:sz w:val="32"/>
          <w:szCs w:val="32"/>
          <w:lang w:val="en-US" w:eastAsia="zh-CN"/>
        </w:rPr>
      </w:pPr>
      <w:r>
        <w:rPr>
          <w:rFonts w:ascii="仿宋_GB2312" w:hAnsi="仿宋_GB2312" w:eastAsia="仿宋_GB2312" w:cs="仿宋_GB2312"/>
          <w:sz w:val="32"/>
          <w:szCs w:val="32"/>
        </w:rPr>
        <w:t>1.废水。施工期，严格落实《报告书》提出的</w:t>
      </w:r>
      <w:r>
        <w:rPr>
          <w:rFonts w:hint="eastAsia" w:ascii="仿宋_GB2312" w:hAnsi="仿宋_GB2312" w:eastAsia="仿宋_GB2312" w:cs="仿宋_GB2312"/>
          <w:sz w:val="32"/>
          <w:szCs w:val="32"/>
        </w:rPr>
        <w:t>砂石加工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混凝土拌和系统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机修及洗车废水、洞室废水、基坑排水等施工场地废水设置的污染防治措施，收集处理后回用施工场地，禁止外排。</w:t>
      </w:r>
      <w:r>
        <w:rPr>
          <w:rFonts w:ascii="仿宋_GB2312" w:hAnsi="仿宋_GB2312" w:eastAsia="仿宋_GB2312" w:cs="仿宋_GB2312"/>
          <w:sz w:val="32"/>
          <w:szCs w:val="32"/>
          <w:lang w:val="en-US" w:eastAsia="zh-CN"/>
        </w:rPr>
        <w:t>施工营地设置</w:t>
      </w:r>
      <w:r>
        <w:rPr>
          <w:rFonts w:hint="eastAsia" w:ascii="仿宋_GB2312" w:hAnsi="仿宋_GB2312" w:eastAsia="仿宋_GB2312" w:cs="仿宋_GB2312"/>
          <w:sz w:val="32"/>
          <w:szCs w:val="32"/>
          <w:lang w:val="en-US" w:eastAsia="zh-CN"/>
        </w:rPr>
        <w:t>生活</w:t>
      </w:r>
      <w:r>
        <w:rPr>
          <w:rFonts w:ascii="仿宋_GB2312" w:hAnsi="仿宋_GB2312" w:eastAsia="仿宋_GB2312" w:cs="仿宋_GB2312"/>
          <w:sz w:val="32"/>
          <w:szCs w:val="32"/>
          <w:lang w:val="en-US" w:eastAsia="zh-CN"/>
        </w:rPr>
        <w:t>污水处理设施，处理后</w:t>
      </w:r>
      <w:r>
        <w:rPr>
          <w:rFonts w:hint="eastAsia" w:ascii="仿宋_GB2312" w:hAnsi="仿宋_GB2312" w:eastAsia="仿宋_GB2312" w:cs="仿宋_GB2312"/>
          <w:sz w:val="32"/>
          <w:szCs w:val="32"/>
          <w:lang w:val="en-US" w:eastAsia="zh-CN"/>
        </w:rPr>
        <w:t>回用，禁止外排</w:t>
      </w:r>
      <w:r>
        <w:rPr>
          <w:rFonts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运营期生活污水通过生活污水处理设施达标后回用不外排。</w:t>
      </w:r>
    </w:p>
    <w:p>
      <w:pPr>
        <w:keepNext w:val="0"/>
        <w:keepLines w:val="0"/>
        <w:pageBreakBefore w:val="0"/>
        <w:widowControl/>
        <w:suppressLineNumbers w:val="0"/>
        <w:kinsoku/>
        <w:wordWrap/>
        <w:overflowPunct/>
        <w:topLinePunct w:val="0"/>
        <w:autoSpaceDE/>
        <w:autoSpaceDN/>
        <w:bidi w:val="0"/>
        <w:adjustRightInd/>
        <w:spacing w:line="600" w:lineRule="exact"/>
        <w:ind w:firstLine="640" w:firstLineChars="200"/>
        <w:jc w:val="left"/>
        <w:textAlignment w:val="auto"/>
        <w:rPr>
          <w:rFonts w:ascii="仿宋_GB2312" w:hAnsi="仿宋_GB2312" w:eastAsia="仿宋_GB2312" w:cs="仿宋_GB2312"/>
          <w:sz w:val="32"/>
          <w:szCs w:val="32"/>
        </w:rPr>
      </w:pPr>
      <w:r>
        <w:rPr>
          <w:rFonts w:ascii="仿宋_GB2312" w:hAnsi="仿宋_GB2312" w:eastAsia="仿宋_GB2312" w:cs="仿宋_GB2312"/>
          <w:sz w:val="32"/>
          <w:szCs w:val="32"/>
        </w:rPr>
        <w:t>2.废气。施工期，</w:t>
      </w:r>
      <w:r>
        <w:rPr>
          <w:rFonts w:ascii="仿宋_GB2312" w:hAnsi="仿宋_GB2312" w:eastAsia="仿宋_GB2312" w:cs="仿宋_GB2312"/>
          <w:sz w:val="32"/>
          <w:szCs w:val="32"/>
          <w:lang w:val="en-US" w:eastAsia="zh-CN"/>
        </w:rPr>
        <w:t>加强扬尘防治，落实《河南省大气污染防治条例》的要求，施工场地采取设置围挡、路面硬化、物料覆盖、洒水抑尘、车辆清洗及密闭运输等措施，严格控制施工扬尘；拌合站、砂石料场加工区等产尘大型临时工程尽量远离环境敏感点，生产车间封闭设计</w:t>
      </w:r>
      <w:r>
        <w:rPr>
          <w:rFonts w:hint="eastAsia" w:ascii="仿宋_GB2312" w:hAnsi="仿宋_GB2312" w:eastAsia="仿宋_GB2312" w:cs="仿宋_GB2312"/>
          <w:sz w:val="32"/>
          <w:szCs w:val="32"/>
          <w:lang w:val="en-US" w:eastAsia="zh-CN"/>
        </w:rPr>
        <w:t>并</w:t>
      </w:r>
      <w:r>
        <w:rPr>
          <w:rFonts w:ascii="仿宋_GB2312" w:hAnsi="仿宋_GB2312" w:eastAsia="仿宋_GB2312" w:cs="仿宋_GB2312"/>
          <w:sz w:val="32"/>
          <w:szCs w:val="32"/>
          <w:lang w:val="en-US" w:eastAsia="zh-CN"/>
        </w:rPr>
        <w:t>强化抑尘措施，在各产尘点安装袋式除尘器等有组织废气控制措施。</w:t>
      </w:r>
      <w:r>
        <w:rPr>
          <w:rFonts w:ascii="仿宋_GB2312" w:hAnsi="仿宋_GB2312" w:eastAsia="仿宋_GB2312" w:cs="仿宋_GB2312"/>
          <w:sz w:val="32"/>
          <w:szCs w:val="32"/>
        </w:rPr>
        <w:t>运输车辆及非道路移动机械应满足相关机械污染物排放限值要求或使用清洁能源机械。</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3.固体废物。按“资源化、减量化、无害化”处置原则，认真落实固废分类收集、处置和综合利用措施</w:t>
      </w:r>
      <w:r>
        <w:rPr>
          <w:rFonts w:hint="eastAsia" w:ascii="仿宋_GB2312" w:hAnsi="仿宋_GB2312" w:eastAsia="仿宋_GB2312" w:cs="仿宋_GB2312"/>
          <w:sz w:val="32"/>
          <w:szCs w:val="32"/>
        </w:rPr>
        <w:t>。施工期，建筑垃圾、生活垃圾收集后及时清运，</w:t>
      </w:r>
      <w:r>
        <w:rPr>
          <w:rFonts w:ascii="仿宋_GB2312" w:hAnsi="仿宋_GB2312" w:eastAsia="仿宋_GB2312" w:cs="仿宋_GB2312"/>
          <w:sz w:val="32"/>
          <w:szCs w:val="32"/>
        </w:rPr>
        <w:t>产生的污油集中收集后暂存于危废暂存间，委托有资质单位进行处置。营运期，</w:t>
      </w:r>
      <w:r>
        <w:rPr>
          <w:rFonts w:hint="eastAsia" w:ascii="仿宋_GB2312" w:hAnsi="仿宋_GB2312" w:eastAsia="仿宋_GB2312" w:cs="仿宋_GB2312"/>
          <w:sz w:val="32"/>
          <w:szCs w:val="32"/>
        </w:rPr>
        <w:t>生活垃圾定期清运，</w:t>
      </w:r>
      <w:r>
        <w:rPr>
          <w:rFonts w:ascii="仿宋_GB2312" w:hAnsi="仿宋_GB2312" w:eastAsia="仿宋_GB2312" w:cs="仿宋_GB2312"/>
          <w:sz w:val="32"/>
          <w:szCs w:val="32"/>
        </w:rPr>
        <w:t>产生的污油集中收集后暂存于危废暂存间，委托有资质单位进行处置</w:t>
      </w:r>
      <w:r>
        <w:rPr>
          <w:rFonts w:hint="eastAsia" w:ascii="仿宋_GB2312" w:hAnsi="仿宋_GB2312" w:eastAsia="仿宋_GB2312" w:cs="仿宋_GB2312"/>
          <w:sz w:val="32"/>
          <w:szCs w:val="32"/>
        </w:rPr>
        <w:t>。一般固体废物临时贮存按《一般工业固体废物贮存和填埋污染控制标准》(GB18599-2020）要求。</w:t>
      </w:r>
      <w:r>
        <w:rPr>
          <w:rFonts w:ascii="仿宋_GB2312" w:hAnsi="仿宋_GB2312" w:eastAsia="仿宋_GB2312" w:cs="仿宋_GB2312"/>
          <w:sz w:val="32"/>
          <w:szCs w:val="32"/>
        </w:rPr>
        <w:t>危险废物管理、暂存、转移和处置应满足《危险废物贮存污染控制标准》（GB18597-2023）要求。</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4.噪声。施工期，应加强施工噪声监管，合理设置施工场地及施工时间、选用低噪施工设备并加强设备维护保养、合理安排施工车辆的运输路线和时间；对于距施工区较近而受施工期噪声影响较重的村庄敏感点与施工区之间，设置临时声屏障，减轻施工噪声对周围居民的不利影响。噪声排放应满足《建筑施工场界环境噪声排放标准》（GB12523-2011）要求。</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5.移民安置环境保护。在移民安置过程中严格保护生态环境，加强移民新址生态保护、水土流失防治、水环境保护、污水处理与生活垃圾处置等措施，落实迁复建工程环保措施。</w:t>
      </w:r>
    </w:p>
    <w:p>
      <w:pPr>
        <w:keepNext w:val="0"/>
        <w:keepLines w:val="0"/>
        <w:pageBreakBefore w:val="0"/>
        <w:widowControl/>
        <w:suppressLineNumbers w:val="0"/>
        <w:kinsoku/>
        <w:wordWrap/>
        <w:overflowPunct/>
        <w:topLinePunct w:val="0"/>
        <w:autoSpaceDE/>
        <w:autoSpaceDN/>
        <w:bidi w:val="0"/>
        <w:adjustRightInd/>
        <w:spacing w:line="600" w:lineRule="exact"/>
        <w:ind w:firstLine="640" w:firstLineChars="200"/>
        <w:jc w:val="left"/>
        <w:textAlignment w:val="auto"/>
        <w:rPr>
          <w:rFonts w:ascii="仿宋_GB2312" w:hAnsi="仿宋_GB2312" w:eastAsia="仿宋_GB2312" w:cs="仿宋_GB2312"/>
          <w:sz w:val="32"/>
          <w:szCs w:val="32"/>
          <w:lang w:val="en-US" w:eastAsia="zh-CN"/>
        </w:rPr>
      </w:pPr>
      <w:r>
        <w:rPr>
          <w:rFonts w:ascii="仿宋_GB2312" w:hAnsi="仿宋_GB2312" w:eastAsia="仿宋_GB2312" w:cs="仿宋_GB2312"/>
          <w:sz w:val="32"/>
          <w:szCs w:val="32"/>
        </w:rPr>
        <w:t>（五）落实各项生态恢复措施。项目不设弃渣场</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施工期</w:t>
      </w:r>
      <w:r>
        <w:rPr>
          <w:rFonts w:hint="eastAsia" w:ascii="仿宋_GB2312" w:hAnsi="仿宋_GB2312" w:eastAsia="仿宋_GB2312" w:cs="仿宋_GB2312"/>
          <w:sz w:val="32"/>
          <w:szCs w:val="32"/>
        </w:rPr>
        <w:t>应</w:t>
      </w:r>
      <w:r>
        <w:rPr>
          <w:rFonts w:ascii="仿宋_GB2312" w:hAnsi="仿宋_GB2312" w:eastAsia="仿宋_GB2312" w:cs="仿宋_GB2312"/>
          <w:sz w:val="32"/>
          <w:szCs w:val="32"/>
        </w:rPr>
        <w:t>认真落实各项生态保护措施，加强施工管理，</w:t>
      </w:r>
      <w:r>
        <w:rPr>
          <w:rFonts w:ascii="仿宋_GB2312" w:hAnsi="仿宋_GB2312" w:eastAsia="仿宋_GB2312" w:cs="仿宋_GB2312"/>
          <w:sz w:val="32"/>
          <w:szCs w:val="32"/>
          <w:lang w:val="en-US" w:eastAsia="zh-CN"/>
        </w:rPr>
        <w:t>严格控制施工范围</w:t>
      </w:r>
      <w:r>
        <w:rPr>
          <w:rFonts w:hint="eastAsia" w:ascii="仿宋_GB2312" w:hAnsi="仿宋_GB2312" w:eastAsia="仿宋_GB2312" w:cs="仿宋_GB2312"/>
          <w:sz w:val="32"/>
          <w:szCs w:val="32"/>
          <w:lang w:val="en-US" w:eastAsia="zh-CN"/>
        </w:rPr>
        <w:t>，</w:t>
      </w:r>
      <w:r>
        <w:rPr>
          <w:rFonts w:ascii="仿宋_GB2312" w:hAnsi="仿宋_GB2312" w:eastAsia="仿宋_GB2312" w:cs="仿宋_GB2312"/>
          <w:sz w:val="32"/>
          <w:szCs w:val="32"/>
        </w:rPr>
        <w:t>优化施工占地和布局，</w:t>
      </w:r>
      <w:r>
        <w:rPr>
          <w:rFonts w:hint="eastAsia" w:ascii="仿宋_GB2312" w:hAnsi="仿宋_GB2312" w:eastAsia="仿宋_GB2312" w:cs="仿宋_GB2312"/>
          <w:sz w:val="32"/>
          <w:szCs w:val="32"/>
          <w:lang w:eastAsia="zh-CN"/>
        </w:rPr>
        <w:t>尽量</w:t>
      </w:r>
      <w:r>
        <w:rPr>
          <w:rFonts w:ascii="仿宋_GB2312" w:hAnsi="仿宋_GB2312" w:eastAsia="仿宋_GB2312" w:cs="仿宋_GB2312"/>
          <w:sz w:val="32"/>
          <w:szCs w:val="32"/>
        </w:rPr>
        <w:t>减少临时占地面积，保护耕地资源，</w:t>
      </w:r>
      <w:r>
        <w:rPr>
          <w:rFonts w:hint="eastAsia" w:ascii="仿宋_GB2312" w:hAnsi="仿宋_GB2312" w:eastAsia="仿宋_GB2312" w:cs="仿宋_GB2312"/>
          <w:sz w:val="32"/>
          <w:szCs w:val="32"/>
          <w:lang w:eastAsia="zh-CN"/>
        </w:rPr>
        <w:t>最大限度</w:t>
      </w:r>
      <w:r>
        <w:rPr>
          <w:rFonts w:ascii="仿宋_GB2312" w:hAnsi="仿宋_GB2312" w:eastAsia="仿宋_GB2312" w:cs="仿宋_GB2312"/>
          <w:sz w:val="32"/>
          <w:szCs w:val="32"/>
        </w:rPr>
        <w:t>减少对作业区周围的土壤和林草地的破坏</w:t>
      </w:r>
      <w:r>
        <w:rPr>
          <w:rFonts w:hint="eastAsia" w:ascii="仿宋_GB2312" w:hAnsi="仿宋_GB2312" w:eastAsia="仿宋_GB2312" w:cs="仿宋_GB2312"/>
          <w:sz w:val="32"/>
          <w:szCs w:val="32"/>
        </w:rPr>
        <w:t>。</w:t>
      </w:r>
      <w:r>
        <w:rPr>
          <w:rFonts w:ascii="仿宋_GB2312" w:hAnsi="仿宋_GB2312" w:eastAsia="仿宋_GB2312" w:cs="仿宋_GB2312"/>
          <w:sz w:val="32"/>
          <w:szCs w:val="32"/>
          <w:lang w:val="en-US" w:eastAsia="zh-CN"/>
        </w:rPr>
        <w:t>加强土石方管理与综合利用</w:t>
      </w:r>
      <w:r>
        <w:rPr>
          <w:rFonts w:hint="eastAsia" w:ascii="仿宋_GB2312" w:hAnsi="仿宋_GB2312" w:eastAsia="仿宋_GB2312" w:cs="仿宋_GB2312"/>
          <w:sz w:val="32"/>
          <w:szCs w:val="32"/>
          <w:lang w:val="en-US" w:eastAsia="zh-CN"/>
        </w:rPr>
        <w:t>。</w:t>
      </w:r>
      <w:r>
        <w:rPr>
          <w:rFonts w:ascii="仿宋_GB2312" w:hAnsi="仿宋_GB2312" w:eastAsia="仿宋_GB2312" w:cs="仿宋_GB2312"/>
          <w:sz w:val="32"/>
          <w:szCs w:val="32"/>
          <w:lang w:val="en-US" w:eastAsia="zh-CN"/>
        </w:rPr>
        <w:t>施工结束后，严格按照《报告书》中提出的各项生态恢复</w:t>
      </w:r>
      <w:r>
        <w:rPr>
          <w:rFonts w:hint="eastAsia" w:ascii="仿宋_GB2312" w:hAnsi="仿宋_GB2312" w:eastAsia="仿宋_GB2312" w:cs="仿宋_GB2312"/>
          <w:sz w:val="32"/>
          <w:szCs w:val="32"/>
          <w:lang w:val="en-US" w:eastAsia="zh-CN"/>
        </w:rPr>
        <w:t>措施</w:t>
      </w:r>
      <w:r>
        <w:rPr>
          <w:rFonts w:ascii="仿宋_GB2312" w:hAnsi="仿宋_GB2312" w:eastAsia="仿宋_GB2312" w:cs="仿宋_GB2312"/>
          <w:sz w:val="32"/>
          <w:szCs w:val="32"/>
          <w:lang w:val="en-US" w:eastAsia="zh-CN"/>
        </w:rPr>
        <w:t>。</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（六）加强环境风险管理。建立健全环境风险管理制度，制定并严格落实环境风险应急预案，将环境风险影响降至最低。</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ascii="仿宋_GB2312" w:hAnsi="仿宋_GB2312" w:eastAsia="仿宋_GB2312" w:cs="仿宋_GB2312"/>
          <w:sz w:val="32"/>
          <w:szCs w:val="32"/>
        </w:rPr>
        <w:t>、如果今后国家或我省颁布污染物排放限值的新标准，届时你</w:t>
      </w:r>
      <w:r>
        <w:rPr>
          <w:rFonts w:hint="eastAsia" w:ascii="仿宋_GB2312" w:hAnsi="仿宋_GB2312" w:eastAsia="仿宋_GB2312" w:cs="仿宋_GB2312"/>
          <w:sz w:val="32"/>
          <w:szCs w:val="32"/>
        </w:rPr>
        <w:t>单位</w:t>
      </w:r>
      <w:r>
        <w:rPr>
          <w:rFonts w:ascii="仿宋_GB2312" w:hAnsi="仿宋_GB2312" w:eastAsia="仿宋_GB2312" w:cs="仿宋_GB2312"/>
          <w:sz w:val="32"/>
          <w:szCs w:val="32"/>
        </w:rPr>
        <w:t>应按新的排放标准执行。</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ascii="仿宋_GB2312" w:hAnsi="仿宋_GB2312" w:eastAsia="仿宋_GB2312" w:cs="仿宋_GB2312"/>
          <w:sz w:val="32"/>
          <w:szCs w:val="32"/>
        </w:rPr>
        <w:t>、本批复有效期为5年，如果该项目逾期方开工建设，其环境影响报告书应报重新审核</w:t>
      </w:r>
      <w:r>
        <w:rPr>
          <w:rFonts w:hint="eastAsia" w:ascii="仿宋_GB2312" w:hAnsi="仿宋_GB2312" w:eastAsia="仿宋_GB2312" w:cs="仿宋_GB2312"/>
          <w:sz w:val="32"/>
          <w:szCs w:val="32"/>
          <w:lang w:eastAsia="zh-CN"/>
        </w:rPr>
        <w:t>。</w:t>
      </w:r>
      <w:r>
        <w:rPr>
          <w:rFonts w:ascii="仿宋_GB2312" w:hAnsi="仿宋_GB2312" w:eastAsia="仿宋_GB2312" w:cs="仿宋_GB2312"/>
          <w:sz w:val="32"/>
          <w:szCs w:val="32"/>
        </w:rPr>
        <w:t>如项目建设发生重大变更，</w:t>
      </w:r>
      <w:r>
        <w:rPr>
          <w:rFonts w:hint="eastAsia" w:ascii="仿宋_GB2312" w:hAnsi="仿宋_GB2312" w:eastAsia="仿宋_GB2312" w:cs="仿宋_GB2312"/>
          <w:sz w:val="32"/>
          <w:szCs w:val="32"/>
        </w:rPr>
        <w:t>应当重新报批建设项目环境影响评价文件。</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鉴于本次评价是依据国家林业和草原局2024年10月15日公示的《全国自然保护地整合优化方案》进行的，因此在《全国自然保护地整合优化方案》正式发布实施将该项目用地范围全部调出地质公园前，涉及地质公园相关工程不得动工实施。</w:t>
      </w:r>
    </w:p>
    <w:p>
      <w:pPr>
        <w:keepNext w:val="0"/>
        <w:keepLines w:val="0"/>
        <w:pageBreakBefore w:val="0"/>
        <w:kinsoku/>
        <w:wordWrap/>
        <w:overflowPunct/>
        <w:topLinePunct w:val="0"/>
        <w:autoSpaceDE/>
        <w:autoSpaceDN/>
        <w:bidi w:val="0"/>
        <w:adjustRightInd/>
        <w:snapToGrid w:val="0"/>
        <w:spacing w:line="600" w:lineRule="exact"/>
        <w:ind w:firstLine="640" w:firstLineChars="200"/>
        <w:jc w:val="right"/>
        <w:textAlignment w:val="auto"/>
        <w:rPr>
          <w:rFonts w:ascii="Times New Roman" w:hAnsi="Times New Roman" w:eastAsia="仿宋_GB2312"/>
          <w:sz w:val="32"/>
          <w:szCs w:val="32"/>
        </w:rPr>
      </w:pPr>
    </w:p>
    <w:p>
      <w:pPr>
        <w:keepNext w:val="0"/>
        <w:keepLines w:val="0"/>
        <w:pageBreakBefore w:val="0"/>
        <w:kinsoku/>
        <w:wordWrap/>
        <w:overflowPunct/>
        <w:topLinePunct w:val="0"/>
        <w:autoSpaceDE/>
        <w:autoSpaceDN/>
        <w:bidi w:val="0"/>
        <w:adjustRightInd/>
        <w:snapToGrid w:val="0"/>
        <w:spacing w:line="600" w:lineRule="exact"/>
        <w:ind w:firstLine="640" w:firstLineChars="200"/>
        <w:jc w:val="right"/>
        <w:textAlignment w:val="auto"/>
        <w:rPr>
          <w:rFonts w:ascii="Times New Roman" w:hAnsi="Times New Roman" w:eastAsia="仿宋_GB2312"/>
          <w:sz w:val="32"/>
          <w:szCs w:val="32"/>
        </w:rPr>
      </w:pPr>
    </w:p>
    <w:p>
      <w:pPr>
        <w:keepNext w:val="0"/>
        <w:keepLines w:val="0"/>
        <w:pageBreakBefore w:val="0"/>
        <w:kinsoku/>
        <w:wordWrap/>
        <w:overflowPunct/>
        <w:topLinePunct w:val="0"/>
        <w:autoSpaceDE/>
        <w:autoSpaceDN/>
        <w:bidi w:val="0"/>
        <w:adjustRightInd/>
        <w:snapToGrid w:val="0"/>
        <w:spacing w:line="600" w:lineRule="exact"/>
        <w:ind w:firstLine="640" w:firstLineChars="200"/>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2025年2月14日</w:t>
      </w:r>
      <w:bookmarkStart w:id="0" w:name="_GoBack"/>
      <w:bookmarkEnd w:id="0"/>
    </w:p>
    <w:sectPr>
      <w:footerReference r:id="rId3" w:type="default"/>
      <w:pgSz w:w="11906" w:h="16838"/>
      <w:pgMar w:top="1871" w:right="1531" w:bottom="170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0DF"/>
    <w:rsid w:val="0011527D"/>
    <w:rsid w:val="00140503"/>
    <w:rsid w:val="00183659"/>
    <w:rsid w:val="001A3D1A"/>
    <w:rsid w:val="00287F1B"/>
    <w:rsid w:val="003313A9"/>
    <w:rsid w:val="003C7FD8"/>
    <w:rsid w:val="00451653"/>
    <w:rsid w:val="004648AA"/>
    <w:rsid w:val="00477627"/>
    <w:rsid w:val="004E117A"/>
    <w:rsid w:val="007228DF"/>
    <w:rsid w:val="007F22A9"/>
    <w:rsid w:val="00885FAF"/>
    <w:rsid w:val="00890792"/>
    <w:rsid w:val="008F64BD"/>
    <w:rsid w:val="00997399"/>
    <w:rsid w:val="009B3C06"/>
    <w:rsid w:val="009B6252"/>
    <w:rsid w:val="009C47A4"/>
    <w:rsid w:val="009D30DF"/>
    <w:rsid w:val="00A21642"/>
    <w:rsid w:val="00C46901"/>
    <w:rsid w:val="00C926FA"/>
    <w:rsid w:val="00C93CE6"/>
    <w:rsid w:val="00CB7551"/>
    <w:rsid w:val="00CC65BE"/>
    <w:rsid w:val="00D00E33"/>
    <w:rsid w:val="00D05214"/>
    <w:rsid w:val="00D15E51"/>
    <w:rsid w:val="00D27C9C"/>
    <w:rsid w:val="00D34D07"/>
    <w:rsid w:val="00D35925"/>
    <w:rsid w:val="00D64579"/>
    <w:rsid w:val="00DB3860"/>
    <w:rsid w:val="00DE3F05"/>
    <w:rsid w:val="00E10A4D"/>
    <w:rsid w:val="00F02F40"/>
    <w:rsid w:val="00F8093C"/>
    <w:rsid w:val="00F86CAF"/>
    <w:rsid w:val="37CF1BBD"/>
    <w:rsid w:val="3E0D984C"/>
    <w:rsid w:val="3FB798F7"/>
    <w:rsid w:val="4FF7673E"/>
    <w:rsid w:val="57F65CB2"/>
    <w:rsid w:val="5FFFD10B"/>
    <w:rsid w:val="67CB5927"/>
    <w:rsid w:val="73DFC465"/>
    <w:rsid w:val="7D4F0234"/>
    <w:rsid w:val="7F7B4CD1"/>
    <w:rsid w:val="7FBFE5A2"/>
    <w:rsid w:val="8BBCA0CF"/>
    <w:rsid w:val="BBFE2D2F"/>
    <w:rsid w:val="BEFBC1B2"/>
    <w:rsid w:val="DEFA0EAF"/>
    <w:rsid w:val="EBFDCC6B"/>
    <w:rsid w:val="F77DA78F"/>
    <w:rsid w:val="FFBDF94D"/>
    <w:rsid w:val="FFDA4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0"/>
    <w:qFormat/>
    <w:uiPriority w:val="0"/>
    <w:pPr>
      <w:spacing w:before="100" w:beforeAutospacing="1" w:after="100" w:afterAutospacing="1"/>
      <w:jc w:val="left"/>
      <w:outlineLvl w:val="0"/>
    </w:pPr>
    <w:rPr>
      <w:rFonts w:hint="eastAsia" w:ascii="宋体" w:hAnsi="宋体"/>
      <w:b/>
      <w:bCs/>
      <w:kern w:val="44"/>
      <w:sz w:val="48"/>
      <w:szCs w:val="4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100" w:beforeAutospacing="1" w:after="100" w:afterAutospacing="1"/>
      <w:jc w:val="left"/>
    </w:pPr>
    <w:rPr>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character" w:customStyle="1" w:styleId="10">
    <w:name w:val="标题 1 Char"/>
    <w:basedOn w:val="7"/>
    <w:link w:val="2"/>
    <w:qFormat/>
    <w:uiPriority w:val="0"/>
    <w:rPr>
      <w:rFonts w:ascii="宋体" w:hAnsi="宋体" w:eastAsia="宋体" w:cs="Times New Roman"/>
      <w:b/>
      <w:bCs/>
      <w:kern w:val="44"/>
      <w:sz w:val="48"/>
      <w:szCs w:val="48"/>
    </w:rPr>
  </w:style>
  <w:style w:type="paragraph" w:customStyle="1" w:styleId="11">
    <w:name w:val="1-正文"/>
    <w:basedOn w:val="1"/>
    <w:link w:val="12"/>
    <w:qFormat/>
    <w:uiPriority w:val="0"/>
    <w:pPr>
      <w:spacing w:line="360" w:lineRule="auto"/>
      <w:ind w:firstLine="480" w:firstLineChars="200"/>
    </w:pPr>
    <w:rPr>
      <w:rFonts w:ascii="Times New Roman" w:hAnsi="宋体" w:eastAsia="仿宋"/>
      <w:sz w:val="24"/>
      <w:lang w:val="zh-CN"/>
    </w:rPr>
  </w:style>
  <w:style w:type="character" w:customStyle="1" w:styleId="12">
    <w:name w:val="1-正文 Char"/>
    <w:link w:val="11"/>
    <w:qFormat/>
    <w:uiPriority w:val="0"/>
    <w:rPr>
      <w:rFonts w:ascii="Times New Roman" w:hAnsi="宋体" w:eastAsia="仿宋" w:cs="Times New Roman"/>
      <w:sz w:val="24"/>
      <w:szCs w:val="24"/>
      <w:lang w:val="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Pages>
  <Words>311</Words>
  <Characters>1779</Characters>
  <Lines>14</Lines>
  <Paragraphs>4</Paragraphs>
  <TotalTime>344</TotalTime>
  <ScaleCrop>false</ScaleCrop>
  <LinksUpToDate>false</LinksUpToDate>
  <CharactersWithSpaces>2086</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2025-02-07T14:52:00Z</dcterms:created>
  <dc:creator>微软用户</dc:creator>
  <cp:lastModifiedBy>greatwall</cp:lastModifiedBy>
  <cp:lastPrinted>2025-02-14T11:48:24Z</cp:lastPrinted>
  <dcterms:modified xsi:type="dcterms:W3CDTF">2025-02-14T16:56:13Z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ies>
</file>