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line="560" w:lineRule="exact"/>
        <w:ind w:firstLine="640" w:firstLineChars="200"/>
        <w:rPr>
          <w:rFonts w:ascii="仿宋_GB2312" w:hAnsi="仿宋_GB2312" w:cs="仿宋_GB2312"/>
          <w:szCs w:val="32"/>
        </w:rPr>
      </w:pPr>
    </w:p>
    <w:p>
      <w:pPr>
        <w:spacing w:before="156" w:beforeLines="50" w:line="560" w:lineRule="exact"/>
        <w:jc w:val="right"/>
        <w:rPr>
          <w:rFonts w:ascii="仿宋_GB2312" w:hAnsi="仿宋_GB2312" w:cs="仿宋_GB2312"/>
          <w:szCs w:val="32"/>
        </w:rPr>
      </w:pPr>
      <w:r>
        <w:rPr>
          <w:rFonts w:ascii="仿宋_GB2312" w:hAnsi="仿宋_GB2312" w:cs="仿宋_GB2312"/>
          <w:szCs w:val="32"/>
        </w:rPr>
        <w:t>济环审〔</w:t>
      </w:r>
      <w:r>
        <w:rPr>
          <w:rFonts w:hint="eastAsia" w:ascii="仿宋_GB2312" w:hAnsi="仿宋_GB2312" w:cs="仿宋_GB2312"/>
          <w:szCs w:val="32"/>
          <w:lang w:val="en-US" w:eastAsia="zh-CN"/>
        </w:rPr>
        <w:t>2025</w:t>
      </w:r>
      <w:r>
        <w:rPr>
          <w:rFonts w:ascii="仿宋_GB2312" w:hAnsi="仿宋_GB2312" w:cs="仿宋_GB2312"/>
          <w:szCs w:val="32"/>
          <w:highlight w:val="none"/>
        </w:rPr>
        <w:t>〕</w:t>
      </w:r>
      <w:r>
        <w:rPr>
          <w:rFonts w:hint="eastAsia" w:ascii="仿宋_GB2312" w:hAnsi="仿宋_GB2312" w:cs="仿宋_GB2312"/>
          <w:szCs w:val="32"/>
          <w:highlight w:val="none"/>
          <w:lang w:val="en-US" w:eastAsia="zh-CN"/>
        </w:rPr>
        <w:t>9</w:t>
      </w:r>
      <w:r>
        <w:rPr>
          <w:rFonts w:ascii="仿宋_GB2312" w:hAnsi="仿宋_GB2312" w:cs="仿宋_GB2312"/>
          <w:szCs w:val="32"/>
          <w:highlight w:val="none"/>
        </w:rPr>
        <w:t>号</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p>
    <w:p>
      <w:pPr>
        <w:widowControl/>
        <w:spacing w:line="660" w:lineRule="exact"/>
        <w:jc w:val="center"/>
        <w:rPr>
          <w:rFonts w:hint="eastAsia" w:ascii="方正小标宋简体" w:hAnsi="方正小标宋简体" w:eastAsia="方正小标宋简体" w:cs="方正小标宋简体"/>
          <w:color w:val="262626"/>
          <w:kern w:val="0"/>
          <w:sz w:val="44"/>
          <w:szCs w:val="44"/>
        </w:rPr>
      </w:pPr>
      <w:r>
        <w:rPr>
          <w:rFonts w:hint="eastAsia" w:ascii="方正小标宋简体" w:hAnsi="方正小标宋简体" w:eastAsia="方正小标宋简体" w:cs="方正小标宋简体"/>
          <w:color w:val="262626"/>
          <w:kern w:val="0"/>
          <w:sz w:val="44"/>
          <w:szCs w:val="44"/>
        </w:rPr>
        <w:t>济源市生态环境局</w:t>
      </w:r>
    </w:p>
    <w:p>
      <w:pPr>
        <w:widowControl/>
        <w:spacing w:line="660" w:lineRule="exact"/>
        <w:jc w:val="center"/>
        <w:rPr>
          <w:rFonts w:hint="eastAsia" w:ascii="方正小标宋简体" w:hAnsi="方正小标宋简体" w:eastAsia="方正小标宋简体" w:cs="方正小标宋简体"/>
          <w:color w:val="262626"/>
          <w:kern w:val="0"/>
          <w:sz w:val="44"/>
          <w:szCs w:val="44"/>
        </w:rPr>
      </w:pPr>
      <w:r>
        <w:rPr>
          <w:rFonts w:hint="eastAsia" w:ascii="方正小标宋简体" w:hAnsi="方正小标宋简体" w:eastAsia="方正小标宋简体" w:cs="方正小标宋简体"/>
          <w:color w:val="262626"/>
          <w:kern w:val="0"/>
          <w:sz w:val="44"/>
          <w:szCs w:val="44"/>
        </w:rPr>
        <w:t>关于</w:t>
      </w:r>
      <w:r>
        <w:rPr>
          <w:rFonts w:hint="default" w:ascii="方正小标宋简体" w:hAnsi="方正小标宋简体" w:eastAsia="方正小标宋简体" w:cs="方正小标宋简体"/>
          <w:color w:val="262626"/>
          <w:kern w:val="0"/>
          <w:sz w:val="44"/>
          <w:szCs w:val="44"/>
          <w:lang w:eastAsia="zh-CN"/>
        </w:rPr>
        <w:t>济源华申电源有限公司年产360万千伏安时全密封免维护动力铅酸蓄</w:t>
      </w:r>
      <w:r>
        <w:rPr>
          <w:rFonts w:hint="eastAsia" w:ascii="方正小标宋简体" w:hAnsi="方正小标宋简体" w:eastAsia="方正小标宋简体" w:cs="方正小标宋简体"/>
          <w:color w:val="262626"/>
          <w:kern w:val="0"/>
          <w:sz w:val="44"/>
          <w:szCs w:val="44"/>
          <w:lang w:eastAsia="zh-CN"/>
        </w:rPr>
        <w:t>电池设备更新项目</w:t>
      </w:r>
      <w:r>
        <w:rPr>
          <w:rFonts w:hint="eastAsia" w:ascii="方正小标宋简体" w:hAnsi="方正小标宋简体" w:eastAsia="方正小标宋简体" w:cs="方正小标宋简体"/>
          <w:color w:val="262626"/>
          <w:kern w:val="0"/>
          <w:sz w:val="44"/>
          <w:szCs w:val="44"/>
        </w:rPr>
        <w:t>环境影响报告书的批复</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p>
    <w:p>
      <w:pPr>
        <w:keepNext w:val="0"/>
        <w:keepLines w:val="0"/>
        <w:pageBreakBefore w:val="0"/>
        <w:kinsoku/>
        <w:wordWrap/>
        <w:overflowPunct/>
        <w:topLinePunct w:val="0"/>
        <w:autoSpaceDE/>
        <w:autoSpaceDN/>
        <w:bidi w:val="0"/>
        <w:adjustRightInd w:val="0"/>
        <w:snapToGrid w:val="0"/>
        <w:spacing w:line="560" w:lineRule="exact"/>
        <w:textAlignment w:val="auto"/>
        <w:rPr>
          <w:rFonts w:ascii="仿宋_GB2312" w:hAnsi="仿宋_GB2312" w:cs="仿宋_GB2312"/>
          <w:szCs w:val="32"/>
        </w:rPr>
      </w:pPr>
      <w:r>
        <w:rPr>
          <w:rFonts w:hint="default" w:ascii="仿宋_GB2312" w:hAnsi="仿宋_GB2312" w:cs="仿宋_GB2312"/>
          <w:szCs w:val="32"/>
          <w:lang w:eastAsia="zh-CN"/>
        </w:rPr>
        <w:t>济源华申电源有限公司</w:t>
      </w:r>
      <w:r>
        <w:rPr>
          <w:rFonts w:hint="eastAsia" w:ascii="仿宋_GB2312" w:hAnsi="仿宋_GB2312" w:cs="仿宋_GB231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Cs w:val="32"/>
          <w:lang w:eastAsia="zh-CN"/>
        </w:rPr>
      </w:pPr>
      <w:r>
        <w:rPr>
          <w:rFonts w:hint="eastAsia" w:ascii="仿宋_GB2312" w:hAnsi="仿宋_GB2312" w:eastAsia="仿宋_GB2312" w:cs="仿宋_GB2312"/>
          <w:szCs w:val="32"/>
        </w:rPr>
        <w:t>你单位（统一社会信用代码：914190015817142116）报送的由</w:t>
      </w:r>
      <w:r>
        <w:rPr>
          <w:rFonts w:hint="eastAsia" w:ascii="仿宋_GB2312" w:hAnsi="仿宋_GB2312" w:eastAsia="仿宋_GB2312" w:cs="仿宋_GB2312"/>
          <w:szCs w:val="32"/>
          <w:lang w:eastAsia="zh-CN"/>
        </w:rPr>
        <w:t>济源蓝天科技有限责任公司柳伟峰</w:t>
      </w:r>
      <w:r>
        <w:rPr>
          <w:rFonts w:hint="eastAsia" w:ascii="仿宋_GB2312" w:hAnsi="仿宋_GB2312" w:eastAsia="仿宋_GB2312" w:cs="仿宋_GB2312"/>
          <w:szCs w:val="32"/>
        </w:rPr>
        <w:t>主持编制的《</w:t>
      </w:r>
      <w:r>
        <w:rPr>
          <w:rFonts w:hint="default" w:ascii="仿宋_GB2312" w:hAnsi="仿宋_GB2312" w:cs="仿宋_GB2312"/>
          <w:szCs w:val="32"/>
          <w:lang w:eastAsia="zh-CN"/>
        </w:rPr>
        <w:t>济源华申电源有限公司年产360万千伏安时全密封免维护动力铅酸蓄电池设备更新项目</w:t>
      </w:r>
      <w:r>
        <w:rPr>
          <w:rFonts w:hint="eastAsia" w:ascii="仿宋_GB2312" w:hAnsi="仿宋_GB2312" w:cs="仿宋_GB2312"/>
          <w:szCs w:val="32"/>
        </w:rPr>
        <w:t>环境影响报告书》(以下简称《报告书》)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r>
        <w:rPr>
          <w:rFonts w:hint="eastAsia" w:ascii="仿宋_GB2312" w:hAnsi="仿宋_GB2312" w:cs="仿宋_GB2312"/>
          <w:szCs w:val="32"/>
          <w:lang w:eastAsia="zh-CN"/>
        </w:rPr>
        <w:t>：</w:t>
      </w:r>
    </w:p>
    <w:p>
      <w:pPr>
        <w:keepNext w:val="0"/>
        <w:keepLines w:val="0"/>
        <w:pageBreakBefore w:val="0"/>
        <w:numPr>
          <w:ilvl w:val="0"/>
          <w:numId w:val="1"/>
        </w:numPr>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highlight w:val="none"/>
        </w:rPr>
      </w:pPr>
      <w:r>
        <w:rPr>
          <w:rFonts w:hint="eastAsia" w:ascii="仿宋_GB2312" w:hAnsi="仿宋_GB2312" w:cs="仿宋_GB2312"/>
          <w:szCs w:val="32"/>
        </w:rPr>
        <w:t>项目位于</w:t>
      </w:r>
      <w:r>
        <w:rPr>
          <w:rFonts w:hint="eastAsia" w:ascii="仿宋_GB2312" w:hAnsi="仿宋_GB2312" w:cs="仿宋_GB2312"/>
          <w:szCs w:val="32"/>
          <w:lang w:val="en-US" w:eastAsia="zh-CN"/>
        </w:rPr>
        <w:t>济源市思礼镇循环经济产业园华申电源现有厂区内</w:t>
      </w:r>
      <w:r>
        <w:rPr>
          <w:rFonts w:hint="eastAsia" w:ascii="仿宋_GB2312" w:hAnsi="仿宋_GB2312" w:cs="仿宋_GB2312"/>
          <w:szCs w:val="32"/>
          <w:highlight w:val="none"/>
          <w:lang w:val="en-US" w:eastAsia="zh-CN"/>
        </w:rPr>
        <w:t>。该项目在保证现有产品产能、生产工艺不变的情况下，对部分设备进行更新改造，主要改造内容包括：（1）淘汰现有17台重力浇铸设备，更新为1套连铸连轧设备+2套铅带冲网设备；（2）淘汰现有2条双面间歇涂板机，更新为2套连涂设备；（3）淘汰1台铸焊机、2台半自动烧焊入槽机、2台排列机，更新为1套包封铸焊全自动装配线。</w:t>
      </w:r>
      <w:r>
        <w:rPr>
          <w:rFonts w:hint="eastAsia" w:ascii="仿宋_GB2312" w:hAnsi="仿宋_GB2312" w:cs="仿宋_GB2312"/>
          <w:szCs w:val="32"/>
          <w:lang w:eastAsia="zh-CN"/>
        </w:rPr>
        <w:t>项目建设完成后，</w:t>
      </w:r>
      <w:r>
        <w:rPr>
          <w:rFonts w:hint="eastAsia" w:ascii="仿宋_GB2312" w:hAnsi="仿宋_GB2312" w:eastAsia="仿宋_GB2312" w:cs="仿宋_GB2312"/>
          <w:szCs w:val="32"/>
          <w:lang w:eastAsia="zh-CN"/>
        </w:rPr>
        <w:t>全厂</w:t>
      </w:r>
      <w:r>
        <w:rPr>
          <w:rFonts w:hint="eastAsia" w:ascii="仿宋_GB2312" w:hAnsi="仿宋_GB2312" w:eastAsia="仿宋_GB2312" w:cs="仿宋_GB2312"/>
          <w:szCs w:val="32"/>
          <w:lang w:val="en-US" w:eastAsia="zh-CN"/>
        </w:rPr>
        <w:t>生产规模不变</w:t>
      </w:r>
      <w:r>
        <w:rPr>
          <w:rFonts w:hint="eastAsia" w:ascii="仿宋_GB2312" w:hAnsi="仿宋_GB2312" w:cs="仿宋_GB2312"/>
          <w:szCs w:val="32"/>
          <w:highlight w:val="none"/>
          <w:lang w:eastAsia="zh-CN"/>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二、</w:t>
      </w:r>
      <w:r>
        <w:rPr>
          <w:rFonts w:hint="eastAsia" w:ascii="仿宋_GB2312" w:hAnsi="仿宋_GB2312" w:eastAsia="仿宋_GB2312" w:cs="仿宋_GB2312"/>
          <w:szCs w:val="32"/>
        </w:rPr>
        <w:t>该《报告书》内容符合国家有关法律法规要求和建设项目环境管理规定，符合“三线一单”生态环境分区管控要求，评价结论可信。我局批准该《报告</w:t>
      </w:r>
      <w:r>
        <w:rPr>
          <w:rFonts w:hint="eastAsia" w:ascii="仿宋_GB2312" w:hAnsi="仿宋_GB2312" w:cs="仿宋_GB2312"/>
          <w:szCs w:val="32"/>
          <w:lang w:eastAsia="zh-CN"/>
        </w:rPr>
        <w:t>书</w:t>
      </w:r>
      <w:r>
        <w:rPr>
          <w:rFonts w:hint="eastAsia" w:ascii="仿宋_GB2312" w:hAnsi="仿宋_GB2312" w:eastAsia="仿宋_GB2312" w:cs="仿宋_GB2312"/>
          <w:szCs w:val="32"/>
        </w:rPr>
        <w:t>》，原则同意你单位按照《报告</w:t>
      </w:r>
      <w:r>
        <w:rPr>
          <w:rFonts w:hint="eastAsia" w:ascii="仿宋_GB2312" w:hAnsi="仿宋_GB2312" w:cs="仿宋_GB2312"/>
          <w:szCs w:val="32"/>
          <w:lang w:eastAsia="zh-CN"/>
        </w:rPr>
        <w:t>书</w:t>
      </w:r>
      <w:r>
        <w:rPr>
          <w:rFonts w:hint="eastAsia" w:ascii="仿宋_GB2312" w:hAnsi="仿宋_GB2312" w:eastAsia="仿宋_GB2312" w:cs="仿宋_GB2312"/>
          <w:szCs w:val="32"/>
        </w:rPr>
        <w:t>》所列项目的建设内容和环境保护对策措施进行项目建设。</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三、你单位应向社会公众主动公开已经批准的《报告书》，接受相关方的垂询。</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四、你单位应全面落实《报告书》提出的各项环境保护措施，各项环境保护设施与主体工程同时设计、同时施工、同时投入使用，确保各项污染物达标排放。</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（一）向设计单位提供《报告书》和本批复文件，确保项目设计按照环境保护设计规范要求，落实防治环境污染和生态破坏的措施。</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w:t>
      </w:r>
      <w:r>
        <w:rPr>
          <w:rFonts w:hint="eastAsia" w:ascii="仿宋_GB2312" w:hAnsi="仿宋_GB2312" w:cs="仿宋_GB2312"/>
          <w:szCs w:val="32"/>
          <w:lang w:eastAsia="zh-CN"/>
        </w:rPr>
        <w:t>二</w:t>
      </w:r>
      <w:r>
        <w:rPr>
          <w:rFonts w:hint="eastAsia" w:ascii="仿宋_GB2312" w:hAnsi="仿宋_GB2312" w:cs="仿宋_GB2312"/>
          <w:szCs w:val="32"/>
        </w:rPr>
        <w:t>）项目运行时，外排污染物应满足如下要求：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highlight w:val="none"/>
        </w:rPr>
      </w:pPr>
      <w:r>
        <w:rPr>
          <w:rFonts w:hint="eastAsia" w:ascii="仿宋_GB2312" w:hAnsi="仿宋_GB2312" w:cs="仿宋_GB2312"/>
          <w:szCs w:val="32"/>
        </w:rPr>
        <w:t>1.废气：项目应采取合理措施，加强废气的收集和处理，减少生产过程中的无组织废气排放。污染物排放</w:t>
      </w:r>
      <w:r>
        <w:rPr>
          <w:rFonts w:hint="eastAsia" w:ascii="仿宋_GB2312" w:hAnsi="仿宋_GB2312" w:cs="仿宋_GB2312"/>
          <w:szCs w:val="32"/>
          <w:lang w:eastAsia="zh-CN"/>
        </w:rPr>
        <w:t>须</w:t>
      </w:r>
      <w:r>
        <w:rPr>
          <w:rFonts w:hint="eastAsia" w:ascii="仿宋_GB2312" w:hAnsi="仿宋_GB2312" w:cs="仿宋_GB2312"/>
          <w:szCs w:val="32"/>
        </w:rPr>
        <w:t>满足</w:t>
      </w:r>
      <w:r>
        <w:rPr>
          <w:rFonts w:hint="default" w:ascii="仿宋_GB2312" w:hAnsi="仿宋_GB2312" w:eastAsia="仿宋_GB2312" w:cs="仿宋_GB2312"/>
          <w:color w:val="auto"/>
          <w:sz w:val="32"/>
          <w:szCs w:val="32"/>
          <w:lang w:val="en-US" w:eastAsia="zh-CN"/>
          <w14:ligatures w14:val="none"/>
        </w:rPr>
        <w:t>《电池工业污染物排放标准》（GB30484-2013）</w:t>
      </w:r>
      <w:r>
        <w:rPr>
          <w:rFonts w:hint="eastAsia" w:ascii="仿宋_GB2312" w:hAnsi="仿宋_GB2312" w:cs="仿宋_GB2312"/>
          <w:color w:val="auto"/>
          <w:sz w:val="32"/>
          <w:szCs w:val="32"/>
          <w:lang w:val="en-US" w:eastAsia="zh-CN"/>
          <w14:ligatures w14:val="none"/>
        </w:rPr>
        <w:t>、《工业炉窑大气污染物排放标准》（DB41/1066-2020）相关</w:t>
      </w:r>
      <w:r>
        <w:rPr>
          <w:rFonts w:hint="default" w:ascii="仿宋_GB2312" w:hAnsi="仿宋_GB2312" w:eastAsia="仿宋_GB2312" w:cs="仿宋_GB2312"/>
          <w:color w:val="auto"/>
          <w:sz w:val="32"/>
          <w:szCs w:val="32"/>
          <w:lang w:val="en-US" w:eastAsia="zh-CN"/>
          <w14:ligatures w14:val="none"/>
        </w:rPr>
        <w:t>限值要求</w:t>
      </w:r>
      <w:r>
        <w:rPr>
          <w:rFonts w:hint="eastAsia" w:ascii="仿宋_GB2312" w:hAnsi="仿宋_GB2312" w:cs="仿宋_GB231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Cs w:val="32"/>
          <w:lang w:eastAsia="zh-CN"/>
        </w:rPr>
      </w:pPr>
      <w:r>
        <w:rPr>
          <w:rFonts w:hint="eastAsia" w:ascii="仿宋_GB2312" w:hAnsi="仿宋_GB2312" w:cs="仿宋_GB2312"/>
          <w:szCs w:val="32"/>
        </w:rPr>
        <w:t>2.废水：按照“雨污分流、清污分流、污污分治、深度处理、分质回用”的原则将各类废水收集处理，分质回用</w:t>
      </w:r>
      <w:r>
        <w:rPr>
          <w:rFonts w:hint="eastAsia" w:ascii="仿宋_GB2312" w:hAnsi="仿宋_GB2312" w:cs="仿宋_GB2312"/>
          <w:szCs w:val="32"/>
          <w:lang w:eastAsia="zh-CN"/>
        </w:rPr>
        <w:t>。含铅废水经收集处理后回用，不外排；生活污水收集处理后与</w:t>
      </w:r>
      <w:r>
        <w:rPr>
          <w:rFonts w:hint="eastAsia" w:ascii="仿宋_GB2312" w:hAnsi="仿宋_GB2312" w:cs="仿宋_GB2312"/>
          <w:szCs w:val="32"/>
          <w:lang w:val="en-US" w:eastAsia="zh-CN"/>
        </w:rPr>
        <w:t>清净下水（纯水站排水、软水站排水、锅炉排水等）由废水总排口排放至塌七河，总排口各污染物排放浓度满足《河南省黄河流域水污染物排放标准》（DB41/2087-2021）相关限值要求</w:t>
      </w:r>
      <w:r>
        <w:rPr>
          <w:rFonts w:hint="eastAsia" w:ascii="仿宋_GB2312" w:hAnsi="仿宋_GB2312" w:cs="仿宋_GB2312"/>
          <w:szCs w:val="32"/>
          <w:lang w:eastAsia="zh-CN"/>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3.噪声：严格落实噪声污染防治措施。</w:t>
      </w:r>
      <w:r>
        <w:rPr>
          <w:rFonts w:hint="eastAsia" w:ascii="仿宋_GB2312" w:hAnsi="仿宋_GB2312" w:eastAsia="仿宋_GB2312" w:cs="仿宋_GB2312"/>
          <w:szCs w:val="32"/>
        </w:rPr>
        <w:t>项目厂界</w:t>
      </w:r>
      <w:r>
        <w:rPr>
          <w:rFonts w:hint="eastAsia" w:ascii="仿宋_GB2312" w:hAnsi="仿宋_GB2312" w:cs="仿宋_GB2312"/>
          <w:szCs w:val="32"/>
        </w:rPr>
        <w:t>噪声应满足《工业企业厂界环境噪声排放标准》（GB12348-2008）3类要求。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rPr>
        <w:t>4.固废：严格落实《报告书》要求，按“</w:t>
      </w:r>
      <w:r>
        <w:rPr>
          <w:rFonts w:hint="eastAsia" w:ascii="仿宋_GB2312" w:hAnsi="仿宋_GB2312" w:cs="仿宋_GB2312"/>
          <w:szCs w:val="32"/>
          <w:highlight w:val="none"/>
        </w:rPr>
        <w:t>减量化、资源化、无害化</w:t>
      </w:r>
      <w:r>
        <w:rPr>
          <w:rFonts w:hint="eastAsia" w:ascii="仿宋_GB2312" w:hAnsi="仿宋_GB2312" w:cs="仿宋_GB2312"/>
          <w:szCs w:val="32"/>
        </w:rPr>
        <w:t>”原则，做好固废分类收集和综合利用，</w:t>
      </w:r>
      <w:r>
        <w:rPr>
          <w:rFonts w:hint="eastAsia" w:ascii="仿宋_GB2312" w:hAnsi="仿宋_GB2312" w:cs="仿宋_GB2312"/>
          <w:szCs w:val="32"/>
          <w:lang w:eastAsia="zh-CN"/>
        </w:rPr>
        <w:t>落实</w:t>
      </w:r>
      <w:r>
        <w:rPr>
          <w:rFonts w:hint="eastAsia" w:ascii="仿宋_GB2312" w:hAnsi="仿宋_GB2312" w:cs="仿宋_GB2312"/>
          <w:szCs w:val="32"/>
        </w:rPr>
        <w:t>《固体废物污染环境防治法》</w:t>
      </w:r>
      <w:r>
        <w:rPr>
          <w:rFonts w:hint="eastAsia" w:ascii="仿宋_GB2312" w:hAnsi="仿宋_GB2312" w:cs="仿宋_GB2312"/>
          <w:szCs w:val="32"/>
          <w:lang w:eastAsia="zh-CN"/>
        </w:rPr>
        <w:t>，</w:t>
      </w:r>
      <w:r>
        <w:rPr>
          <w:rFonts w:hint="eastAsia" w:ascii="仿宋_GB2312" w:hAnsi="仿宋_GB2312" w:cs="仿宋_GB2312"/>
          <w:szCs w:val="32"/>
        </w:rPr>
        <w:t>加强固体废物的管理工作。危险废物贮存按照《危险废物贮存污染控制标准》（GB18597-2023）建设符合要求的危险废物贮存设施，并按技术规范规定做好危险废物的储存、转移、处置，如实记录管理台账，避免对环境造成二次污染。</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（四）</w:t>
      </w:r>
      <w:r>
        <w:rPr>
          <w:rFonts w:hint="eastAsia" w:ascii="仿宋_GB2312" w:hAnsi="仿宋_GB2312" w:cs="仿宋_GB2312"/>
          <w:szCs w:val="32"/>
        </w:rPr>
        <w:t>落实土壤及地下水污染防治措施，采取源头控制、分区防渗等措施，加强厂区周围土壤及地下水水质监控，严防土壤和地下水污染。</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rPr>
        <w:t>（</w:t>
      </w:r>
      <w:r>
        <w:rPr>
          <w:rFonts w:hint="eastAsia" w:ascii="仿宋_GB2312" w:hAnsi="仿宋_GB2312" w:cs="仿宋_GB2312"/>
          <w:szCs w:val="32"/>
          <w:lang w:eastAsia="zh-CN"/>
        </w:rPr>
        <w:t>五</w:t>
      </w:r>
      <w:r>
        <w:rPr>
          <w:rFonts w:hint="eastAsia" w:ascii="仿宋_GB2312" w:hAnsi="仿宋_GB2312" w:cs="仿宋_GB2312"/>
          <w:szCs w:val="32"/>
        </w:rPr>
        <w:t>）加强环境风险管理，落实《报告书》提出的环境风险防范措施，制定环境风险及事故应急预案，加强日常管理，定期开展应急演练，严防环境污染事故发生。</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五、按照《</w:t>
      </w:r>
      <w:bookmarkStart w:id="0" w:name="_Toc44493931"/>
      <w:r>
        <w:rPr>
          <w:rFonts w:hint="eastAsia" w:ascii="仿宋_GB2312" w:hAnsi="仿宋_GB2312" w:cs="仿宋_GB2312"/>
          <w:sz w:val="32"/>
          <w:szCs w:val="32"/>
          <w:lang w:val="en-US" w:eastAsia="zh-CN"/>
        </w:rPr>
        <w:t>河南省</w:t>
      </w:r>
      <w:r>
        <w:rPr>
          <w:rFonts w:hint="eastAsia" w:ascii="仿宋_GB2312" w:hAnsi="仿宋_GB2312" w:eastAsia="仿宋_GB2312" w:cs="仿宋_GB2312"/>
          <w:sz w:val="32"/>
          <w:szCs w:val="32"/>
          <w:lang w:val="en-US" w:eastAsia="zh-CN"/>
        </w:rPr>
        <w:t>重污染天气重点行业应急减排措施制定</w:t>
      </w:r>
      <w:bookmarkEnd w:id="0"/>
      <w:bookmarkStart w:id="1" w:name="_Toc44493932"/>
      <w:r>
        <w:rPr>
          <w:rFonts w:hint="eastAsia" w:ascii="仿宋_GB2312" w:hAnsi="仿宋_GB2312" w:eastAsia="仿宋_GB2312" w:cs="仿宋_GB2312"/>
          <w:sz w:val="32"/>
          <w:szCs w:val="32"/>
          <w:lang w:val="en-US" w:eastAsia="zh-CN"/>
        </w:rPr>
        <w:t>技术指南</w:t>
      </w:r>
      <w:bookmarkEnd w:id="1"/>
      <w:r>
        <w:rPr>
          <w:rFonts w:hint="eastAsia" w:ascii="仿宋_GB2312" w:hAnsi="仿宋_GB2312" w:cs="仿宋_GB2312"/>
          <w:sz w:val="32"/>
          <w:szCs w:val="32"/>
          <w:lang w:val="en-US" w:eastAsia="zh-CN"/>
        </w:rPr>
        <w:t>（2024修订版）</w:t>
      </w:r>
      <w:r>
        <w:rPr>
          <w:rFonts w:hint="eastAsia" w:ascii="仿宋_GB2312" w:hAnsi="仿宋_GB2312" w:eastAsia="仿宋_GB2312" w:cs="仿宋_GB2312"/>
          <w:sz w:val="32"/>
          <w:szCs w:val="32"/>
          <w:lang w:val="en-US" w:eastAsia="zh-CN"/>
        </w:rPr>
        <w:t>》中“</w:t>
      </w:r>
      <w:r>
        <w:rPr>
          <w:rFonts w:hint="eastAsia" w:ascii="仿宋_GB2312" w:hAnsi="仿宋_GB2312" w:cs="仿宋_GB2312"/>
          <w:sz w:val="32"/>
          <w:szCs w:val="32"/>
          <w:lang w:val="en-US" w:eastAsia="zh-CN"/>
        </w:rPr>
        <w:t>电池制造行业</w:t>
      </w:r>
      <w:r>
        <w:rPr>
          <w:rFonts w:hint="eastAsia" w:ascii="仿宋_GB2312" w:hAnsi="仿宋_GB2312" w:eastAsia="仿宋_GB2312" w:cs="仿宋_GB2312"/>
          <w:sz w:val="32"/>
          <w:szCs w:val="32"/>
          <w:lang w:val="en-US" w:eastAsia="zh-CN"/>
        </w:rPr>
        <w:t>”A级企业绩效分级各项要求，进行建设和管理。</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六</w:t>
      </w:r>
      <w:r>
        <w:rPr>
          <w:rFonts w:hint="eastAsia" w:ascii="仿宋_GB2312" w:hAnsi="仿宋_GB2312" w:cs="仿宋_GB2312"/>
          <w:szCs w:val="32"/>
        </w:rPr>
        <w:t>、按国家有关规定设置规范的污染物排放口，并设立明显标志，按要求安装污染物排放自动监测设备并与生态环境主管部门的监控设备联网。严格落实《报告书》相关环境监测计划，定期对各类污染物进行监测，发布相关信息，发现问题及时采取整改措施。</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cs="仿宋_GB2312"/>
          <w:szCs w:val="32"/>
        </w:rPr>
      </w:pPr>
      <w:r>
        <w:rPr>
          <w:rFonts w:hint="eastAsia" w:ascii="仿宋_GB2312" w:hAnsi="仿宋_GB2312" w:cs="仿宋_GB2312"/>
          <w:szCs w:val="32"/>
          <w:lang w:eastAsia="zh-CN"/>
        </w:rPr>
        <w:t>七</w:t>
      </w:r>
      <w:r>
        <w:rPr>
          <w:rFonts w:hint="eastAsia" w:ascii="仿宋_GB2312" w:hAnsi="仿宋_GB2312" w:cs="仿宋_GB2312"/>
          <w:szCs w:val="32"/>
        </w:rPr>
        <w:t>、严格执行环保“三同时”制度，按要求</w:t>
      </w:r>
      <w:r>
        <w:rPr>
          <w:rFonts w:hint="eastAsia" w:ascii="仿宋_GB2312" w:hAnsi="仿宋_GB2312" w:cs="仿宋_GB2312"/>
          <w:color w:val="auto"/>
          <w:szCs w:val="32"/>
        </w:rPr>
        <w:t>申领</w:t>
      </w:r>
      <w:r>
        <w:rPr>
          <w:rFonts w:hint="eastAsia" w:ascii="仿宋_GB2312" w:hAnsi="仿宋_GB2312" w:cs="仿宋_GB2312"/>
          <w:szCs w:val="32"/>
        </w:rPr>
        <w:t>排污许可证，按规定程序实施竣工环境保护验收，经验收合格后方可正式投产。</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八、</w:t>
      </w:r>
      <w:r>
        <w:rPr>
          <w:rFonts w:hint="eastAsia" w:ascii="仿宋_GB2312" w:hAnsi="仿宋_GB2312" w:cs="仿宋_GB2312"/>
          <w:szCs w:val="32"/>
        </w:rPr>
        <w:t>本批复有效期为5年，如该项目逾期方开工建设，其环境影响报告书应报我局重新审核。如项目建设发生重大变动，应重新进行环境影响评价。</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cs="仿宋_GB2312"/>
          <w:szCs w:val="32"/>
        </w:rPr>
      </w:pPr>
      <w:r>
        <w:rPr>
          <w:rFonts w:hint="eastAsia" w:ascii="仿宋_GB2312" w:hAnsi="仿宋_GB2312" w:cs="仿宋_GB2312"/>
          <w:szCs w:val="32"/>
          <w:lang w:eastAsia="zh-CN"/>
        </w:rPr>
        <w:t>九</w:t>
      </w:r>
      <w:r>
        <w:rPr>
          <w:rFonts w:hint="eastAsia" w:ascii="仿宋_GB2312" w:hAnsi="仿宋_GB2312" w:cs="仿宋_GB2312"/>
          <w:szCs w:val="32"/>
        </w:rPr>
        <w:t>、今后国家或我省颁布严于本批复污染物排放限值的新标准，届时你公司应按新的排放标准执行。</w:t>
      </w:r>
    </w:p>
    <w:p>
      <w:pPr>
        <w:pStyle w:val="7"/>
        <w:keepNext w:val="0"/>
        <w:keepLines w:val="0"/>
        <w:pageBreakBefore w:val="0"/>
        <w:kinsoku/>
        <w:wordWrap/>
        <w:overflowPunct/>
        <w:topLinePunct w:val="0"/>
        <w:autoSpaceDE/>
        <w:autoSpaceDN/>
        <w:bidi w:val="0"/>
        <w:adjustRightInd w:val="0"/>
        <w:snapToGrid w:val="0"/>
        <w:spacing w:before="0" w:beforeAutospacing="0" w:after="0" w:afterAutospacing="0" w:line="560" w:lineRule="exact"/>
        <w:ind w:firstLine="5600" w:firstLineChars="2000"/>
        <w:jc w:val="both"/>
        <w:textAlignment w:val="auto"/>
        <w:rPr>
          <w:rFonts w:ascii="Times New Roman" w:hAnsi="Times New Roman" w:cs="Times New Roman"/>
          <w:color w:val="FF0000"/>
          <w:sz w:val="28"/>
          <w:szCs w:val="28"/>
          <w:highlight w:val="yellow"/>
        </w:rPr>
      </w:pPr>
    </w:p>
    <w:p>
      <w:pPr>
        <w:keepNext w:val="0"/>
        <w:keepLines w:val="0"/>
        <w:pageBreakBefore w:val="0"/>
        <w:widowControl w:val="0"/>
        <w:kinsoku/>
        <w:wordWrap/>
        <w:overflowPunct/>
        <w:topLinePunct w:val="0"/>
        <w:autoSpaceDE/>
        <w:autoSpaceDN/>
        <w:bidi w:val="0"/>
        <w:adjustRightInd w:val="0"/>
        <w:snapToGrid w:val="0"/>
        <w:spacing w:before="469" w:beforeLines="150" w:line="560" w:lineRule="exact"/>
        <w:jc w:val="center"/>
        <w:textAlignment w:val="auto"/>
        <w:rPr>
          <w:rFonts w:hint="default" w:ascii="仿宋_GB2312" w:hAnsi="仿宋_GB2312" w:eastAsia="仿宋_GB2312" w:cs="仿宋_GB2312"/>
          <w:szCs w:val="32"/>
          <w:lang w:val="en-US" w:eastAsia="zh-CN"/>
        </w:rPr>
      </w:pPr>
      <w:r>
        <w:rPr>
          <w:rFonts w:hint="eastAsia" w:ascii="仿宋_GB2312" w:hAnsi="仿宋_GB2312" w:cs="仿宋_GB2312"/>
          <w:szCs w:val="32"/>
        </w:rPr>
        <w:t xml:space="preserve">                    </w:t>
      </w:r>
      <w:r>
        <w:rPr>
          <w:rFonts w:hint="eastAsia" w:ascii="仿宋_GB2312" w:hAnsi="仿宋_GB2312" w:cs="仿宋_GB2312"/>
          <w:szCs w:val="32"/>
          <w:highlight w:val="none"/>
        </w:rPr>
        <w:t>202</w:t>
      </w:r>
      <w:r>
        <w:rPr>
          <w:rFonts w:hint="eastAsia" w:ascii="仿宋_GB2312" w:hAnsi="仿宋_GB2312" w:cs="仿宋_GB2312"/>
          <w:szCs w:val="32"/>
          <w:highlight w:val="none"/>
          <w:lang w:val="en-US" w:eastAsia="zh-CN"/>
        </w:rPr>
        <w:t>5</w:t>
      </w:r>
      <w:r>
        <w:rPr>
          <w:rFonts w:hint="eastAsia" w:ascii="仿宋_GB2312" w:hAnsi="仿宋_GB2312" w:cs="仿宋_GB2312"/>
          <w:szCs w:val="32"/>
          <w:highlight w:val="none"/>
        </w:rPr>
        <w:t>年</w:t>
      </w:r>
      <w:r>
        <w:rPr>
          <w:rFonts w:hint="eastAsia" w:ascii="仿宋_GB2312" w:hAnsi="仿宋_GB2312" w:cs="仿宋_GB2312"/>
          <w:szCs w:val="32"/>
          <w:highlight w:val="none"/>
          <w:lang w:val="en-US" w:eastAsia="zh-CN"/>
        </w:rPr>
        <w:t>4</w:t>
      </w:r>
      <w:bookmarkStart w:id="2" w:name="_GoBack"/>
      <w:bookmarkEnd w:id="2"/>
      <w:r>
        <w:rPr>
          <w:rFonts w:hint="eastAsia" w:ascii="仿宋_GB2312" w:hAnsi="仿宋_GB2312" w:cs="仿宋_GB2312"/>
          <w:szCs w:val="32"/>
          <w:highlight w:val="none"/>
        </w:rPr>
        <w:t>月</w:t>
      </w:r>
      <w:r>
        <w:rPr>
          <w:rFonts w:hint="eastAsia" w:ascii="仿宋_GB2312" w:hAnsi="仿宋_GB2312" w:cs="仿宋_GB2312"/>
          <w:szCs w:val="32"/>
          <w:highlight w:val="none"/>
          <w:lang w:val="en-US" w:eastAsia="zh-CN"/>
        </w:rPr>
        <w:t>22</w:t>
      </w:r>
      <w:r>
        <w:rPr>
          <w:rFonts w:hint="eastAsia" w:ascii="仿宋_GB2312" w:hAnsi="仿宋_GB2312" w:cs="仿宋_GB2312"/>
          <w:szCs w:val="32"/>
          <w:highlight w:val="none"/>
        </w:rPr>
        <w:t>日</w:t>
      </w:r>
      <w:r>
        <w:rPr>
          <w:rFonts w:hint="eastAsia" w:ascii="仿宋_GB2312" w:hAnsi="仿宋_GB2312" w:cs="仿宋_GB2312"/>
          <w:szCs w:val="32"/>
          <w:highlight w:val="none"/>
          <w:lang w:val="en-US" w:eastAsia="zh-CN"/>
        </w:rPr>
        <w:t xml:space="preserve">        </w:t>
      </w:r>
    </w:p>
    <w:sectPr>
      <w:pgSz w:w="11906" w:h="16838"/>
      <w:pgMar w:top="1440" w:right="1800" w:bottom="1406"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1"/>
    <w:family w:val="auto"/>
    <w:pitch w:val="default"/>
    <w:sig w:usb0="00000000" w:usb1="00000000" w:usb2="00000009" w:usb3="00000000" w:csb0="400001FF" w:csb1="FFFF0000"/>
  </w:font>
  <w:font w:name="宋体">
    <w:altName w:val="方正书宋_GBK"/>
    <w:panose1 w:val="02010600030101010101"/>
    <w:charset w:val="86"/>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F6CBF44"/>
    <w:multiLevelType w:val="singleLevel"/>
    <w:tmpl w:val="EF6CBF4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6"/>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iODk5NzEzNDY0MjliZDA4ZDlhNzg3NTU0YmYzYTgifQ=="/>
  </w:docVars>
  <w:rsids>
    <w:rsidRoot w:val="0069188B"/>
    <w:rsid w:val="0058415F"/>
    <w:rsid w:val="0069188B"/>
    <w:rsid w:val="007D257E"/>
    <w:rsid w:val="00960770"/>
    <w:rsid w:val="00D47549"/>
    <w:rsid w:val="03D71CDD"/>
    <w:rsid w:val="066F782F"/>
    <w:rsid w:val="06A17339"/>
    <w:rsid w:val="06FF3E09"/>
    <w:rsid w:val="094A3D40"/>
    <w:rsid w:val="0BFB0460"/>
    <w:rsid w:val="0F70383F"/>
    <w:rsid w:val="0FB91C64"/>
    <w:rsid w:val="13FF5997"/>
    <w:rsid w:val="147422CF"/>
    <w:rsid w:val="150F2E19"/>
    <w:rsid w:val="16DD0965"/>
    <w:rsid w:val="1A085187"/>
    <w:rsid w:val="1AAA57BA"/>
    <w:rsid w:val="1D784BE5"/>
    <w:rsid w:val="1FC702E1"/>
    <w:rsid w:val="1FCEC6C8"/>
    <w:rsid w:val="22072167"/>
    <w:rsid w:val="24B7634F"/>
    <w:rsid w:val="2579116C"/>
    <w:rsid w:val="257F031C"/>
    <w:rsid w:val="267BA792"/>
    <w:rsid w:val="276930F2"/>
    <w:rsid w:val="27704D7D"/>
    <w:rsid w:val="27AC35F6"/>
    <w:rsid w:val="299A1C85"/>
    <w:rsid w:val="2B827534"/>
    <w:rsid w:val="2D4A15DA"/>
    <w:rsid w:val="326E658A"/>
    <w:rsid w:val="36FC55AB"/>
    <w:rsid w:val="36FE2A64"/>
    <w:rsid w:val="37DF3618"/>
    <w:rsid w:val="38762BD1"/>
    <w:rsid w:val="3BF10EB2"/>
    <w:rsid w:val="42A66781"/>
    <w:rsid w:val="45693CEF"/>
    <w:rsid w:val="468D619F"/>
    <w:rsid w:val="471F3194"/>
    <w:rsid w:val="47C65C99"/>
    <w:rsid w:val="4977D5F4"/>
    <w:rsid w:val="49E06EE9"/>
    <w:rsid w:val="4AC77B89"/>
    <w:rsid w:val="4C3E1A99"/>
    <w:rsid w:val="4DC424F6"/>
    <w:rsid w:val="4FFEBF2C"/>
    <w:rsid w:val="508C759D"/>
    <w:rsid w:val="5BD4863C"/>
    <w:rsid w:val="5BDE66F4"/>
    <w:rsid w:val="5C1D5342"/>
    <w:rsid w:val="5DD9FEEC"/>
    <w:rsid w:val="5DF6C1AD"/>
    <w:rsid w:val="5F9000D9"/>
    <w:rsid w:val="5FED41D7"/>
    <w:rsid w:val="60BF5BC6"/>
    <w:rsid w:val="620C23B5"/>
    <w:rsid w:val="66EB2BF0"/>
    <w:rsid w:val="676B2340"/>
    <w:rsid w:val="681FB6AB"/>
    <w:rsid w:val="68746DC1"/>
    <w:rsid w:val="68C8732F"/>
    <w:rsid w:val="692D6F40"/>
    <w:rsid w:val="698A44E3"/>
    <w:rsid w:val="69CB13AE"/>
    <w:rsid w:val="69D1357C"/>
    <w:rsid w:val="6A3F0691"/>
    <w:rsid w:val="6BB460C7"/>
    <w:rsid w:val="6CDD8372"/>
    <w:rsid w:val="6FAE71C8"/>
    <w:rsid w:val="6FF39570"/>
    <w:rsid w:val="71A34B55"/>
    <w:rsid w:val="72E045F8"/>
    <w:rsid w:val="739858FD"/>
    <w:rsid w:val="73F71988"/>
    <w:rsid w:val="75D19977"/>
    <w:rsid w:val="765D951E"/>
    <w:rsid w:val="775D48DF"/>
    <w:rsid w:val="77BFD389"/>
    <w:rsid w:val="77FB60E8"/>
    <w:rsid w:val="77FE62CD"/>
    <w:rsid w:val="78F82FF6"/>
    <w:rsid w:val="7AB310BF"/>
    <w:rsid w:val="7AEC75BE"/>
    <w:rsid w:val="7B696311"/>
    <w:rsid w:val="7D8B6583"/>
    <w:rsid w:val="7DD4CBE3"/>
    <w:rsid w:val="7DFBDE1E"/>
    <w:rsid w:val="7EB61382"/>
    <w:rsid w:val="7EB729D4"/>
    <w:rsid w:val="7EC3B19F"/>
    <w:rsid w:val="7EC62889"/>
    <w:rsid w:val="7EFD4D79"/>
    <w:rsid w:val="7EFF0948"/>
    <w:rsid w:val="7F0062EE"/>
    <w:rsid w:val="7FDEF7ED"/>
    <w:rsid w:val="7FFA7282"/>
    <w:rsid w:val="8FBF35A2"/>
    <w:rsid w:val="9ECA2231"/>
    <w:rsid w:val="A7F78CB8"/>
    <w:rsid w:val="AAEB74A9"/>
    <w:rsid w:val="ACFF4B7F"/>
    <w:rsid w:val="AFD6D014"/>
    <w:rsid w:val="B6BF12A8"/>
    <w:rsid w:val="BCB95EEC"/>
    <w:rsid w:val="BDFF08F9"/>
    <w:rsid w:val="BEBE1A3A"/>
    <w:rsid w:val="BFDA6DE1"/>
    <w:rsid w:val="CF77FEC5"/>
    <w:rsid w:val="D7FA0409"/>
    <w:rsid w:val="D87F9C54"/>
    <w:rsid w:val="DD6FBB4B"/>
    <w:rsid w:val="DF5F2A87"/>
    <w:rsid w:val="DF7D9879"/>
    <w:rsid w:val="E6EFCD66"/>
    <w:rsid w:val="E7FFF782"/>
    <w:rsid w:val="EECBC687"/>
    <w:rsid w:val="EEFE373E"/>
    <w:rsid w:val="F3DF6345"/>
    <w:rsid w:val="F8DF557C"/>
    <w:rsid w:val="F9730375"/>
    <w:rsid w:val="FABF2ED0"/>
    <w:rsid w:val="FBADB82F"/>
    <w:rsid w:val="FBBB0AE3"/>
    <w:rsid w:val="FDB5B657"/>
    <w:rsid w:val="FE5FF895"/>
    <w:rsid w:val="FF731D70"/>
    <w:rsid w:val="FF78A275"/>
    <w:rsid w:val="FF7FB40F"/>
    <w:rsid w:val="FFBF32AE"/>
    <w:rsid w:val="FFD79C2A"/>
    <w:rsid w:val="FFE7408B"/>
    <w:rsid w:val="FFEFEC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仿宋_GB2312" w:cs="Times New Roman"/>
      <w:kern w:val="2"/>
      <w:sz w:val="32"/>
      <w:szCs w:val="24"/>
      <w:lang w:val="en-US" w:eastAsia="zh-CN" w:bidi="ar-SA"/>
    </w:rPr>
  </w:style>
  <w:style w:type="paragraph" w:styleId="3">
    <w:name w:val="heading 1"/>
    <w:basedOn w:val="1"/>
    <w:next w:val="1"/>
    <w:qFormat/>
    <w:uiPriority w:val="0"/>
    <w:pPr>
      <w:keepNext/>
      <w:spacing w:line="360" w:lineRule="auto"/>
      <w:ind w:firstLine="0" w:firstLineChars="0"/>
      <w:jc w:val="center"/>
      <w:outlineLvl w:val="0"/>
    </w:pPr>
    <w:rPr>
      <w:rFonts w:ascii="宋体" w:hAnsi="宋体" w:eastAsia="宋体" w:cs="Times New Roman"/>
      <w:b/>
      <w:sz w:val="44"/>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next w:val="1"/>
    <w:unhideWhenUsed/>
    <w:qFormat/>
    <w:uiPriority w:val="99"/>
    <w:pPr>
      <w:spacing w:after="120" w:line="480" w:lineRule="auto"/>
      <w:ind w:left="420" w:leftChars="200"/>
    </w:pPr>
  </w:style>
  <w:style w:type="paragraph" w:styleId="4">
    <w:name w:val="toa heading"/>
    <w:basedOn w:val="1"/>
    <w:next w:val="1"/>
    <w:semiHidden/>
    <w:qFormat/>
    <w:uiPriority w:val="0"/>
    <w:pPr>
      <w:spacing w:before="120"/>
    </w:pPr>
    <w:rPr>
      <w:rFonts w:ascii="Arial" w:hAnsi="Arial" w:cs="Arial"/>
      <w:sz w:val="24"/>
    </w:rPr>
  </w:style>
  <w:style w:type="paragraph" w:styleId="5">
    <w:name w:val="footer"/>
    <w:basedOn w:val="1"/>
    <w:link w:val="11"/>
    <w:qFormat/>
    <w:uiPriority w:val="0"/>
    <w:pPr>
      <w:tabs>
        <w:tab w:val="center" w:pos="4153"/>
        <w:tab w:val="right" w:pos="8306"/>
      </w:tabs>
      <w:snapToGrid w:val="0"/>
      <w:jc w:val="left"/>
    </w:pPr>
    <w:rPr>
      <w:sz w:val="18"/>
      <w:szCs w:val="18"/>
    </w:rPr>
  </w:style>
  <w:style w:type="paragraph" w:styleId="6">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qFormat/>
    <w:uiPriority w:val="99"/>
    <w:pPr>
      <w:widowControl/>
      <w:spacing w:before="100" w:beforeAutospacing="1" w:after="100" w:afterAutospacing="1"/>
      <w:jc w:val="left"/>
    </w:pPr>
    <w:rPr>
      <w:rFonts w:eastAsia="宋体" w:cs="宋体"/>
      <w:kern w:val="0"/>
      <w:sz w:val="24"/>
    </w:rPr>
  </w:style>
  <w:style w:type="character" w:customStyle="1" w:styleId="10">
    <w:name w:val="页眉 Char"/>
    <w:basedOn w:val="9"/>
    <w:link w:val="6"/>
    <w:qFormat/>
    <w:uiPriority w:val="0"/>
    <w:rPr>
      <w:rFonts w:ascii="宋体" w:hAnsi="宋体" w:eastAsia="仿宋_GB2312" w:cs="Times New Roman"/>
      <w:kern w:val="2"/>
      <w:sz w:val="18"/>
      <w:szCs w:val="18"/>
    </w:rPr>
  </w:style>
  <w:style w:type="character" w:customStyle="1" w:styleId="11">
    <w:name w:val="页脚 Char"/>
    <w:basedOn w:val="9"/>
    <w:link w:val="5"/>
    <w:qFormat/>
    <w:uiPriority w:val="0"/>
    <w:rPr>
      <w:rFonts w:ascii="宋体" w:hAnsi="宋体" w:eastAsia="仿宋_GB2312"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4</Pages>
  <Words>1722</Words>
  <Characters>1816</Characters>
  <Lines>14</Lines>
  <Paragraphs>4</Paragraphs>
  <TotalTime>6</TotalTime>
  <ScaleCrop>false</ScaleCrop>
  <LinksUpToDate>false</LinksUpToDate>
  <CharactersWithSpaces>1844</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2023-12-12T01:26:00Z</dcterms:created>
  <dc:creator>jia</dc:creator>
  <cp:lastModifiedBy>柑橘与柠檬吖</cp:lastModifiedBy>
  <cp:lastPrinted>2025-03-29T16:42:00Z</cp:lastPrinted>
  <dcterms:modified xsi:type="dcterms:W3CDTF">2025-04-22T08:48:02Z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5C74353C58DA4B739876D2B8D0F6F022</vt:lpwstr>
  </property>
  <property fmtid="{D5CDD505-2E9C-101B-9397-08002B2CF9AE}" pid="4" name="KSOTemplateDocerSaveRecord">
    <vt:lpwstr>eyJoZGlkIjoiMDM0NTZjNTRiNGFlZTMyNjJlZTEyN2FkNGU0N2FhOTciLCJ1c2VySWQiOiI0NTYyMTUyMzQifQ==</vt:lpwstr>
  </property>
</Properties>
</file>