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wordWrap w:val="0"/>
        <w:spacing w:before="156" w:beforeLines="50" w:line="560" w:lineRule="exact"/>
        <w:jc w:val="right"/>
        <w:rPr>
          <w:rFonts w:ascii="仿宋_GB2312" w:hAnsi="仿宋_GB2312" w:cs="仿宋_GB2312"/>
          <w:szCs w:val="32"/>
          <w:highlight w:val="none"/>
        </w:rPr>
      </w:pPr>
      <w:r>
        <w:rPr>
          <w:rFonts w:ascii="仿宋_GB2312" w:hAnsi="仿宋_GB2312" w:cs="仿宋_GB2312"/>
          <w:szCs w:val="32"/>
          <w:highlight w:val="none"/>
        </w:rPr>
        <w:t>济环审〔202</w:t>
      </w:r>
      <w:r>
        <w:rPr>
          <w:rFonts w:hint="eastAsia" w:ascii="仿宋_GB2312" w:hAnsi="仿宋_GB2312" w:cs="仿宋_GB2312"/>
          <w:szCs w:val="32"/>
          <w:highlight w:val="none"/>
          <w:lang w:val="en-US" w:eastAsia="zh-CN"/>
        </w:rPr>
        <w:t>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12</w:t>
      </w:r>
      <w:r>
        <w:rPr>
          <w:rFonts w:ascii="仿宋_GB2312" w:hAnsi="仿宋_GB2312" w:cs="仿宋_GB2312"/>
          <w:szCs w:val="32"/>
          <w:highlight w:val="none"/>
        </w:rPr>
        <w:t>号</w:t>
      </w:r>
    </w:p>
    <w:p>
      <w:pPr>
        <w:widowControl/>
        <w:spacing w:line="660" w:lineRule="exact"/>
        <w:jc w:val="center"/>
        <w:rPr>
          <w:rFonts w:ascii="方正小标宋简体" w:hAnsi="方正小标宋简体" w:eastAsia="方正小标宋简体" w:cs="方正小标宋简体"/>
          <w:kern w:val="0"/>
          <w:sz w:val="44"/>
          <w:szCs w:val="44"/>
        </w:rPr>
      </w:pP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关于河南豫光金铅股份有限公司</w:t>
      </w: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泛半导体先进稀贵金属材料智造项目</w:t>
      </w: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环境影响报告书的批复</w:t>
      </w:r>
    </w:p>
    <w:p>
      <w:pPr>
        <w:snapToGrid w:val="0"/>
        <w:spacing w:line="560" w:lineRule="exact"/>
        <w:rPr>
          <w:rFonts w:ascii="仿宋_GB2312" w:hAnsi="仿宋_GB2312" w:cs="仿宋_GB2312"/>
          <w:szCs w:val="32"/>
        </w:rPr>
      </w:pPr>
    </w:p>
    <w:p>
      <w:pPr>
        <w:adjustRightInd w:val="0"/>
        <w:snapToGrid w:val="0"/>
        <w:spacing w:line="560" w:lineRule="exact"/>
        <w:rPr>
          <w:rFonts w:ascii="仿宋_GB2312" w:hAnsi="仿宋_GB2312" w:cs="仿宋_GB2312"/>
          <w:szCs w:val="32"/>
        </w:rPr>
      </w:pPr>
      <w:r>
        <w:rPr>
          <w:rFonts w:ascii="仿宋_GB2312" w:hAnsi="仿宋_GB2312" w:cs="仿宋_GB2312"/>
          <w:szCs w:val="32"/>
        </w:rPr>
        <w:t>河南豫光金铅股份有限公司</w:t>
      </w:r>
      <w:r>
        <w:rPr>
          <w:rFonts w:hint="eastAsia" w:ascii="仿宋_GB2312" w:hAnsi="仿宋_GB2312" w:cs="仿宋_GB2312"/>
          <w:szCs w:val="32"/>
        </w:rPr>
        <w:t>：</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你单位（统一社会信用代码：</w:t>
      </w:r>
      <w:r>
        <w:rPr>
          <w:rFonts w:ascii="仿宋_GB2312" w:hAnsi="仿宋_GB2312" w:cs="仿宋_GB2312"/>
          <w:szCs w:val="32"/>
        </w:rPr>
        <w:t>9141000071917196XY</w:t>
      </w:r>
      <w:r>
        <w:rPr>
          <w:rFonts w:hint="eastAsia" w:ascii="仿宋_GB2312" w:hAnsi="仿宋_GB2312" w:cs="仿宋_GB2312"/>
          <w:szCs w:val="32"/>
        </w:rPr>
        <w:t>）报送的由中色科技股份有限公司</w:t>
      </w:r>
      <w:r>
        <w:rPr>
          <w:rFonts w:hint="eastAsia" w:ascii="仿宋_GB2312" w:hAnsi="仿宋_GB2312" w:cs="仿宋_GB2312"/>
          <w:szCs w:val="32"/>
          <w:lang w:val="en-US" w:eastAsia="zh-CN"/>
        </w:rPr>
        <w:t>石端晓</w:t>
      </w:r>
      <w:r>
        <w:rPr>
          <w:rFonts w:hint="eastAsia" w:ascii="仿宋_GB2312" w:hAnsi="仿宋_GB2312" w:cs="仿宋_GB2312"/>
          <w:szCs w:val="32"/>
        </w:rPr>
        <w:t>主持编制的《</w:t>
      </w:r>
      <w:r>
        <w:rPr>
          <w:rFonts w:hint="eastAsia" w:ascii="仿宋_GB2312" w:hAnsi="仿宋_GB2312" w:cs="仿宋_GB2312"/>
          <w:szCs w:val="32"/>
          <w:lang w:eastAsia="zh-CN"/>
        </w:rPr>
        <w:t>河南豫光金铅股份有限公司泛半导体先进稀贵金属材料智造项目</w:t>
      </w:r>
      <w:r>
        <w:rPr>
          <w:rFonts w:hint="eastAsia" w:ascii="仿宋_GB2312" w:hAnsi="仿宋_GB2312" w:cs="仿宋_GB2312"/>
          <w:szCs w:val="32"/>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经研究，批复如下：</w:t>
      </w:r>
    </w:p>
    <w:p>
      <w:pPr>
        <w:numPr>
          <w:ilvl w:val="0"/>
          <w:numId w:val="1"/>
        </w:numPr>
        <w:adjustRightInd w:val="0"/>
        <w:snapToGrid w:val="0"/>
        <w:spacing w:line="560" w:lineRule="exact"/>
        <w:ind w:firstLine="640" w:firstLineChars="200"/>
        <w:rPr>
          <w:rFonts w:hint="eastAsia"/>
        </w:rPr>
      </w:pPr>
      <w:r>
        <w:rPr>
          <w:rFonts w:hint="eastAsia" w:ascii="仿宋_GB2312" w:hAnsi="仿宋_GB2312" w:cs="仿宋_GB2312"/>
          <w:szCs w:val="32"/>
        </w:rPr>
        <w:t>项目位</w:t>
      </w:r>
      <w:r>
        <w:rPr>
          <w:rFonts w:hint="eastAsia" w:ascii="仿宋_GB2312" w:hAnsi="仿宋_GB2312" w:cs="仿宋_GB2312"/>
          <w:szCs w:val="32"/>
          <w:highlight w:val="none"/>
        </w:rPr>
        <w:t>于济源经济技术开发区</w:t>
      </w:r>
      <w:r>
        <w:rPr>
          <w:rFonts w:hint="default" w:ascii="Times New Roman" w:hAnsi="Times New Roman" w:eastAsia="仿宋_GB2312" w:cs="Times New Roman"/>
          <w:sz w:val="32"/>
          <w:szCs w:val="32"/>
          <w:lang w:val="en-US" w:eastAsia="zh-CN"/>
        </w:rPr>
        <w:t>玉川二号线东侧、玉川大道北</w:t>
      </w:r>
      <w:r>
        <w:rPr>
          <w:rFonts w:hint="eastAsia" w:ascii="Times New Roman" w:hAnsi="Times New Roman" w:cs="Times New Roman"/>
          <w:sz w:val="32"/>
          <w:szCs w:val="32"/>
          <w:lang w:val="en-US" w:eastAsia="zh-CN"/>
        </w:rPr>
        <w:t>。项目为迁建项目，</w:t>
      </w:r>
      <w:r>
        <w:rPr>
          <w:rFonts w:hint="default" w:ascii="Times New Roman" w:hAnsi="Times New Roman" w:eastAsia="仿宋_GB2312" w:cs="Times New Roman"/>
          <w:sz w:val="32"/>
          <w:szCs w:val="32"/>
          <w:lang w:val="en-US" w:eastAsia="zh-CN"/>
        </w:rPr>
        <w:t>以铅阳极泥、分碲渣、铅银渣、精炼锡渣、含锌灰、废酸液等危险废物为原料，建设阳极泥底吹熔炼系统、铋回收系统、锑白回收系统、锡回收系统、硫酸锌回收系统、金银铂钯回收系统，对多种有价金属进行高效综合回收利用。</w:t>
      </w:r>
      <w:r>
        <w:rPr>
          <w:rFonts w:hint="eastAsia" w:ascii="仿宋_GB2312" w:hAnsi="仿宋_GB2312" w:cs="仿宋_GB2312"/>
          <w:szCs w:val="32"/>
        </w:rPr>
        <w:t>项目主要设备有</w:t>
      </w:r>
      <w:r>
        <w:rPr>
          <w:rFonts w:hint="eastAsia" w:ascii="仿宋_GB2312" w:hAnsi="仿宋_GB2312" w:cs="仿宋_GB2312"/>
          <w:szCs w:val="32"/>
          <w:lang w:val="en-US" w:eastAsia="zh-CN"/>
        </w:rPr>
        <w:t>贵铅炉、熔炼转炉、铋侧吹炉、锑侧吹炉、锡电炉、反应釜等</w:t>
      </w:r>
      <w:r>
        <w:rPr>
          <w:rFonts w:hint="eastAsia" w:ascii="仿宋_GB2312" w:hAnsi="仿宋_GB2312" w:cs="仿宋_GB2312"/>
          <w:szCs w:val="32"/>
        </w:rPr>
        <w:t>。</w:t>
      </w:r>
      <w:r>
        <w:rPr>
          <w:rFonts w:hint="eastAsia" w:ascii="仿宋_GB2312" w:hAnsi="仿宋_GB2312" w:cs="仿宋_GB2312"/>
          <w:szCs w:val="32"/>
          <w:lang w:eastAsia="zh-CN"/>
        </w:rPr>
        <w:t>该项目建设完成后，柿槟厂区现有贵金属冶炼分厂、综合回收分厂及氧化锌分厂锌回收线停止生产。</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二、该《报告书》内容符合国家有关法律法规要求和建设项目环境管理规定，评价结论可信。我局批准该《报告书》，原则同意你公司按照《报告书》所列项目的性质、规模、地点及环境保护对策措施等内容进行建设。</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（二）依据《报告书》和本批复文件，对项目建设过程中产生的废水、废气、固体废物、噪声等污染，采取相应的措施，做好扬尘防治工作。</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（三）项目运行时，外排污染物应满足如下要求：</w:t>
      </w:r>
    </w:p>
    <w:p>
      <w:pPr>
        <w:adjustRightInd w:val="0"/>
        <w:snapToGrid w:val="0"/>
        <w:spacing w:line="560" w:lineRule="exact"/>
        <w:ind w:firstLine="640" w:firstLineChars="200"/>
        <w:rPr>
          <w:rFonts w:hint="eastAsia" w:ascii="仿宋_GB2312" w:hAnsi="仿宋_GB2312" w:cs="仿宋_GB2312"/>
          <w:szCs w:val="32"/>
          <w:highlight w:val="none"/>
        </w:rPr>
      </w:pPr>
      <w:r>
        <w:rPr>
          <w:rFonts w:hint="eastAsia" w:ascii="仿宋_GB2312" w:hAnsi="仿宋_GB2312" w:cs="仿宋_GB2312"/>
          <w:szCs w:val="32"/>
        </w:rPr>
        <w:t>1.废气：项目应采取合理措施，加强废气的收集和处理，减少生产过程中的无组织废气排放。各项废气经处理后</w:t>
      </w:r>
      <w:r>
        <w:rPr>
          <w:rFonts w:hint="eastAsia" w:ascii="仿宋_GB2312" w:hAnsi="仿宋_GB2312" w:cs="仿宋_GB2312"/>
          <w:szCs w:val="32"/>
          <w:lang w:eastAsia="zh-CN"/>
        </w:rPr>
        <w:t>须</w:t>
      </w:r>
      <w:r>
        <w:rPr>
          <w:rFonts w:hint="eastAsia" w:ascii="仿宋_GB2312" w:hAnsi="仿宋_GB2312" w:cs="仿宋_GB2312"/>
          <w:szCs w:val="32"/>
        </w:rPr>
        <w:t>满足</w:t>
      </w:r>
      <w:r>
        <w:rPr>
          <w:rFonts w:hint="default" w:ascii="Times New Roman" w:hAnsi="Times New Roman" w:eastAsia="仿宋_GB2312" w:cs="Times New Roman"/>
          <w:sz w:val="32"/>
          <w:szCs w:val="32"/>
        </w:rPr>
        <w:t>《工业炉窑大气污染物排放标准》（DB41/1066-2020）、《大气污染物综合排放标准》（GB16297-1996）、《恶臭污染物排放标准》（GB14554-93）</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《再生铜、铝、铅、锌工业污染物排放标准》（GB31574-2015）大气污染物特别限值要求</w:t>
      </w:r>
      <w:r>
        <w:rPr>
          <w:rFonts w:hint="default" w:ascii="Times New Roman" w:hAnsi="Times New Roman" w:eastAsia="仿宋_GB2312" w:cs="Times New Roman"/>
          <w:sz w:val="32"/>
          <w:szCs w:val="32"/>
          <w:highlight w:val="none"/>
          <w:lang w:eastAsia="zh-CN"/>
        </w:rPr>
        <w:t>、《餐饮业油烟污染物排放标准》（DB41/1604-2018）</w:t>
      </w:r>
      <w:r>
        <w:rPr>
          <w:rFonts w:hint="default" w:ascii="Times New Roman" w:hAnsi="Times New Roman" w:eastAsia="仿宋_GB2312" w:cs="Times New Roman"/>
          <w:sz w:val="32"/>
          <w:szCs w:val="32"/>
          <w:highlight w:val="none"/>
        </w:rPr>
        <w:t>。</w:t>
      </w:r>
    </w:p>
    <w:p>
      <w:pPr>
        <w:adjustRightInd w:val="0"/>
        <w:snapToGrid w:val="0"/>
        <w:spacing w:line="560" w:lineRule="exact"/>
        <w:ind w:firstLine="640" w:firstLineChars="200"/>
        <w:rPr>
          <w:rFonts w:hint="eastAsia" w:ascii="仿宋_GB2312" w:hAnsi="仿宋_GB2312" w:eastAsia="仿宋_GB2312" w:cs="仿宋_GB2312"/>
          <w:szCs w:val="32"/>
          <w:lang w:eastAsia="zh-CN"/>
        </w:rPr>
      </w:pPr>
      <w:r>
        <w:rPr>
          <w:rFonts w:hint="eastAsia" w:ascii="仿宋_GB2312" w:hAnsi="仿宋_GB2312" w:cs="仿宋_GB2312"/>
          <w:szCs w:val="32"/>
        </w:rPr>
        <w:t>2.废水：按照“雨污分流、清污分流、污污分治、深度处理、分质回用”的原则将各类废水收集处理，分质回用。</w:t>
      </w:r>
      <w:r>
        <w:rPr>
          <w:rFonts w:ascii="仿宋_GB2312" w:hAnsi="仿宋_GB2312" w:cs="仿宋_GB2312"/>
          <w:szCs w:val="32"/>
        </w:rPr>
        <w:t>项目</w:t>
      </w:r>
      <w:r>
        <w:rPr>
          <w:rFonts w:hint="eastAsia" w:ascii="仿宋_GB2312" w:hAnsi="仿宋_GB2312" w:cs="仿宋_GB2312"/>
          <w:szCs w:val="32"/>
        </w:rPr>
        <w:t>含重金属</w:t>
      </w:r>
      <w:r>
        <w:rPr>
          <w:rFonts w:ascii="仿宋_GB2312" w:hAnsi="仿宋_GB2312" w:cs="仿宋_GB2312"/>
          <w:szCs w:val="32"/>
        </w:rPr>
        <w:t>生产废水</w:t>
      </w:r>
      <w:r>
        <w:rPr>
          <w:rFonts w:hint="eastAsia" w:ascii="仿宋_GB2312" w:hAnsi="仿宋_GB2312" w:cs="仿宋_GB2312"/>
          <w:szCs w:val="32"/>
        </w:rPr>
        <w:t>经酸性废水处理站</w:t>
      </w:r>
      <w:r>
        <w:rPr>
          <w:rFonts w:hint="eastAsia" w:ascii="仿宋_GB2312" w:hAnsi="仿宋_GB2312" w:cs="仿宋_GB2312"/>
          <w:szCs w:val="32"/>
          <w:lang w:eastAsia="zh-CN"/>
        </w:rPr>
        <w:t>、</w:t>
      </w:r>
      <w:r>
        <w:rPr>
          <w:rFonts w:hint="eastAsia" w:ascii="仿宋_GB2312" w:hAnsi="仿宋_GB2312" w:cs="仿宋_GB2312"/>
          <w:szCs w:val="32"/>
          <w:lang w:val="en-US" w:eastAsia="zh-CN"/>
        </w:rPr>
        <w:t>初期雨水处理站</w:t>
      </w:r>
      <w:r>
        <w:rPr>
          <w:rFonts w:hint="eastAsia" w:ascii="仿宋_GB2312" w:hAnsi="仿宋_GB2312" w:cs="仿宋_GB2312"/>
          <w:szCs w:val="32"/>
        </w:rPr>
        <w:t>处理后全部回用不外排；</w:t>
      </w:r>
      <w:r>
        <w:rPr>
          <w:rFonts w:hint="eastAsia" w:ascii="仿宋_GB2312" w:hAnsi="仿宋_GB2312" w:cs="仿宋_GB2312"/>
          <w:szCs w:val="32"/>
          <w:highlight w:val="none"/>
          <w:lang w:val="en-US" w:eastAsia="zh-CN"/>
        </w:rPr>
        <w:t>其他</w:t>
      </w:r>
      <w:r>
        <w:rPr>
          <w:rFonts w:hint="eastAsia" w:ascii="仿宋_GB2312" w:hAnsi="仿宋_GB2312" w:cs="仿宋_GB2312"/>
          <w:szCs w:val="32"/>
          <w:highlight w:val="none"/>
        </w:rPr>
        <w:t>一般生产废水经一般生产废水处理站处理达标后与生化处理后的一般生活污水排入济源市玉川城建污水处理厂，</w:t>
      </w:r>
      <w:r>
        <w:rPr>
          <w:rFonts w:hint="eastAsia" w:ascii="仿宋_GB2312" w:hAnsi="仿宋_GB2312" w:cs="仿宋_GB2312"/>
          <w:szCs w:val="32"/>
          <w:highlight w:val="none"/>
          <w:lang w:val="en-US" w:eastAsia="zh-CN"/>
        </w:rPr>
        <w:t>外排废</w:t>
      </w:r>
      <w:r>
        <w:rPr>
          <w:rFonts w:hint="eastAsia" w:ascii="仿宋_GB2312" w:hAnsi="仿宋_GB2312" w:cs="仿宋_GB2312"/>
          <w:szCs w:val="32"/>
          <w:lang w:val="en-US" w:eastAsia="zh-CN"/>
        </w:rPr>
        <w:t>水应</w:t>
      </w:r>
      <w:r>
        <w:rPr>
          <w:rFonts w:hint="eastAsia" w:ascii="仿宋_GB2312" w:hAnsi="仿宋_GB2312" w:cs="仿宋_GB2312"/>
          <w:szCs w:val="32"/>
        </w:rPr>
        <w:t>满足《污水综合排放标准》（GB8978-1996）表4三级排放要求</w:t>
      </w:r>
      <w:r>
        <w:rPr>
          <w:rFonts w:hint="eastAsia" w:ascii="仿宋_GB2312" w:hAnsi="仿宋_GB2312" w:cs="仿宋_GB2312"/>
          <w:szCs w:val="32"/>
          <w:lang w:eastAsia="zh-CN"/>
        </w:rPr>
        <w:t>及</w:t>
      </w:r>
      <w:r>
        <w:rPr>
          <w:rFonts w:hint="eastAsia" w:ascii="仿宋_GB2312" w:hAnsi="仿宋_GB2312" w:cs="仿宋_GB2312"/>
          <w:szCs w:val="32"/>
        </w:rPr>
        <w:t>污水处理厂收水水质要求</w:t>
      </w:r>
      <w:r>
        <w:rPr>
          <w:rFonts w:hint="eastAsia" w:ascii="仿宋_GB2312" w:hAnsi="仿宋_GB2312" w:cs="仿宋_GB2312"/>
          <w:szCs w:val="32"/>
          <w:lang w:eastAsia="zh-CN"/>
        </w:rPr>
        <w:t>；</w:t>
      </w:r>
      <w:r>
        <w:rPr>
          <w:rFonts w:hint="eastAsia" w:ascii="仿宋_GB2312" w:hAnsi="仿宋_GB2312" w:cs="仿宋_GB2312"/>
          <w:szCs w:val="32"/>
        </w:rPr>
        <w:t>纯水、软水制备</w:t>
      </w:r>
      <w:r>
        <w:rPr>
          <w:rFonts w:hint="eastAsia" w:ascii="仿宋_GB2312" w:hAnsi="仿宋_GB2312" w:cs="仿宋_GB2312"/>
          <w:szCs w:val="32"/>
          <w:lang w:eastAsia="zh-CN"/>
        </w:rPr>
        <w:t>及</w:t>
      </w:r>
      <w:r>
        <w:rPr>
          <w:rFonts w:hint="eastAsia" w:ascii="仿宋_GB2312" w:hAnsi="仿宋_GB2312" w:cs="仿宋_GB2312"/>
          <w:szCs w:val="32"/>
        </w:rPr>
        <w:t>排水依托豫光冶炼一厂</w:t>
      </w:r>
      <w:r>
        <w:rPr>
          <w:rFonts w:hint="eastAsia" w:ascii="仿宋_GB2312" w:hAnsi="仿宋_GB2312" w:cs="仿宋_GB2312"/>
          <w:szCs w:val="32"/>
          <w:highlight w:val="none"/>
        </w:rPr>
        <w:t>，</w:t>
      </w:r>
      <w:r>
        <w:rPr>
          <w:rFonts w:hint="eastAsia" w:ascii="仿宋_GB2312" w:hAnsi="仿宋_GB2312" w:cs="仿宋_GB2312"/>
          <w:szCs w:val="32"/>
        </w:rPr>
        <w:t>外排</w:t>
      </w:r>
      <w:r>
        <w:rPr>
          <w:rFonts w:hint="eastAsia" w:ascii="仿宋_GB2312" w:hAnsi="仿宋_GB2312" w:cs="仿宋_GB2312"/>
          <w:szCs w:val="32"/>
          <w:highlight w:val="none"/>
        </w:rPr>
        <w:t>废水应</w:t>
      </w:r>
      <w:r>
        <w:rPr>
          <w:rFonts w:ascii="仿宋_GB2312" w:hAnsi="仿宋_GB2312" w:cs="仿宋_GB2312"/>
          <w:szCs w:val="32"/>
          <w:highlight w:val="none"/>
        </w:rPr>
        <w:t>满足</w:t>
      </w:r>
      <w:r>
        <w:rPr>
          <w:rFonts w:hint="eastAsia" w:ascii="仿宋_GB2312" w:hAnsi="仿宋_GB2312" w:cs="仿宋_GB2312"/>
          <w:szCs w:val="32"/>
          <w:highlight w:val="none"/>
        </w:rPr>
        <w:t>《铅、锌工业污染物排放标准》（GB25466-2010）表2及修改单间接排放限值</w:t>
      </w:r>
      <w:r>
        <w:rPr>
          <w:rFonts w:hint="eastAsia" w:ascii="仿宋_GB2312" w:hAnsi="仿宋_GB2312" w:cs="仿宋_GB2312"/>
          <w:szCs w:val="32"/>
          <w:highlight w:val="none"/>
          <w:lang w:eastAsia="zh-CN"/>
        </w:rPr>
        <w:t>及</w:t>
      </w:r>
      <w:r>
        <w:rPr>
          <w:rFonts w:hint="eastAsia" w:ascii="仿宋_GB2312" w:hAnsi="仿宋_GB2312" w:cs="仿宋_GB2312"/>
          <w:szCs w:val="32"/>
          <w:highlight w:val="none"/>
        </w:rPr>
        <w:t>开发区污水处理厂收水水质要求</w:t>
      </w:r>
      <w:r>
        <w:rPr>
          <w:rFonts w:hint="eastAsia" w:ascii="仿宋_GB2312" w:hAnsi="仿宋_GB2312" w:cs="仿宋_GB2312"/>
          <w:szCs w:val="32"/>
          <w:highlight w:val="none"/>
          <w:lang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adjustRightInd w:val="0"/>
        <w:snapToGrid w:val="0"/>
        <w:spacing w:line="560" w:lineRule="exact"/>
        <w:ind w:firstLine="640" w:firstLineChars="200"/>
        <w:rPr>
          <w:rFonts w:hint="eastAsia" w:ascii="仿宋_GB2312" w:hAnsi="仿宋_GB2312" w:cs="仿宋_GB2312"/>
          <w:szCs w:val="32"/>
        </w:rPr>
      </w:pPr>
      <w:r>
        <w:rPr>
          <w:rFonts w:hint="eastAsia" w:ascii="仿宋_GB2312" w:hAnsi="仿宋_GB2312" w:cs="仿宋_GB2312"/>
          <w:color w:val="auto"/>
          <w:sz w:val="32"/>
          <w:szCs w:val="32"/>
          <w:lang w:val="en-US" w:eastAsia="zh-CN"/>
        </w:rPr>
        <w:t>五、</w:t>
      </w:r>
      <w:r>
        <w:rPr>
          <w:rFonts w:hint="eastAsia" w:ascii="仿宋_GB2312" w:hAnsi="仿宋_GB2312" w:eastAsia="仿宋_GB2312" w:cs="仿宋_GB2312"/>
          <w:color w:val="auto"/>
          <w:sz w:val="32"/>
          <w:szCs w:val="32"/>
          <w:lang w:val="en-US" w:eastAsia="zh-CN"/>
        </w:rPr>
        <w:t>按照</w:t>
      </w:r>
      <w:r>
        <w:rPr>
          <w:rFonts w:hint="eastAsia" w:ascii="仿宋_GB2312" w:hAnsi="仿宋_GB2312" w:cs="仿宋_GB2312"/>
          <w:color w:val="auto"/>
          <w:sz w:val="32"/>
          <w:szCs w:val="32"/>
          <w:lang w:val="en-US" w:eastAsia="zh-CN"/>
        </w:rPr>
        <w:t>《河南省重污染天气通用行业应急减排措施制定技术指南》（2024年修订版）、</w:t>
      </w:r>
      <w:r>
        <w:rPr>
          <w:rFonts w:hint="eastAsia" w:ascii="仿宋_GB2312" w:hAnsi="仿宋_GB2312" w:eastAsia="仿宋_GB2312" w:cs="仿宋_GB2312"/>
          <w:color w:val="auto"/>
          <w:sz w:val="32"/>
          <w:szCs w:val="32"/>
          <w:lang w:val="en-US" w:eastAsia="zh-CN"/>
        </w:rPr>
        <w:t>《</w:t>
      </w:r>
      <w:bookmarkStart w:id="0" w:name="_Toc44493931"/>
      <w:r>
        <w:rPr>
          <w:rFonts w:hint="eastAsia" w:ascii="仿宋_GB2312" w:hAnsi="仿宋_GB2312" w:cs="仿宋_GB2312"/>
          <w:color w:val="auto"/>
          <w:sz w:val="32"/>
          <w:szCs w:val="32"/>
          <w:lang w:val="en-US" w:eastAsia="zh-CN"/>
          <w14:ligatures w14:val="none"/>
        </w:rPr>
        <w:t>济源示范区涉颗粒物、锅炉/窑炉和涉VOCs通用行业绩效分级指标体系（试行）》中“相关行业”A级绩效</w:t>
      </w:r>
      <w:bookmarkEnd w:id="0"/>
      <w:r>
        <w:rPr>
          <w:rFonts w:hint="eastAsia" w:ascii="仿宋_GB2312" w:hAnsi="仿宋_GB2312" w:eastAsia="仿宋_GB2312" w:cs="仿宋_GB2312"/>
          <w:color w:val="auto"/>
          <w:sz w:val="32"/>
          <w:szCs w:val="32"/>
          <w:lang w:val="en-US" w:eastAsia="zh-CN"/>
        </w:rPr>
        <w:t>分级各项要求，进行建设和管理。</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w:t>
      </w:r>
      <w:r>
        <w:rPr>
          <w:rFonts w:hint="eastAsia" w:ascii="仿宋_GB2312" w:hAnsi="仿宋_GB2312" w:cs="仿宋_GB2312"/>
          <w:szCs w:val="32"/>
          <w:lang w:val="en-US" w:eastAsia="zh-CN"/>
        </w:rPr>
        <w:t>排放</w:t>
      </w:r>
      <w:r>
        <w:rPr>
          <w:rFonts w:hint="eastAsia" w:ascii="仿宋_GB2312" w:hAnsi="仿宋_GB2312" w:cs="仿宋_GB2312"/>
          <w:szCs w:val="32"/>
        </w:rPr>
        <w:t>自动监控设备并与生态环境主管部门的监控设备联网。严格落实《报告书》相关环境监测计划，定期对各类污染物进行监测，发布相关信息，发现问题及时采取整改措施。</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、严格执行环保“三同时”制度，按要求申领排污许可证，按规定程序实施竣工环境保护验收，经验收合格后方可正式投产。</w:t>
      </w:r>
    </w:p>
    <w:p>
      <w:pPr>
        <w:adjustRightInd w:val="0"/>
        <w:snapToGrid w:val="0"/>
        <w:spacing w:line="560" w:lineRule="exact"/>
        <w:ind w:firstLine="640" w:firstLineChars="200"/>
        <w:rPr>
          <w:rFonts w:hint="eastAsia"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、严格按照《关于</w:t>
      </w:r>
      <w:r>
        <w:rPr>
          <w:rFonts w:hint="eastAsia" w:ascii="仿宋_GB2312" w:hAnsi="仿宋_GB2312" w:cs="仿宋_GB2312"/>
          <w:szCs w:val="32"/>
          <w:lang w:eastAsia="zh-CN"/>
        </w:rPr>
        <w:t>河南豫光金铅股份有限公司泛半导体先进稀贵金属材料智造项目</w:t>
      </w:r>
      <w:r>
        <w:rPr>
          <w:rFonts w:hint="eastAsia" w:ascii="仿宋_GB2312" w:hAnsi="仿宋_GB2312" w:cs="仿宋_GB2312"/>
          <w:szCs w:val="32"/>
          <w:lang w:val="en-US" w:eastAsia="zh-CN"/>
        </w:rPr>
        <w:t>主要</w:t>
      </w:r>
      <w:r>
        <w:rPr>
          <w:rFonts w:hint="eastAsia" w:ascii="仿宋_GB2312" w:hAnsi="仿宋_GB2312" w:cs="仿宋_GB2312"/>
          <w:szCs w:val="32"/>
        </w:rPr>
        <w:t>污染物总量控制指标的函》（济环总量函〔202</w:t>
      </w:r>
      <w:r>
        <w:rPr>
          <w:rFonts w:hint="eastAsia" w:ascii="仿宋_GB2312" w:hAnsi="仿宋_GB2312" w:cs="仿宋_GB2312"/>
          <w:szCs w:val="32"/>
          <w:lang w:val="en-US" w:eastAsia="zh-CN"/>
        </w:rPr>
        <w:t>5</w:t>
      </w:r>
      <w:r>
        <w:rPr>
          <w:rFonts w:hint="eastAsia" w:ascii="仿宋_GB2312" w:hAnsi="仿宋_GB2312" w:cs="仿宋_GB2312"/>
          <w:szCs w:val="32"/>
        </w:rPr>
        <w:t>〕</w:t>
      </w:r>
      <w:r>
        <w:rPr>
          <w:rFonts w:hint="eastAsia" w:ascii="仿宋_GB2312" w:hAnsi="仿宋_GB2312" w:cs="仿宋_GB2312"/>
          <w:szCs w:val="32"/>
          <w:lang w:val="en-US" w:eastAsia="zh-CN"/>
        </w:rPr>
        <w:t>15</w:t>
      </w:r>
      <w:r>
        <w:rPr>
          <w:rFonts w:hint="eastAsia" w:ascii="仿宋_GB2312" w:hAnsi="仿宋_GB2312" w:cs="仿宋_GB2312"/>
          <w:szCs w:val="32"/>
        </w:rPr>
        <w:t>号），落实总量控制要求。</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eastAsia="zh-CN"/>
        </w:rPr>
        <w:t>十</w:t>
      </w:r>
      <w:r>
        <w:rPr>
          <w:rFonts w:hint="eastAsia" w:ascii="仿宋_GB2312" w:hAnsi="仿宋_GB2312" w:cs="仿宋_GB2312"/>
          <w:szCs w:val="32"/>
        </w:rPr>
        <w:t>、今后国家或我省颁布严于本批复污染物排放限值的新标准，届时你公司应按新的排放标准执行。</w:t>
      </w:r>
    </w:p>
    <w:p>
      <w:pPr>
        <w:pStyle w:val="8"/>
        <w:adjustRightInd w:val="0"/>
        <w:snapToGrid w:val="0"/>
        <w:spacing w:before="0" w:beforeAutospacing="0" w:after="0" w:afterAutospacing="0" w:line="560" w:lineRule="exact"/>
        <w:ind w:firstLine="5600" w:firstLineChars="2000"/>
        <w:jc w:val="both"/>
        <w:rPr>
          <w:rFonts w:ascii="Times New Roman" w:hAnsi="Times New Roman" w:cs="Times New Roman"/>
          <w:sz w:val="28"/>
          <w:szCs w:val="28"/>
          <w:highlight w:val="yellow"/>
        </w:rPr>
      </w:pPr>
    </w:p>
    <w:p>
      <w:pPr>
        <w:pStyle w:val="8"/>
        <w:adjustRightInd w:val="0"/>
        <w:snapToGrid w:val="0"/>
        <w:spacing w:before="0" w:beforeAutospacing="0" w:after="0" w:afterAutospacing="0" w:line="560" w:lineRule="exact"/>
        <w:ind w:firstLine="5600" w:firstLineChars="2000"/>
        <w:jc w:val="both"/>
        <w:rPr>
          <w:rFonts w:ascii="Times New Roman" w:hAnsi="Times New Roman" w:cs="Times New Roman"/>
          <w:sz w:val="28"/>
          <w:szCs w:val="28"/>
          <w:highlight w:val="none"/>
        </w:rPr>
      </w:pPr>
    </w:p>
    <w:p>
      <w:pPr>
        <w:adjustRightInd w:val="0"/>
        <w:snapToGrid w:val="0"/>
        <w:spacing w:line="560" w:lineRule="exact"/>
        <w:jc w:val="center"/>
        <w:rPr>
          <w:rFonts w:ascii="仿宋_GB2312" w:hAnsi="仿宋_GB2312" w:cs="仿宋_GB2312"/>
          <w:szCs w:val="32"/>
          <w:highlight w:val="none"/>
        </w:rPr>
      </w:pPr>
      <w:r>
        <w:rPr>
          <w:rFonts w:hint="eastAsia" w:ascii="仿宋_GB2312" w:hAnsi="仿宋_GB2312" w:cs="仿宋_GB2312"/>
          <w:szCs w:val="32"/>
          <w:highlight w:val="none"/>
        </w:rPr>
        <w:t xml:space="preserve">                         </w:t>
      </w:r>
      <w:bookmarkStart w:id="1" w:name="_GoBack"/>
      <w:bookmarkEnd w:id="1"/>
      <w:r>
        <w:rPr>
          <w:rFonts w:hint="eastAsia" w:ascii="仿宋_GB2312" w:hAnsi="仿宋_GB2312" w:cs="仿宋_GB2312"/>
          <w:szCs w:val="32"/>
          <w:highlight w:val="none"/>
        </w:rPr>
        <w:t xml:space="preserve"> 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28</w:t>
      </w:r>
      <w:r>
        <w:rPr>
          <w:rFonts w:hint="eastAsia" w:ascii="仿宋_GB2312" w:hAnsi="仿宋_GB2312" w:cs="仿宋_GB2312"/>
          <w:szCs w:val="32"/>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129F95"/>
    <w:multiLevelType w:val="singleLevel"/>
    <w:tmpl w:val="73129F9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IyMjQ1MjJlZDQ4MGU1YzQyNGVmODhmNzVkYjRiMDQifQ=="/>
  </w:docVars>
  <w:rsids>
    <w:rsidRoot w:val="009D6731"/>
    <w:rsid w:val="00184B20"/>
    <w:rsid w:val="001E50E1"/>
    <w:rsid w:val="00341CC4"/>
    <w:rsid w:val="00444988"/>
    <w:rsid w:val="00476956"/>
    <w:rsid w:val="004E3540"/>
    <w:rsid w:val="005C4799"/>
    <w:rsid w:val="00621026"/>
    <w:rsid w:val="006E2B61"/>
    <w:rsid w:val="00790523"/>
    <w:rsid w:val="00940D30"/>
    <w:rsid w:val="009D6731"/>
    <w:rsid w:val="00C12CA0"/>
    <w:rsid w:val="00C4566F"/>
    <w:rsid w:val="00E6566C"/>
    <w:rsid w:val="00EA21B5"/>
    <w:rsid w:val="00F26B39"/>
    <w:rsid w:val="00F361EC"/>
    <w:rsid w:val="00FD2FFE"/>
    <w:rsid w:val="00FD5695"/>
    <w:rsid w:val="00FE1028"/>
    <w:rsid w:val="06FF3E09"/>
    <w:rsid w:val="0F70383F"/>
    <w:rsid w:val="1AAA57BA"/>
    <w:rsid w:val="1FC702E1"/>
    <w:rsid w:val="22072167"/>
    <w:rsid w:val="24B7634F"/>
    <w:rsid w:val="2579116C"/>
    <w:rsid w:val="257F031C"/>
    <w:rsid w:val="267BA792"/>
    <w:rsid w:val="276930F2"/>
    <w:rsid w:val="299A1C85"/>
    <w:rsid w:val="2B827534"/>
    <w:rsid w:val="2DFD851A"/>
    <w:rsid w:val="36FE2A64"/>
    <w:rsid w:val="3BF10EB2"/>
    <w:rsid w:val="3F770BD0"/>
    <w:rsid w:val="47C65C99"/>
    <w:rsid w:val="4AF63E51"/>
    <w:rsid w:val="4C3E1A99"/>
    <w:rsid w:val="4DC424F6"/>
    <w:rsid w:val="4EDE6D6B"/>
    <w:rsid w:val="508C759D"/>
    <w:rsid w:val="5BD4863C"/>
    <w:rsid w:val="5F9000D9"/>
    <w:rsid w:val="620C23B5"/>
    <w:rsid w:val="68746DC1"/>
    <w:rsid w:val="692D6F40"/>
    <w:rsid w:val="698A44E3"/>
    <w:rsid w:val="69CB13AE"/>
    <w:rsid w:val="69D1357C"/>
    <w:rsid w:val="6BB460C7"/>
    <w:rsid w:val="6CDD8372"/>
    <w:rsid w:val="6F254179"/>
    <w:rsid w:val="6FF39570"/>
    <w:rsid w:val="72E045F8"/>
    <w:rsid w:val="73F71988"/>
    <w:rsid w:val="75D19977"/>
    <w:rsid w:val="765D951E"/>
    <w:rsid w:val="775D48DF"/>
    <w:rsid w:val="78F82FF6"/>
    <w:rsid w:val="7B696311"/>
    <w:rsid w:val="7B7E28B5"/>
    <w:rsid w:val="7D8B6583"/>
    <w:rsid w:val="D7FA0409"/>
    <w:rsid w:val="D87F9C54"/>
    <w:rsid w:val="DD6FBB4B"/>
    <w:rsid w:val="DF5F2A87"/>
    <w:rsid w:val="E6DEE13B"/>
    <w:rsid w:val="EB7FD0C4"/>
    <w:rsid w:val="EECBC687"/>
    <w:rsid w:val="EFFD4A11"/>
    <w:rsid w:val="F5AA74A5"/>
    <w:rsid w:val="F8DF557C"/>
    <w:rsid w:val="FFBF32AE"/>
    <w:rsid w:val="FFDF69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3">
    <w:name w:val="toa heading"/>
    <w:basedOn w:val="1"/>
    <w:next w:val="1"/>
    <w:semiHidden/>
    <w:qFormat/>
    <w:uiPriority w:val="0"/>
    <w:pPr>
      <w:spacing w:before="120"/>
    </w:pPr>
    <w:rPr>
      <w:rFonts w:ascii="Arial" w:hAnsi="Arial" w:cs="Arial"/>
      <w:sz w:val="24"/>
    </w:rPr>
  </w:style>
  <w:style w:type="paragraph" w:styleId="4">
    <w:name w:val="Body Text"/>
    <w:basedOn w:val="1"/>
    <w:link w:val="13"/>
    <w:qFormat/>
    <w:uiPriority w:val="0"/>
    <w:pPr>
      <w:spacing w:after="120"/>
    </w:pPr>
  </w:style>
  <w:style w:type="paragraph" w:styleId="5">
    <w:name w:val="Plain Text"/>
    <w:basedOn w:val="1"/>
    <w:qFormat/>
    <w:uiPriority w:val="0"/>
    <w:rPr>
      <w:rFonts w:ascii="宋体" w:hAnsi="Courier New" w:cs="Courier New"/>
      <w:szCs w:val="21"/>
    </w:rPr>
  </w:style>
  <w:style w:type="paragraph" w:styleId="6">
    <w:name w:val="footer"/>
    <w:basedOn w:val="1"/>
    <w:link w:val="12"/>
    <w:qFormat/>
    <w:uiPriority w:val="0"/>
    <w:pPr>
      <w:tabs>
        <w:tab w:val="center" w:pos="4153"/>
        <w:tab w:val="right" w:pos="8306"/>
      </w:tabs>
      <w:snapToGrid w:val="0"/>
      <w:jc w:val="left"/>
    </w:pPr>
    <w:rPr>
      <w:sz w:val="18"/>
      <w:szCs w:val="18"/>
    </w:rPr>
  </w:style>
  <w:style w:type="paragraph" w:styleId="7">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11">
    <w:name w:val="页眉 Char"/>
    <w:basedOn w:val="10"/>
    <w:link w:val="7"/>
    <w:qFormat/>
    <w:uiPriority w:val="0"/>
    <w:rPr>
      <w:rFonts w:ascii="宋体" w:hAnsi="宋体" w:eastAsia="仿宋_GB2312" w:cs="Times New Roman"/>
      <w:kern w:val="2"/>
      <w:sz w:val="18"/>
      <w:szCs w:val="18"/>
    </w:rPr>
  </w:style>
  <w:style w:type="character" w:customStyle="1" w:styleId="12">
    <w:name w:val="页脚 Char"/>
    <w:basedOn w:val="10"/>
    <w:link w:val="6"/>
    <w:qFormat/>
    <w:uiPriority w:val="0"/>
    <w:rPr>
      <w:rFonts w:ascii="宋体" w:hAnsi="宋体" w:eastAsia="仿宋_GB2312" w:cs="Times New Roman"/>
      <w:kern w:val="2"/>
      <w:sz w:val="18"/>
      <w:szCs w:val="18"/>
    </w:rPr>
  </w:style>
  <w:style w:type="character" w:customStyle="1" w:styleId="13">
    <w:name w:val="正文文本 Char"/>
    <w:basedOn w:val="10"/>
    <w:link w:val="4"/>
    <w:qFormat/>
    <w:uiPriority w:val="0"/>
    <w:rPr>
      <w:rFonts w:ascii="宋体" w:hAnsi="宋体" w:eastAsia="仿宋_GB2312" w:cs="Times New Roman"/>
      <w:kern w:val="2"/>
      <w:sz w:val="32"/>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289</Words>
  <Characters>1649</Characters>
  <Lines>13</Lines>
  <Paragraphs>3</Paragraphs>
  <TotalTime>5</TotalTime>
  <ScaleCrop>false</ScaleCrop>
  <LinksUpToDate>false</LinksUpToDate>
  <CharactersWithSpaces>1935</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2023-12-08T09:26:00Z</dcterms:created>
  <dc:creator>jia</dc:creator>
  <cp:lastModifiedBy>柑橘与柠檬吖</cp:lastModifiedBy>
  <cp:lastPrinted>2025-05-27T08:53:00Z</cp:lastPrinted>
  <dcterms:modified xsi:type="dcterms:W3CDTF">2025-05-28T08:05:04Z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5C74353C58DA4B739876D2B8D0F6F022</vt:lpwstr>
  </property>
</Properties>
</file>