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ind w:firstLine="640" w:firstLineChars="200"/>
        <w:rPr>
          <w:rFonts w:ascii="仿宋_GB2312" w:hAnsi="仿宋_GB2312" w:cs="仿宋_GB2312"/>
          <w:szCs w:val="32"/>
        </w:rPr>
      </w:pPr>
    </w:p>
    <w:p>
      <w:pPr>
        <w:spacing w:line="560" w:lineRule="exact"/>
        <w:ind w:firstLine="640" w:firstLineChars="200"/>
        <w:rPr>
          <w:rFonts w:ascii="仿宋_GB2312" w:hAnsi="仿宋_GB2312" w:cs="仿宋_GB2312"/>
          <w:szCs w:val="32"/>
        </w:rPr>
      </w:pPr>
    </w:p>
    <w:p>
      <w:pPr>
        <w:spacing w:line="560" w:lineRule="exact"/>
        <w:ind w:firstLine="640" w:firstLineChars="200"/>
        <w:rPr>
          <w:rFonts w:ascii="仿宋_GB2312" w:hAnsi="仿宋_GB2312" w:cs="仿宋_GB2312"/>
          <w:szCs w:val="32"/>
        </w:rPr>
      </w:pPr>
    </w:p>
    <w:p>
      <w:pPr>
        <w:spacing w:line="560" w:lineRule="exact"/>
        <w:ind w:firstLine="640" w:firstLineChars="200"/>
        <w:rPr>
          <w:rFonts w:ascii="仿宋_GB2312" w:hAnsi="仿宋_GB2312" w:cs="仿宋_GB2312"/>
          <w:szCs w:val="32"/>
        </w:rPr>
      </w:pPr>
    </w:p>
    <w:p>
      <w:pPr>
        <w:spacing w:line="560" w:lineRule="exact"/>
        <w:ind w:firstLine="640" w:firstLineChars="200"/>
        <w:rPr>
          <w:rFonts w:ascii="仿宋_GB2312" w:hAnsi="仿宋_GB2312" w:cs="仿宋_GB2312"/>
          <w:szCs w:val="32"/>
        </w:rPr>
      </w:pPr>
      <w:bookmarkStart w:id="1" w:name="_GoBack"/>
      <w:bookmarkEnd w:id="1"/>
    </w:p>
    <w:p>
      <w:pPr>
        <w:wordWrap w:val="0"/>
        <w:spacing w:before="156" w:beforeLines="50" w:line="560" w:lineRule="exact"/>
        <w:jc w:val="right"/>
        <w:rPr>
          <w:rFonts w:ascii="仿宋_GB2312" w:hAnsi="仿宋_GB2312" w:cs="仿宋_GB2312"/>
          <w:szCs w:val="32"/>
          <w:highlight w:val="none"/>
        </w:rPr>
      </w:pPr>
      <w:r>
        <w:rPr>
          <w:rFonts w:ascii="仿宋_GB2312" w:hAnsi="仿宋_GB2312" w:cs="仿宋_GB2312"/>
          <w:szCs w:val="32"/>
          <w:highlight w:val="none"/>
        </w:rPr>
        <w:t>济环审〔202</w:t>
      </w:r>
      <w:r>
        <w:rPr>
          <w:rFonts w:hint="eastAsia" w:ascii="仿宋_GB2312" w:hAnsi="仿宋_GB2312" w:cs="仿宋_GB2312"/>
          <w:szCs w:val="32"/>
          <w:highlight w:val="none"/>
          <w:lang w:val="en-US" w:eastAsia="zh-CN"/>
        </w:rPr>
        <w:t>5</w:t>
      </w:r>
      <w:r>
        <w:rPr>
          <w:rFonts w:ascii="仿宋_GB2312" w:hAnsi="仿宋_GB2312" w:cs="仿宋_GB2312"/>
          <w:szCs w:val="32"/>
          <w:highlight w:val="none"/>
        </w:rPr>
        <w:t>〕</w:t>
      </w:r>
      <w:r>
        <w:rPr>
          <w:rFonts w:hint="eastAsia" w:ascii="仿宋_GB2312" w:hAnsi="仿宋_GB2312" w:cs="仿宋_GB2312"/>
          <w:szCs w:val="32"/>
          <w:highlight w:val="none"/>
          <w:lang w:val="en-US" w:eastAsia="zh-CN"/>
        </w:rPr>
        <w:t>13</w:t>
      </w:r>
      <w:r>
        <w:rPr>
          <w:rFonts w:ascii="仿宋_GB2312" w:hAnsi="仿宋_GB2312" w:cs="仿宋_GB2312"/>
          <w:szCs w:val="32"/>
          <w:highlight w:val="none"/>
        </w:rPr>
        <w:t>号</w:t>
      </w:r>
    </w:p>
    <w:p>
      <w:pPr>
        <w:widowControl/>
        <w:spacing w:line="660" w:lineRule="exact"/>
        <w:jc w:val="center"/>
        <w:rPr>
          <w:rFonts w:ascii="方正小标宋简体" w:hAnsi="方正小标宋简体" w:eastAsia="方正小标宋简体" w:cs="方正小标宋简体"/>
          <w:kern w:val="0"/>
          <w:sz w:val="44"/>
          <w:szCs w:val="44"/>
        </w:rPr>
      </w:pPr>
    </w:p>
    <w:p>
      <w:pPr>
        <w:widowControl/>
        <w:spacing w:line="660" w:lineRule="exact"/>
        <w:jc w:val="center"/>
        <w:rPr>
          <w:rFonts w:ascii="方正小标宋简体" w:hAnsi="方正小标宋简体" w:eastAsia="方正小标宋简体" w:cs="方正小标宋简体"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</w:rPr>
        <w:t>济源市生态环境局</w:t>
      </w:r>
    </w:p>
    <w:p>
      <w:pPr>
        <w:widowControl/>
        <w:spacing w:line="660" w:lineRule="exact"/>
        <w:jc w:val="center"/>
        <w:rPr>
          <w:rFonts w:hint="default" w:ascii="方正小标宋简体" w:hAnsi="方正小标宋简体" w:eastAsia="方正小标宋简体" w:cs="方正小标宋简体"/>
          <w:kern w:val="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</w:rPr>
        <w:t>关于</w:t>
      </w:r>
      <w:r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  <w:lang w:val="en-US" w:eastAsia="zh-CN"/>
        </w:rPr>
        <w:t>河南联创化工</w:t>
      </w:r>
      <w:r>
        <w:rPr>
          <w:rFonts w:hint="default" w:ascii="方正小标宋简体" w:hAnsi="方正小标宋简体" w:eastAsia="方正小标宋简体" w:cs="方正小标宋简体"/>
          <w:kern w:val="0"/>
          <w:sz w:val="44"/>
          <w:szCs w:val="44"/>
          <w:lang w:val="en-US" w:eastAsia="zh-CN"/>
        </w:rPr>
        <w:t>有限公司</w:t>
      </w:r>
    </w:p>
    <w:p>
      <w:pPr>
        <w:widowControl/>
        <w:spacing w:line="660" w:lineRule="exact"/>
        <w:jc w:val="center"/>
        <w:rPr>
          <w:rFonts w:ascii="方正小标宋简体" w:hAnsi="方正小标宋简体" w:eastAsia="方正小标宋简体" w:cs="方正小标宋简体"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  <w:lang w:val="en-US" w:eastAsia="zh-CN"/>
        </w:rPr>
        <w:t>20万吨</w:t>
      </w:r>
      <w:r>
        <w:rPr>
          <w:rFonts w:hint="default" w:ascii="方正小标宋简体" w:hAnsi="方正小标宋简体" w:eastAsia="方正小标宋简体" w:cs="方正小标宋简体"/>
          <w:kern w:val="0"/>
          <w:sz w:val="44"/>
          <w:szCs w:val="44"/>
          <w:lang w:val="en-US" w:eastAsia="zh-CN"/>
        </w:rPr>
        <w:t>/</w:t>
      </w:r>
      <w:r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  <w:lang w:val="en-US" w:eastAsia="zh-CN"/>
        </w:rPr>
        <w:t>年聚氯乙烯树脂配套乙炔装置技改</w:t>
      </w:r>
      <w:r>
        <w:rPr>
          <w:rFonts w:hint="default" w:ascii="方正小标宋简体" w:hAnsi="方正小标宋简体" w:eastAsia="方正小标宋简体" w:cs="方正小标宋简体"/>
          <w:kern w:val="0"/>
          <w:sz w:val="44"/>
          <w:szCs w:val="44"/>
          <w:lang w:val="en-US" w:eastAsia="zh-CN"/>
        </w:rPr>
        <w:t>项目</w:t>
      </w:r>
      <w:r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</w:rPr>
        <w:t>环境影响报告书的批复</w:t>
      </w:r>
    </w:p>
    <w:p>
      <w:pPr>
        <w:snapToGrid w:val="0"/>
        <w:spacing w:line="560" w:lineRule="exact"/>
        <w:rPr>
          <w:rFonts w:ascii="仿宋_GB2312" w:hAnsi="仿宋_GB2312" w:cs="仿宋_GB2312"/>
          <w:szCs w:val="32"/>
        </w:rPr>
      </w:pPr>
    </w:p>
    <w:p>
      <w:pPr>
        <w:adjustRightInd w:val="0"/>
        <w:snapToGrid w:val="0"/>
        <w:spacing w:line="560" w:lineRule="exact"/>
        <w:rPr>
          <w:rFonts w:ascii="仿宋_GB2312" w:hAnsi="仿宋_GB2312" w:cs="仿宋_GB231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河南联创化工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有限公司</w:t>
      </w:r>
      <w:r>
        <w:rPr>
          <w:rFonts w:hint="eastAsia" w:ascii="仿宋_GB2312" w:hAnsi="仿宋_GB2312" w:cs="仿宋_GB2312"/>
          <w:szCs w:val="32"/>
        </w:rPr>
        <w:t>：</w:t>
      </w:r>
    </w:p>
    <w:p>
      <w:pPr>
        <w:adjustRightInd w:val="0"/>
        <w:snapToGrid w:val="0"/>
        <w:spacing w:line="560" w:lineRule="exact"/>
        <w:ind w:firstLine="640" w:firstLineChars="200"/>
        <w:rPr>
          <w:rFonts w:ascii="仿宋_GB2312" w:hAnsi="仿宋_GB2312" w:cs="仿宋_GB2312"/>
          <w:szCs w:val="32"/>
        </w:rPr>
      </w:pPr>
      <w:r>
        <w:rPr>
          <w:rFonts w:hint="eastAsia" w:ascii="仿宋_GB2312" w:hAnsi="仿宋_GB2312" w:cs="仿宋_GB2312"/>
          <w:szCs w:val="32"/>
        </w:rPr>
        <w:t>你单位（统一社会信用代码：</w:t>
      </w:r>
      <w:r>
        <w:rPr>
          <w:rFonts w:hint="eastAsia" w:ascii="仿宋_GB2312" w:hAnsi="仿宋_GB2312" w:cs="仿宋_GB2312"/>
          <w:szCs w:val="32"/>
          <w:lang w:val="en-US" w:eastAsia="zh-CN"/>
        </w:rPr>
        <w:t>91419001770889109K</w:t>
      </w:r>
      <w:r>
        <w:rPr>
          <w:rFonts w:hint="eastAsia" w:ascii="仿宋_GB2312" w:hAnsi="仿宋_GB2312" w:cs="仿宋_GB2312"/>
          <w:szCs w:val="32"/>
        </w:rPr>
        <w:t>）报送的由</w:t>
      </w:r>
      <w:r>
        <w:rPr>
          <w:rFonts w:hint="eastAsia" w:ascii="仿宋_GB2312" w:hAnsi="仿宋_GB2312" w:cs="仿宋_GB2312"/>
          <w:szCs w:val="32"/>
          <w:lang w:val="en-US" w:eastAsia="zh-CN"/>
        </w:rPr>
        <w:t>济源蓝天科技有限责任公司</w:t>
      </w:r>
      <w:r>
        <w:rPr>
          <w:rFonts w:hint="eastAsia" w:ascii="仿宋_GB2312" w:hAnsi="仿宋_GB2312" w:cs="仿宋_GB2312"/>
          <w:szCs w:val="32"/>
        </w:rPr>
        <w:t>柳伟峰主持编制的《</w:t>
      </w:r>
      <w:r>
        <w:rPr>
          <w:rFonts w:hint="eastAsia" w:ascii="仿宋_GB2312" w:hAnsi="仿宋_GB2312" w:cs="仿宋_GB2312"/>
          <w:szCs w:val="32"/>
          <w:lang w:val="en-US" w:eastAsia="zh-CN"/>
        </w:rPr>
        <w:t>河南联创化工</w:t>
      </w:r>
      <w:r>
        <w:rPr>
          <w:rFonts w:hint="default" w:ascii="仿宋_GB2312" w:hAnsi="仿宋_GB2312" w:cs="仿宋_GB2312"/>
          <w:szCs w:val="32"/>
          <w:lang w:val="en-US" w:eastAsia="zh-CN"/>
        </w:rPr>
        <w:t>有限公司</w:t>
      </w:r>
      <w:r>
        <w:rPr>
          <w:rFonts w:hint="eastAsia" w:ascii="仿宋_GB2312" w:hAnsi="仿宋_GB2312" w:cs="仿宋_GB2312"/>
          <w:szCs w:val="32"/>
          <w:lang w:val="en-US" w:eastAsia="zh-CN"/>
        </w:rPr>
        <w:t>20万吨</w:t>
      </w:r>
      <w:r>
        <w:rPr>
          <w:rFonts w:hint="default" w:ascii="仿宋_GB2312" w:hAnsi="仿宋_GB2312" w:cs="仿宋_GB2312"/>
          <w:szCs w:val="32"/>
          <w:lang w:val="en-US" w:eastAsia="zh-CN"/>
        </w:rPr>
        <w:t>/</w:t>
      </w:r>
      <w:r>
        <w:rPr>
          <w:rFonts w:hint="eastAsia" w:ascii="仿宋_GB2312" w:hAnsi="仿宋_GB2312" w:cs="仿宋_GB2312"/>
          <w:szCs w:val="32"/>
          <w:lang w:val="en-US" w:eastAsia="zh-CN"/>
        </w:rPr>
        <w:t>年聚氯乙烯树脂配套乙炔装置技改</w:t>
      </w:r>
      <w:r>
        <w:rPr>
          <w:rFonts w:hint="default" w:ascii="仿宋_GB2312" w:hAnsi="仿宋_GB2312" w:cs="仿宋_GB2312"/>
          <w:szCs w:val="32"/>
          <w:lang w:val="en-US" w:eastAsia="zh-CN"/>
        </w:rPr>
        <w:t>项目环境影响报告书</w:t>
      </w:r>
      <w:r>
        <w:rPr>
          <w:rFonts w:hint="eastAsia" w:ascii="仿宋_GB2312" w:hAnsi="仿宋_GB2312" w:cs="仿宋_GB2312"/>
          <w:szCs w:val="32"/>
        </w:rPr>
        <w:t>》（以下简称《报告书》）及行政审批申请等资料收悉，项目环评审批事项已在我局网站公示期满。根据《中华人民共和国环境保护法》《中华人民共和国行政许可法》《中华人民共和国环境影响评价法》《建设项目环境保护管理条例》等法律法规，经研究，批复如下：</w:t>
      </w:r>
    </w:p>
    <w:p>
      <w:pPr>
        <w:numPr>
          <w:ilvl w:val="0"/>
          <w:numId w:val="1"/>
        </w:numPr>
        <w:adjustRightInd w:val="0"/>
        <w:snapToGrid w:val="0"/>
        <w:spacing w:line="560" w:lineRule="exact"/>
        <w:ind w:firstLine="640" w:firstLineChars="200"/>
        <w:rPr>
          <w:rFonts w:hint="eastAsia" w:ascii="仿宋_GB2312" w:hAnsi="仿宋_GB2312" w:cs="仿宋_GB2312"/>
          <w:szCs w:val="32"/>
        </w:rPr>
      </w:pPr>
      <w:r>
        <w:rPr>
          <w:rFonts w:hint="eastAsia" w:ascii="仿宋_GB2312" w:hAnsi="仿宋_GB2312" w:cs="仿宋_GB2312"/>
          <w:szCs w:val="32"/>
        </w:rPr>
        <w:t>项目位</w:t>
      </w:r>
      <w:r>
        <w:rPr>
          <w:rFonts w:hint="eastAsia" w:ascii="仿宋_GB2312" w:hAnsi="仿宋_GB2312" w:cs="仿宋_GB2312"/>
          <w:szCs w:val="32"/>
          <w:highlight w:val="none"/>
        </w:rPr>
        <w:t>于</w:t>
      </w:r>
      <w:r>
        <w:rPr>
          <w:rFonts w:hint="eastAsia" w:eastAsia="仿宋_GB2312"/>
          <w:color w:val="000000"/>
          <w:sz w:val="30"/>
        </w:rPr>
        <w:t>济源市五龙口化工产业园联创化工现有厂区内</w:t>
      </w:r>
      <w:r>
        <w:rPr>
          <w:rFonts w:hint="eastAsia" w:ascii="Times New Roman" w:hAnsi="Times New Roman" w:cs="Times New Roman"/>
          <w:sz w:val="32"/>
          <w:szCs w:val="32"/>
          <w:lang w:val="en-US" w:eastAsia="zh-CN"/>
        </w:rPr>
        <w:t>。该</w:t>
      </w:r>
      <w:r>
        <w:rPr>
          <w:rFonts w:hint="eastAsia" w:ascii="仿宋_GB2312" w:hAnsi="仿宋_GB2312" w:cs="仿宋_GB2312"/>
          <w:szCs w:val="32"/>
        </w:rPr>
        <w:t>项目对乙炔生产装置进行设备更新和技术改造，淘汰北线干法乙炔装置和南线湿法乙炔装置，更新合并为一条自动化控制水平高的大湿法乙炔生产线，</w:t>
      </w:r>
      <w:r>
        <w:rPr>
          <w:rFonts w:hint="eastAsia" w:ascii="仿宋_GB2312" w:hAnsi="仿宋_GB2312" w:cs="仿宋_GB2312"/>
          <w:szCs w:val="32"/>
          <w:lang w:eastAsia="zh-CN"/>
        </w:rPr>
        <w:t>改造完成后全厂产品及乙炔装置总产能不变。</w:t>
      </w:r>
    </w:p>
    <w:p>
      <w:pPr>
        <w:adjustRightInd w:val="0"/>
        <w:snapToGrid w:val="0"/>
        <w:spacing w:line="560" w:lineRule="exact"/>
        <w:ind w:firstLine="640" w:firstLineChars="200"/>
        <w:rPr>
          <w:rFonts w:ascii="仿宋_GB2312" w:hAnsi="仿宋_GB2312" w:cs="仿宋_GB2312"/>
          <w:szCs w:val="32"/>
        </w:rPr>
      </w:pPr>
      <w:r>
        <w:rPr>
          <w:rFonts w:hint="eastAsia" w:ascii="仿宋_GB2312" w:hAnsi="仿宋_GB2312" w:cs="仿宋_GB2312"/>
          <w:szCs w:val="32"/>
        </w:rPr>
        <w:t>二、</w:t>
      </w:r>
      <w:r>
        <w:rPr>
          <w:rFonts w:hint="eastAsia" w:ascii="仿宋_GB2312" w:hAnsi="仿宋_GB2312" w:eastAsia="仿宋_GB2312" w:cs="仿宋_GB2312"/>
          <w:szCs w:val="32"/>
        </w:rPr>
        <w:t>该《报告书》内容符合国家有关法律法规要求和建设项目环境管理规定，符合“三线一单”生态环境分区管控要求，评价结论可信。我局批准该《报告</w:t>
      </w:r>
      <w:r>
        <w:rPr>
          <w:rFonts w:hint="eastAsia" w:ascii="仿宋_GB2312" w:hAnsi="仿宋_GB2312" w:cs="仿宋_GB2312"/>
          <w:szCs w:val="32"/>
          <w:lang w:eastAsia="zh-CN"/>
        </w:rPr>
        <w:t>书</w:t>
      </w:r>
      <w:r>
        <w:rPr>
          <w:rFonts w:hint="eastAsia" w:ascii="仿宋_GB2312" w:hAnsi="仿宋_GB2312" w:eastAsia="仿宋_GB2312" w:cs="仿宋_GB2312"/>
          <w:szCs w:val="32"/>
        </w:rPr>
        <w:t>》，原则同意你单位按照《报告</w:t>
      </w:r>
      <w:r>
        <w:rPr>
          <w:rFonts w:hint="eastAsia" w:ascii="仿宋_GB2312" w:hAnsi="仿宋_GB2312" w:cs="仿宋_GB2312"/>
          <w:szCs w:val="32"/>
          <w:lang w:eastAsia="zh-CN"/>
        </w:rPr>
        <w:t>书</w:t>
      </w:r>
      <w:r>
        <w:rPr>
          <w:rFonts w:hint="eastAsia" w:ascii="仿宋_GB2312" w:hAnsi="仿宋_GB2312" w:eastAsia="仿宋_GB2312" w:cs="仿宋_GB2312"/>
          <w:szCs w:val="32"/>
        </w:rPr>
        <w:t>》所列项目的建设内容和环境保护对策措施进行项目建设</w:t>
      </w:r>
      <w:r>
        <w:rPr>
          <w:rFonts w:hint="eastAsia" w:ascii="仿宋_GB2312" w:hAnsi="仿宋_GB2312" w:cs="仿宋_GB2312"/>
          <w:szCs w:val="32"/>
        </w:rPr>
        <w:t>。</w:t>
      </w:r>
    </w:p>
    <w:p>
      <w:pPr>
        <w:adjustRightInd w:val="0"/>
        <w:snapToGrid w:val="0"/>
        <w:spacing w:line="560" w:lineRule="exact"/>
        <w:ind w:firstLine="640" w:firstLineChars="200"/>
        <w:rPr>
          <w:rFonts w:ascii="仿宋_GB2312" w:hAnsi="仿宋_GB2312" w:cs="仿宋_GB2312"/>
          <w:szCs w:val="32"/>
        </w:rPr>
      </w:pPr>
      <w:r>
        <w:rPr>
          <w:rFonts w:hint="eastAsia" w:ascii="仿宋_GB2312" w:hAnsi="仿宋_GB2312" w:cs="仿宋_GB2312"/>
          <w:szCs w:val="32"/>
        </w:rPr>
        <w:t>三、你单位应向社会公众主动公开已经批准的《报告书》，接受相关方的垂询。</w:t>
      </w:r>
    </w:p>
    <w:p>
      <w:pPr>
        <w:adjustRightInd w:val="0"/>
        <w:snapToGrid w:val="0"/>
        <w:spacing w:line="560" w:lineRule="exact"/>
        <w:ind w:firstLine="640" w:firstLineChars="200"/>
        <w:rPr>
          <w:rFonts w:ascii="仿宋_GB2312" w:hAnsi="仿宋_GB2312" w:cs="仿宋_GB2312"/>
          <w:szCs w:val="32"/>
        </w:rPr>
      </w:pPr>
      <w:r>
        <w:rPr>
          <w:rFonts w:hint="eastAsia" w:ascii="仿宋_GB2312" w:hAnsi="仿宋_GB2312" w:cs="仿宋_GB2312"/>
          <w:szCs w:val="32"/>
        </w:rPr>
        <w:t>四、你单位应全面落实《报告书》提出的各项环境保护措施，各项环境保护设施与主体工程同时设计、同时施工、同时投入使用，确保各项污染物达标排放。</w:t>
      </w:r>
    </w:p>
    <w:p>
      <w:pPr>
        <w:adjustRightInd w:val="0"/>
        <w:snapToGrid w:val="0"/>
        <w:spacing w:line="560" w:lineRule="exact"/>
        <w:ind w:firstLine="640" w:firstLineChars="200"/>
        <w:rPr>
          <w:rFonts w:ascii="仿宋_GB2312" w:hAnsi="仿宋_GB2312" w:cs="仿宋_GB2312"/>
          <w:szCs w:val="32"/>
        </w:rPr>
      </w:pPr>
      <w:r>
        <w:rPr>
          <w:rFonts w:hint="eastAsia" w:ascii="仿宋_GB2312" w:hAnsi="仿宋_GB2312" w:cs="仿宋_GB2312"/>
          <w:szCs w:val="32"/>
        </w:rPr>
        <w:t>（一）向设计单位提供《报告书》和本批复文件，确保项目设计按照环境保护设计规范要求，落实防治环境污染和生态破坏的措施。</w:t>
      </w:r>
    </w:p>
    <w:p>
      <w:pPr>
        <w:adjustRightInd w:val="0"/>
        <w:snapToGrid w:val="0"/>
        <w:spacing w:line="560" w:lineRule="exact"/>
        <w:ind w:firstLine="640" w:firstLineChars="200"/>
        <w:rPr>
          <w:rFonts w:ascii="仿宋_GB2312" w:hAnsi="仿宋_GB2312" w:cs="仿宋_GB2312"/>
          <w:szCs w:val="32"/>
        </w:rPr>
      </w:pPr>
      <w:r>
        <w:rPr>
          <w:rFonts w:hint="eastAsia" w:ascii="仿宋_GB2312" w:hAnsi="仿宋_GB2312" w:cs="仿宋_GB2312"/>
          <w:szCs w:val="32"/>
        </w:rPr>
        <w:t>（二）依据《报告书》和本批复文件，对项目建设过程中产生的废水、废气、固体废物、噪声等污染，采取相应的措施，做好扬尘防治工作。</w:t>
      </w:r>
    </w:p>
    <w:p>
      <w:pPr>
        <w:adjustRightInd w:val="0"/>
        <w:snapToGrid w:val="0"/>
        <w:spacing w:line="560" w:lineRule="exact"/>
        <w:ind w:firstLine="640" w:firstLineChars="200"/>
        <w:rPr>
          <w:rFonts w:ascii="仿宋_GB2312" w:hAnsi="仿宋_GB2312" w:cs="仿宋_GB2312"/>
          <w:szCs w:val="32"/>
        </w:rPr>
      </w:pPr>
      <w:r>
        <w:rPr>
          <w:rFonts w:hint="eastAsia" w:ascii="仿宋_GB2312" w:hAnsi="仿宋_GB2312" w:cs="仿宋_GB2312"/>
          <w:szCs w:val="32"/>
        </w:rPr>
        <w:t>（三）项目运行时，外排污染物应满足如下要求：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eastAsia" w:ascii="仿宋_GB2312" w:hAnsi="仿宋_GB2312" w:cs="仿宋_GB2312"/>
          <w:szCs w:val="32"/>
          <w:highlight w:val="none"/>
        </w:rPr>
      </w:pPr>
      <w:r>
        <w:rPr>
          <w:rFonts w:hint="eastAsia" w:ascii="仿宋_GB2312" w:hAnsi="仿宋_GB2312" w:cs="仿宋_GB2312"/>
          <w:szCs w:val="32"/>
        </w:rPr>
        <w:t>1.废气：项目应采取合理措施，加强废气的收集和处理，减少生产过程中的无组织废气排放。各类污染物排放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  <w14:ligatures w14:val="none"/>
        </w:rPr>
        <w:t>须满足</w:t>
      </w:r>
      <w:r>
        <w:rPr>
          <w:rFonts w:hint="eastAsia" w:ascii="仿宋_GB2312" w:hAnsi="仿宋_GB2312" w:cs="仿宋_GB2312"/>
          <w:color w:val="auto"/>
          <w:sz w:val="32"/>
          <w:szCs w:val="32"/>
          <w:lang w:val="en-US" w:eastAsia="zh-CN"/>
          <w14:ligatures w14:val="none"/>
        </w:rPr>
        <w:t>《恶臭污染物排放标准》（GB14554-93）要求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。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snapToGrid w:val="0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仿宋_GB2312" w:hAnsi="仿宋_GB2312" w:cs="仿宋_GB2312"/>
          <w:szCs w:val="32"/>
        </w:rPr>
        <w:t>2.废水：按照“雨污分流、清污分流、污污分治、深度处理、分质回用”的原则将各类废水收集处理，分质回用。</w:t>
      </w:r>
      <w:r>
        <w:rPr>
          <w:rFonts w:hint="eastAsia" w:ascii="仿宋_GB2312" w:hAnsi="仿宋_GB2312" w:eastAsia="仿宋_GB2312" w:cs="仿宋_GB2312"/>
          <w:snapToGrid w:val="0"/>
          <w:color w:val="000000"/>
          <w:kern w:val="0"/>
          <w:sz w:val="32"/>
          <w:szCs w:val="32"/>
          <w:lang w:val="en-US" w:eastAsia="zh-CN" w:bidi="ar"/>
        </w:rPr>
        <w:t>乙炔发生装置产生的浆液</w:t>
      </w:r>
      <w:r>
        <w:rPr>
          <w:rFonts w:hint="eastAsia" w:ascii="仿宋_GB2312" w:hAnsi="仿宋_GB2312" w:cs="仿宋_GB2312"/>
          <w:snapToGrid w:val="0"/>
          <w:color w:val="000000"/>
          <w:kern w:val="0"/>
          <w:sz w:val="32"/>
          <w:szCs w:val="32"/>
          <w:lang w:val="en-US" w:eastAsia="zh-CN" w:bidi="ar"/>
        </w:rPr>
        <w:t>及沉积渣浆经处理后回用于乙炔发生工序，不外排。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ascii="仿宋_GB2312" w:hAnsi="仿宋_GB2312" w:cs="仿宋_GB2312"/>
          <w:szCs w:val="32"/>
        </w:rPr>
      </w:pPr>
      <w:r>
        <w:rPr>
          <w:rFonts w:hint="eastAsia" w:ascii="仿宋_GB2312" w:hAnsi="仿宋_GB2312" w:cs="仿宋_GB2312"/>
          <w:szCs w:val="32"/>
        </w:rPr>
        <w:t>3.噪声：严格落实噪声污染防治措施。</w:t>
      </w:r>
      <w:r>
        <w:rPr>
          <w:rFonts w:hint="eastAsia" w:ascii="仿宋_GB2312" w:hAnsi="仿宋_GB2312" w:eastAsia="仿宋_GB2312" w:cs="仿宋_GB2312"/>
          <w:szCs w:val="32"/>
        </w:rPr>
        <w:t>项目厂界</w:t>
      </w:r>
      <w:r>
        <w:rPr>
          <w:rFonts w:hint="eastAsia" w:ascii="仿宋_GB2312" w:hAnsi="仿宋_GB2312" w:cs="仿宋_GB2312"/>
          <w:szCs w:val="32"/>
        </w:rPr>
        <w:t>噪声应满足《工业企业厂界环境噪声排放标准》（GB12348-2008）3类要求。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cs="仿宋_GB2312"/>
          <w:szCs w:val="32"/>
        </w:rPr>
      </w:pPr>
      <w:r>
        <w:rPr>
          <w:rFonts w:hint="eastAsia" w:ascii="仿宋_GB2312" w:hAnsi="仿宋_GB2312" w:cs="仿宋_GB2312"/>
          <w:szCs w:val="32"/>
        </w:rPr>
        <w:t>4.固废：</w:t>
      </w:r>
      <w:r>
        <w:rPr>
          <w:rFonts w:hint="eastAsia" w:ascii="仿宋_GB2312" w:hAnsi="仿宋_GB2312" w:eastAsia="仿宋_GB2312" w:cs="仿宋_GB2312"/>
          <w:szCs w:val="32"/>
        </w:rPr>
        <w:t>按照固体废物“减量化、资源化、无害化”</w:t>
      </w:r>
      <w:r>
        <w:rPr>
          <w:rFonts w:hint="eastAsia" w:ascii="仿宋_GB2312" w:hAnsi="仿宋_GB2312" w:eastAsia="仿宋_GB2312" w:cs="仿宋_GB2312"/>
          <w:szCs w:val="32"/>
          <w:lang w:eastAsia="zh-CN"/>
        </w:rPr>
        <w:t>的</w:t>
      </w:r>
      <w:r>
        <w:rPr>
          <w:rFonts w:hint="eastAsia" w:ascii="仿宋_GB2312" w:hAnsi="仿宋_GB2312" w:eastAsia="仿宋_GB2312" w:cs="仿宋_GB2312"/>
          <w:szCs w:val="32"/>
        </w:rPr>
        <w:t>原则，落实各类固体废物的收集、处置和综合利用措施，建立产生、贮存、处置、利用等记录台账，做好分类收集、存储、分类处置利用工作。落实《固体废物污染环境防治法》</w:t>
      </w:r>
      <w:r>
        <w:rPr>
          <w:rFonts w:hint="eastAsia" w:ascii="仿宋_GB2312" w:hAnsi="仿宋_GB2312" w:eastAsia="仿宋_GB2312" w:cs="仿宋_GB231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Cs w:val="32"/>
        </w:rPr>
        <w:t>一般固废临时贮存</w:t>
      </w:r>
      <w:r>
        <w:rPr>
          <w:rFonts w:hint="eastAsia" w:ascii="仿宋_GB2312" w:hAnsi="仿宋_GB2312" w:eastAsia="仿宋_GB2312" w:cs="仿宋_GB2312"/>
          <w:szCs w:val="32"/>
          <w:lang w:eastAsia="zh-CN"/>
        </w:rPr>
        <w:t>参考</w:t>
      </w:r>
      <w:r>
        <w:rPr>
          <w:rFonts w:hint="eastAsia" w:ascii="仿宋_GB2312" w:hAnsi="仿宋_GB2312" w:eastAsia="仿宋_GB2312" w:cs="仿宋_GB2312"/>
          <w:szCs w:val="32"/>
        </w:rPr>
        <w:t>《一般工业固体废物贮存和填埋污染控制标准》（GB18599-2020）进行控制。</w:t>
      </w:r>
      <w:r>
        <w:rPr>
          <w:rFonts w:hint="eastAsia" w:ascii="仿宋_GB2312" w:hAnsi="仿宋_GB2312" w:cs="仿宋_GB2312"/>
          <w:szCs w:val="32"/>
        </w:rPr>
        <w:t>危险废物交由有相应危废处置资质的单位处置</w:t>
      </w:r>
      <w:r>
        <w:rPr>
          <w:rFonts w:hint="eastAsia" w:ascii="仿宋_GB2312" w:hAnsi="仿宋_GB2312" w:cs="仿宋_GB2312"/>
          <w:szCs w:val="32"/>
          <w:lang w:eastAsia="zh-CN"/>
        </w:rPr>
        <w:t>，</w:t>
      </w:r>
      <w:r>
        <w:rPr>
          <w:rFonts w:hint="eastAsia" w:ascii="仿宋_GB2312" w:hAnsi="仿宋_GB2312" w:cs="仿宋_GB2312"/>
          <w:szCs w:val="32"/>
        </w:rPr>
        <w:t>贮存满足《危险废物贮存污染控制标准》（GB18597-2023)相关规定。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仿宋_GB2312" w:cs="仿宋_GB2312"/>
          <w:szCs w:val="32"/>
        </w:rPr>
      </w:pPr>
      <w:r>
        <w:rPr>
          <w:rFonts w:hint="eastAsia" w:ascii="仿宋_GB2312" w:hAnsi="仿宋_GB2312" w:cs="仿宋_GB2312"/>
          <w:szCs w:val="32"/>
          <w:lang w:eastAsia="zh-CN"/>
        </w:rPr>
        <w:t>（四）</w:t>
      </w:r>
      <w:r>
        <w:rPr>
          <w:rFonts w:hint="eastAsia" w:ascii="仿宋_GB2312" w:hAnsi="仿宋_GB2312" w:cs="仿宋_GB2312"/>
          <w:szCs w:val="32"/>
        </w:rPr>
        <w:t>落实土壤及地下水污染防治措施，采取源头控制、分区防渗等措施，加强厂区周围土壤及地下水水质监控，严防土壤和地下水污染。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ascii="仿宋_GB2312" w:hAnsi="仿宋_GB2312" w:cs="仿宋_GB2312"/>
          <w:szCs w:val="32"/>
        </w:rPr>
      </w:pPr>
      <w:r>
        <w:rPr>
          <w:rFonts w:hint="eastAsia" w:ascii="仿宋_GB2312" w:hAnsi="仿宋_GB2312" w:cs="仿宋_GB2312"/>
          <w:szCs w:val="32"/>
        </w:rPr>
        <w:t>（</w:t>
      </w:r>
      <w:r>
        <w:rPr>
          <w:rFonts w:hint="eastAsia" w:ascii="仿宋_GB2312" w:hAnsi="仿宋_GB2312" w:cs="仿宋_GB2312"/>
          <w:szCs w:val="32"/>
          <w:lang w:eastAsia="zh-CN"/>
        </w:rPr>
        <w:t>五</w:t>
      </w:r>
      <w:r>
        <w:rPr>
          <w:rFonts w:hint="eastAsia" w:ascii="仿宋_GB2312" w:hAnsi="仿宋_GB2312" w:cs="仿宋_GB2312"/>
          <w:szCs w:val="32"/>
        </w:rPr>
        <w:t>）加强环境风险管理，落实《报告书》提出的环境风险防范措施，制定环境风险及事故应急预案，加强日常管理，定期开展应急演练，严防环境污染事故发生。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eastAsia" w:ascii="仿宋_GB2312" w:hAnsi="仿宋_GB2312" w:cs="仿宋_GB2312"/>
          <w:szCs w:val="32"/>
        </w:rPr>
      </w:pPr>
      <w:r>
        <w:rPr>
          <w:rFonts w:hint="eastAsia" w:ascii="仿宋_GB2312" w:hAnsi="仿宋_GB2312" w:cs="仿宋_GB2312"/>
          <w:color w:val="auto"/>
          <w:sz w:val="32"/>
          <w:szCs w:val="32"/>
          <w:lang w:val="en-US" w:eastAsia="zh-CN"/>
        </w:rPr>
        <w:t>五、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按照</w:t>
      </w:r>
      <w:r>
        <w:rPr>
          <w:rFonts w:hint="eastAsia" w:ascii="仿宋_GB2312" w:hAnsi="仿宋_GB2312" w:cs="仿宋_GB2312"/>
          <w:color w:val="auto"/>
          <w:sz w:val="32"/>
          <w:szCs w:val="32"/>
          <w:lang w:val="en-US" w:eastAsia="zh-CN"/>
        </w:rPr>
        <w:t>《河南省重污染天气重点行业应急减排措施制定技术指南》（2024年修订版）</w:t>
      </w:r>
      <w:bookmarkStart w:id="0" w:name="_Toc44493931"/>
      <w:r>
        <w:rPr>
          <w:rFonts w:hint="eastAsia" w:ascii="仿宋_GB2312" w:hAnsi="仿宋_GB2312" w:cs="仿宋_GB2312"/>
          <w:color w:val="auto"/>
          <w:sz w:val="32"/>
          <w:szCs w:val="32"/>
          <w:lang w:val="en-US" w:eastAsia="zh-CN"/>
          <w14:ligatures w14:val="none"/>
        </w:rPr>
        <w:t>中“有机化工”A级绩效</w:t>
      </w:r>
      <w:bookmarkEnd w:id="0"/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分级各项要求，进行建设和管理。</w:t>
      </w:r>
    </w:p>
    <w:p>
      <w:pPr>
        <w:adjustRightInd w:val="0"/>
        <w:snapToGrid w:val="0"/>
        <w:spacing w:line="560" w:lineRule="exact"/>
        <w:ind w:firstLine="640" w:firstLineChars="200"/>
        <w:rPr>
          <w:rFonts w:ascii="仿宋_GB2312" w:hAnsi="仿宋_GB2312" w:cs="仿宋_GB2312"/>
          <w:szCs w:val="32"/>
        </w:rPr>
      </w:pPr>
      <w:r>
        <w:rPr>
          <w:rFonts w:hint="eastAsia" w:ascii="仿宋_GB2312" w:hAnsi="仿宋_GB2312" w:cs="仿宋_GB2312"/>
          <w:szCs w:val="32"/>
          <w:lang w:eastAsia="zh-CN"/>
        </w:rPr>
        <w:t>六</w:t>
      </w:r>
      <w:r>
        <w:rPr>
          <w:rFonts w:hint="eastAsia" w:ascii="仿宋_GB2312" w:hAnsi="仿宋_GB2312" w:cs="仿宋_GB2312"/>
          <w:szCs w:val="32"/>
        </w:rPr>
        <w:t>、按国家有关规定设置规范的污染物排放口，并设立明显标志，按要求安装污染物</w:t>
      </w:r>
      <w:r>
        <w:rPr>
          <w:rFonts w:hint="eastAsia" w:ascii="仿宋_GB2312" w:hAnsi="仿宋_GB2312" w:cs="仿宋_GB2312"/>
          <w:szCs w:val="32"/>
          <w:lang w:val="en-US" w:eastAsia="zh-CN"/>
        </w:rPr>
        <w:t>排放</w:t>
      </w:r>
      <w:r>
        <w:rPr>
          <w:rFonts w:hint="eastAsia" w:ascii="仿宋_GB2312" w:hAnsi="仿宋_GB2312" w:cs="仿宋_GB2312"/>
          <w:szCs w:val="32"/>
        </w:rPr>
        <w:t>自动监控设备并与生态环境主管部门的监控设备联网。严格落实《报告书》相关环境监测计划，定期对各类污染物进行监测，发布相关信息，发现问题及时采取整改措施。</w:t>
      </w:r>
    </w:p>
    <w:p>
      <w:pPr>
        <w:adjustRightInd w:val="0"/>
        <w:snapToGrid w:val="0"/>
        <w:spacing w:line="560" w:lineRule="exact"/>
        <w:ind w:firstLine="640" w:firstLineChars="200"/>
        <w:rPr>
          <w:rFonts w:ascii="仿宋_GB2312" w:hAnsi="仿宋_GB2312" w:cs="仿宋_GB2312"/>
          <w:szCs w:val="32"/>
        </w:rPr>
      </w:pPr>
      <w:r>
        <w:rPr>
          <w:rFonts w:hint="eastAsia" w:ascii="仿宋_GB2312" w:hAnsi="仿宋_GB2312" w:cs="仿宋_GB2312"/>
          <w:szCs w:val="32"/>
          <w:lang w:eastAsia="zh-CN"/>
        </w:rPr>
        <w:t>七</w:t>
      </w:r>
      <w:r>
        <w:rPr>
          <w:rFonts w:hint="eastAsia" w:ascii="仿宋_GB2312" w:hAnsi="仿宋_GB2312" w:cs="仿宋_GB2312"/>
          <w:szCs w:val="32"/>
        </w:rPr>
        <w:t>、严格执行环保“三同时”制度，按要求申领排污许可证，按规定程序实施竣工环境保护验收，经验收合格后方可正式投产。</w:t>
      </w:r>
    </w:p>
    <w:p>
      <w:pPr>
        <w:adjustRightInd w:val="0"/>
        <w:snapToGrid w:val="0"/>
        <w:spacing w:line="560" w:lineRule="exact"/>
        <w:ind w:firstLine="640" w:firstLineChars="200"/>
        <w:rPr>
          <w:rFonts w:ascii="仿宋_GB2312" w:hAnsi="仿宋_GB2312" w:cs="仿宋_GB2312"/>
          <w:szCs w:val="32"/>
        </w:rPr>
      </w:pPr>
      <w:r>
        <w:rPr>
          <w:rFonts w:hint="eastAsia" w:ascii="仿宋_GB2312" w:hAnsi="仿宋_GB2312" w:cs="仿宋_GB2312"/>
          <w:szCs w:val="32"/>
          <w:lang w:val="en-US" w:eastAsia="zh-CN"/>
        </w:rPr>
        <w:t>八</w:t>
      </w:r>
      <w:r>
        <w:rPr>
          <w:rFonts w:hint="eastAsia" w:ascii="仿宋_GB2312" w:hAnsi="仿宋_GB2312" w:cs="仿宋_GB2312"/>
          <w:szCs w:val="32"/>
        </w:rPr>
        <w:t>、本批复有效期为5年，如该项目逾期方开工建设，其环境影响报告书应报我局重新审核。项目的性质、规模、地点、采用的生产工艺或者防治污染、防止生态破坏的措施发生重大变动的，应当重新报批建设项目环境影响评价文件。</w:t>
      </w:r>
    </w:p>
    <w:p>
      <w:pPr>
        <w:adjustRightInd w:val="0"/>
        <w:snapToGrid w:val="0"/>
        <w:spacing w:line="560" w:lineRule="exact"/>
        <w:ind w:firstLine="640" w:firstLineChars="200"/>
        <w:rPr>
          <w:rFonts w:ascii="仿宋_GB2312" w:hAnsi="仿宋_GB2312" w:cs="仿宋_GB2312"/>
          <w:szCs w:val="32"/>
        </w:rPr>
      </w:pPr>
      <w:r>
        <w:rPr>
          <w:rFonts w:hint="eastAsia" w:ascii="仿宋_GB2312" w:hAnsi="仿宋_GB2312" w:cs="仿宋_GB2312"/>
          <w:szCs w:val="32"/>
          <w:lang w:val="en-US" w:eastAsia="zh-CN"/>
        </w:rPr>
        <w:t>九</w:t>
      </w:r>
      <w:r>
        <w:rPr>
          <w:rFonts w:hint="eastAsia" w:ascii="仿宋_GB2312" w:hAnsi="仿宋_GB2312" w:cs="仿宋_GB2312"/>
          <w:szCs w:val="32"/>
        </w:rPr>
        <w:t>、今后国家或我省颁布严于本批复污染物排放限值的新标准，届时你公司应按新的排放标准执行。</w:t>
      </w:r>
    </w:p>
    <w:p>
      <w:pPr>
        <w:pStyle w:val="8"/>
        <w:adjustRightInd w:val="0"/>
        <w:snapToGrid w:val="0"/>
        <w:spacing w:before="0" w:beforeAutospacing="0" w:after="0" w:afterAutospacing="0" w:line="560" w:lineRule="exact"/>
        <w:ind w:firstLine="5600" w:firstLineChars="200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>
      <w:pPr>
        <w:pStyle w:val="8"/>
        <w:adjustRightInd w:val="0"/>
        <w:snapToGrid w:val="0"/>
        <w:spacing w:before="0" w:beforeAutospacing="0" w:after="0" w:afterAutospacing="0" w:line="560" w:lineRule="exact"/>
        <w:ind w:firstLine="5600" w:firstLineChars="2000"/>
        <w:jc w:val="both"/>
        <w:rPr>
          <w:rFonts w:ascii="Times New Roman" w:hAnsi="Times New Roman" w:cs="Times New Roman"/>
          <w:sz w:val="28"/>
          <w:szCs w:val="28"/>
          <w:highlight w:val="none"/>
        </w:rPr>
      </w:pPr>
    </w:p>
    <w:p>
      <w:pPr>
        <w:adjustRightInd w:val="0"/>
        <w:snapToGrid w:val="0"/>
        <w:spacing w:line="560" w:lineRule="exact"/>
        <w:jc w:val="center"/>
        <w:rPr>
          <w:rFonts w:ascii="仿宋_GB2312" w:hAnsi="仿宋_GB2312" w:cs="仿宋_GB2312"/>
          <w:szCs w:val="32"/>
          <w:highlight w:val="none"/>
        </w:rPr>
      </w:pPr>
      <w:r>
        <w:rPr>
          <w:rFonts w:hint="eastAsia" w:ascii="仿宋_GB2312" w:hAnsi="仿宋_GB2312" w:cs="仿宋_GB2312"/>
          <w:szCs w:val="32"/>
          <w:highlight w:val="none"/>
        </w:rPr>
        <w:t xml:space="preserve">                          202</w:t>
      </w:r>
      <w:r>
        <w:rPr>
          <w:rFonts w:hint="eastAsia" w:ascii="仿宋_GB2312" w:hAnsi="仿宋_GB2312" w:cs="仿宋_GB2312"/>
          <w:szCs w:val="32"/>
          <w:highlight w:val="none"/>
          <w:lang w:val="en-US" w:eastAsia="zh-CN"/>
        </w:rPr>
        <w:t>5</w:t>
      </w:r>
      <w:r>
        <w:rPr>
          <w:rFonts w:hint="eastAsia" w:ascii="仿宋_GB2312" w:hAnsi="仿宋_GB2312" w:cs="仿宋_GB2312"/>
          <w:szCs w:val="32"/>
          <w:highlight w:val="none"/>
        </w:rPr>
        <w:t>年</w:t>
      </w:r>
      <w:r>
        <w:rPr>
          <w:rFonts w:hint="eastAsia" w:ascii="仿宋_GB2312" w:hAnsi="仿宋_GB2312" w:cs="仿宋_GB2312"/>
          <w:szCs w:val="32"/>
          <w:highlight w:val="none"/>
          <w:lang w:val="en-US" w:eastAsia="zh-CN"/>
        </w:rPr>
        <w:t>6</w:t>
      </w:r>
      <w:r>
        <w:rPr>
          <w:rFonts w:hint="eastAsia" w:ascii="仿宋_GB2312" w:hAnsi="仿宋_GB2312" w:cs="仿宋_GB2312"/>
          <w:szCs w:val="32"/>
          <w:highlight w:val="none"/>
        </w:rPr>
        <w:t>月</w:t>
      </w:r>
      <w:r>
        <w:rPr>
          <w:rFonts w:hint="eastAsia" w:ascii="仿宋_GB2312" w:hAnsi="仿宋_GB2312" w:cs="仿宋_GB2312"/>
          <w:szCs w:val="32"/>
          <w:highlight w:val="none"/>
          <w:lang w:val="en-US" w:eastAsia="zh-CN"/>
        </w:rPr>
        <w:t>6</w:t>
      </w:r>
      <w:r>
        <w:rPr>
          <w:rFonts w:hint="eastAsia" w:ascii="仿宋_GB2312" w:hAnsi="仿宋_GB2312" w:cs="仿宋_GB2312"/>
          <w:szCs w:val="32"/>
          <w:highlight w:val="none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Nimbus Roman No9 L"/>
    <w:panose1 w:val="02020603050405020304"/>
    <w:charset w:val="80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2010600030101010101"/>
    <w:charset w:val="80"/>
    <w:family w:val="auto"/>
    <w:pitch w:val="default"/>
    <w:sig w:usb0="00000000" w:usb1="0000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73129F95"/>
    <w:multiLevelType w:val="singleLevel"/>
    <w:tmpl w:val="73129F95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IyMjQ1MjJlZDQ4MGU1YzQyNGVmODhmNzVkYjRiMDQifQ=="/>
  </w:docVars>
  <w:rsids>
    <w:rsidRoot w:val="009D6731"/>
    <w:rsid w:val="00184B20"/>
    <w:rsid w:val="001E50E1"/>
    <w:rsid w:val="00341CC4"/>
    <w:rsid w:val="00444988"/>
    <w:rsid w:val="00476956"/>
    <w:rsid w:val="004E3540"/>
    <w:rsid w:val="005C4799"/>
    <w:rsid w:val="00621026"/>
    <w:rsid w:val="006E2B61"/>
    <w:rsid w:val="00790523"/>
    <w:rsid w:val="00940D30"/>
    <w:rsid w:val="009D6731"/>
    <w:rsid w:val="00C12CA0"/>
    <w:rsid w:val="00C4566F"/>
    <w:rsid w:val="00E6566C"/>
    <w:rsid w:val="00EA21B5"/>
    <w:rsid w:val="00F26B39"/>
    <w:rsid w:val="00F361EC"/>
    <w:rsid w:val="00FD2FFE"/>
    <w:rsid w:val="00FD5695"/>
    <w:rsid w:val="00FE1028"/>
    <w:rsid w:val="06FF3E09"/>
    <w:rsid w:val="0F70383F"/>
    <w:rsid w:val="1AAA57BA"/>
    <w:rsid w:val="1F4E1F02"/>
    <w:rsid w:val="1FC702E1"/>
    <w:rsid w:val="22072167"/>
    <w:rsid w:val="24B7634F"/>
    <w:rsid w:val="2579116C"/>
    <w:rsid w:val="257F031C"/>
    <w:rsid w:val="267BA792"/>
    <w:rsid w:val="276930F2"/>
    <w:rsid w:val="299A1C85"/>
    <w:rsid w:val="2A4A21FC"/>
    <w:rsid w:val="2B827534"/>
    <w:rsid w:val="2DFD851A"/>
    <w:rsid w:val="36FE2A64"/>
    <w:rsid w:val="3BF10EB2"/>
    <w:rsid w:val="3F770BD0"/>
    <w:rsid w:val="406F22C5"/>
    <w:rsid w:val="47C65C99"/>
    <w:rsid w:val="49EC2FE3"/>
    <w:rsid w:val="4AF63E51"/>
    <w:rsid w:val="4C3E1A99"/>
    <w:rsid w:val="4DC424F6"/>
    <w:rsid w:val="4EDE6D6B"/>
    <w:rsid w:val="508C759D"/>
    <w:rsid w:val="5BD4863C"/>
    <w:rsid w:val="5C7F6E78"/>
    <w:rsid w:val="5F9000D9"/>
    <w:rsid w:val="620C23B5"/>
    <w:rsid w:val="68746DC1"/>
    <w:rsid w:val="692D6F40"/>
    <w:rsid w:val="698A44E3"/>
    <w:rsid w:val="69CB13AE"/>
    <w:rsid w:val="69D1357C"/>
    <w:rsid w:val="6BB460C7"/>
    <w:rsid w:val="6CDD8372"/>
    <w:rsid w:val="6F254179"/>
    <w:rsid w:val="6FF39570"/>
    <w:rsid w:val="719B650A"/>
    <w:rsid w:val="72E045F8"/>
    <w:rsid w:val="73F71988"/>
    <w:rsid w:val="75D19977"/>
    <w:rsid w:val="765D951E"/>
    <w:rsid w:val="775D48DF"/>
    <w:rsid w:val="77AB5BC1"/>
    <w:rsid w:val="77DE5B55"/>
    <w:rsid w:val="78F82FF6"/>
    <w:rsid w:val="7B696311"/>
    <w:rsid w:val="7B7E28B5"/>
    <w:rsid w:val="7D8B6583"/>
    <w:rsid w:val="7E999D3D"/>
    <w:rsid w:val="D7FA0409"/>
    <w:rsid w:val="D87F9C54"/>
    <w:rsid w:val="DAFB6CA8"/>
    <w:rsid w:val="DD6FBB4B"/>
    <w:rsid w:val="DF5F2A87"/>
    <w:rsid w:val="E6DEE13B"/>
    <w:rsid w:val="EB7FD0C4"/>
    <w:rsid w:val="EECBC687"/>
    <w:rsid w:val="EFFD4A11"/>
    <w:rsid w:val="F5AA74A5"/>
    <w:rsid w:val="F8DF557C"/>
    <w:rsid w:val="FBFF6C65"/>
    <w:rsid w:val="FFBF32AE"/>
    <w:rsid w:val="FFDF69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nhideWhenUsed="0" w:uiPriority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iPriority="99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宋体" w:hAnsi="宋体" w:eastAsia="仿宋_GB2312" w:cs="Times New Roman"/>
      <w:kern w:val="2"/>
      <w:sz w:val="32"/>
      <w:szCs w:val="24"/>
      <w:lang w:val="en-US" w:eastAsia="zh-CN" w:bidi="ar-SA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next w:val="1"/>
    <w:unhideWhenUsed/>
    <w:qFormat/>
    <w:uiPriority w:val="99"/>
    <w:pPr>
      <w:spacing w:after="120" w:line="480" w:lineRule="auto"/>
      <w:ind w:left="420" w:leftChars="200"/>
    </w:pPr>
  </w:style>
  <w:style w:type="paragraph" w:styleId="3">
    <w:name w:val="toa heading"/>
    <w:basedOn w:val="1"/>
    <w:next w:val="1"/>
    <w:semiHidden/>
    <w:qFormat/>
    <w:uiPriority w:val="0"/>
    <w:pPr>
      <w:spacing w:before="120"/>
    </w:pPr>
    <w:rPr>
      <w:rFonts w:ascii="Arial" w:hAnsi="Arial" w:cs="Arial"/>
      <w:sz w:val="24"/>
    </w:rPr>
  </w:style>
  <w:style w:type="paragraph" w:styleId="4">
    <w:name w:val="Body Text"/>
    <w:basedOn w:val="1"/>
    <w:link w:val="13"/>
    <w:qFormat/>
    <w:uiPriority w:val="0"/>
    <w:pPr>
      <w:spacing w:after="120"/>
    </w:pPr>
  </w:style>
  <w:style w:type="paragraph" w:styleId="5">
    <w:name w:val="Plain Text"/>
    <w:basedOn w:val="1"/>
    <w:qFormat/>
    <w:uiPriority w:val="0"/>
    <w:rPr>
      <w:rFonts w:ascii="宋体" w:hAnsi="Courier New" w:cs="Courier New"/>
      <w:szCs w:val="21"/>
    </w:rPr>
  </w:style>
  <w:style w:type="paragraph" w:styleId="6">
    <w:name w:val="footer"/>
    <w:basedOn w:val="1"/>
    <w:link w:val="12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eastAsia="宋体" w:cs="宋体"/>
      <w:kern w:val="0"/>
      <w:sz w:val="24"/>
    </w:rPr>
  </w:style>
  <w:style w:type="character" w:customStyle="1" w:styleId="11">
    <w:name w:val="页眉 Char"/>
    <w:basedOn w:val="10"/>
    <w:link w:val="7"/>
    <w:qFormat/>
    <w:uiPriority w:val="0"/>
    <w:rPr>
      <w:rFonts w:ascii="宋体" w:hAnsi="宋体" w:eastAsia="仿宋_GB2312" w:cs="Times New Roman"/>
      <w:kern w:val="2"/>
      <w:sz w:val="18"/>
      <w:szCs w:val="18"/>
    </w:rPr>
  </w:style>
  <w:style w:type="character" w:customStyle="1" w:styleId="12">
    <w:name w:val="页脚 Char"/>
    <w:basedOn w:val="10"/>
    <w:link w:val="6"/>
    <w:qFormat/>
    <w:uiPriority w:val="0"/>
    <w:rPr>
      <w:rFonts w:ascii="宋体" w:hAnsi="宋体" w:eastAsia="仿宋_GB2312" w:cs="Times New Roman"/>
      <w:kern w:val="2"/>
      <w:sz w:val="18"/>
      <w:szCs w:val="18"/>
    </w:rPr>
  </w:style>
  <w:style w:type="character" w:customStyle="1" w:styleId="13">
    <w:name w:val="正文文本 Char"/>
    <w:basedOn w:val="10"/>
    <w:link w:val="4"/>
    <w:qFormat/>
    <w:uiPriority w:val="0"/>
    <w:rPr>
      <w:rFonts w:ascii="宋体" w:hAnsi="宋体" w:eastAsia="仿宋_GB2312" w:cs="Times New Roman"/>
      <w:kern w:val="2"/>
      <w:sz w:val="32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4</Pages>
  <Words>1786</Words>
  <Characters>1861</Characters>
  <Lines>13</Lines>
  <Paragraphs>3</Paragraphs>
  <TotalTime>28</TotalTime>
  <ScaleCrop>false</ScaleCrop>
  <LinksUpToDate>false</LinksUpToDate>
  <CharactersWithSpaces>1887</CharactersWithSpaces>
  <Application>WPS Office_11.8.2.11625_F1E327BC-269C-435d-A152-05C5408002CA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2023-12-09T01:26:00Z</dcterms:created>
  <dc:creator>jia</dc:creator>
  <cp:lastModifiedBy>柑橘与柠檬吖</cp:lastModifiedBy>
  <cp:lastPrinted>2025-05-28T00:53:00Z</cp:lastPrinted>
  <dcterms:modified xsi:type="dcterms:W3CDTF">2025-06-06T13:43:18Z</dcterms:modified>
  <cp:revision>21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2052-11.8.2.11625</vt:lpwstr>
  </property>
  <property fmtid="{D5CDD505-2E9C-101B-9397-08002B2CF9AE}" pid="3" name="ICV">
    <vt:lpwstr>5C74353C58DA4B739876D2B8D0F6F022</vt:lpwstr>
  </property>
  <property fmtid="{D5CDD505-2E9C-101B-9397-08002B2CF9AE}" pid="4" name="KSOTemplateDocerSaveRecord">
    <vt:lpwstr>eyJoZGlkIjoiN2M1NmI4OTVhYWU5ZjU5NDNjZjNlYTc5NDkxOGU5YWUiLCJ1c2VySWQiOiI2MDQ3NDkwODcifQ==</vt:lpwstr>
  </property>
</Properties>
</file>