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wordWrap w:val="0"/>
        <w:spacing w:before="156" w:beforeLines="50" w:line="560" w:lineRule="exact"/>
        <w:jc w:val="right"/>
        <w:rPr>
          <w:rFonts w:ascii="仿宋_GB2312" w:hAnsi="仿宋_GB2312" w:cs="仿宋_GB2312"/>
          <w:color w:val="auto"/>
          <w:szCs w:val="32"/>
          <w:highlight w:val="none"/>
        </w:rPr>
      </w:pPr>
      <w:r>
        <w:rPr>
          <w:rFonts w:ascii="仿宋_GB2312" w:hAnsi="仿宋_GB2312" w:cs="仿宋_GB2312"/>
          <w:color w:val="auto"/>
          <w:szCs w:val="32"/>
          <w:highlight w:val="none"/>
        </w:rPr>
        <w:t>济环审〔202</w:t>
      </w:r>
      <w:r>
        <w:rPr>
          <w:rFonts w:hint="eastAsia" w:ascii="仿宋_GB2312" w:hAnsi="仿宋_GB2312" w:cs="仿宋_GB2312"/>
          <w:color w:val="auto"/>
          <w:szCs w:val="32"/>
          <w:highlight w:val="none"/>
          <w:lang w:val="en-US" w:eastAsia="zh-CN"/>
        </w:rPr>
        <w:t>5</w:t>
      </w:r>
      <w:r>
        <w:rPr>
          <w:rFonts w:ascii="仿宋_GB2312" w:hAnsi="仿宋_GB2312" w:cs="仿宋_GB2312"/>
          <w:color w:val="auto"/>
          <w:szCs w:val="32"/>
          <w:highlight w:val="none"/>
        </w:rPr>
        <w:t>〕</w:t>
      </w:r>
      <w:r>
        <w:rPr>
          <w:rFonts w:hint="eastAsia" w:ascii="仿宋_GB2312" w:hAnsi="仿宋_GB2312" w:cs="仿宋_GB2312"/>
          <w:color w:val="auto"/>
          <w:szCs w:val="32"/>
          <w:highlight w:val="none"/>
          <w:lang w:val="en-US" w:eastAsia="zh-CN"/>
        </w:rPr>
        <w:t>14</w:t>
      </w:r>
      <w:r>
        <w:rPr>
          <w:rFonts w:ascii="仿宋_GB2312" w:hAnsi="仿宋_GB2312" w:cs="仿宋_GB2312"/>
          <w:color w:val="auto"/>
          <w:szCs w:val="32"/>
          <w:highlight w:val="none"/>
        </w:rPr>
        <w:t>号</w:t>
      </w:r>
    </w:p>
    <w:p>
      <w:pPr>
        <w:widowControl/>
        <w:spacing w:line="660" w:lineRule="exact"/>
        <w:jc w:val="center"/>
        <w:rPr>
          <w:rFonts w:ascii="方正小标宋简体" w:hAnsi="方正小标宋简体" w:eastAsia="方正小标宋简体" w:cs="方正小标宋简体"/>
          <w:kern w:val="0"/>
          <w:sz w:val="44"/>
          <w:szCs w:val="44"/>
        </w:rPr>
      </w:pP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济源市生态环境局</w:t>
      </w:r>
    </w:p>
    <w:p>
      <w:pPr>
        <w:widowControl/>
        <w:spacing w:line="660" w:lineRule="exact"/>
        <w:jc w:val="center"/>
        <w:rPr>
          <w:rFonts w:hint="default" w:ascii="方正小标宋简体" w:hAnsi="方正小标宋简体" w:eastAsia="方正小标宋简体" w:cs="方正小标宋简体"/>
          <w:kern w:val="0"/>
          <w:sz w:val="44"/>
          <w:szCs w:val="44"/>
          <w:lang w:val="en-US" w:eastAsia="zh-CN"/>
        </w:rPr>
      </w:pPr>
      <w:r>
        <w:rPr>
          <w:rFonts w:hint="eastAsia" w:ascii="方正小标宋简体" w:hAnsi="方正小标宋简体" w:eastAsia="方正小标宋简体" w:cs="方正小标宋简体"/>
          <w:kern w:val="0"/>
          <w:sz w:val="44"/>
          <w:szCs w:val="44"/>
        </w:rPr>
        <w:t>关于</w:t>
      </w:r>
      <w:r>
        <w:rPr>
          <w:rFonts w:hint="eastAsia" w:ascii="方正小标宋简体" w:hAnsi="方正小标宋简体" w:eastAsia="方正小标宋简体" w:cs="方正小标宋简体"/>
          <w:kern w:val="0"/>
          <w:sz w:val="44"/>
          <w:szCs w:val="44"/>
          <w:lang w:val="en-US" w:eastAsia="zh-CN"/>
        </w:rPr>
        <w:t>济源市中重重型机械制造有限公司</w:t>
      </w:r>
    </w:p>
    <w:p>
      <w:pPr>
        <w:widowControl/>
        <w:spacing w:line="660" w:lineRule="exact"/>
        <w:jc w:val="center"/>
        <w:rPr>
          <w:rFonts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lang w:val="en-US" w:eastAsia="zh-CN"/>
        </w:rPr>
        <w:t>年加工3000吨石油钻杆连续镀铬技术改造项目</w:t>
      </w:r>
      <w:r>
        <w:rPr>
          <w:rFonts w:hint="eastAsia" w:ascii="方正小标宋简体" w:hAnsi="方正小标宋简体" w:eastAsia="方正小标宋简体" w:cs="方正小标宋简体"/>
          <w:kern w:val="0"/>
          <w:sz w:val="44"/>
          <w:szCs w:val="44"/>
        </w:rPr>
        <w:t>环境影响报告书的批复</w:t>
      </w:r>
    </w:p>
    <w:p>
      <w:pPr>
        <w:snapToGrid w:val="0"/>
        <w:spacing w:line="560" w:lineRule="exact"/>
        <w:rPr>
          <w:rFonts w:ascii="仿宋_GB2312" w:hAnsi="仿宋_GB2312" w:cs="仿宋_GB2312"/>
          <w:szCs w:val="32"/>
        </w:rPr>
      </w:pPr>
    </w:p>
    <w:p>
      <w:pPr>
        <w:adjustRightInd w:val="0"/>
        <w:snapToGrid w:val="0"/>
        <w:spacing w:line="560" w:lineRule="exact"/>
        <w:rPr>
          <w:rFonts w:ascii="仿宋_GB2312" w:hAnsi="仿宋_GB2312" w:cs="仿宋_GB2312"/>
          <w:szCs w:val="32"/>
        </w:rPr>
      </w:pPr>
      <w:r>
        <w:rPr>
          <w:rFonts w:hint="eastAsia" w:ascii="Times New Roman" w:hAnsi="Times New Roman" w:cs="Times New Roman"/>
          <w:sz w:val="32"/>
          <w:szCs w:val="32"/>
          <w:lang w:val="en-US" w:eastAsia="zh-CN"/>
        </w:rPr>
        <w:t>济源市中重重型机械制造有限公司</w:t>
      </w:r>
      <w:r>
        <w:rPr>
          <w:rFonts w:hint="eastAsia" w:ascii="仿宋_GB2312" w:hAnsi="仿宋_GB2312" w:cs="仿宋_GB2312"/>
          <w:szCs w:val="32"/>
        </w:rPr>
        <w:t>：</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你单位（统一社会信用代码：91419001MA40BAY16P）报送的由</w:t>
      </w:r>
      <w:r>
        <w:rPr>
          <w:rFonts w:hint="eastAsia" w:ascii="仿宋_GB2312" w:hAnsi="仿宋_GB2312" w:cs="仿宋_GB2312"/>
          <w:szCs w:val="32"/>
          <w:lang w:val="en-US" w:eastAsia="zh-CN"/>
        </w:rPr>
        <w:t>河南济环环保科技有限公司孔静</w:t>
      </w:r>
      <w:r>
        <w:rPr>
          <w:rFonts w:hint="eastAsia" w:ascii="仿宋_GB2312" w:hAnsi="仿宋_GB2312" w:cs="仿宋_GB2312"/>
          <w:szCs w:val="32"/>
        </w:rPr>
        <w:t>主持编制的《</w:t>
      </w:r>
      <w:r>
        <w:rPr>
          <w:rFonts w:hint="eastAsia" w:ascii="仿宋_GB2312" w:hAnsi="仿宋_GB2312" w:cs="仿宋_GB2312"/>
          <w:szCs w:val="32"/>
          <w:lang w:val="en-US" w:eastAsia="zh-CN"/>
        </w:rPr>
        <w:t>济源市中重重型机械制造有限公司年加工3000吨石油钻杆连续镀铬技术改造项目</w:t>
      </w:r>
      <w:r>
        <w:rPr>
          <w:rFonts w:hint="default" w:ascii="仿宋_GB2312" w:hAnsi="仿宋_GB2312" w:cs="仿宋_GB2312"/>
          <w:szCs w:val="32"/>
          <w:lang w:val="en-US" w:eastAsia="zh-CN"/>
        </w:rPr>
        <w:t>环境影响报告书</w:t>
      </w:r>
      <w:r>
        <w:rPr>
          <w:rFonts w:hint="eastAsia" w:ascii="仿宋_GB2312" w:hAnsi="仿宋_GB2312" w:cs="仿宋_GB2312"/>
          <w:szCs w:val="32"/>
        </w:rPr>
        <w:t>》（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经研究，批复如下：</w:t>
      </w:r>
    </w:p>
    <w:p>
      <w:pPr>
        <w:numPr>
          <w:ilvl w:val="0"/>
          <w:numId w:val="0"/>
        </w:numPr>
        <w:adjustRightInd w:val="0"/>
        <w:snapToGrid w:val="0"/>
        <w:spacing w:line="560" w:lineRule="exact"/>
        <w:ind w:firstLine="640" w:firstLineChars="200"/>
        <w:rPr>
          <w:rFonts w:hint="eastAsia" w:ascii="仿宋_GB2312" w:hAnsi="仿宋_GB2312" w:cs="仿宋_GB2312"/>
          <w:szCs w:val="32"/>
        </w:rPr>
      </w:pPr>
      <w:r>
        <w:rPr>
          <w:rFonts w:hint="eastAsia" w:ascii="仿宋_GB2312" w:hAnsi="仿宋_GB2312" w:cs="仿宋_GB2312"/>
          <w:szCs w:val="32"/>
          <w:lang w:eastAsia="zh-CN"/>
        </w:rPr>
        <w:t>一、</w:t>
      </w:r>
      <w:r>
        <w:rPr>
          <w:rFonts w:hint="eastAsia" w:ascii="仿宋_GB2312" w:hAnsi="仿宋_GB2312" w:cs="仿宋_GB2312"/>
          <w:szCs w:val="32"/>
        </w:rPr>
        <w:t>项目位于济源市轵城工业园济源市中重重型机械制造有限公司现有厂区内</w:t>
      </w:r>
      <w:r>
        <w:rPr>
          <w:rFonts w:hint="eastAsia" w:ascii="仿宋_GB2312" w:hAnsi="仿宋_GB2312" w:cs="仿宋_GB2312"/>
          <w:szCs w:val="32"/>
          <w:lang w:eastAsia="zh-CN"/>
        </w:rPr>
        <w:t>。该项目</w:t>
      </w:r>
      <w:r>
        <w:rPr>
          <w:rFonts w:hint="eastAsia" w:ascii="仿宋_GB2312" w:hAnsi="仿宋_GB2312" w:cs="仿宋_GB2312"/>
          <w:szCs w:val="32"/>
        </w:rPr>
        <w:t>在现有</w:t>
      </w:r>
      <w:r>
        <w:rPr>
          <w:rFonts w:hint="eastAsia" w:ascii="仿宋_GB2312" w:hAnsi="仿宋_GB2312" w:cs="仿宋_GB2312"/>
          <w:szCs w:val="32"/>
          <w:lang w:eastAsia="zh-CN"/>
        </w:rPr>
        <w:t>机械加工</w:t>
      </w:r>
      <w:r>
        <w:rPr>
          <w:rFonts w:hint="eastAsia" w:ascii="仿宋_GB2312" w:hAnsi="仿宋_GB2312" w:cs="仿宋_GB2312"/>
          <w:szCs w:val="32"/>
        </w:rPr>
        <w:t>基础上增加电镀</w:t>
      </w:r>
      <w:r>
        <w:rPr>
          <w:rFonts w:hint="eastAsia" w:ascii="仿宋_GB2312" w:hAnsi="仿宋_GB2312" w:cs="仿宋_GB2312"/>
          <w:szCs w:val="32"/>
          <w:lang w:eastAsia="zh-CN"/>
        </w:rPr>
        <w:t>工序</w:t>
      </w:r>
      <w:r>
        <w:rPr>
          <w:rFonts w:hint="eastAsia" w:ascii="仿宋_GB2312" w:hAnsi="仿宋_GB2312" w:cs="仿宋_GB2312"/>
          <w:szCs w:val="32"/>
        </w:rPr>
        <w:t>，年加工3000吨石油钻杆</w:t>
      </w:r>
      <w:r>
        <w:rPr>
          <w:rFonts w:hint="eastAsia" w:ascii="仿宋_GB2312" w:hAnsi="仿宋_GB2312" w:cs="仿宋_GB2312"/>
          <w:szCs w:val="32"/>
          <w:lang w:eastAsia="zh-CN"/>
        </w:rPr>
        <w:t>。</w:t>
      </w:r>
      <w:r>
        <w:rPr>
          <w:rFonts w:hint="eastAsia" w:ascii="仿宋_GB2312" w:hAnsi="仿宋_GB2312" w:cs="仿宋_GB2312"/>
          <w:szCs w:val="32"/>
        </w:rPr>
        <w:t>新增设备主要为：车床、铣床、攻丝机、连续镀铬线等。</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r>
        <w:rPr>
          <w:rFonts w:hint="eastAsia" w:ascii="仿宋_GB2312" w:hAnsi="仿宋_GB2312" w:cs="仿宋_GB2312"/>
          <w:szCs w:val="32"/>
        </w:rPr>
        <w:t>。</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二</w:t>
      </w:r>
      <w:r>
        <w:rPr>
          <w:rFonts w:hint="eastAsia" w:ascii="仿宋_GB2312" w:hAnsi="仿宋_GB2312" w:cs="仿宋_GB2312"/>
          <w:szCs w:val="32"/>
        </w:rPr>
        <w:t>）项目运行时，外排污染物应满足如下要求：</w:t>
      </w:r>
    </w:p>
    <w:p>
      <w:pPr>
        <w:keepNext w:val="0"/>
        <w:keepLines w:val="0"/>
        <w:pageBreakBefore w:val="0"/>
        <w:widowControl w:val="0"/>
        <w:kinsoku/>
        <w:wordWrap/>
        <w:overflowPunct/>
        <w:topLinePunct w:val="0"/>
        <w:autoSpaceDE/>
        <w:autoSpaceDN/>
        <w:bidi w:val="0"/>
        <w:adjustRightInd/>
        <w:snapToGrid w:val="0"/>
        <w:spacing w:line="546" w:lineRule="exact"/>
        <w:ind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cs="仿宋_GB2312"/>
          <w:color w:val="auto"/>
          <w:szCs w:val="32"/>
        </w:rPr>
        <w:t>1.废气：</w:t>
      </w:r>
      <w:r>
        <w:rPr>
          <w:rFonts w:hint="eastAsia" w:ascii="仿宋_GB2312" w:hAnsi="仿宋_GB2312" w:eastAsia="仿宋_GB2312" w:cs="仿宋_GB2312"/>
          <w:color w:val="auto"/>
          <w:szCs w:val="32"/>
          <w:highlight w:val="none"/>
        </w:rPr>
        <w:t>应采</w:t>
      </w:r>
      <w:r>
        <w:rPr>
          <w:rFonts w:hint="eastAsia" w:ascii="仿宋_GB2312" w:hAnsi="仿宋_GB2312" w:eastAsia="仿宋_GB2312" w:cs="仿宋_GB2312"/>
          <w:color w:val="auto"/>
          <w:szCs w:val="32"/>
        </w:rPr>
        <w:t>取合理措施，加强废气的收集和处理</w:t>
      </w:r>
      <w:r>
        <w:rPr>
          <w:rFonts w:hint="eastAsia" w:ascii="仿宋_GB2312" w:hAnsi="仿宋_GB2312" w:cs="仿宋_GB2312"/>
          <w:color w:val="auto"/>
          <w:szCs w:val="32"/>
          <w:lang w:eastAsia="zh-CN"/>
        </w:rPr>
        <w:t>，</w:t>
      </w:r>
      <w:r>
        <w:rPr>
          <w:rFonts w:hint="eastAsia" w:ascii="仿宋_GB2312" w:hAnsi="仿宋_GB2312" w:eastAsia="仿宋_GB2312" w:cs="仿宋_GB2312"/>
          <w:color w:val="auto"/>
          <w:szCs w:val="32"/>
          <w:lang w:eastAsia="zh-CN"/>
        </w:rPr>
        <w:t>电镀作业区域</w:t>
      </w:r>
      <w:r>
        <w:rPr>
          <w:rFonts w:hint="eastAsia" w:ascii="仿宋_GB2312" w:hAnsi="仿宋_GB2312" w:eastAsia="仿宋_GB2312" w:cs="仿宋_GB2312"/>
          <w:szCs w:val="32"/>
          <w:lang w:eastAsia="zh-CN"/>
        </w:rPr>
        <w:t>进行二次密闭，</w:t>
      </w:r>
      <w:r>
        <w:rPr>
          <w:rFonts w:hint="eastAsia" w:ascii="仿宋_GB2312" w:hAnsi="仿宋_GB2312" w:eastAsia="仿宋_GB2312" w:cs="仿宋_GB2312"/>
          <w:szCs w:val="32"/>
        </w:rPr>
        <w:t>减少生产过程中的无组织废气排放。</w:t>
      </w:r>
      <w:r>
        <w:rPr>
          <w:rFonts w:hint="eastAsia" w:ascii="仿宋_GB2312" w:hAnsi="仿宋_GB2312" w:eastAsia="仿宋_GB2312" w:cs="仿宋_GB2312"/>
          <w:szCs w:val="32"/>
          <w:lang w:eastAsia="zh-CN"/>
        </w:rPr>
        <w:t>生产线产生废气</w:t>
      </w:r>
      <w:r>
        <w:rPr>
          <w:rFonts w:hint="eastAsia" w:ascii="仿宋_GB2312" w:hAnsi="仿宋_GB2312" w:eastAsia="仿宋_GB2312" w:cs="仿宋_GB2312"/>
          <w:szCs w:val="32"/>
        </w:rPr>
        <w:t>经处理后外排</w:t>
      </w:r>
      <w:r>
        <w:rPr>
          <w:rFonts w:hint="eastAsia" w:ascii="仿宋_GB2312" w:hAnsi="仿宋_GB2312" w:eastAsia="仿宋_GB2312" w:cs="仿宋_GB2312"/>
          <w:szCs w:val="32"/>
          <w:lang w:eastAsia="zh-CN"/>
        </w:rPr>
        <w:t>须</w:t>
      </w:r>
      <w:r>
        <w:rPr>
          <w:rFonts w:hint="eastAsia" w:ascii="仿宋_GB2312" w:hAnsi="仿宋_GB2312" w:eastAsia="仿宋_GB2312" w:cs="仿宋_GB2312"/>
          <w:szCs w:val="32"/>
        </w:rPr>
        <w:t>满足《大气污染物综合排放标准》</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GB16297-1996）</w:t>
      </w:r>
      <w:r>
        <w:rPr>
          <w:rFonts w:hint="eastAsia" w:ascii="仿宋_GB2312" w:hAnsi="仿宋_GB2312" w:eastAsia="仿宋_GB2312" w:cs="仿宋_GB2312"/>
          <w:szCs w:val="32"/>
          <w:lang w:val="en-US" w:eastAsia="zh-CN"/>
        </w:rPr>
        <w:t>、</w:t>
      </w:r>
      <w:r>
        <w:rPr>
          <w:rFonts w:hint="eastAsia" w:ascii="仿宋_GB2312" w:hAnsi="仿宋_GB2312" w:eastAsia="仿宋_GB2312" w:cs="仿宋_GB2312"/>
          <w:szCs w:val="32"/>
        </w:rPr>
        <w:t>《电镀污染物排放标准》（GB21900-2008）</w:t>
      </w:r>
      <w:r>
        <w:rPr>
          <w:rFonts w:hint="eastAsia" w:ascii="仿宋_GB2312" w:hAnsi="仿宋_GB2312" w:cs="仿宋_GB2312"/>
          <w:szCs w:val="32"/>
          <w:lang w:eastAsia="zh-CN"/>
        </w:rPr>
        <w:t>相关</w:t>
      </w:r>
      <w:r>
        <w:rPr>
          <w:rFonts w:hint="eastAsia" w:ascii="仿宋_GB2312" w:hAnsi="仿宋_GB2312" w:cs="仿宋_GB2312"/>
          <w:szCs w:val="32"/>
          <w:lang w:val="en-US" w:eastAsia="zh-CN"/>
        </w:rPr>
        <w:t>标准限值</w:t>
      </w:r>
      <w:r>
        <w:rPr>
          <w:rFonts w:hint="eastAsia" w:ascii="仿宋_GB2312" w:hAnsi="仿宋_GB2312" w:cs="仿宋_GB2312"/>
          <w:szCs w:val="32"/>
          <w:highlight w:val="none"/>
          <w:lang w:val="en-US" w:eastAsia="zh-CN"/>
        </w:rPr>
        <w:t>要求</w:t>
      </w:r>
      <w:r>
        <w:rPr>
          <w:rFonts w:hint="eastAsia" w:ascii="仿宋_GB2312" w:hAnsi="仿宋_GB2312" w:eastAsia="仿宋_GB2312" w:cs="仿宋_GB2312"/>
          <w:kern w:val="2"/>
          <w:sz w:val="32"/>
          <w:szCs w:val="32"/>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val="0"/>
        <w:spacing w:line="546" w:lineRule="exact"/>
        <w:ind w:firstLine="640" w:firstLineChars="200"/>
        <w:textAlignment w:val="auto"/>
        <w:rPr>
          <w:rFonts w:hint="eastAsia" w:ascii="仿宋_GB2312" w:hAnsi="仿宋_GB2312" w:eastAsia="仿宋_GB2312" w:cs="仿宋_GB2312"/>
          <w:bCs/>
          <w:color w:val="000000"/>
          <w:kern w:val="2"/>
          <w:sz w:val="32"/>
          <w:szCs w:val="32"/>
          <w:lang w:val="en-US" w:eastAsia="zh-CN" w:bidi="ar-SA"/>
        </w:rPr>
      </w:pPr>
      <w:r>
        <w:rPr>
          <w:rFonts w:hint="eastAsia" w:ascii="仿宋_GB2312" w:hAnsi="仿宋_GB2312" w:eastAsia="仿宋_GB2312" w:cs="仿宋_GB2312"/>
          <w:bCs/>
          <w:color w:val="000000"/>
          <w:kern w:val="2"/>
          <w:sz w:val="32"/>
          <w:szCs w:val="32"/>
          <w:lang w:val="en-US" w:eastAsia="zh-CN" w:bidi="ar-SA"/>
        </w:rPr>
        <w:t>2.废水。</w:t>
      </w:r>
      <w:r>
        <w:rPr>
          <w:rFonts w:hint="eastAsia" w:ascii="仿宋_GB2312" w:hAnsi="仿宋_GB2312" w:eastAsia="仿宋_GB2312" w:cs="仿宋_GB2312"/>
          <w:szCs w:val="32"/>
          <w:lang w:val="en-US" w:eastAsia="zh-CN"/>
        </w:rPr>
        <w:t>按照“清污分流、雨污分流、污污分流、分质处理、分质回用”的要求处理，加强厂区管理，严防“跑冒滴漏”，杜绝交叉串排，生产废水不得混入雨水外排。含铬废水处理</w:t>
      </w:r>
      <w:r>
        <w:rPr>
          <w:rFonts w:hint="eastAsia" w:ascii="仿宋_GB2312" w:hAnsi="仿宋_GB2312" w:cs="仿宋_GB2312"/>
          <w:szCs w:val="32"/>
          <w:lang w:val="en-US" w:eastAsia="zh-CN"/>
        </w:rPr>
        <w:t>后回用</w:t>
      </w:r>
      <w:r>
        <w:rPr>
          <w:rFonts w:hint="eastAsia" w:ascii="仿宋_GB2312" w:hAnsi="仿宋_GB2312" w:eastAsia="仿宋_GB2312" w:cs="仿宋_GB2312"/>
          <w:szCs w:val="32"/>
          <w:lang w:val="en-US" w:eastAsia="zh-CN"/>
        </w:rPr>
        <w:t>不外排</w:t>
      </w:r>
      <w:r>
        <w:rPr>
          <w:rFonts w:hint="eastAsia" w:ascii="仿宋_GB2312" w:hAnsi="仿宋_GB2312" w:cs="仿宋_GB2312"/>
          <w:szCs w:val="32"/>
          <w:lang w:val="en-US" w:eastAsia="zh-CN"/>
        </w:rPr>
        <w:t>；生活污水预处理后与制纯水浓水混合经厂区废水总排口外排，外排</w:t>
      </w:r>
      <w:r>
        <w:rPr>
          <w:rFonts w:hint="eastAsia" w:ascii="仿宋_GB2312" w:hAnsi="仿宋_GB2312" w:eastAsia="仿宋_GB2312" w:cs="仿宋_GB2312"/>
          <w:szCs w:val="32"/>
          <w:lang w:val="en-US" w:eastAsia="zh-CN"/>
        </w:rPr>
        <w:t>水质</w:t>
      </w:r>
      <w:r>
        <w:rPr>
          <w:rFonts w:hint="eastAsia" w:ascii="仿宋_GB2312" w:hAnsi="仿宋_GB2312" w:cs="仿宋_GB2312"/>
          <w:szCs w:val="32"/>
          <w:lang w:val="en-US" w:eastAsia="zh-CN"/>
        </w:rPr>
        <w:t>应</w:t>
      </w:r>
      <w:r>
        <w:rPr>
          <w:rFonts w:hint="eastAsia" w:ascii="仿宋_GB2312" w:hAnsi="仿宋_GB2312" w:eastAsia="仿宋_GB2312" w:cs="仿宋_GB2312"/>
          <w:szCs w:val="32"/>
          <w:lang w:val="en-US" w:eastAsia="zh-CN"/>
        </w:rPr>
        <w:t>满足《污水综合排放标准》（GB8978-1996）表4三级限值要求和济源市第二污水处理厂收水水质标准要求。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（三）</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四</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adjustRightInd w:val="0"/>
        <w:snapToGrid w:val="0"/>
        <w:spacing w:line="560" w:lineRule="exact"/>
        <w:ind w:firstLine="640" w:firstLineChars="200"/>
        <w:rPr>
          <w:rFonts w:hint="eastAsia" w:ascii="仿宋_GB2312" w:hAnsi="仿宋_GB2312" w:cs="仿宋_GB2312"/>
          <w:szCs w:val="32"/>
        </w:rPr>
      </w:pPr>
      <w:r>
        <w:rPr>
          <w:rFonts w:hint="eastAsia" w:ascii="仿宋_GB2312" w:hAnsi="仿宋_GB2312" w:cs="仿宋_GB2312"/>
          <w:color w:val="auto"/>
          <w:sz w:val="32"/>
          <w:szCs w:val="32"/>
          <w:lang w:val="en-US" w:eastAsia="zh-CN"/>
        </w:rPr>
        <w:t>五、</w:t>
      </w:r>
      <w:r>
        <w:rPr>
          <w:rFonts w:hint="eastAsia" w:ascii="仿宋_GB2312" w:hAnsi="仿宋_GB2312" w:eastAsia="仿宋_GB2312" w:cs="仿宋_GB2312"/>
          <w:color w:val="auto"/>
          <w:sz w:val="32"/>
          <w:szCs w:val="32"/>
          <w:lang w:val="en-US" w:eastAsia="zh-CN"/>
        </w:rPr>
        <w:t>按照</w:t>
      </w:r>
      <w:r>
        <w:rPr>
          <w:rFonts w:hint="eastAsia" w:ascii="仿宋_GB2312" w:hAnsi="仿宋_GB2312" w:cs="仿宋_GB2312"/>
          <w:color w:val="auto"/>
          <w:sz w:val="32"/>
          <w:szCs w:val="32"/>
          <w:lang w:val="en-US" w:eastAsia="zh-CN"/>
        </w:rPr>
        <w:t>《河南省重污染天气重点行业应急减排措施制定技术指南》（2024年修订版）</w:t>
      </w:r>
      <w:bookmarkStart w:id="0" w:name="_Toc44493931"/>
      <w:r>
        <w:rPr>
          <w:rFonts w:hint="eastAsia" w:ascii="仿宋_GB2312" w:hAnsi="仿宋_GB2312" w:cs="仿宋_GB2312"/>
          <w:color w:val="auto"/>
          <w:sz w:val="32"/>
          <w:szCs w:val="32"/>
          <w:lang w:val="en-US" w:eastAsia="zh-CN"/>
          <w14:ligatures w14:val="none"/>
        </w:rPr>
        <w:t>中“</w:t>
      </w:r>
      <w:r>
        <w:rPr>
          <w:rFonts w:hint="eastAsia" w:ascii="仿宋_GB2312" w:hAnsi="仿宋_GB2312" w:cs="仿宋_GB2312"/>
          <w:szCs w:val="32"/>
          <w:lang w:val="en-US" w:eastAsia="zh-CN"/>
        </w:rPr>
        <w:t>相关行业</w:t>
      </w:r>
      <w:r>
        <w:rPr>
          <w:rFonts w:hint="eastAsia" w:ascii="仿宋_GB2312" w:hAnsi="仿宋_GB2312" w:cs="仿宋_GB2312"/>
          <w:color w:val="auto"/>
          <w:sz w:val="32"/>
          <w:szCs w:val="32"/>
          <w:lang w:val="en-US" w:eastAsia="zh-CN"/>
          <w14:ligatures w14:val="none"/>
        </w:rPr>
        <w:t>”A级绩效</w:t>
      </w:r>
      <w:bookmarkEnd w:id="0"/>
      <w:r>
        <w:rPr>
          <w:rFonts w:hint="eastAsia" w:ascii="仿宋_GB2312" w:hAnsi="仿宋_GB2312" w:eastAsia="仿宋_GB2312" w:cs="仿宋_GB2312"/>
          <w:color w:val="auto"/>
          <w:sz w:val="32"/>
          <w:szCs w:val="32"/>
          <w:lang w:val="en-US" w:eastAsia="zh-CN"/>
        </w:rPr>
        <w:t>分级各项要求，进行建设和管理。</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w:t>
      </w:r>
      <w:r>
        <w:rPr>
          <w:rFonts w:hint="eastAsia" w:ascii="仿宋_GB2312" w:hAnsi="仿宋_GB2312" w:cs="仿宋_GB2312"/>
          <w:szCs w:val="32"/>
          <w:lang w:val="en-US" w:eastAsia="zh-CN"/>
        </w:rPr>
        <w:t>排放</w:t>
      </w:r>
      <w:r>
        <w:rPr>
          <w:rFonts w:hint="eastAsia" w:ascii="仿宋_GB2312" w:hAnsi="仿宋_GB2312" w:cs="仿宋_GB2312"/>
          <w:szCs w:val="32"/>
        </w:rPr>
        <w:t>自动监控设备并与生态环境主管部门的监控设备联网。严格落实《报告书》相关环境监测计划，定期对各类污染物进行监测，发布相关信息，发现问题及时采取整改措施。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、严格执行环保“三同时”制度，按要求申领排污许可证，按规定程序实施竣工环境保护验收，经验收合格后方可正</w:t>
      </w:r>
      <w:r>
        <w:rPr>
          <w:rFonts w:hint="eastAsia" w:ascii="仿宋_GB2312" w:hAnsi="仿宋_GB2312" w:eastAsia="仿宋_GB2312" w:cs="仿宋_GB2312"/>
          <w:szCs w:val="32"/>
        </w:rPr>
        <w:t>式投产。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eastAsia="仿宋_GB2312" w:cs="仿宋_GB2312"/>
          <w:szCs w:val="32"/>
        </w:rPr>
        <w:t>、本批复有效期为5年，如该项目逾期方开工建设，其环境影响报告书应报我</w:t>
      </w:r>
      <w:r>
        <w:rPr>
          <w:rFonts w:hint="eastAsia" w:ascii="仿宋_GB2312" w:hAnsi="仿宋_GB2312" w:cs="仿宋_GB2312"/>
          <w:szCs w:val="32"/>
        </w:rPr>
        <w:t>局重新审核。项目的性质、规模、地点、采用的生产工艺或者防治污染、防止生态破坏的措施发生重大变动的，应当重新报批建</w:t>
      </w:r>
      <w:bookmarkStart w:id="1" w:name="_GoBack"/>
      <w:bookmarkEnd w:id="1"/>
      <w:r>
        <w:rPr>
          <w:rFonts w:hint="eastAsia" w:ascii="仿宋_GB2312" w:hAnsi="仿宋_GB2312" w:cs="仿宋_GB2312"/>
          <w:szCs w:val="32"/>
        </w:rPr>
        <w:t>设项目环境影响评价文件。</w:t>
      </w:r>
    </w:p>
    <w:p>
      <w:pPr>
        <w:adjustRightInd w:val="0"/>
        <w:snapToGrid w:val="0"/>
        <w:spacing w:line="560" w:lineRule="exact"/>
        <w:ind w:firstLine="640" w:firstLineChars="200"/>
        <w:rPr>
          <w:rFonts w:ascii="仿宋_GB2312" w:hAnsi="仿宋_GB2312" w:cs="仿宋_GB2312"/>
          <w:szCs w:val="32"/>
        </w:rPr>
      </w:pPr>
      <w:r>
        <w:rPr>
          <w:rFonts w:hint="eastAsia" w:ascii="仿宋_GB2312" w:hAnsi="仿宋_GB2312" w:cs="仿宋_GB2312"/>
          <w:szCs w:val="32"/>
          <w:lang w:val="en-US" w:eastAsia="zh-CN"/>
        </w:rPr>
        <w:t>九</w:t>
      </w:r>
      <w:r>
        <w:rPr>
          <w:rFonts w:hint="eastAsia" w:ascii="仿宋_GB2312" w:hAnsi="仿宋_GB2312" w:cs="仿宋_GB2312"/>
          <w:szCs w:val="32"/>
        </w:rPr>
        <w:t>、今后国家或我省颁布严于本批复污染物排放限值的新标准，届时你公司应按新的排放标准执行。</w:t>
      </w:r>
    </w:p>
    <w:p>
      <w:pPr>
        <w:pStyle w:val="10"/>
        <w:adjustRightInd w:val="0"/>
        <w:snapToGrid w:val="0"/>
        <w:spacing w:before="0" w:beforeAutospacing="0" w:after="0" w:afterAutospacing="0" w:line="560" w:lineRule="exact"/>
        <w:ind w:firstLine="5600" w:firstLineChars="2000"/>
        <w:jc w:val="both"/>
        <w:rPr>
          <w:rFonts w:ascii="Times New Roman" w:hAnsi="Times New Roman" w:cs="Times New Roman"/>
          <w:sz w:val="28"/>
          <w:szCs w:val="28"/>
          <w:highlight w:val="yellow"/>
        </w:rPr>
      </w:pPr>
    </w:p>
    <w:p>
      <w:pPr>
        <w:pStyle w:val="10"/>
        <w:adjustRightInd w:val="0"/>
        <w:snapToGrid w:val="0"/>
        <w:spacing w:before="0" w:beforeAutospacing="0" w:after="0" w:afterAutospacing="0" w:line="560" w:lineRule="exact"/>
        <w:ind w:firstLine="5600" w:firstLineChars="2000"/>
        <w:jc w:val="both"/>
        <w:rPr>
          <w:rFonts w:ascii="Times New Roman" w:hAnsi="Times New Roman" w:cs="Times New Roman"/>
          <w:sz w:val="28"/>
          <w:szCs w:val="28"/>
          <w:highlight w:val="none"/>
        </w:rPr>
      </w:pPr>
    </w:p>
    <w:p>
      <w:pPr>
        <w:adjustRightInd w:val="0"/>
        <w:snapToGrid w:val="0"/>
        <w:spacing w:line="560" w:lineRule="exact"/>
        <w:jc w:val="center"/>
        <w:rPr>
          <w:rFonts w:hint="default" w:ascii="仿宋_GB2312" w:hAnsi="仿宋_GB2312" w:eastAsia="仿宋_GB2312" w:cs="仿宋_GB2312"/>
          <w:szCs w:val="32"/>
          <w:highlight w:val="none"/>
          <w:lang w:val="en-US" w:eastAsia="zh-CN"/>
        </w:rPr>
      </w:pPr>
      <w:r>
        <w:rPr>
          <w:rFonts w:hint="eastAsia" w:ascii="仿宋_GB2312" w:hAnsi="仿宋_GB2312" w:cs="仿宋_GB2312"/>
          <w:szCs w:val="32"/>
          <w:highlight w:val="none"/>
        </w:rPr>
        <w:t xml:space="preserve">                          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6</w:t>
      </w:r>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24</w:t>
      </w:r>
      <w:r>
        <w:rPr>
          <w:rFonts w:hint="eastAsia" w:ascii="仿宋_GB2312" w:hAnsi="仿宋_GB2312" w:cs="仿宋_GB2312"/>
          <w:szCs w:val="32"/>
          <w:highlight w:val="none"/>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0"/>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IyMjQ1MjJlZDQ4MGU1YzQyNGVmODhmNzVkYjRiMDQifQ=="/>
  </w:docVars>
  <w:rsids>
    <w:rsidRoot w:val="009D6731"/>
    <w:rsid w:val="00184B20"/>
    <w:rsid w:val="001E50E1"/>
    <w:rsid w:val="00341CC4"/>
    <w:rsid w:val="00444988"/>
    <w:rsid w:val="00476956"/>
    <w:rsid w:val="004E3540"/>
    <w:rsid w:val="005C4799"/>
    <w:rsid w:val="00621026"/>
    <w:rsid w:val="006E2B61"/>
    <w:rsid w:val="00790523"/>
    <w:rsid w:val="00940D30"/>
    <w:rsid w:val="009D6731"/>
    <w:rsid w:val="00C12CA0"/>
    <w:rsid w:val="00C4566F"/>
    <w:rsid w:val="00E6566C"/>
    <w:rsid w:val="00EA21B5"/>
    <w:rsid w:val="00F26B39"/>
    <w:rsid w:val="00F361EC"/>
    <w:rsid w:val="00FD2FFE"/>
    <w:rsid w:val="00FD5695"/>
    <w:rsid w:val="00FE1028"/>
    <w:rsid w:val="06FF3E09"/>
    <w:rsid w:val="0F70383F"/>
    <w:rsid w:val="1AAA57BA"/>
    <w:rsid w:val="1F4E1F02"/>
    <w:rsid w:val="1FC702E1"/>
    <w:rsid w:val="22072167"/>
    <w:rsid w:val="24B7634F"/>
    <w:rsid w:val="2579116C"/>
    <w:rsid w:val="257F031C"/>
    <w:rsid w:val="267BA792"/>
    <w:rsid w:val="276930F2"/>
    <w:rsid w:val="299A1C85"/>
    <w:rsid w:val="2A4A21FC"/>
    <w:rsid w:val="2B827534"/>
    <w:rsid w:val="2DFD851A"/>
    <w:rsid w:val="36FE2A64"/>
    <w:rsid w:val="3BF10EB2"/>
    <w:rsid w:val="3F1E7849"/>
    <w:rsid w:val="3F291678"/>
    <w:rsid w:val="3F770BD0"/>
    <w:rsid w:val="406F22C5"/>
    <w:rsid w:val="40985999"/>
    <w:rsid w:val="47C65C99"/>
    <w:rsid w:val="49EC2FE3"/>
    <w:rsid w:val="4AF63E51"/>
    <w:rsid w:val="4BFDE941"/>
    <w:rsid w:val="4C3E1A99"/>
    <w:rsid w:val="4DC424F6"/>
    <w:rsid w:val="4EDE6D6B"/>
    <w:rsid w:val="508C759D"/>
    <w:rsid w:val="551A7C93"/>
    <w:rsid w:val="57BF7BC6"/>
    <w:rsid w:val="57C81308"/>
    <w:rsid w:val="5BD4863C"/>
    <w:rsid w:val="5C7F6E78"/>
    <w:rsid w:val="5F9000D9"/>
    <w:rsid w:val="620C23B5"/>
    <w:rsid w:val="622A5268"/>
    <w:rsid w:val="68746DC1"/>
    <w:rsid w:val="692D6F40"/>
    <w:rsid w:val="698A44E3"/>
    <w:rsid w:val="69CB13AE"/>
    <w:rsid w:val="69D1357C"/>
    <w:rsid w:val="6AFEA6D7"/>
    <w:rsid w:val="6BB460C7"/>
    <w:rsid w:val="6CDD8372"/>
    <w:rsid w:val="6DAE99B8"/>
    <w:rsid w:val="6F254179"/>
    <w:rsid w:val="6FF39570"/>
    <w:rsid w:val="70D81DE1"/>
    <w:rsid w:val="719B650A"/>
    <w:rsid w:val="72E045F8"/>
    <w:rsid w:val="73F71988"/>
    <w:rsid w:val="75D19977"/>
    <w:rsid w:val="765D951E"/>
    <w:rsid w:val="775D48DF"/>
    <w:rsid w:val="77AB5BC1"/>
    <w:rsid w:val="77DE5B55"/>
    <w:rsid w:val="78F82FF6"/>
    <w:rsid w:val="7B696311"/>
    <w:rsid w:val="7B7E28B5"/>
    <w:rsid w:val="7D8B6583"/>
    <w:rsid w:val="7E999D3D"/>
    <w:rsid w:val="7FEF9D05"/>
    <w:rsid w:val="7FFCDF82"/>
    <w:rsid w:val="B3F6BB11"/>
    <w:rsid w:val="BDDB45B5"/>
    <w:rsid w:val="D7FA0409"/>
    <w:rsid w:val="D87F9C54"/>
    <w:rsid w:val="DAFB6CA8"/>
    <w:rsid w:val="DB37157B"/>
    <w:rsid w:val="DD6FBB4B"/>
    <w:rsid w:val="DED7A82A"/>
    <w:rsid w:val="DF5F2A87"/>
    <w:rsid w:val="E6DEE13B"/>
    <w:rsid w:val="EB7FD0C4"/>
    <w:rsid w:val="EECBC687"/>
    <w:rsid w:val="EFFD4A11"/>
    <w:rsid w:val="F5AA74A5"/>
    <w:rsid w:val="F8DF557C"/>
    <w:rsid w:val="FBFF6C65"/>
    <w:rsid w:val="FFBF32AE"/>
    <w:rsid w:val="FFDF695E"/>
    <w:rsid w:val="FFEE0E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keepLines/>
      <w:spacing w:beforeLines="0" w:beforeAutospacing="0" w:afterLines="0" w:afterAutospacing="0" w:line="520" w:lineRule="atLeast"/>
      <w:outlineLvl w:val="0"/>
    </w:pPr>
    <w:rPr>
      <w:rFonts w:ascii="Times New Roman" w:hAnsi="Times New Roman"/>
      <w:kern w:val="44"/>
      <w:sz w:val="24"/>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4">
    <w:name w:val="toa heading"/>
    <w:basedOn w:val="1"/>
    <w:next w:val="1"/>
    <w:semiHidden/>
    <w:qFormat/>
    <w:uiPriority w:val="0"/>
    <w:pPr>
      <w:spacing w:before="120"/>
    </w:pPr>
    <w:rPr>
      <w:rFonts w:ascii="Arial" w:hAnsi="Arial" w:cs="Arial"/>
      <w:sz w:val="24"/>
    </w:rPr>
  </w:style>
  <w:style w:type="paragraph" w:styleId="5">
    <w:name w:val="Body Text"/>
    <w:basedOn w:val="1"/>
    <w:link w:val="14"/>
    <w:qFormat/>
    <w:uiPriority w:val="0"/>
    <w:pPr>
      <w:spacing w:after="120"/>
    </w:pPr>
  </w:style>
  <w:style w:type="paragraph" w:styleId="6">
    <w:name w:val="Body Text Indent"/>
    <w:basedOn w:val="1"/>
    <w:qFormat/>
    <w:uiPriority w:val="0"/>
    <w:pPr>
      <w:ind w:firstLine="480"/>
    </w:pPr>
    <w:rPr>
      <w:rFonts w:ascii="Calibri" w:hAnsi="Calibri" w:eastAsia="宋体"/>
      <w:sz w:val="24"/>
    </w:rPr>
  </w:style>
  <w:style w:type="paragraph" w:styleId="7">
    <w:name w:val="Plain Text"/>
    <w:basedOn w:val="1"/>
    <w:qFormat/>
    <w:uiPriority w:val="0"/>
    <w:rPr>
      <w:rFonts w:ascii="宋体" w:hAnsi="Courier New" w:cs="Courier New"/>
      <w:szCs w:val="21"/>
    </w:rPr>
  </w:style>
  <w:style w:type="paragraph" w:styleId="8">
    <w:name w:val="footer"/>
    <w:basedOn w:val="1"/>
    <w:link w:val="16"/>
    <w:qFormat/>
    <w:uiPriority w:val="0"/>
    <w:pPr>
      <w:tabs>
        <w:tab w:val="center" w:pos="4153"/>
        <w:tab w:val="right" w:pos="8306"/>
      </w:tabs>
      <w:snapToGrid w:val="0"/>
      <w:jc w:val="left"/>
    </w:pPr>
    <w:rPr>
      <w:sz w:val="18"/>
      <w:szCs w:val="18"/>
    </w:rPr>
  </w:style>
  <w:style w:type="paragraph" w:styleId="9">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unhideWhenUsed/>
    <w:qFormat/>
    <w:uiPriority w:val="99"/>
    <w:pPr>
      <w:widowControl/>
      <w:spacing w:before="100" w:beforeAutospacing="1" w:after="100" w:afterAutospacing="1"/>
      <w:jc w:val="left"/>
    </w:pPr>
    <w:rPr>
      <w:rFonts w:eastAsia="宋体" w:cs="宋体"/>
      <w:kern w:val="0"/>
      <w:sz w:val="24"/>
    </w:rPr>
  </w:style>
  <w:style w:type="paragraph" w:styleId="11">
    <w:name w:val="Body Text First Indent 2"/>
    <w:basedOn w:val="6"/>
    <w:qFormat/>
    <w:uiPriority w:val="0"/>
    <w:pPr>
      <w:ind w:firstLine="420" w:firstLineChars="200"/>
    </w:pPr>
  </w:style>
  <w:style w:type="character" w:customStyle="1" w:styleId="14">
    <w:name w:val="正文文本 Char"/>
    <w:basedOn w:val="13"/>
    <w:link w:val="5"/>
    <w:qFormat/>
    <w:uiPriority w:val="0"/>
    <w:rPr>
      <w:rFonts w:ascii="宋体" w:hAnsi="宋体" w:eastAsia="仿宋_GB2312" w:cs="Times New Roman"/>
      <w:kern w:val="2"/>
      <w:sz w:val="32"/>
      <w:szCs w:val="24"/>
    </w:rPr>
  </w:style>
  <w:style w:type="character" w:customStyle="1" w:styleId="15">
    <w:name w:val="页眉 Char"/>
    <w:basedOn w:val="13"/>
    <w:link w:val="9"/>
    <w:qFormat/>
    <w:uiPriority w:val="0"/>
    <w:rPr>
      <w:rFonts w:ascii="宋体" w:hAnsi="宋体" w:eastAsia="仿宋_GB2312" w:cs="Times New Roman"/>
      <w:kern w:val="2"/>
      <w:sz w:val="18"/>
      <w:szCs w:val="18"/>
    </w:rPr>
  </w:style>
  <w:style w:type="character" w:customStyle="1" w:styleId="16">
    <w:name w:val="页脚 Char"/>
    <w:basedOn w:val="13"/>
    <w:link w:val="8"/>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1769</Words>
  <Characters>1880</Characters>
  <Lines>13</Lines>
  <Paragraphs>3</Paragraphs>
  <TotalTime>8</TotalTime>
  <ScaleCrop>false</ScaleCrop>
  <LinksUpToDate>false</LinksUpToDate>
  <CharactersWithSpaces>1906</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2023-12-10T09:26:00Z</dcterms:created>
  <dc:creator>jia</dc:creator>
  <cp:lastModifiedBy>柑橘与柠檬吖</cp:lastModifiedBy>
  <cp:lastPrinted>2025-06-21T00:13:00Z</cp:lastPrinted>
  <dcterms:modified xsi:type="dcterms:W3CDTF">2025-06-24T07:50:29Z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0C9DCF87E7774780BDE8EED28F7EB57D_13</vt:lpwstr>
  </property>
  <property fmtid="{D5CDD505-2E9C-101B-9397-08002B2CF9AE}" pid="4" name="KSOTemplateDocerSaveRecord">
    <vt:lpwstr>eyJoZGlkIjoiMGI2ZjIwOWU0OWY2MmM5NjZmMjQ5YzgzY2Y2NjIyNGEiLCJ1c2VySWQiOiI2ODczODI4NTgifQ==</vt:lpwstr>
  </property>
</Properties>
</file>