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wordWrap w:val="0"/>
        <w:spacing w:before="156" w:beforeLines="50" w:line="560" w:lineRule="exact"/>
        <w:jc w:val="right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5</w:t>
      </w:r>
      <w:r>
        <w:rPr>
          <w:rFonts w:ascii="仿宋_GB2312" w:hAnsi="仿宋_GB2312" w:cs="仿宋_GB2312"/>
          <w:szCs w:val="32"/>
          <w:highlight w:val="none"/>
        </w:rPr>
        <w:t>〕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36</w:t>
      </w:r>
      <w:r>
        <w:rPr>
          <w:rFonts w:ascii="仿宋_GB2312" w:hAnsi="仿宋_GB2312" w:cs="仿宋_GB231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济源市生态环境局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济源市尚恩环保科技有限公司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冶炼废渣多金属综合回收项目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济源市尚恩环保科技有限公司</w:t>
      </w:r>
      <w:r>
        <w:rPr>
          <w:rFonts w:hint="eastAsia" w:ascii="仿宋_GB2312" w:hAnsi="仿宋_GB2312" w:eastAsia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你单位（统一社会信用代码：91419001MA4692047R）报送的由河南济环环保科技有限公司</w:t>
      </w:r>
      <w:r>
        <w:rPr>
          <w:rFonts w:hint="eastAsia" w:ascii="仿宋_GB2312" w:hAnsi="仿宋_GB2312" w:cs="仿宋_GB2312"/>
          <w:szCs w:val="32"/>
          <w:lang w:val="en-US" w:eastAsia="zh-CN"/>
        </w:rPr>
        <w:t>范志功</w:t>
      </w:r>
      <w:r>
        <w:rPr>
          <w:rFonts w:hint="eastAsia" w:ascii="仿宋_GB2312" w:hAnsi="仿宋_GB2312" w:eastAsia="仿宋_GB2312" w:cs="仿宋_GB2312"/>
          <w:szCs w:val="32"/>
        </w:rPr>
        <w:t>主持编制的《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济源市尚恩环保科技有限公司冶炼废渣多金属综合回收项目</w:t>
      </w:r>
      <w:r>
        <w:rPr>
          <w:rFonts w:hint="eastAsia" w:ascii="仿宋_GB2312" w:hAnsi="仿宋_GB2312" w:eastAsia="仿宋_GB2312" w:cs="仿宋_GB2312"/>
          <w:szCs w:val="32"/>
        </w:rPr>
        <w:t>环境影响报告书》（以下简称《报告书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厂区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位于济源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经济技术开发区玉川二号线南段，本项目在现有湿法工艺处置有色冶炼废物基础上，新增1台富氧侧吹炉、2条回转窑等设备，建成后年新增处置危险废物15万吨、一般固废2.5万吨，主要产品为铅铋合金、七水硫酸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该《报告书》内容符合国家有关法律法规要求和建设项目环境管理规定，符合生态环境分区管控要求，符合所在园区规划环评要求，评价结论可信。我局批准该《报告书》，原则同意你公司按照《报告书》所列项目的建设内容和环境保护对策措施进行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三、你单位应向社会公众主动公开已经批准的《报告书》，接受相关方的垂询。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四、你单位应全面落实《报告书》提出的各项环境保护措施，各项环境保护设施与主体工程同时设计、同时施工、同时投入使用，确保各项污染物达标排放。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（一）向设计单位提供《报告书》和本批复文件，确保项目设计按照环境保护设计规范要求，落实防治环境污染和生态破坏的措施。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（二）依据《报告书》和本批复文件，对项目建设过程中产生的废水、废气、固体废物、噪声等污染，以及因施工而对生态环境造成的破坏，采取相应的防治措施和生态环境影响减缓措施。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（三）项目运行时，外排污染物应满足如下要求：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1.废气：项目应采取合理措施，加强废气的收集和处理，减少生产过程中的无组织废气排放。各项废气经处理后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Cs w:val="32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</w:rPr>
        <w:t>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《无机化学工业污染物排放标准》（GB31573-2015）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及修改单、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《工业炉窑大气污染物排放标准》(DB41/1066-20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、《大气污染物综合排放标准》（GB16297-1996）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《再生铜、铝、铅、锌工业污染物排放标准》（GB31574-2015）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及《重污染天气重点行业应急减排措施制定技术指南（2020年修订版）》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相关行业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A级企业绩效指标要求。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Cs w:val="32"/>
        </w:rPr>
        <w:t>2.废水：按照“雨污分流、清污分流、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分质分类处理</w:t>
      </w:r>
      <w:r>
        <w:rPr>
          <w:rFonts w:hint="eastAsia" w:ascii="仿宋_GB2312" w:hAnsi="仿宋_GB2312" w:eastAsia="仿宋_GB2312" w:cs="仿宋_GB2312"/>
          <w:szCs w:val="32"/>
        </w:rPr>
        <w:t>”的原则处理废水。项目生产废水</w:t>
      </w:r>
      <w:r>
        <w:rPr>
          <w:rFonts w:hint="eastAsia" w:ascii="仿宋_GB2312" w:hAnsi="仿宋_GB2312" w:cs="仿宋_GB231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Cs w:val="32"/>
        </w:rPr>
        <w:t>不外排，净水制备产生的浓盐水、余热锅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炉排水、净循环冷却水排水等直接作为冲渣补充用水；回转窑窑体喷淋废水、锌焙砂冷却废水循环利用；新增湿法除尘废水、脱硫脱硝废水依托现有污水处理站</w:t>
      </w:r>
      <w:r>
        <w:rPr>
          <w:rFonts w:hint="eastAsia" w:ascii="仿宋_GB2312" w:hAnsi="仿宋_GB2312" w:cs="仿宋_GB2312"/>
          <w:szCs w:val="32"/>
          <w:lang w:eastAsia="zh-CN"/>
        </w:rPr>
        <w:t>预处理后进行</w:t>
      </w:r>
      <w:r>
        <w:rPr>
          <w:rFonts w:hint="eastAsia" w:ascii="仿宋_GB2312" w:hAnsi="仿宋_GB2312" w:eastAsia="仿宋_GB2312" w:cs="仿宋_GB2312"/>
          <w:szCs w:val="32"/>
        </w:rPr>
        <w:t>蒸发</w:t>
      </w:r>
      <w:r>
        <w:rPr>
          <w:rFonts w:hint="eastAsia" w:ascii="仿宋_GB2312" w:hAnsi="仿宋_GB2312" w:cs="仿宋_GB2312"/>
          <w:szCs w:val="32"/>
          <w:lang w:eastAsia="zh-CN"/>
        </w:rPr>
        <w:t>结晶</w:t>
      </w:r>
      <w:r>
        <w:rPr>
          <w:rFonts w:hint="eastAsia" w:ascii="仿宋_GB2312" w:hAnsi="仿宋_GB2312" w:eastAsia="仿宋_GB2312" w:cs="仿宋_GB2312"/>
          <w:szCs w:val="32"/>
        </w:rPr>
        <w:t>。生活污水</w:t>
      </w:r>
      <w:r>
        <w:rPr>
          <w:rFonts w:hint="eastAsia" w:ascii="仿宋_GB2312" w:hAnsi="仿宋_GB2312" w:cs="仿宋_GB231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Cs w:val="32"/>
        </w:rPr>
        <w:t>一体化处理设施处理后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经园区污水管网进入济源市玉川城建污水厂作进一步处理。厂区总排口水质须满足《无机化学工业污染物排放标准》（GB31573-2015）及污水处理厂收水水质要求。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3.噪声：严格落实噪声污染防治措施。项目厂界噪声满足《工业企业厂界环境噪声排放标准》（GB12348-2008）3类标准要求。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固废：按照“减量化、资源化、无害化”的原则，落实各类固体废物的收集、处置和综合利用措施,并做好日常管理台账记录。各类固体废物贮存、处置应满足《固体废物污染环境防治法》《危险废物贮存污染控制标准》（GB18597 -2023）要求，避免对环境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（四）落实土壤及地下水污染防治措施，采取源头控制、分区防渗等措施，加强厂区周围土壤及地下水水质监控，严防土壤和地下水污染。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（五）加强环境风险管理，落实《报告书》提出的环境风险防范措施，制定环境风险及事故应急预案，加强日常管理，严防环境污染事故发生。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按照《重污染天气重点行业应急减排措施制定技术指南（2020年修订版）》相关行业A级绩效分级指标要求，进行建设和管理。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Cs w:val="32"/>
        </w:rPr>
        <w:t>、按国家有关规定设置规范的污染物排放口，并设立明显标志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按要求安装主要监测点位视频监控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污染物排放自动监测设备,并与生态环境主管部门的监控设备联网。严格落实《报告书》相关环境监测计划，定期对各类污染物进行监测，发布相关信息，发现问题及时采取整改措施。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Cs w:val="32"/>
        </w:rPr>
        <w:t>、严格执行环保“三同时”制度，</w:t>
      </w:r>
      <w:r>
        <w:rPr>
          <w:rFonts w:hint="eastAsia" w:ascii="仿宋_GB2312" w:hAnsi="仿宋_GB2312" w:cs="仿宋_GB2312"/>
          <w:szCs w:val="32"/>
          <w:lang w:eastAsia="zh-CN"/>
        </w:rPr>
        <w:t>积极完成现有问题的整改，</w:t>
      </w:r>
      <w:r>
        <w:rPr>
          <w:rFonts w:hint="eastAsia" w:ascii="仿宋_GB2312" w:hAnsi="仿宋_GB2312" w:eastAsia="仿宋_GB2312" w:cs="仿宋_GB2312"/>
          <w:szCs w:val="32"/>
        </w:rPr>
        <w:t>按要求</w:t>
      </w:r>
      <w:r>
        <w:rPr>
          <w:rFonts w:hint="eastAsia" w:ascii="仿宋_GB2312" w:hAnsi="仿宋_GB2312" w:cs="仿宋_GB231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zCs w:val="32"/>
        </w:rPr>
        <w:t>排污许可证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按规定程序实施竣工环境保护验收，经验收合格后方可正式投产。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严格按照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《</w:t>
      </w:r>
      <w:r>
        <w:rPr>
          <w:rFonts w:hint="eastAsia" w:ascii="仿宋_GB2312" w:hAnsi="仿宋_GB2312" w:cs="仿宋_GB2312"/>
          <w:highlight w:val="none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济源市尚恩环保科技有限公司冶炼废渣多金属综合回收项目</w:t>
      </w:r>
      <w:r>
        <w:rPr>
          <w:rFonts w:hint="eastAsia" w:ascii="仿宋_GB2312" w:hAnsi="仿宋_GB2312" w:cs="仿宋_GB2312"/>
          <w:highlight w:val="none"/>
          <w:lang w:val="en-US" w:eastAsia="zh-CN"/>
        </w:rPr>
        <w:t>污染物总量控制指标的函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》（济环总量函〔2025〕</w:t>
      </w:r>
      <w:r>
        <w:rPr>
          <w:rFonts w:hint="eastAsia" w:ascii="仿宋_GB2312" w:hAnsi="仿宋_GB2312" w:cs="仿宋_GB231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号）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《</w:t>
      </w:r>
      <w:r>
        <w:rPr>
          <w:rFonts w:hint="eastAsia" w:ascii="仿宋_GB2312" w:hAnsi="仿宋_GB2312" w:cs="仿宋_GB2312"/>
          <w:highlight w:val="none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济源市尚恩环保科技有限公司冶炼废渣多金属综合回收项目</w:t>
      </w:r>
      <w:r>
        <w:rPr>
          <w:rFonts w:hint="eastAsia" w:ascii="仿宋_GB2312" w:hAnsi="仿宋_GB2312" w:cs="仿宋_GB2312"/>
          <w:highlight w:val="none"/>
          <w:lang w:val="en-US" w:eastAsia="zh-CN"/>
        </w:rPr>
        <w:t>重金属污染物总量审批的函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，落实总量控制要求。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九、本批复有效期为5年，如该项目逾期方开工建设，其环境影响报告书应报我局重新审核。如项目建设发生重大变动，应重新进行环境影响评价。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十、今后国家或我省颁布严于本批复污染物排放限值的新标准，届时你单位应按新的排放标准执行。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7" w:beforeLines="300"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25日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2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C4136"/>
    <w:multiLevelType w:val="singleLevel"/>
    <w:tmpl w:val="AD3C41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9D6731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1F55AE9"/>
    <w:rsid w:val="02460368"/>
    <w:rsid w:val="02A76CD8"/>
    <w:rsid w:val="03CF1B62"/>
    <w:rsid w:val="06FF3E09"/>
    <w:rsid w:val="07F678B4"/>
    <w:rsid w:val="0ABE64DB"/>
    <w:rsid w:val="0B6B293B"/>
    <w:rsid w:val="0F593260"/>
    <w:rsid w:val="0F70383F"/>
    <w:rsid w:val="126B7053"/>
    <w:rsid w:val="14333BA0"/>
    <w:rsid w:val="16ED44DA"/>
    <w:rsid w:val="17EFABAE"/>
    <w:rsid w:val="1AAA57BA"/>
    <w:rsid w:val="1DFF3F20"/>
    <w:rsid w:val="1FC702E1"/>
    <w:rsid w:val="1FF7F4F3"/>
    <w:rsid w:val="1FFA4DA0"/>
    <w:rsid w:val="22072167"/>
    <w:rsid w:val="23FA2A5F"/>
    <w:rsid w:val="24B7634F"/>
    <w:rsid w:val="24BC1BEF"/>
    <w:rsid w:val="2579116C"/>
    <w:rsid w:val="257F031C"/>
    <w:rsid w:val="267BA792"/>
    <w:rsid w:val="271B5FAA"/>
    <w:rsid w:val="27383550"/>
    <w:rsid w:val="276930F2"/>
    <w:rsid w:val="287B7B98"/>
    <w:rsid w:val="299A1C85"/>
    <w:rsid w:val="2B827534"/>
    <w:rsid w:val="2C5A5D16"/>
    <w:rsid w:val="2DAEE527"/>
    <w:rsid w:val="2DFD851A"/>
    <w:rsid w:val="2FA5374C"/>
    <w:rsid w:val="36A221E7"/>
    <w:rsid w:val="36FE2A64"/>
    <w:rsid w:val="386A5533"/>
    <w:rsid w:val="395B0A88"/>
    <w:rsid w:val="3BF10EB2"/>
    <w:rsid w:val="3D5F2863"/>
    <w:rsid w:val="3EA42BA5"/>
    <w:rsid w:val="3F770BD0"/>
    <w:rsid w:val="3F8949F7"/>
    <w:rsid w:val="3FDF01DA"/>
    <w:rsid w:val="3FFE47E9"/>
    <w:rsid w:val="46942D69"/>
    <w:rsid w:val="47C65C99"/>
    <w:rsid w:val="4A3EF9A7"/>
    <w:rsid w:val="4AF63E51"/>
    <w:rsid w:val="4C3E1A99"/>
    <w:rsid w:val="4CE12B80"/>
    <w:rsid w:val="4DC424F6"/>
    <w:rsid w:val="4DFBFF7E"/>
    <w:rsid w:val="4DFCFB7F"/>
    <w:rsid w:val="4EDE6D6B"/>
    <w:rsid w:val="508C759D"/>
    <w:rsid w:val="5208399B"/>
    <w:rsid w:val="568F689E"/>
    <w:rsid w:val="573BB317"/>
    <w:rsid w:val="5A6F3F47"/>
    <w:rsid w:val="5B7D669C"/>
    <w:rsid w:val="5BD4863C"/>
    <w:rsid w:val="5CDDA83D"/>
    <w:rsid w:val="5DBE11C3"/>
    <w:rsid w:val="5E7A79CF"/>
    <w:rsid w:val="5F9000D9"/>
    <w:rsid w:val="5FDEEA0D"/>
    <w:rsid w:val="5FF99284"/>
    <w:rsid w:val="60254DE6"/>
    <w:rsid w:val="616F54EB"/>
    <w:rsid w:val="620C23B5"/>
    <w:rsid w:val="623E204E"/>
    <w:rsid w:val="62A96AD4"/>
    <w:rsid w:val="62C3404B"/>
    <w:rsid w:val="63FD36EB"/>
    <w:rsid w:val="66774100"/>
    <w:rsid w:val="68746DC1"/>
    <w:rsid w:val="692D6F40"/>
    <w:rsid w:val="698A44E3"/>
    <w:rsid w:val="69CB13AE"/>
    <w:rsid w:val="69D1357C"/>
    <w:rsid w:val="6BB460C7"/>
    <w:rsid w:val="6BDE3BA4"/>
    <w:rsid w:val="6CDD8372"/>
    <w:rsid w:val="6D6F26C8"/>
    <w:rsid w:val="6F254179"/>
    <w:rsid w:val="6FB940CF"/>
    <w:rsid w:val="6FC957F4"/>
    <w:rsid w:val="6FF39570"/>
    <w:rsid w:val="72E045F8"/>
    <w:rsid w:val="73F374EE"/>
    <w:rsid w:val="73F71988"/>
    <w:rsid w:val="745A109E"/>
    <w:rsid w:val="75D19977"/>
    <w:rsid w:val="765D951E"/>
    <w:rsid w:val="76F9A361"/>
    <w:rsid w:val="775D48DF"/>
    <w:rsid w:val="77C5202C"/>
    <w:rsid w:val="77DC677D"/>
    <w:rsid w:val="77F2FC37"/>
    <w:rsid w:val="77F69FAD"/>
    <w:rsid w:val="78F82FF6"/>
    <w:rsid w:val="790E7239"/>
    <w:rsid w:val="79FAA3BA"/>
    <w:rsid w:val="7B696311"/>
    <w:rsid w:val="7B7E28B5"/>
    <w:rsid w:val="7BE7BFE2"/>
    <w:rsid w:val="7D567401"/>
    <w:rsid w:val="7D8B6583"/>
    <w:rsid w:val="7ECB5A88"/>
    <w:rsid w:val="7FFF2116"/>
    <w:rsid w:val="8FFD41AA"/>
    <w:rsid w:val="AFE6D1AD"/>
    <w:rsid w:val="B7FE2C3E"/>
    <w:rsid w:val="BB71E2A8"/>
    <w:rsid w:val="BD57C1B9"/>
    <w:rsid w:val="BFBD3173"/>
    <w:rsid w:val="BFFF55B4"/>
    <w:rsid w:val="CB78EF87"/>
    <w:rsid w:val="CB9FAAF2"/>
    <w:rsid w:val="D36B5E47"/>
    <w:rsid w:val="D6EF1646"/>
    <w:rsid w:val="D7FA0409"/>
    <w:rsid w:val="D87F9C54"/>
    <w:rsid w:val="DB77A289"/>
    <w:rsid w:val="DD6FBB4B"/>
    <w:rsid w:val="DE2F2BA8"/>
    <w:rsid w:val="DF5F2A87"/>
    <w:rsid w:val="DFD5AB83"/>
    <w:rsid w:val="E3F7084E"/>
    <w:rsid w:val="E6DEE13B"/>
    <w:rsid w:val="E9DEEDEF"/>
    <w:rsid w:val="EB7FD0C4"/>
    <w:rsid w:val="EBFB41A9"/>
    <w:rsid w:val="EDEB4B8D"/>
    <w:rsid w:val="EECBC687"/>
    <w:rsid w:val="EFEFBD04"/>
    <w:rsid w:val="EFFD4A11"/>
    <w:rsid w:val="F5AA74A5"/>
    <w:rsid w:val="F5FB2154"/>
    <w:rsid w:val="F8BFF624"/>
    <w:rsid w:val="F8DF557C"/>
    <w:rsid w:val="FBDD74D7"/>
    <w:rsid w:val="FCEFB75E"/>
    <w:rsid w:val="FEFF708A"/>
    <w:rsid w:val="FF0AC720"/>
    <w:rsid w:val="FF6D4DD0"/>
    <w:rsid w:val="FFBF32AE"/>
    <w:rsid w:val="FFDF695E"/>
    <w:rsid w:val="FFF53414"/>
    <w:rsid w:val="FFF90740"/>
    <w:rsid w:val="FFF9C3A5"/>
    <w:rsid w:val="FF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正文文本 Char"/>
    <w:basedOn w:val="10"/>
    <w:link w:val="3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1966</Words>
  <Characters>2073</Characters>
  <Lines>13</Lines>
  <Paragraphs>3</Paragraphs>
  <TotalTime>9</TotalTime>
  <ScaleCrop>false</ScaleCrop>
  <LinksUpToDate>false</LinksUpToDate>
  <CharactersWithSpaces>2105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2023-12-13T17:26:00Z</dcterms:created>
  <dc:creator>jia</dc:creator>
  <cp:lastModifiedBy>greatwall</cp:lastModifiedBy>
  <cp:lastPrinted>2025-12-25T14:38:20Z</cp:lastPrinted>
  <dcterms:modified xsi:type="dcterms:W3CDTF">2025-12-25T14:39:05Z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6A80C282FFDC45BFBA7153C4E9FE7830_13</vt:lpwstr>
  </property>
  <property fmtid="{D5CDD505-2E9C-101B-9397-08002B2CF9AE}" pid="4" name="KSOTemplateDocerSaveRecord">
    <vt:lpwstr>eyJoZGlkIjoiMzg1ZmQ0YTYxNzkwODE4M2IyZjRmYzdlNzg0OGRlYWUiLCJ1c2VySWQiOiIyODAxMzkwNDcifQ==</vt:lpwstr>
  </property>
</Properties>
</file>