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仿宋_GB2312" w:hAnsi="仿宋_GB2312" w:cs="仿宋_GB2312"/>
          <w:szCs w:val="32"/>
        </w:rPr>
      </w:pPr>
    </w:p>
    <w:p>
      <w:pPr>
        <w:spacing w:line="560" w:lineRule="exact"/>
        <w:ind w:firstLine="640" w:firstLineChars="200"/>
        <w:rPr>
          <w:rFonts w:ascii="仿宋_GB2312" w:hAnsi="仿宋_GB2312" w:cs="仿宋_GB2312"/>
          <w:szCs w:val="32"/>
        </w:rPr>
      </w:pPr>
    </w:p>
    <w:p>
      <w:pPr>
        <w:spacing w:line="560" w:lineRule="exact"/>
        <w:ind w:firstLine="640" w:firstLineChars="200"/>
        <w:rPr>
          <w:rFonts w:ascii="仿宋_GB2312" w:hAnsi="仿宋_GB2312" w:cs="仿宋_GB2312"/>
          <w:szCs w:val="32"/>
        </w:rPr>
      </w:pPr>
    </w:p>
    <w:p>
      <w:pPr>
        <w:spacing w:line="560" w:lineRule="exact"/>
        <w:ind w:firstLine="640" w:firstLineChars="200"/>
        <w:rPr>
          <w:rFonts w:ascii="仿宋_GB2312" w:hAnsi="仿宋_GB2312" w:cs="仿宋_GB2312"/>
          <w:szCs w:val="32"/>
        </w:rPr>
      </w:pPr>
    </w:p>
    <w:p>
      <w:pPr>
        <w:spacing w:line="560" w:lineRule="exact"/>
        <w:ind w:firstLine="640" w:firstLineChars="200"/>
        <w:rPr>
          <w:rFonts w:ascii="仿宋_GB2312" w:hAnsi="仿宋_GB2312" w:cs="仿宋_GB2312"/>
          <w:szCs w:val="32"/>
        </w:rPr>
      </w:pPr>
    </w:p>
    <w:p>
      <w:pPr>
        <w:wordWrap w:val="0"/>
        <w:spacing w:before="156" w:beforeLines="50" w:line="560" w:lineRule="exact"/>
        <w:jc w:val="right"/>
        <w:rPr>
          <w:rFonts w:ascii="仿宋_GB2312" w:hAnsi="仿宋_GB2312" w:cs="仿宋_GB2312"/>
          <w:szCs w:val="32"/>
          <w:highlight w:val="none"/>
        </w:rPr>
      </w:pPr>
      <w:r>
        <w:rPr>
          <w:rFonts w:ascii="仿宋_GB2312" w:hAnsi="仿宋_GB2312" w:cs="仿宋_GB2312"/>
          <w:szCs w:val="32"/>
          <w:highlight w:val="none"/>
        </w:rPr>
        <w:t>济环</w:t>
      </w:r>
      <w:r>
        <w:rPr>
          <w:rFonts w:hint="eastAsia" w:ascii="仿宋_GB2312" w:hAnsi="仿宋_GB2312" w:cs="仿宋_GB2312"/>
          <w:szCs w:val="32"/>
          <w:highlight w:val="none"/>
          <w:lang w:eastAsia="zh-CN"/>
        </w:rPr>
        <w:t>评</w:t>
      </w:r>
      <w:r>
        <w:rPr>
          <w:rFonts w:ascii="仿宋_GB2312" w:hAnsi="仿宋_GB2312" w:cs="仿宋_GB2312"/>
          <w:szCs w:val="32"/>
          <w:highlight w:val="none"/>
        </w:rPr>
        <w:t>审〔202</w:t>
      </w:r>
      <w:r>
        <w:rPr>
          <w:rFonts w:hint="eastAsia" w:ascii="仿宋_GB2312" w:hAnsi="仿宋_GB2312" w:cs="仿宋_GB2312"/>
          <w:szCs w:val="32"/>
          <w:highlight w:val="none"/>
          <w:lang w:val="en-US" w:eastAsia="zh-CN"/>
        </w:rPr>
        <w:t>5</w:t>
      </w:r>
      <w:r>
        <w:rPr>
          <w:rFonts w:ascii="仿宋_GB2312" w:hAnsi="仿宋_GB2312" w:cs="仿宋_GB2312"/>
          <w:szCs w:val="32"/>
          <w:highlight w:val="none"/>
        </w:rPr>
        <w:t>〕</w:t>
      </w:r>
      <w:r>
        <w:rPr>
          <w:rFonts w:hint="eastAsia" w:ascii="仿宋_GB2312" w:hAnsi="仿宋_GB2312" w:cs="仿宋_GB2312"/>
          <w:szCs w:val="32"/>
          <w:highlight w:val="none"/>
          <w:lang w:val="en-US" w:eastAsia="zh-CN"/>
        </w:rPr>
        <w:t>63</w:t>
      </w:r>
      <w:r>
        <w:rPr>
          <w:rFonts w:ascii="仿宋_GB2312" w:hAnsi="仿宋_GB2312" w:cs="仿宋_GB2312"/>
          <w:szCs w:val="32"/>
          <w:highlight w:val="none"/>
        </w:rPr>
        <w:t>号</w:t>
      </w:r>
    </w:p>
    <w:p>
      <w:pPr>
        <w:keepNext w:val="0"/>
        <w:keepLines w:val="0"/>
        <w:pageBreakBefore w:val="0"/>
        <w:widowControl/>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kern w:val="0"/>
          <w:sz w:val="44"/>
          <w:szCs w:val="44"/>
        </w:rPr>
      </w:pP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济源市生态环境局</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关于济源市合力新型墙体材料厂隧道窑提升改造项目环境影响报告表的批复</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济源市合力新型墙体材料厂：</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你单位（统一社会信用代码：914190010559744513）报送的由河南济环环保科技有限公司孔静主持编制的《济源市合力新型墙体材料厂隧道窑提升改造项目环境影响评价报告表》（以下简称《报告表》）及行政审批申请等资料收悉，项目环评审批事项已在我局网站公示期满。根据《中华人民共和国环境保护法》《中华人民共和国行政许可法》《中华人民共和国环境影响评价法》《建设项目环境保护管理条例》等法律法规，经研究，批复如下</w:t>
      </w:r>
      <w:r>
        <w:rPr>
          <w:rFonts w:hint="eastAsia" w:ascii="仿宋_GB2312" w:hAnsi="仿宋_GB2312" w:eastAsia="仿宋_GB2312" w:cs="仿宋_GB2312"/>
          <w:szCs w:val="32"/>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Cs w:val="32"/>
          <w:lang w:val="en-US" w:eastAsia="zh-CN"/>
        </w:rPr>
      </w:pPr>
      <w:r>
        <w:rPr>
          <w:rFonts w:hint="eastAsia" w:ascii="仿宋_GB2312" w:hAnsi="仿宋_GB2312" w:cs="仿宋_GB2312"/>
          <w:szCs w:val="32"/>
          <w:highlight w:val="none"/>
          <w:lang w:val="en-US" w:eastAsia="zh-CN"/>
        </w:rPr>
        <w:t>该</w:t>
      </w:r>
      <w:r>
        <w:rPr>
          <w:rFonts w:hint="eastAsia" w:ascii="仿宋_GB2312" w:hAnsi="仿宋_GB2312" w:eastAsia="仿宋_GB2312" w:cs="仿宋_GB2312"/>
          <w:szCs w:val="32"/>
          <w:lang w:val="en-US" w:eastAsia="zh-CN"/>
        </w:rPr>
        <w:t>项目位于济源市梨林镇五里沟新村东，济源市合力新型墙体材料厂现有厂区内。项目对原有的2条隧道烧结窑、2条隧道干燥窑进行拆除，在原址上建设1条隧道烧结窑、2条隧道干燥窑，窑炉配备自动温控系统，干燥和烧结窑进窑车端设2道窑门，并新增SNCR脱硝设施。项目不新增用地，改造前后产能、工艺均不发生变化。</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二、该《报告表》内容符合国家有关法律法规要求和建设项目环境管理规定，评价结论可信。我局批准该《报告表》，原则同意你公司按照《报告表》所列项目的建设内容和环境保护对策措施进行项目建设。</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三、你单位应向社会公众主动公开已经批准的《报告</w:t>
      </w:r>
      <w:r>
        <w:rPr>
          <w:rFonts w:hint="eastAsia" w:ascii="仿宋_GB2312" w:hAnsi="仿宋_GB2312" w:cs="仿宋_GB2312"/>
          <w:szCs w:val="32"/>
          <w:lang w:eastAsia="zh-CN"/>
        </w:rPr>
        <w:t>表</w:t>
      </w:r>
      <w:r>
        <w:rPr>
          <w:rFonts w:hint="eastAsia" w:ascii="仿宋_GB2312" w:hAnsi="仿宋_GB2312" w:eastAsia="仿宋_GB2312" w:cs="仿宋_GB2312"/>
          <w:szCs w:val="32"/>
        </w:rPr>
        <w:t>》，接受相关方的垂询。</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四、你单位应全面落实《报告</w:t>
      </w:r>
      <w:r>
        <w:rPr>
          <w:rFonts w:hint="eastAsia" w:ascii="仿宋_GB2312" w:hAnsi="仿宋_GB2312" w:cs="仿宋_GB2312"/>
          <w:szCs w:val="32"/>
          <w:lang w:eastAsia="zh-CN"/>
        </w:rPr>
        <w:t>表</w:t>
      </w:r>
      <w:r>
        <w:rPr>
          <w:rFonts w:hint="eastAsia" w:ascii="仿宋_GB2312" w:hAnsi="仿宋_GB2312" w:eastAsia="仿宋_GB2312" w:cs="仿宋_GB2312"/>
          <w:szCs w:val="32"/>
        </w:rPr>
        <w:t>》提出的各项环境保护措施，各项环境保护设施与主体工程同时设计、同时施工、同时投入使用，确保各项污染物达标排放。</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（一）向设计单位提供《报告</w:t>
      </w:r>
      <w:r>
        <w:rPr>
          <w:rFonts w:hint="eastAsia" w:ascii="仿宋_GB2312" w:hAnsi="仿宋_GB2312" w:cs="仿宋_GB2312"/>
          <w:szCs w:val="32"/>
          <w:lang w:eastAsia="zh-CN"/>
        </w:rPr>
        <w:t>表</w:t>
      </w:r>
      <w:r>
        <w:rPr>
          <w:rFonts w:hint="eastAsia" w:ascii="仿宋_GB2312" w:hAnsi="仿宋_GB2312" w:eastAsia="仿宋_GB2312" w:cs="仿宋_GB2312"/>
          <w:szCs w:val="32"/>
        </w:rPr>
        <w:t>》和本批复文件，确保项目设计按照环境保护设计规范要求，落实防治环境污染和生态破坏的措施。</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（二）依据《报告</w:t>
      </w:r>
      <w:r>
        <w:rPr>
          <w:rFonts w:hint="eastAsia" w:ascii="仿宋_GB2312" w:hAnsi="仿宋_GB2312" w:cs="仿宋_GB2312"/>
          <w:szCs w:val="32"/>
          <w:lang w:eastAsia="zh-CN"/>
        </w:rPr>
        <w:t>表</w:t>
      </w:r>
      <w:r>
        <w:rPr>
          <w:rFonts w:hint="eastAsia" w:ascii="仿宋_GB2312" w:hAnsi="仿宋_GB2312" w:eastAsia="仿宋_GB2312" w:cs="仿宋_GB2312"/>
          <w:szCs w:val="32"/>
        </w:rPr>
        <w:t>》和本批复文件，对项目建设过程中产生的废水、废气、固体废物、噪声等污染，以及因施工而对生态环境造成的破坏，采取相应的防治措施和生态环境影响减缓措施。</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（三）项目运行时，外排污染物应满足如下要求：</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Cs w:val="32"/>
        </w:rPr>
        <w:t>1.废气：严格落实《报告表》提出的各项大气污染防治措施，加强生产过程的废气收集处理；落实各项无组织管控措施，最大限度减少无组织排放。外排污染物须满足《砖瓦工业大气污染物排放标准》（DB41/2234-2022）限值及烧结砖瓦制品A级绩效指标要求</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szCs w:val="32"/>
        </w:rPr>
        <w:t>2.废水：严格落实水污染防治措施。车辆冲洗废水、脱硫废水、湿电冲洗废水经处理后回用不外排；生活污水处理后资源化利用不外排。</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3.噪声：严格落实噪声污染防治措施。项目厂界噪声满足《工业企业厂界环境噪声排放标准》（GB12348-2008）</w:t>
      </w:r>
      <w:r>
        <w:rPr>
          <w:rFonts w:hint="eastAsia" w:ascii="仿宋_GB2312" w:hAnsi="仿宋_GB2312" w:cs="仿宋_GB2312"/>
          <w:szCs w:val="32"/>
          <w:lang w:val="en-US" w:eastAsia="zh-CN"/>
        </w:rPr>
        <w:t>2</w:t>
      </w:r>
      <w:r>
        <w:rPr>
          <w:rFonts w:hint="eastAsia" w:ascii="仿宋_GB2312" w:hAnsi="仿宋_GB2312" w:eastAsia="仿宋_GB2312" w:cs="仿宋_GB2312"/>
          <w:szCs w:val="32"/>
        </w:rPr>
        <w:t>类标准要求。</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固废：按照固体废物“减量化、资源化、无害化”的原则，落实各类固体废物的收集、处置和综合利用措施，建立产生、贮存、处置、利用等记录台账，做好分类收集、存储、分类处置利用工作。落实《固体废物污染环境防治法》，一般固废临时贮存参考《一般工业固体废物贮存和填埋污染控制标准》（GB 18599-2020）进行控制。危险废物交由有相应危废处置资质的单位处置，贮存满足《危险废物贮存污染控制标准》（GB18597-2023)相关规定。</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（四）落实《报告表》中提出的土壤、地下水污染防治措施及风险防控措施，加强日常管理，严防环境污染事故发生。</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Cs w:val="32"/>
          <w:highlight w:val="yellow"/>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highlight w:val="none"/>
          <w:lang w:val="en-US" w:eastAsia="zh-CN"/>
        </w:rPr>
        <w:t>按照《重污染天气重点行业应急减排措施制定技术指南（2020修订版）》（环办大气函[2020]340号）中“烧结砖瓦制品”A级企业绩效分级各项要求，进行建设和管理。</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六</w:t>
      </w:r>
      <w:r>
        <w:rPr>
          <w:rFonts w:hint="eastAsia" w:ascii="仿宋_GB2312" w:hAnsi="仿宋_GB2312" w:eastAsia="仿宋_GB2312" w:cs="仿宋_GB2312"/>
          <w:szCs w:val="32"/>
        </w:rPr>
        <w:t>、项目须按要求落实各类环保设施，按有关标准要求设置排污口，并设立明显标志。落实排污许可制度，按要求进行申领。按规定程序实施竣工环境保护验收，经验收合格后方可正式投产。</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七</w:t>
      </w:r>
      <w:r>
        <w:rPr>
          <w:rFonts w:hint="eastAsia" w:ascii="仿宋_GB2312" w:hAnsi="仿宋_GB2312" w:eastAsia="仿宋_GB2312" w:cs="仿宋_GB2312"/>
          <w:szCs w:val="32"/>
        </w:rPr>
        <w:t>、严格执行环保“三同时”制度，</w:t>
      </w:r>
      <w:r>
        <w:rPr>
          <w:rFonts w:hint="eastAsia" w:ascii="仿宋_GB2312" w:hAnsi="仿宋_GB2312" w:cs="仿宋_GB2312"/>
          <w:szCs w:val="32"/>
          <w:lang w:eastAsia="zh-CN"/>
        </w:rPr>
        <w:t>积极完成现有问题的整改，</w:t>
      </w:r>
      <w:r>
        <w:rPr>
          <w:rFonts w:hint="eastAsia" w:ascii="仿宋_GB2312" w:hAnsi="仿宋_GB2312" w:eastAsia="仿宋_GB2312" w:cs="仿宋_GB2312"/>
          <w:szCs w:val="32"/>
        </w:rPr>
        <w:t>按要求</w:t>
      </w:r>
      <w:r>
        <w:rPr>
          <w:rFonts w:hint="eastAsia" w:ascii="仿宋_GB2312" w:hAnsi="仿宋_GB2312" w:cs="仿宋_GB2312"/>
          <w:szCs w:val="32"/>
          <w:lang w:eastAsia="zh-CN"/>
        </w:rPr>
        <w:t>变更</w:t>
      </w:r>
      <w:r>
        <w:rPr>
          <w:rFonts w:hint="eastAsia" w:ascii="仿宋_GB2312" w:hAnsi="仿宋_GB2312" w:eastAsia="仿宋_GB2312" w:cs="仿宋_GB2312"/>
          <w:szCs w:val="32"/>
        </w:rPr>
        <w:t>排污许可证</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按规定程序实施竣工环境保护验收，经验收合格后方可正式投产。</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八</w:t>
      </w:r>
      <w:r>
        <w:rPr>
          <w:rFonts w:hint="eastAsia" w:ascii="仿宋_GB2312" w:hAnsi="仿宋_GB2312" w:eastAsia="仿宋_GB2312" w:cs="仿宋_GB2312"/>
          <w:szCs w:val="32"/>
        </w:rPr>
        <w:t>、</w:t>
      </w:r>
      <w:r>
        <w:rPr>
          <w:rFonts w:hint="eastAsia" w:ascii="仿宋_GB2312" w:hAnsi="仿宋_GB2312" w:eastAsia="仿宋_GB2312" w:cs="仿宋_GB2312"/>
          <w:szCs w:val="32"/>
          <w:lang w:eastAsia="zh-CN"/>
        </w:rPr>
        <w:t>本批复有效期为5年，如该项目逾期方开工建设，其环境影响报告书应报我局重新审核。如项目建设发生重大变动，应重新</w:t>
      </w:r>
      <w:r>
        <w:rPr>
          <w:rFonts w:hint="eastAsia" w:ascii="仿宋_GB2312" w:hAnsi="仿宋_GB2312" w:cs="仿宋_GB2312"/>
          <w:szCs w:val="32"/>
          <w:lang w:eastAsia="zh-CN"/>
        </w:rPr>
        <w:t>报批</w:t>
      </w:r>
      <w:r>
        <w:rPr>
          <w:rFonts w:hint="eastAsia" w:ascii="仿宋_GB2312" w:hAnsi="仿宋_GB2312" w:eastAsia="仿宋_GB2312" w:cs="仿宋_GB2312"/>
          <w:szCs w:val="32"/>
          <w:lang w:eastAsia="zh-CN"/>
        </w:rPr>
        <w:t>环境影响评价</w:t>
      </w:r>
      <w:r>
        <w:rPr>
          <w:rFonts w:hint="eastAsia" w:ascii="仿宋_GB2312" w:hAnsi="仿宋_GB2312" w:cs="仿宋_GB2312"/>
          <w:szCs w:val="32"/>
          <w:lang w:eastAsia="zh-CN"/>
        </w:rPr>
        <w:t>报告</w:t>
      </w:r>
      <w:r>
        <w:rPr>
          <w:rFonts w:hint="eastAsia" w:ascii="仿宋_GB2312" w:hAnsi="仿宋_GB2312" w:eastAsia="仿宋_GB2312" w:cs="仿宋_GB231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eastAsia="zh-CN"/>
        </w:rPr>
        <w:t>十、今后国家或我省颁布严于本批复污染物排放限值的新标准，届时你单位应按新的排放标准执行。</w:t>
      </w:r>
    </w:p>
    <w:p>
      <w:pPr>
        <w:keepNext w:val="0"/>
        <w:keepLines w:val="0"/>
        <w:pageBreakBefore w:val="0"/>
        <w:widowControl w:val="0"/>
        <w:kinsoku/>
        <w:wordWrap/>
        <w:overflowPunct/>
        <w:topLinePunct w:val="0"/>
        <w:autoSpaceDE/>
        <w:autoSpaceDN/>
        <w:bidi w:val="0"/>
        <w:adjustRightInd w:val="0"/>
        <w:snapToGrid w:val="0"/>
        <w:spacing w:before="937" w:beforeLines="300" w:line="540" w:lineRule="exact"/>
        <w:ind w:firstLine="4800" w:firstLineChars="1500"/>
        <w:jc w:val="both"/>
        <w:textAlignment w:val="auto"/>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szCs w:val="32"/>
          <w:highlight w:val="none"/>
        </w:rPr>
        <w:t>202</w:t>
      </w:r>
      <w:r>
        <w:rPr>
          <w:rFonts w:hint="eastAsia" w:ascii="仿宋_GB2312" w:hAnsi="仿宋_GB2312" w:eastAsia="仿宋_GB2312" w:cs="仿宋_GB2312"/>
          <w:szCs w:val="32"/>
          <w:highlight w:val="none"/>
          <w:lang w:val="en-US" w:eastAsia="zh-CN"/>
        </w:rPr>
        <w:t>5</w:t>
      </w:r>
      <w:r>
        <w:rPr>
          <w:rFonts w:hint="eastAsia" w:ascii="仿宋_GB2312" w:hAnsi="仿宋_GB2312" w:eastAsia="仿宋_GB2312" w:cs="仿宋_GB2312"/>
          <w:szCs w:val="32"/>
          <w:highlight w:val="none"/>
        </w:rPr>
        <w:t>年</w:t>
      </w:r>
      <w:r>
        <w:rPr>
          <w:rFonts w:hint="eastAsia" w:ascii="仿宋_GB2312" w:hAnsi="仿宋_GB2312" w:eastAsia="仿宋_GB2312" w:cs="仿宋_GB2312"/>
          <w:szCs w:val="32"/>
          <w:highlight w:val="none"/>
          <w:lang w:val="en-US" w:eastAsia="zh-CN"/>
        </w:rPr>
        <w:t>12</w:t>
      </w:r>
      <w:r>
        <w:rPr>
          <w:rFonts w:hint="eastAsia" w:ascii="仿宋_GB2312" w:hAnsi="仿宋_GB2312" w:eastAsia="仿宋_GB2312" w:cs="仿宋_GB2312"/>
          <w:szCs w:val="32"/>
          <w:highlight w:val="none"/>
        </w:rPr>
        <w:t>月</w:t>
      </w:r>
      <w:r>
        <w:rPr>
          <w:rFonts w:hint="eastAsia" w:ascii="仿宋_GB2312" w:hAnsi="仿宋_GB2312" w:cs="仿宋_GB2312"/>
          <w:szCs w:val="32"/>
          <w:highlight w:val="none"/>
          <w:lang w:val="en-US" w:eastAsia="zh-CN"/>
        </w:rPr>
        <w:t>31</w:t>
      </w:r>
      <w:bookmarkStart w:id="0" w:name="_GoBack"/>
      <w:bookmarkEnd w:id="0"/>
      <w:r>
        <w:rPr>
          <w:rFonts w:hint="eastAsia" w:ascii="仿宋_GB2312" w:hAnsi="仿宋_GB2312" w:eastAsia="仿宋_GB2312" w:cs="仿宋_GB2312"/>
          <w:szCs w:val="32"/>
          <w:highlight w:val="none"/>
          <w:lang w:val="en-US" w:eastAsia="zh-CN"/>
        </w:rPr>
        <w:t>日</w:t>
      </w:r>
    </w:p>
    <w:sectPr>
      <w:pgSz w:w="11906" w:h="16838"/>
      <w:pgMar w:top="1440"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28"/>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C4136"/>
    <w:multiLevelType w:val="singleLevel"/>
    <w:tmpl w:val="AD3C41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MjQ1MjJlZDQ4MGU1YzQyNGVmODhmNzVkYjRiMDQifQ=="/>
  </w:docVars>
  <w:rsids>
    <w:rsidRoot w:val="009D6731"/>
    <w:rsid w:val="00184B20"/>
    <w:rsid w:val="001E50E1"/>
    <w:rsid w:val="00341CC4"/>
    <w:rsid w:val="00444988"/>
    <w:rsid w:val="00476956"/>
    <w:rsid w:val="004E3540"/>
    <w:rsid w:val="005C4799"/>
    <w:rsid w:val="00621026"/>
    <w:rsid w:val="006E2B61"/>
    <w:rsid w:val="00790523"/>
    <w:rsid w:val="00940D30"/>
    <w:rsid w:val="009D6731"/>
    <w:rsid w:val="00C12CA0"/>
    <w:rsid w:val="00C4566F"/>
    <w:rsid w:val="00E6566C"/>
    <w:rsid w:val="00EA21B5"/>
    <w:rsid w:val="00F26B39"/>
    <w:rsid w:val="00F361EC"/>
    <w:rsid w:val="00FD2FFE"/>
    <w:rsid w:val="00FD5695"/>
    <w:rsid w:val="00FE1028"/>
    <w:rsid w:val="01F55AE9"/>
    <w:rsid w:val="02460368"/>
    <w:rsid w:val="02A76CD8"/>
    <w:rsid w:val="03CF1B62"/>
    <w:rsid w:val="06FF3E09"/>
    <w:rsid w:val="07F678B4"/>
    <w:rsid w:val="0ABE64DB"/>
    <w:rsid w:val="0B6B293B"/>
    <w:rsid w:val="0F593260"/>
    <w:rsid w:val="0F70383F"/>
    <w:rsid w:val="126B7053"/>
    <w:rsid w:val="14333BA0"/>
    <w:rsid w:val="16ED44DA"/>
    <w:rsid w:val="17EFABAE"/>
    <w:rsid w:val="1AAA57BA"/>
    <w:rsid w:val="1DFF3F20"/>
    <w:rsid w:val="1FC702E1"/>
    <w:rsid w:val="1FF7F4F3"/>
    <w:rsid w:val="1FFA4DA0"/>
    <w:rsid w:val="22072167"/>
    <w:rsid w:val="23FA2A5F"/>
    <w:rsid w:val="24B7634F"/>
    <w:rsid w:val="24BC1BEF"/>
    <w:rsid w:val="2579116C"/>
    <w:rsid w:val="257F031C"/>
    <w:rsid w:val="267BA792"/>
    <w:rsid w:val="271B5FAA"/>
    <w:rsid w:val="27383550"/>
    <w:rsid w:val="276930F2"/>
    <w:rsid w:val="287B7B98"/>
    <w:rsid w:val="299A1C85"/>
    <w:rsid w:val="2B827534"/>
    <w:rsid w:val="2C5A5D16"/>
    <w:rsid w:val="2DAEE527"/>
    <w:rsid w:val="2DFD851A"/>
    <w:rsid w:val="2FA5374C"/>
    <w:rsid w:val="36A221E7"/>
    <w:rsid w:val="36FE2A64"/>
    <w:rsid w:val="386A5533"/>
    <w:rsid w:val="395B0A88"/>
    <w:rsid w:val="3BF10EB2"/>
    <w:rsid w:val="3D5F2863"/>
    <w:rsid w:val="3EA42BA5"/>
    <w:rsid w:val="3F770BD0"/>
    <w:rsid w:val="3F8949F7"/>
    <w:rsid w:val="3FDF01DA"/>
    <w:rsid w:val="3FFE47E9"/>
    <w:rsid w:val="3FFF1272"/>
    <w:rsid w:val="46942D69"/>
    <w:rsid w:val="47C65C99"/>
    <w:rsid w:val="4A3EF9A7"/>
    <w:rsid w:val="4AF63E51"/>
    <w:rsid w:val="4C3E1A99"/>
    <w:rsid w:val="4CE12B80"/>
    <w:rsid w:val="4DC424F6"/>
    <w:rsid w:val="4DFBFF7E"/>
    <w:rsid w:val="4DFCFB7F"/>
    <w:rsid w:val="4EDE6D6B"/>
    <w:rsid w:val="508C759D"/>
    <w:rsid w:val="5208399B"/>
    <w:rsid w:val="568F689E"/>
    <w:rsid w:val="573BB317"/>
    <w:rsid w:val="5A6F3F47"/>
    <w:rsid w:val="5B7D669C"/>
    <w:rsid w:val="5BD4863C"/>
    <w:rsid w:val="5CDDA83D"/>
    <w:rsid w:val="5CFF560E"/>
    <w:rsid w:val="5DBE11C3"/>
    <w:rsid w:val="5E7A79CF"/>
    <w:rsid w:val="5F9000D9"/>
    <w:rsid w:val="5FDEEA0D"/>
    <w:rsid w:val="5FF99284"/>
    <w:rsid w:val="60254DE6"/>
    <w:rsid w:val="616F54EB"/>
    <w:rsid w:val="620C23B5"/>
    <w:rsid w:val="623E204E"/>
    <w:rsid w:val="62A96AD4"/>
    <w:rsid w:val="62C3404B"/>
    <w:rsid w:val="63FD36EB"/>
    <w:rsid w:val="66774100"/>
    <w:rsid w:val="68746DC1"/>
    <w:rsid w:val="692D6F40"/>
    <w:rsid w:val="698A44E3"/>
    <w:rsid w:val="69CB13AE"/>
    <w:rsid w:val="69D1357C"/>
    <w:rsid w:val="6BB460C7"/>
    <w:rsid w:val="6BDE3BA4"/>
    <w:rsid w:val="6CDD8372"/>
    <w:rsid w:val="6D6F26C8"/>
    <w:rsid w:val="6F254179"/>
    <w:rsid w:val="6FB940CF"/>
    <w:rsid w:val="6FC957F4"/>
    <w:rsid w:val="6FF39570"/>
    <w:rsid w:val="72E045F8"/>
    <w:rsid w:val="73F374EE"/>
    <w:rsid w:val="73F71988"/>
    <w:rsid w:val="745A109E"/>
    <w:rsid w:val="75D19977"/>
    <w:rsid w:val="765D951E"/>
    <w:rsid w:val="76F9A361"/>
    <w:rsid w:val="775D48DF"/>
    <w:rsid w:val="77C5202C"/>
    <w:rsid w:val="77DC677D"/>
    <w:rsid w:val="77F2FC37"/>
    <w:rsid w:val="77F69FAD"/>
    <w:rsid w:val="78F82FF6"/>
    <w:rsid w:val="790E7239"/>
    <w:rsid w:val="79FAA3BA"/>
    <w:rsid w:val="7B696311"/>
    <w:rsid w:val="7B7E28B5"/>
    <w:rsid w:val="7BE7BFE2"/>
    <w:rsid w:val="7D567401"/>
    <w:rsid w:val="7D8B6583"/>
    <w:rsid w:val="7ECB5A88"/>
    <w:rsid w:val="7FFF2116"/>
    <w:rsid w:val="8FFD41AA"/>
    <w:rsid w:val="9FEF8379"/>
    <w:rsid w:val="AFA37ED5"/>
    <w:rsid w:val="AFE6D1AD"/>
    <w:rsid w:val="B7FE2C3E"/>
    <w:rsid w:val="BB71E2A8"/>
    <w:rsid w:val="BD57C1B9"/>
    <w:rsid w:val="BFBD3173"/>
    <w:rsid w:val="BFFF55B4"/>
    <w:rsid w:val="CB78EF87"/>
    <w:rsid w:val="CB9FAAF2"/>
    <w:rsid w:val="D36B5E47"/>
    <w:rsid w:val="D6EF1646"/>
    <w:rsid w:val="D7FA0409"/>
    <w:rsid w:val="D87F9C54"/>
    <w:rsid w:val="DB77A289"/>
    <w:rsid w:val="DD6FBB4B"/>
    <w:rsid w:val="DE2F2BA8"/>
    <w:rsid w:val="DF5F2A87"/>
    <w:rsid w:val="DFD5AB83"/>
    <w:rsid w:val="E3F7084E"/>
    <w:rsid w:val="E6DEE13B"/>
    <w:rsid w:val="E9DEEDEF"/>
    <w:rsid w:val="EB7FD0C4"/>
    <w:rsid w:val="EBFB41A9"/>
    <w:rsid w:val="EDEB4B8D"/>
    <w:rsid w:val="EECBC687"/>
    <w:rsid w:val="EFEFBD04"/>
    <w:rsid w:val="EFFD4A11"/>
    <w:rsid w:val="F5AA74A5"/>
    <w:rsid w:val="F5FB2154"/>
    <w:rsid w:val="F8BFF624"/>
    <w:rsid w:val="F8DF557C"/>
    <w:rsid w:val="FBDD74D7"/>
    <w:rsid w:val="FCEFB75E"/>
    <w:rsid w:val="FEFF708A"/>
    <w:rsid w:val="FF0AC720"/>
    <w:rsid w:val="FF6D4DD0"/>
    <w:rsid w:val="FFBF32AE"/>
    <w:rsid w:val="FFDF695E"/>
    <w:rsid w:val="FFF53414"/>
    <w:rsid w:val="FFF90740"/>
    <w:rsid w:val="FFF9C3A5"/>
    <w:rsid w:val="FFFF2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rPr>
  </w:style>
  <w:style w:type="paragraph" w:styleId="3">
    <w:name w:val="Body Text"/>
    <w:basedOn w:val="1"/>
    <w:link w:val="13"/>
    <w:qFormat/>
    <w:uiPriority w:val="0"/>
    <w:pPr>
      <w:spacing w:after="120"/>
    </w:pPr>
  </w:style>
  <w:style w:type="paragraph" w:styleId="4">
    <w:name w:val="Plain Text"/>
    <w:basedOn w:val="1"/>
    <w:qFormat/>
    <w:uiPriority w:val="0"/>
    <w:rPr>
      <w:rFonts w:ascii="宋体" w:hAnsi="Courier New" w:cs="Courier New"/>
      <w:szCs w:val="21"/>
    </w:rPr>
  </w:style>
  <w:style w:type="paragraph" w:styleId="5">
    <w:name w:val="Body Text Indent 2"/>
    <w:basedOn w:val="1"/>
    <w:next w:val="1"/>
    <w:unhideWhenUsed/>
    <w:qFormat/>
    <w:uiPriority w:val="99"/>
    <w:pPr>
      <w:spacing w:after="120" w:line="480" w:lineRule="auto"/>
      <w:ind w:left="420" w:leftChars="200"/>
    </w:p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eastAsia="宋体" w:cs="宋体"/>
      <w:kern w:val="0"/>
      <w:sz w:val="24"/>
    </w:rPr>
  </w:style>
  <w:style w:type="character" w:customStyle="1" w:styleId="11">
    <w:name w:val="页眉 Char"/>
    <w:basedOn w:val="10"/>
    <w:link w:val="7"/>
    <w:qFormat/>
    <w:uiPriority w:val="0"/>
    <w:rPr>
      <w:rFonts w:ascii="宋体" w:hAnsi="宋体" w:eastAsia="仿宋_GB2312" w:cs="Times New Roman"/>
      <w:kern w:val="2"/>
      <w:sz w:val="18"/>
      <w:szCs w:val="18"/>
    </w:rPr>
  </w:style>
  <w:style w:type="character" w:customStyle="1" w:styleId="12">
    <w:name w:val="页脚 Char"/>
    <w:basedOn w:val="10"/>
    <w:link w:val="6"/>
    <w:qFormat/>
    <w:uiPriority w:val="0"/>
    <w:rPr>
      <w:rFonts w:ascii="宋体" w:hAnsi="宋体" w:eastAsia="仿宋_GB2312" w:cs="Times New Roman"/>
      <w:kern w:val="2"/>
      <w:sz w:val="18"/>
      <w:szCs w:val="18"/>
    </w:rPr>
  </w:style>
  <w:style w:type="character" w:customStyle="1" w:styleId="13">
    <w:name w:val="正文文本 Char"/>
    <w:basedOn w:val="10"/>
    <w:link w:val="3"/>
    <w:qFormat/>
    <w:uiPriority w:val="0"/>
    <w:rPr>
      <w:rFonts w:ascii="宋体" w:hAnsi="宋体" w:eastAsia="仿宋_GB2312" w:cs="Times New Roman"/>
      <w:kern w:val="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1966</Words>
  <Characters>2073</Characters>
  <Lines>13</Lines>
  <Paragraphs>3</Paragraphs>
  <TotalTime>26</TotalTime>
  <ScaleCrop>false</ScaleCrop>
  <LinksUpToDate>false</LinksUpToDate>
  <CharactersWithSpaces>2105</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2023-12-14T17:26:00Z</dcterms:created>
  <dc:creator>jia</dc:creator>
  <cp:lastModifiedBy>greatwall</cp:lastModifiedBy>
  <cp:lastPrinted>2025-12-27T00:19:00Z</cp:lastPrinted>
  <dcterms:modified xsi:type="dcterms:W3CDTF">2025-12-31T07:46:13Z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6A80C282FFDC45BFBA7153C4E9FE7830_13</vt:lpwstr>
  </property>
  <property fmtid="{D5CDD505-2E9C-101B-9397-08002B2CF9AE}" pid="4" name="KSOTemplateDocerSaveRecord">
    <vt:lpwstr>eyJoZGlkIjoiMzg1ZmQ0YTYxNzkwODE4M2IyZjRmYzdlNzg0OGRlYWUiLCJ1c2VySWQiOiIyODAxMzkwNDcifQ==</vt:lpwstr>
  </property>
</Properties>
</file>